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07901" w14:textId="1914DB94" w:rsidR="00D31E52" w:rsidRDefault="002F4239">
      <w:r>
        <w:t>Angiotensin II for the Treatment of Vasodilatory Shock</w:t>
      </w:r>
    </w:p>
    <w:p w14:paraId="1FCC70FC" w14:textId="3C1002A5" w:rsidR="002F4239" w:rsidRDefault="002F4239">
      <w:r>
        <w:t>Introduction</w:t>
      </w:r>
    </w:p>
    <w:p w14:paraId="037825CA" w14:textId="50638590" w:rsidR="002F4239" w:rsidRDefault="002F4239" w:rsidP="002F4239">
      <w:pPr>
        <w:pStyle w:val="ListParagraph"/>
        <w:numPr>
          <w:ilvl w:val="0"/>
          <w:numId w:val="1"/>
        </w:numPr>
      </w:pPr>
      <w:r>
        <w:t>Vasodilatory shock is the most common type of shock and is characterized by peripheral vasodilation and reduced blood pressure despite preserved cardiac output</w:t>
      </w:r>
    </w:p>
    <w:p w14:paraId="65094F2A" w14:textId="57EB2417" w:rsidR="002F4239" w:rsidRDefault="002F4239" w:rsidP="002F4239">
      <w:pPr>
        <w:pStyle w:val="ListParagraph"/>
        <w:numPr>
          <w:ilvl w:val="0"/>
          <w:numId w:val="1"/>
        </w:numPr>
      </w:pPr>
      <w:r>
        <w:t>I</w:t>
      </w:r>
      <w:r w:rsidR="004F0BA7">
        <w:t>t requires immediate treatment to ensure organ perfusion through reestablishment of blood pressure while the underlying cause of shock is identified and treated</w:t>
      </w:r>
    </w:p>
    <w:p w14:paraId="5ACE3510" w14:textId="3600F89A" w:rsidR="004F0BA7" w:rsidRDefault="004F0BA7" w:rsidP="002F4239">
      <w:pPr>
        <w:pStyle w:val="ListParagraph"/>
        <w:numPr>
          <w:ilvl w:val="0"/>
          <w:numId w:val="1"/>
        </w:numPr>
      </w:pPr>
      <w:r>
        <w:t>Patients with severe vasodilation who have hypotension despite high doses of vasopressors have a poor prognosis with 30-day all-cause mortality exceeding 50%</w:t>
      </w:r>
    </w:p>
    <w:p w14:paraId="6EAEAAD1" w14:textId="2FFABD64" w:rsidR="004F0BA7" w:rsidRDefault="004F0BA7" w:rsidP="002F4239">
      <w:pPr>
        <w:pStyle w:val="ListParagraph"/>
        <w:numPr>
          <w:ilvl w:val="0"/>
          <w:numId w:val="1"/>
        </w:numPr>
      </w:pPr>
      <w:r>
        <w:t>Only two classes of vasopressors are available:</w:t>
      </w:r>
    </w:p>
    <w:p w14:paraId="60F41675" w14:textId="56C271C3" w:rsidR="004F0BA7" w:rsidRDefault="004F0BA7" w:rsidP="004F0BA7">
      <w:pPr>
        <w:pStyle w:val="ListParagraph"/>
        <w:numPr>
          <w:ilvl w:val="1"/>
          <w:numId w:val="1"/>
        </w:numPr>
      </w:pPr>
      <w:r>
        <w:t>Catecholamines (and other sympathomimetic amines) and vasopressin</w:t>
      </w:r>
    </w:p>
    <w:p w14:paraId="33BA41CE" w14:textId="362C0723" w:rsidR="004F0BA7" w:rsidRDefault="004F0BA7" w:rsidP="004F0BA7">
      <w:pPr>
        <w:pStyle w:val="ListParagraph"/>
        <w:numPr>
          <w:ilvl w:val="0"/>
          <w:numId w:val="1"/>
        </w:numPr>
      </w:pPr>
      <w:r>
        <w:t xml:space="preserve">Human physiology engages a third system when hypotension occurs – RAAS </w:t>
      </w:r>
    </w:p>
    <w:p w14:paraId="5F0D7DC7" w14:textId="418EA810" w:rsidR="004F0BA7" w:rsidRDefault="004F0BA7" w:rsidP="004F0BA7">
      <w:pPr>
        <w:pStyle w:val="ListParagraph"/>
        <w:numPr>
          <w:ilvl w:val="0"/>
          <w:numId w:val="1"/>
        </w:numPr>
      </w:pPr>
      <w:r>
        <w:t>Previously modified bovine angiotensin II was shown to elicit consistent vasopressor effects in patients with shock</w:t>
      </w:r>
    </w:p>
    <w:p w14:paraId="56BA5BD6" w14:textId="7F785FCC" w:rsidR="004F0BA7" w:rsidRDefault="004F0BA7" w:rsidP="004F0BA7">
      <w:pPr>
        <w:pStyle w:val="ListParagraph"/>
        <w:numPr>
          <w:ilvl w:val="0"/>
          <w:numId w:val="1"/>
        </w:numPr>
      </w:pPr>
      <w:r>
        <w:t>In a pilot study, addition of human angiotensin II to catecholamine and vasopressin therapy increased MAP in patients with vasodilatory shock allowing for reductions in catecholamines</w:t>
      </w:r>
    </w:p>
    <w:p w14:paraId="482719D3" w14:textId="22DECA76" w:rsidR="004F0BA7" w:rsidRDefault="004F0BA7" w:rsidP="004F0BA7">
      <w:pPr>
        <w:pStyle w:val="ListParagraph"/>
        <w:numPr>
          <w:ilvl w:val="0"/>
          <w:numId w:val="1"/>
        </w:numPr>
      </w:pPr>
      <w:r>
        <w:t>Findings prompted the phase 3 Angiotensin II for the Treatment of High-Output Shock (ATHOS-3) trial to determine whether the addition of angiotensin II to background vasopressors would improve BP in patients with catecholamine-resistant vasodilatory shock</w:t>
      </w:r>
    </w:p>
    <w:p w14:paraId="0E951DE8" w14:textId="708AA73F" w:rsidR="004F0BA7" w:rsidRDefault="004F0BA7" w:rsidP="004F0BA7">
      <w:r>
        <w:t>Methods</w:t>
      </w:r>
    </w:p>
    <w:p w14:paraId="1673BABA" w14:textId="015132DC" w:rsidR="004F0BA7" w:rsidRDefault="004F0BA7" w:rsidP="004F0BA7">
      <w:pPr>
        <w:pStyle w:val="ListParagraph"/>
        <w:numPr>
          <w:ilvl w:val="0"/>
          <w:numId w:val="2"/>
        </w:numPr>
      </w:pPr>
      <w:r>
        <w:t xml:space="preserve">International, randomized, double-blinded, placebo-controlled trial </w:t>
      </w:r>
    </w:p>
    <w:p w14:paraId="5AD49C0E" w14:textId="08DFAFA5" w:rsidR="00FA23A1" w:rsidRDefault="00FA23A1" w:rsidP="004F0BA7">
      <w:pPr>
        <w:pStyle w:val="ListParagraph"/>
        <w:numPr>
          <w:ilvl w:val="0"/>
          <w:numId w:val="2"/>
        </w:numPr>
      </w:pPr>
      <w:r>
        <w:t xml:space="preserve">Eligible patients were 18 years of age or older and had vasodilatory shock despite intravenous volume resuscitation with at least 25 ml per kilogram of BW over the previous 24 hour and the administration of high-dose vasopressors </w:t>
      </w:r>
    </w:p>
    <w:p w14:paraId="34E48174" w14:textId="61F1FCA8" w:rsidR="00FA23A1" w:rsidRDefault="00FA23A1" w:rsidP="004F0BA7">
      <w:pPr>
        <w:pStyle w:val="ListParagraph"/>
        <w:numPr>
          <w:ilvl w:val="0"/>
          <w:numId w:val="2"/>
        </w:numPr>
      </w:pPr>
      <w:r>
        <w:t>Vasodilatory shock defined as cardiac index greater than 2.3 L per minute per square meter or as central venous oxygen saturation of greater than 70% coupled with central venous pressure of more than 8 mmHg with a MAP between 55 and 70 mmHg</w:t>
      </w:r>
    </w:p>
    <w:p w14:paraId="33205651" w14:textId="3AF57319" w:rsidR="00FA23A1" w:rsidRDefault="00FA23A1" w:rsidP="004F0BA7">
      <w:pPr>
        <w:pStyle w:val="ListParagraph"/>
        <w:numPr>
          <w:ilvl w:val="0"/>
          <w:numId w:val="2"/>
        </w:numPr>
      </w:pPr>
      <w:r>
        <w:t>High-dose vasopressors was defined as more than 0.2 ug/kg/min norepinephrine or the equivalent of another vasopressor for at least 6 hours but no longer than 48 hours</w:t>
      </w:r>
    </w:p>
    <w:p w14:paraId="30BF7C70" w14:textId="6C41AA1C" w:rsidR="00FA23A1" w:rsidRDefault="00FA23A1" w:rsidP="004F0BA7">
      <w:pPr>
        <w:pStyle w:val="ListParagraph"/>
        <w:numPr>
          <w:ilvl w:val="0"/>
          <w:numId w:val="2"/>
        </w:numPr>
      </w:pPr>
      <w:r>
        <w:t>Eligible patients had an indwelling urinary catheter and arterial catheter</w:t>
      </w:r>
    </w:p>
    <w:p w14:paraId="4B83D351" w14:textId="77281B14" w:rsidR="00FA23A1" w:rsidRDefault="00FA23A1" w:rsidP="004F0BA7">
      <w:pPr>
        <w:pStyle w:val="ListParagraph"/>
        <w:numPr>
          <w:ilvl w:val="0"/>
          <w:numId w:val="2"/>
        </w:numPr>
      </w:pPr>
      <w:r>
        <w:t xml:space="preserve">Patients excluded: </w:t>
      </w:r>
    </w:p>
    <w:p w14:paraId="1C9F8EBA" w14:textId="70F4B21D" w:rsidR="00FA23A1" w:rsidRDefault="00FA23A1" w:rsidP="00FA23A1">
      <w:pPr>
        <w:pStyle w:val="ListParagraph"/>
        <w:numPr>
          <w:ilvl w:val="1"/>
          <w:numId w:val="2"/>
        </w:numPr>
      </w:pPr>
      <w:r>
        <w:t xml:space="preserve">patients who had burns covering more than 20% of the total body-surface area, acute coronary syndrome, bronchospasm, liver failure, mesenteric ischemia, active bleeding, abdominal aortic aneurysm, or an absolute neutrophil count of less than 1000 per cubic millimeter or who were receiving </w:t>
      </w:r>
      <w:proofErr w:type="spellStart"/>
      <w:r>
        <w:t>veno</w:t>
      </w:r>
      <w:proofErr w:type="spellEnd"/>
      <w:r w:rsidR="00676F2E">
        <w:t>-</w:t>
      </w:r>
      <w:r>
        <w:t>arterial extracorporeal membrane oxygenation or treatment with high-dose glucocorticoids</w:t>
      </w:r>
    </w:p>
    <w:p w14:paraId="6DAFCF2B" w14:textId="2BA9B230" w:rsidR="00FA23A1" w:rsidRDefault="00FA23A1" w:rsidP="00FA23A1">
      <w:pPr>
        <w:pStyle w:val="ListParagraph"/>
        <w:numPr>
          <w:ilvl w:val="0"/>
          <w:numId w:val="2"/>
        </w:numPr>
      </w:pPr>
      <w:r>
        <w:t>Treatment assignment:</w:t>
      </w:r>
    </w:p>
    <w:p w14:paraId="4727334E" w14:textId="115D2908" w:rsidR="00FA23A1" w:rsidRDefault="00FA23A1" w:rsidP="00FA23A1">
      <w:pPr>
        <w:pStyle w:val="ListParagraph"/>
        <w:numPr>
          <w:ilvl w:val="1"/>
          <w:numId w:val="2"/>
        </w:numPr>
      </w:pPr>
      <w:r>
        <w:t>Patients randomly assigned in a 1:1 ration to receive synthetic human angiotensin II or saline placebo</w:t>
      </w:r>
    </w:p>
    <w:p w14:paraId="7FF29D8E" w14:textId="77CC8318" w:rsidR="00FA23A1" w:rsidRDefault="00FA23A1" w:rsidP="00FA23A1">
      <w:pPr>
        <w:pStyle w:val="ListParagraph"/>
        <w:numPr>
          <w:ilvl w:val="2"/>
          <w:numId w:val="2"/>
        </w:numPr>
      </w:pPr>
      <w:r>
        <w:t xml:space="preserve">Synthetic human AG II and naturally occurring human angiotensin II have identical amino acid sequences </w:t>
      </w:r>
    </w:p>
    <w:p w14:paraId="21984F22" w14:textId="5CB6734C" w:rsidR="003516D0" w:rsidRDefault="003516D0" w:rsidP="00FA23A1">
      <w:pPr>
        <w:pStyle w:val="ListParagraph"/>
        <w:numPr>
          <w:ilvl w:val="2"/>
          <w:numId w:val="2"/>
        </w:numPr>
      </w:pPr>
      <w:r>
        <w:t>LJPC-501 – stable in refrigerated solution for at least 1 year</w:t>
      </w:r>
    </w:p>
    <w:p w14:paraId="5ABC37EF" w14:textId="675CDF70" w:rsidR="003516D0" w:rsidRDefault="003516D0" w:rsidP="00FA23A1">
      <w:pPr>
        <w:pStyle w:val="ListParagraph"/>
        <w:numPr>
          <w:ilvl w:val="2"/>
          <w:numId w:val="2"/>
        </w:numPr>
      </w:pPr>
      <w:r>
        <w:lastRenderedPageBreak/>
        <w:t xml:space="preserve">Randomization was </w:t>
      </w:r>
      <w:r w:rsidR="00676F2E">
        <w:t>stratified</w:t>
      </w:r>
      <w:r>
        <w:t xml:space="preserve"> according to MAP at screening (&lt;65 or greater than or equal to 65 mmHg) and Acute Physiology and Chronic Health Evaluation II (APACHE II) score with higher scores indicating greater disease severity</w:t>
      </w:r>
    </w:p>
    <w:p w14:paraId="22F420EA" w14:textId="4FEEA97C" w:rsidR="003516D0" w:rsidRDefault="003516D0" w:rsidP="003516D0">
      <w:pPr>
        <w:pStyle w:val="ListParagraph"/>
        <w:numPr>
          <w:ilvl w:val="1"/>
          <w:numId w:val="2"/>
        </w:numPr>
      </w:pPr>
      <w:r>
        <w:t>Clinical regimen:</w:t>
      </w:r>
    </w:p>
    <w:p w14:paraId="2E266558" w14:textId="57EC2BE5" w:rsidR="003516D0" w:rsidRDefault="003516D0" w:rsidP="003516D0">
      <w:pPr>
        <w:pStyle w:val="ListParagraph"/>
        <w:numPr>
          <w:ilvl w:val="2"/>
          <w:numId w:val="2"/>
        </w:numPr>
      </w:pPr>
      <w:r>
        <w:t>Baseline mean arterial pressure was obtained in triplicate – 30, 15, and 0 minutes before treatment</w:t>
      </w:r>
    </w:p>
    <w:p w14:paraId="7734EA41" w14:textId="78C44B3B" w:rsidR="003516D0" w:rsidRDefault="003516D0" w:rsidP="003516D0">
      <w:pPr>
        <w:pStyle w:val="ListParagraph"/>
        <w:numPr>
          <w:ilvl w:val="2"/>
          <w:numId w:val="2"/>
        </w:numPr>
      </w:pPr>
      <w:r>
        <w:t>Infusions were initiated at a rate of 20 ng of angiotensin II per kilogram per minute and were adjusted during the first 3 hours to increase the MAP to at least 75 mmHg</w:t>
      </w:r>
    </w:p>
    <w:p w14:paraId="5F435914" w14:textId="243E2FB6" w:rsidR="003516D0" w:rsidRDefault="003516D0" w:rsidP="003516D0">
      <w:pPr>
        <w:pStyle w:val="ListParagraph"/>
        <w:numPr>
          <w:ilvl w:val="2"/>
          <w:numId w:val="2"/>
        </w:numPr>
      </w:pPr>
      <w:r>
        <w:t>During this adjustment period, doses of standard-of-care (back-ground) vasopressors were held constant and could not be increased except for safety reasons</w:t>
      </w:r>
    </w:p>
    <w:p w14:paraId="249CDCD1" w14:textId="10A27C57" w:rsidR="00423B3D" w:rsidRDefault="00423B3D" w:rsidP="003516D0">
      <w:pPr>
        <w:pStyle w:val="ListParagraph"/>
        <w:numPr>
          <w:ilvl w:val="2"/>
          <w:numId w:val="2"/>
        </w:numPr>
      </w:pPr>
      <w:r>
        <w:t>If these doses were increased, then the patient was designated as not having had a response to the study intervention</w:t>
      </w:r>
    </w:p>
    <w:p w14:paraId="4D8BA854" w14:textId="479EF386" w:rsidR="00423B3D" w:rsidRDefault="00423B3D" w:rsidP="003516D0">
      <w:pPr>
        <w:pStyle w:val="ListParagraph"/>
        <w:numPr>
          <w:ilvl w:val="2"/>
          <w:numId w:val="2"/>
        </w:numPr>
      </w:pPr>
      <w:r>
        <w:t>The maximum rate of administration of the study medication or placebo allowed during the first 3 hours was equivalent to a dose of 200 ng per kilogram per minute</w:t>
      </w:r>
    </w:p>
    <w:p w14:paraId="3A6E5A29" w14:textId="7551B94F" w:rsidR="00423B3D" w:rsidRDefault="00423B3D" w:rsidP="003516D0">
      <w:pPr>
        <w:pStyle w:val="ListParagraph"/>
        <w:numPr>
          <w:ilvl w:val="2"/>
          <w:numId w:val="2"/>
        </w:numPr>
      </w:pPr>
      <w:r>
        <w:t>After 3 hours 15 minutes, the study drug or placebo and other vasopressors were adjusted to maintain a target MAP between 65 and 75 mmHg</w:t>
      </w:r>
    </w:p>
    <w:p w14:paraId="1CE94C65" w14:textId="29275C1F" w:rsidR="00423B3D" w:rsidRDefault="00423B3D" w:rsidP="003516D0">
      <w:pPr>
        <w:pStyle w:val="ListParagraph"/>
        <w:numPr>
          <w:ilvl w:val="2"/>
          <w:numId w:val="2"/>
        </w:numPr>
      </w:pPr>
      <w:r>
        <w:t>Between 3 hours and 15 minutes and 48 hours, AG II or the placebo could be adjusted to an infusion rate in millimeters per hour that was equivalent to a dose of 1.25 to 40 ng per kg per minute in patients assigned to AG II</w:t>
      </w:r>
    </w:p>
    <w:p w14:paraId="08D49BC1" w14:textId="6FBD02E9" w:rsidR="00423B3D" w:rsidRDefault="00423B3D" w:rsidP="003516D0">
      <w:pPr>
        <w:pStyle w:val="ListParagraph"/>
        <w:numPr>
          <w:ilvl w:val="2"/>
          <w:numId w:val="2"/>
        </w:numPr>
      </w:pPr>
      <w:r>
        <w:t>At hour 48, the study infusion was discontinue according to a protocol-specified tapering process</w:t>
      </w:r>
    </w:p>
    <w:p w14:paraId="5A1582E4" w14:textId="1BB5E098" w:rsidR="00423B3D" w:rsidRDefault="00423B3D" w:rsidP="003516D0">
      <w:pPr>
        <w:pStyle w:val="ListParagraph"/>
        <w:numPr>
          <w:ilvl w:val="2"/>
          <w:numId w:val="2"/>
        </w:numPr>
      </w:pPr>
      <w:r>
        <w:t xml:space="preserve">If the background vasopressor dose was subsequently increased to more than 0.1 ug of norepinephrine per kg per minute or equivalent or if the patient’s condition became unstable, study medication or placebo could be resumed for up to 7 days </w:t>
      </w:r>
    </w:p>
    <w:p w14:paraId="6722247E" w14:textId="51932AF5" w:rsidR="00423B3D" w:rsidRDefault="00423B3D" w:rsidP="003516D0">
      <w:pPr>
        <w:pStyle w:val="ListParagraph"/>
        <w:numPr>
          <w:ilvl w:val="2"/>
          <w:numId w:val="2"/>
        </w:numPr>
      </w:pPr>
      <w:r>
        <w:t>Once the study medication or placebo was discontinued for more than 3 hours it could not be restarted</w:t>
      </w:r>
    </w:p>
    <w:p w14:paraId="61950932" w14:textId="32272D61" w:rsidR="00423B3D" w:rsidRDefault="00423B3D" w:rsidP="00423B3D">
      <w:pPr>
        <w:pStyle w:val="ListParagraph"/>
        <w:numPr>
          <w:ilvl w:val="1"/>
          <w:numId w:val="2"/>
        </w:numPr>
      </w:pPr>
      <w:r>
        <w:t>Assessments and end points:</w:t>
      </w:r>
    </w:p>
    <w:p w14:paraId="63150F6E" w14:textId="0D495DBC" w:rsidR="00423B3D" w:rsidRDefault="00423B3D" w:rsidP="00423B3D">
      <w:pPr>
        <w:pStyle w:val="ListParagraph"/>
        <w:numPr>
          <w:ilvl w:val="2"/>
          <w:numId w:val="2"/>
        </w:numPr>
      </w:pPr>
      <w:r>
        <w:t>The primary end point was the response with respect to MAP at hour 3, with response defined as MAP of 75 mmHg or higher or an increased in MAP from baseline of at least 10 mmHg without an increase in the dose of background vasopressors</w:t>
      </w:r>
    </w:p>
    <w:p w14:paraId="47DD5B79" w14:textId="361C6565" w:rsidR="003C1A8B" w:rsidRDefault="003C1A8B" w:rsidP="00423B3D">
      <w:pPr>
        <w:pStyle w:val="ListParagraph"/>
        <w:numPr>
          <w:ilvl w:val="2"/>
          <w:numId w:val="2"/>
        </w:numPr>
      </w:pPr>
      <w:r>
        <w:t>Secondary efficacy endpoints were changes in the cardiovascular SOFA score (scores 0 to 4) with higher score indications more severe dysfunction and the total SOFA score</w:t>
      </w:r>
    </w:p>
    <w:p w14:paraId="69DDA896" w14:textId="67600112" w:rsidR="003C1A8B" w:rsidRDefault="003C1A8B" w:rsidP="00423B3D">
      <w:pPr>
        <w:pStyle w:val="ListParagraph"/>
        <w:numPr>
          <w:ilvl w:val="2"/>
          <w:numId w:val="2"/>
        </w:numPr>
      </w:pPr>
      <w:r>
        <w:t>Safety was evaluated by assessment of serious adverse events, adverse event-related drug discontinuations, all adverse events, and all-cause mortality at 7 days and 28 days</w:t>
      </w:r>
    </w:p>
    <w:p w14:paraId="451BA226" w14:textId="3D26AB2A" w:rsidR="00365317" w:rsidRDefault="00D56BE0" w:rsidP="00D56BE0">
      <w:pPr>
        <w:pStyle w:val="ListParagraph"/>
        <w:numPr>
          <w:ilvl w:val="0"/>
          <w:numId w:val="2"/>
        </w:numPr>
      </w:pPr>
      <w:r>
        <w:t>Results</w:t>
      </w:r>
    </w:p>
    <w:p w14:paraId="6B6398AB" w14:textId="2DFB6A77" w:rsidR="00D56BE0" w:rsidRDefault="00D56BE0" w:rsidP="00D56BE0">
      <w:pPr>
        <w:pStyle w:val="ListParagraph"/>
        <w:numPr>
          <w:ilvl w:val="1"/>
          <w:numId w:val="2"/>
        </w:numPr>
      </w:pPr>
      <w:r>
        <w:t>Trial conducted from May 2015 through January 2017 in 75 intensive care units across 9 countries in North America, Australia, and Europe</w:t>
      </w:r>
    </w:p>
    <w:p w14:paraId="307A4204" w14:textId="527DCE63" w:rsidR="00E80C73" w:rsidRDefault="00E80C73" w:rsidP="00D56BE0">
      <w:pPr>
        <w:pStyle w:val="ListParagraph"/>
        <w:numPr>
          <w:ilvl w:val="1"/>
          <w:numId w:val="2"/>
        </w:numPr>
      </w:pPr>
      <w:r>
        <w:lastRenderedPageBreak/>
        <w:t>Study regimen was initiated in 321 patients of whom 163 patients received angiotensin II and 158 received placebo</w:t>
      </w:r>
    </w:p>
    <w:p w14:paraId="03651DCC" w14:textId="48C952B9" w:rsidR="00D56BE0" w:rsidRDefault="00E80C73" w:rsidP="00D56BE0">
      <w:pPr>
        <w:pStyle w:val="ListParagraph"/>
        <w:numPr>
          <w:ilvl w:val="1"/>
          <w:numId w:val="2"/>
        </w:numPr>
      </w:pPr>
      <w:r>
        <w:t>Study groups were well matched with respect to baseline disease characteristics and demographics</w:t>
      </w:r>
    </w:p>
    <w:p w14:paraId="7330F2ED" w14:textId="2D47AF6F" w:rsidR="00E80C73" w:rsidRDefault="00E80C73" w:rsidP="00D56BE0">
      <w:pPr>
        <w:pStyle w:val="ListParagraph"/>
        <w:numPr>
          <w:ilvl w:val="1"/>
          <w:numId w:val="2"/>
        </w:numPr>
      </w:pPr>
      <w:r>
        <w:t>Patient in the two study groups were severely ill, as indicated by high APACHE II scores and elevated baseline vasopressor doses</w:t>
      </w:r>
    </w:p>
    <w:p w14:paraId="5BC43CEF" w14:textId="06010998" w:rsidR="00E80C73" w:rsidRDefault="00E80C73" w:rsidP="00D56BE0">
      <w:pPr>
        <w:pStyle w:val="ListParagraph"/>
        <w:numPr>
          <w:ilvl w:val="1"/>
          <w:numId w:val="2"/>
        </w:numPr>
      </w:pPr>
      <w:r>
        <w:t>Sepsis was the cause of shock in 259 of the 321 patients (80.7%)</w:t>
      </w:r>
    </w:p>
    <w:p w14:paraId="6C3745DC" w14:textId="52F81A4F" w:rsidR="00E80C73" w:rsidRDefault="00E80C73" w:rsidP="00D56BE0">
      <w:pPr>
        <w:pStyle w:val="ListParagraph"/>
        <w:numPr>
          <w:ilvl w:val="1"/>
          <w:numId w:val="2"/>
        </w:numPr>
      </w:pPr>
      <w:r>
        <w:t>Efficacy endpoints:</w:t>
      </w:r>
    </w:p>
    <w:p w14:paraId="55AD5D7B" w14:textId="42B2B841" w:rsidR="00E80C73" w:rsidRDefault="00E80C73" w:rsidP="00E80C73">
      <w:pPr>
        <w:pStyle w:val="ListParagraph"/>
        <w:numPr>
          <w:ilvl w:val="2"/>
          <w:numId w:val="2"/>
        </w:numPr>
      </w:pPr>
      <w:r>
        <w:t xml:space="preserve">Significantly more patients in the AG II group than in the placebo group met the criteria for the primary end point of response with respect to MAP at hour 3 (69.9% vs. 23.4%, P&lt;0.001; odds </w:t>
      </w:r>
      <w:proofErr w:type="spellStart"/>
      <w:r>
        <w:t>ration</w:t>
      </w:r>
      <w:proofErr w:type="spellEnd"/>
      <w:r>
        <w:t>, 7.95; 95% confidence interval (Cl), 4.76 to 13.3)</w:t>
      </w:r>
    </w:p>
    <w:p w14:paraId="61D3EA3F" w14:textId="6081B726" w:rsidR="00E80C73" w:rsidRDefault="00E80C73" w:rsidP="00E80C73">
      <w:pPr>
        <w:pStyle w:val="ListParagraph"/>
        <w:numPr>
          <w:ilvl w:val="2"/>
          <w:numId w:val="2"/>
        </w:numPr>
      </w:pPr>
      <w:r>
        <w:t>Most common reason in both groups for lack of response was failure to achieve a MAP of at least 75 mmHg or an increase of at least 10 mmHg (the other reason was an increase in the dose of background vasopressors)</w:t>
      </w:r>
    </w:p>
    <w:p w14:paraId="4666235F" w14:textId="301F7DA6" w:rsidR="00E80C73" w:rsidRDefault="00E80C73" w:rsidP="00E80C73">
      <w:pPr>
        <w:pStyle w:val="ListParagraph"/>
        <w:numPr>
          <w:ilvl w:val="2"/>
          <w:numId w:val="2"/>
        </w:numPr>
      </w:pPr>
      <w:r>
        <w:t>During the first 3 hours, the AG II group had a significantly greater increase in MAP than the placebo group (12.5 mmHg vs. 2.9 mmHg: p&lt;0.001)</w:t>
      </w:r>
    </w:p>
    <w:p w14:paraId="2452B3D3" w14:textId="0B903D2F" w:rsidR="00D72DE0" w:rsidRDefault="00D72DE0" w:rsidP="00E80C73">
      <w:pPr>
        <w:pStyle w:val="ListParagraph"/>
        <w:numPr>
          <w:ilvl w:val="2"/>
          <w:numId w:val="2"/>
        </w:numPr>
      </w:pPr>
      <w:r>
        <w:t>In the AG II group, the MAP pressure increased rapidly, allowing the angiotensin II dose to be decreased from the original 20 ng per kilogram per minute in 67% of the patients within 30 minutes and permitting decreases in doses of concomitant vasopressors</w:t>
      </w:r>
    </w:p>
    <w:p w14:paraId="73AE1F2F" w14:textId="3F3259C9" w:rsidR="00D72DE0" w:rsidRDefault="00D72DE0" w:rsidP="00E80C73">
      <w:pPr>
        <w:pStyle w:val="ListParagraph"/>
        <w:numPr>
          <w:ilvl w:val="2"/>
          <w:numId w:val="2"/>
        </w:numPr>
      </w:pPr>
      <w:r>
        <w:t>During the first 48 hours, mean doses of background vasopressors were consistently less in the AG II group than in the placebo group</w:t>
      </w:r>
    </w:p>
    <w:p w14:paraId="0A4454B4" w14:textId="471C08DF" w:rsidR="00D72DE0" w:rsidRDefault="00D72DE0" w:rsidP="00E80C73">
      <w:pPr>
        <w:pStyle w:val="ListParagraph"/>
        <w:numPr>
          <w:ilvl w:val="2"/>
          <w:numId w:val="2"/>
        </w:numPr>
      </w:pPr>
      <w:r>
        <w:t>At 48 hours, improvement in the cardiovascular SOFA score was significantly greater in the AG II group than in the placebo group</w:t>
      </w:r>
    </w:p>
    <w:p w14:paraId="572F822D" w14:textId="175ECB6B" w:rsidR="00D72DE0" w:rsidRDefault="00D72DE0" w:rsidP="00D72DE0">
      <w:pPr>
        <w:pStyle w:val="ListParagraph"/>
        <w:numPr>
          <w:ilvl w:val="3"/>
          <w:numId w:val="2"/>
        </w:numPr>
      </w:pPr>
      <w:r>
        <w:t>There were no significant differences in the other SOFA score components</w:t>
      </w:r>
    </w:p>
    <w:p w14:paraId="045144E7" w14:textId="312729E3" w:rsidR="00D72DE0" w:rsidRDefault="00D72DE0" w:rsidP="00D72DE0">
      <w:pPr>
        <w:pStyle w:val="ListParagraph"/>
        <w:numPr>
          <w:ilvl w:val="1"/>
          <w:numId w:val="2"/>
        </w:numPr>
      </w:pPr>
      <w:r>
        <w:t>Safety:</w:t>
      </w:r>
    </w:p>
    <w:p w14:paraId="0403E7F5" w14:textId="605C33D4" w:rsidR="00D72DE0" w:rsidRDefault="00D72DE0" w:rsidP="00D72DE0">
      <w:pPr>
        <w:pStyle w:val="ListParagraph"/>
        <w:numPr>
          <w:ilvl w:val="2"/>
          <w:numId w:val="2"/>
        </w:numPr>
      </w:pPr>
      <w:r>
        <w:t xml:space="preserve">Adverse effects of any grade were reported in 87.1% of patients who received AG II and in 91.8% of the patients who received placebo </w:t>
      </w:r>
    </w:p>
    <w:p w14:paraId="65266316" w14:textId="17FD15B0" w:rsidR="00D72DE0" w:rsidRDefault="00D72DE0" w:rsidP="00D72DE0">
      <w:pPr>
        <w:pStyle w:val="ListParagraph"/>
        <w:numPr>
          <w:ilvl w:val="2"/>
          <w:numId w:val="2"/>
        </w:numPr>
      </w:pPr>
      <w:r>
        <w:t>The most common adverse events leading to discontinuation were similar in the two treatment groups and included septic shock, multiorgan failure, cardiogenic shock, and cardiac arrest</w:t>
      </w:r>
    </w:p>
    <w:p w14:paraId="21B85141" w14:textId="211C55DC" w:rsidR="00D72DE0" w:rsidRDefault="00D72DE0" w:rsidP="00D72DE0">
      <w:pPr>
        <w:pStyle w:val="ListParagraph"/>
        <w:numPr>
          <w:ilvl w:val="2"/>
          <w:numId w:val="2"/>
        </w:numPr>
      </w:pPr>
      <w:r>
        <w:t>Serious adverse events were reported in 60.7% of the patients who received AG II and in 67.1% of the patients who received placebo</w:t>
      </w:r>
    </w:p>
    <w:p w14:paraId="1B3C86E1" w14:textId="75785088" w:rsidR="00D72DE0" w:rsidRDefault="00D72DE0" w:rsidP="00D72DE0">
      <w:pPr>
        <w:pStyle w:val="ListParagraph"/>
        <w:numPr>
          <w:ilvl w:val="2"/>
          <w:numId w:val="2"/>
        </w:numPr>
      </w:pPr>
      <w:r>
        <w:t>No patient died during the initial period of adjustment of the dose of angiotensin II or placebo</w:t>
      </w:r>
    </w:p>
    <w:p w14:paraId="67CC4946" w14:textId="269C8DB6" w:rsidR="00CB16CB" w:rsidRDefault="00CB16CB" w:rsidP="00D72DE0">
      <w:pPr>
        <w:pStyle w:val="ListParagraph"/>
        <w:numPr>
          <w:ilvl w:val="2"/>
          <w:numId w:val="2"/>
        </w:numPr>
      </w:pPr>
      <w:r>
        <w:t>Death from any cause by day 7 occurred in 47 of 163 patients (28.8%) who received AG II and in 55 of 158 (34.8%) who received placebo</w:t>
      </w:r>
    </w:p>
    <w:p w14:paraId="024EE41D" w14:textId="57B15A38" w:rsidR="00CB16CB" w:rsidRDefault="00CB16CB" w:rsidP="00D72DE0">
      <w:pPr>
        <w:pStyle w:val="ListParagraph"/>
        <w:numPr>
          <w:ilvl w:val="2"/>
          <w:numId w:val="2"/>
        </w:numPr>
      </w:pPr>
      <w:r>
        <w:t>Death by day 28 occurred in 75 of 163 (46%) and 85 or 158 (53.8%) of patients in the AG II and placebo groups; results were similar after adjustment for age and sex</w:t>
      </w:r>
    </w:p>
    <w:p w14:paraId="66F1D4BB" w14:textId="77777777" w:rsidR="00CB16CB" w:rsidRDefault="00CB16CB" w:rsidP="00CB16CB"/>
    <w:p w14:paraId="0BECE781" w14:textId="0E6229FF" w:rsidR="00CB16CB" w:rsidRDefault="00CB16CB" w:rsidP="00CB16CB">
      <w:r>
        <w:lastRenderedPageBreak/>
        <w:t>Discussion</w:t>
      </w:r>
    </w:p>
    <w:p w14:paraId="15DC9972" w14:textId="3581B6AE" w:rsidR="00CB16CB" w:rsidRDefault="00967535" w:rsidP="00CB16CB">
      <w:pPr>
        <w:pStyle w:val="ListParagraph"/>
        <w:numPr>
          <w:ilvl w:val="0"/>
          <w:numId w:val="4"/>
        </w:numPr>
      </w:pPr>
      <w:r>
        <w:t>The percentage of patients who met the primary end point with respect to MAP at 3 hours was significantly greater in the AG II group than in the placebo group</w:t>
      </w:r>
    </w:p>
    <w:p w14:paraId="4E5A919F" w14:textId="78A97701" w:rsidR="00967535" w:rsidRDefault="00967535" w:rsidP="00CB16CB">
      <w:pPr>
        <w:pStyle w:val="ListParagraph"/>
        <w:numPr>
          <w:ilvl w:val="0"/>
          <w:numId w:val="4"/>
        </w:numPr>
      </w:pPr>
      <w:r>
        <w:t>Patients who received angiotensin II also had lower requirements for catecholamines than patients who received placebo</w:t>
      </w:r>
    </w:p>
    <w:p w14:paraId="017A5743" w14:textId="2DE48433" w:rsidR="00967535" w:rsidRDefault="00967535" w:rsidP="00CB16CB">
      <w:pPr>
        <w:pStyle w:val="ListParagraph"/>
        <w:numPr>
          <w:ilvl w:val="0"/>
          <w:numId w:val="4"/>
        </w:numPr>
      </w:pPr>
      <w:r>
        <w:t>Angiotensin II was not associated with higher mortality or a greater frequency of cardiovascular and other adverse events than was placebo</w:t>
      </w:r>
    </w:p>
    <w:p w14:paraId="35657A3A" w14:textId="138BF6C2" w:rsidR="00967535" w:rsidRDefault="00967535" w:rsidP="00CB16CB">
      <w:pPr>
        <w:pStyle w:val="ListParagraph"/>
        <w:numPr>
          <w:ilvl w:val="0"/>
          <w:numId w:val="4"/>
        </w:numPr>
      </w:pPr>
      <w:r>
        <w:t xml:space="preserve">Pre-clinical and clinical date have shown that catecholamines, vasopressin, and RAAS hormones are synergistic, and multimodal therapy may leverage this synergy to allow lower doses with potentially fewer toxic </w:t>
      </w:r>
      <w:r w:rsidR="00676F2E">
        <w:t>effects</w:t>
      </w:r>
    </w:p>
    <w:p w14:paraId="1D18D641" w14:textId="756C7BE0" w:rsidR="00967535" w:rsidRDefault="00967535" w:rsidP="00967535">
      <w:r>
        <w:t>Limitations</w:t>
      </w:r>
    </w:p>
    <w:p w14:paraId="6EF48919" w14:textId="615FFF29" w:rsidR="00967535" w:rsidRDefault="00967535" w:rsidP="00967535">
      <w:pPr>
        <w:pStyle w:val="ListParagraph"/>
        <w:numPr>
          <w:ilvl w:val="0"/>
          <w:numId w:val="5"/>
        </w:numPr>
      </w:pPr>
      <w:r>
        <w:t xml:space="preserve">Significant blood-pressure response to angiotensin II which permitted rapid reduction of catecholamine doses in some patients may have allowed treating clinicians to correctly guess the treatment assignment </w:t>
      </w:r>
    </w:p>
    <w:p w14:paraId="57E11568" w14:textId="07144DD8" w:rsidR="00967535" w:rsidRDefault="00967535" w:rsidP="00967535">
      <w:pPr>
        <w:pStyle w:val="ListParagraph"/>
        <w:numPr>
          <w:ilvl w:val="0"/>
          <w:numId w:val="5"/>
        </w:numPr>
      </w:pPr>
      <w:r>
        <w:t>Relative small sample size may have prevented identification of clinically important side effects</w:t>
      </w:r>
    </w:p>
    <w:p w14:paraId="291F2041" w14:textId="6D331B5C" w:rsidR="00967535" w:rsidRDefault="00967535" w:rsidP="00967535">
      <w:pPr>
        <w:pStyle w:val="ListParagraph"/>
        <w:numPr>
          <w:ilvl w:val="0"/>
          <w:numId w:val="5"/>
        </w:numPr>
      </w:pPr>
      <w:r>
        <w:t xml:space="preserve">The study was not powered to detect mortality effects </w:t>
      </w:r>
    </w:p>
    <w:p w14:paraId="0738ACBE" w14:textId="20AA60EF" w:rsidR="00967535" w:rsidRDefault="00967535" w:rsidP="00967535">
      <w:pPr>
        <w:pStyle w:val="ListParagraph"/>
        <w:numPr>
          <w:ilvl w:val="0"/>
          <w:numId w:val="5"/>
        </w:numPr>
      </w:pPr>
      <w:r>
        <w:t>Follow up at 28 days was limited which prevented identified of either beneficial or harmful long-term effects of AG II therapy</w:t>
      </w:r>
    </w:p>
    <w:p w14:paraId="3EF86401" w14:textId="19F1B941" w:rsidR="00967535" w:rsidRDefault="00967535" w:rsidP="00967535">
      <w:r>
        <w:t>Conclusion</w:t>
      </w:r>
    </w:p>
    <w:p w14:paraId="23B2A2A4" w14:textId="1EC027EB" w:rsidR="00967535" w:rsidRDefault="00967535" w:rsidP="00967535">
      <w:pPr>
        <w:pStyle w:val="ListParagraph"/>
        <w:numPr>
          <w:ilvl w:val="0"/>
          <w:numId w:val="6"/>
        </w:numPr>
      </w:pPr>
      <w:r>
        <w:t>Angiotensin II administered IV increased blood pressure and allowed catecholamine dose reductions in patients with vasodilatory shock who were receiving high-dose vasopressors</w:t>
      </w:r>
    </w:p>
    <w:p w14:paraId="25310BA2" w14:textId="77777777" w:rsidR="00CB16CB" w:rsidRDefault="00CB16CB" w:rsidP="00CB16CB"/>
    <w:p w14:paraId="34F91C8B" w14:textId="77777777" w:rsidR="00CB16CB" w:rsidRDefault="00CB16CB" w:rsidP="00CB16CB"/>
    <w:sectPr w:rsidR="00CB16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222A2"/>
    <w:multiLevelType w:val="hybridMultilevel"/>
    <w:tmpl w:val="B566B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8C1D41"/>
    <w:multiLevelType w:val="hybridMultilevel"/>
    <w:tmpl w:val="FB42A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7244F2"/>
    <w:multiLevelType w:val="hybridMultilevel"/>
    <w:tmpl w:val="8CB44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70249"/>
    <w:multiLevelType w:val="hybridMultilevel"/>
    <w:tmpl w:val="9856C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D05B35"/>
    <w:multiLevelType w:val="hybridMultilevel"/>
    <w:tmpl w:val="79B80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290F99"/>
    <w:multiLevelType w:val="hybridMultilevel"/>
    <w:tmpl w:val="0394B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0775018">
    <w:abstractNumId w:val="4"/>
  </w:num>
  <w:num w:numId="2" w16cid:durableId="577440484">
    <w:abstractNumId w:val="5"/>
  </w:num>
  <w:num w:numId="3" w16cid:durableId="854727569">
    <w:abstractNumId w:val="3"/>
  </w:num>
  <w:num w:numId="4" w16cid:durableId="1768960317">
    <w:abstractNumId w:val="1"/>
  </w:num>
  <w:num w:numId="5" w16cid:durableId="1835295844">
    <w:abstractNumId w:val="0"/>
  </w:num>
  <w:num w:numId="6" w16cid:durableId="1265525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239"/>
    <w:rsid w:val="00197850"/>
    <w:rsid w:val="002F4239"/>
    <w:rsid w:val="003516D0"/>
    <w:rsid w:val="00365317"/>
    <w:rsid w:val="003C1A8B"/>
    <w:rsid w:val="00423B3D"/>
    <w:rsid w:val="004F0BA7"/>
    <w:rsid w:val="00676F2E"/>
    <w:rsid w:val="00885E3C"/>
    <w:rsid w:val="00967535"/>
    <w:rsid w:val="00CB16CB"/>
    <w:rsid w:val="00CD47AA"/>
    <w:rsid w:val="00D31E52"/>
    <w:rsid w:val="00D56BE0"/>
    <w:rsid w:val="00D72DE0"/>
    <w:rsid w:val="00E80C73"/>
    <w:rsid w:val="00F96B0F"/>
    <w:rsid w:val="00FA2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EE30C"/>
  <w15:chartTrackingRefBased/>
  <w15:docId w15:val="{67E074E1-6B83-4D78-88F7-C1A885066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42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404</TotalTime>
  <Pages>4</Pages>
  <Words>1356</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 Service</dc:creator>
  <cp:keywords/>
  <dc:description/>
  <cp:lastModifiedBy>Mail Service</cp:lastModifiedBy>
  <cp:revision>7</cp:revision>
  <dcterms:created xsi:type="dcterms:W3CDTF">2023-04-12T11:51:00Z</dcterms:created>
  <dcterms:modified xsi:type="dcterms:W3CDTF">2023-04-14T18:08:00Z</dcterms:modified>
</cp:coreProperties>
</file>