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B920" w14:textId="77777777" w:rsidR="00814D2B" w:rsidRPr="00814D2B" w:rsidRDefault="00814D2B" w:rsidP="00814D2B">
      <w:pPr>
        <w:spacing w:after="100" w:afterAutospacing="1" w:line="240" w:lineRule="auto"/>
        <w:outlineLvl w:val="0"/>
        <w:rPr>
          <w:rFonts w:ascii="Arial" w:eastAsia="Times New Roman" w:hAnsi="Arial" w:cs="Arial"/>
          <w:b/>
          <w:bCs/>
          <w:color w:val="000000"/>
          <w:kern w:val="36"/>
        </w:rPr>
      </w:pPr>
      <w:r w:rsidRPr="00814D2B">
        <w:rPr>
          <w:rFonts w:ascii="Arial" w:eastAsia="Times New Roman" w:hAnsi="Arial" w:cs="Arial"/>
          <w:b/>
          <w:bCs/>
          <w:color w:val="000000"/>
          <w:kern w:val="36"/>
        </w:rPr>
        <w:t>Evaluation of diagnostic and prognostic usefulness of abdominal ultrasonography in dogs with clinical signs of acute pancreatitis</w:t>
      </w:r>
    </w:p>
    <w:p w14:paraId="6A8FB333"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Eleonora Gori DVM, PhD</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Alessio </w:t>
      </w:r>
      <w:proofErr w:type="spellStart"/>
      <w:r w:rsidRPr="00814D2B">
        <w:rPr>
          <w:rFonts w:ascii="Arial" w:eastAsia="Times New Roman" w:hAnsi="Arial" w:cs="Arial"/>
          <w:color w:val="000000"/>
          <w:sz w:val="20"/>
          <w:szCs w:val="20"/>
        </w:rPr>
        <w:t>Pierini</w:t>
      </w:r>
      <w:proofErr w:type="spellEnd"/>
      <w:r w:rsidRPr="00814D2B">
        <w:rPr>
          <w:rFonts w:ascii="Arial" w:eastAsia="Times New Roman" w:hAnsi="Arial" w:cs="Arial"/>
          <w:color w:val="000000"/>
          <w:sz w:val="20"/>
          <w:szCs w:val="20"/>
        </w:rPr>
        <w:t> DVM, PhD</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Ilaria Lippi DVM, PhD</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Simonetta Citi DVM, PhD</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Tommaso </w:t>
      </w:r>
      <w:proofErr w:type="spellStart"/>
      <w:r w:rsidRPr="00814D2B">
        <w:rPr>
          <w:rFonts w:ascii="Arial" w:eastAsia="Times New Roman" w:hAnsi="Arial" w:cs="Arial"/>
          <w:color w:val="000000"/>
          <w:sz w:val="20"/>
          <w:szCs w:val="20"/>
        </w:rPr>
        <w:t>Mannucci</w:t>
      </w:r>
      <w:proofErr w:type="spellEnd"/>
      <w:r w:rsidRPr="00814D2B">
        <w:rPr>
          <w:rFonts w:ascii="Arial" w:eastAsia="Times New Roman" w:hAnsi="Arial" w:cs="Arial"/>
          <w:color w:val="000000"/>
          <w:sz w:val="20"/>
          <w:szCs w:val="20"/>
        </w:rPr>
        <w:t> DVM, PhD</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and Veronica Marchetti DVM, PhD</w:t>
      </w:r>
      <w:r w:rsidRPr="00814D2B">
        <w:rPr>
          <w:rFonts w:ascii="Arial" w:eastAsia="Times New Roman" w:hAnsi="Arial" w:cs="Arial"/>
          <w:color w:val="000000"/>
          <w:sz w:val="20"/>
          <w:szCs w:val="20"/>
          <w:vertAlign w:val="superscript"/>
        </w:rPr>
        <w:t>1</w:t>
      </w:r>
    </w:p>
    <w:p w14:paraId="51103334" w14:textId="454CAC90" w:rsidR="00814D2B" w:rsidRPr="00814D2B" w:rsidRDefault="00814D2B" w:rsidP="00814D2B">
      <w:pPr>
        <w:spacing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xml:space="preserve">Department of Veterinary Sciences, University of Pisa, 56122 Pisa, Italy. (Gori, </w:t>
      </w:r>
      <w:proofErr w:type="spellStart"/>
      <w:r w:rsidRPr="00814D2B">
        <w:rPr>
          <w:rFonts w:ascii="Arial" w:eastAsia="Times New Roman" w:hAnsi="Arial" w:cs="Arial"/>
          <w:color w:val="000000"/>
          <w:sz w:val="20"/>
          <w:szCs w:val="20"/>
        </w:rPr>
        <w:t>Pierini</w:t>
      </w:r>
      <w:proofErr w:type="spellEnd"/>
      <w:r w:rsidRPr="00814D2B">
        <w:rPr>
          <w:rFonts w:ascii="Arial" w:eastAsia="Times New Roman" w:hAnsi="Arial" w:cs="Arial"/>
          <w:color w:val="000000"/>
          <w:sz w:val="20"/>
          <w:szCs w:val="20"/>
        </w:rPr>
        <w:t xml:space="preserve">, Lippi, Citi, </w:t>
      </w:r>
      <w:proofErr w:type="spellStart"/>
      <w:r w:rsidRPr="00814D2B">
        <w:rPr>
          <w:rFonts w:ascii="Arial" w:eastAsia="Times New Roman" w:hAnsi="Arial" w:cs="Arial"/>
          <w:color w:val="000000"/>
          <w:sz w:val="20"/>
          <w:szCs w:val="20"/>
        </w:rPr>
        <w:t>Mannucci</w:t>
      </w:r>
      <w:proofErr w:type="spellEnd"/>
      <w:r w:rsidRPr="00814D2B">
        <w:rPr>
          <w:rFonts w:ascii="Arial" w:eastAsia="Times New Roman" w:hAnsi="Arial" w:cs="Arial"/>
          <w:color w:val="000000"/>
          <w:sz w:val="20"/>
          <w:szCs w:val="20"/>
        </w:rPr>
        <w:t>, Marchetti)</w:t>
      </w:r>
      <w:bookmarkStart w:id="0" w:name="abstract"/>
      <w:bookmarkEnd w:id="0"/>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2890AB6E" w14:textId="77777777" w:rsidTr="00814D2B">
        <w:trPr>
          <w:tblCellSpacing w:w="0" w:type="dxa"/>
        </w:trPr>
        <w:tc>
          <w:tcPr>
            <w:tcW w:w="4750" w:type="pct"/>
            <w:shd w:val="clear" w:color="auto" w:fill="E1E1E1"/>
            <w:vAlign w:val="center"/>
            <w:hideMark/>
          </w:tcPr>
          <w:p w14:paraId="75891FAA"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ABSTRACT</w:t>
            </w:r>
          </w:p>
        </w:tc>
      </w:tr>
    </w:tbl>
    <w:p w14:paraId="510D5960" w14:textId="77777777" w:rsidR="00814D2B" w:rsidRPr="00814D2B" w:rsidRDefault="00814D2B" w:rsidP="00814D2B">
      <w:pPr>
        <w:spacing w:after="0" w:line="240" w:lineRule="auto"/>
        <w:rPr>
          <w:rFonts w:ascii="Arial" w:eastAsia="Times New Roman" w:hAnsi="Arial" w:cs="Arial"/>
          <w:color w:val="000000"/>
          <w:sz w:val="20"/>
          <w:szCs w:val="20"/>
        </w:rPr>
      </w:pPr>
      <w:bookmarkStart w:id="1" w:name="_i1"/>
      <w:bookmarkEnd w:id="1"/>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65E836D9" w14:textId="77777777" w:rsidTr="00814D2B">
        <w:trPr>
          <w:tblCellSpacing w:w="0" w:type="dxa"/>
        </w:trPr>
        <w:tc>
          <w:tcPr>
            <w:tcW w:w="4750" w:type="pct"/>
            <w:shd w:val="clear" w:color="auto" w:fill="E1E1E1"/>
            <w:vAlign w:val="center"/>
            <w:hideMark/>
          </w:tcPr>
          <w:p w14:paraId="082A9D7B"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OBJECTIVE</w:t>
            </w:r>
          </w:p>
        </w:tc>
      </w:tr>
    </w:tbl>
    <w:p w14:paraId="188D0165"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To report abdominal ultrasonography (AUS) findings in dogs with clinical signs of acute pancreatitis (AP) during the first 2 days of hospitalization and to compare AUS findings with severity of disease and mortality rate.</w:t>
      </w:r>
    </w:p>
    <w:p w14:paraId="747B3C01" w14:textId="77777777" w:rsidR="00814D2B" w:rsidRPr="00814D2B" w:rsidRDefault="00814D2B" w:rsidP="00814D2B">
      <w:pPr>
        <w:spacing w:after="0" w:line="240" w:lineRule="auto"/>
        <w:rPr>
          <w:rFonts w:ascii="Arial" w:eastAsia="Times New Roman" w:hAnsi="Arial" w:cs="Arial"/>
          <w:color w:val="000000"/>
          <w:sz w:val="20"/>
          <w:szCs w:val="20"/>
        </w:rPr>
      </w:pPr>
      <w:bookmarkStart w:id="2" w:name="_i2"/>
      <w:bookmarkEnd w:id="2"/>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17E047BD" w14:textId="77777777" w:rsidTr="00814D2B">
        <w:trPr>
          <w:tblCellSpacing w:w="0" w:type="dxa"/>
        </w:trPr>
        <w:tc>
          <w:tcPr>
            <w:tcW w:w="4750" w:type="pct"/>
            <w:shd w:val="clear" w:color="auto" w:fill="E1E1E1"/>
            <w:vAlign w:val="center"/>
            <w:hideMark/>
          </w:tcPr>
          <w:p w14:paraId="36B9FB09"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ANIMALS</w:t>
            </w:r>
          </w:p>
        </w:tc>
      </w:tr>
    </w:tbl>
    <w:p w14:paraId="122CCB5F"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37 client-owned dogs with clinical signs of AP.</w:t>
      </w:r>
    </w:p>
    <w:p w14:paraId="5B82A758" w14:textId="77777777" w:rsidR="00814D2B" w:rsidRPr="00814D2B" w:rsidRDefault="00814D2B" w:rsidP="00814D2B">
      <w:pPr>
        <w:spacing w:after="0" w:line="240" w:lineRule="auto"/>
        <w:rPr>
          <w:rFonts w:ascii="Arial" w:eastAsia="Times New Roman" w:hAnsi="Arial" w:cs="Arial"/>
          <w:color w:val="000000"/>
          <w:sz w:val="20"/>
          <w:szCs w:val="20"/>
        </w:rPr>
      </w:pPr>
      <w:bookmarkStart w:id="3" w:name="_i3"/>
      <w:bookmarkEnd w:id="3"/>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3A5589AC" w14:textId="77777777" w:rsidTr="00814D2B">
        <w:trPr>
          <w:tblCellSpacing w:w="0" w:type="dxa"/>
        </w:trPr>
        <w:tc>
          <w:tcPr>
            <w:tcW w:w="4750" w:type="pct"/>
            <w:shd w:val="clear" w:color="auto" w:fill="E1E1E1"/>
            <w:vAlign w:val="center"/>
            <w:hideMark/>
          </w:tcPr>
          <w:p w14:paraId="3E5ABEC6"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PROCEDURES</w:t>
            </w:r>
          </w:p>
        </w:tc>
      </w:tr>
    </w:tbl>
    <w:p w14:paraId="7E8F59DB"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Dogs suspected of having AP with complete medical records, AUS examinations performed throughout the first 2 days of hospitalization, and available frozen surplus serum samples for quantitative measurement of canine pancreatic lipase (</w:t>
      </w:r>
      <w:proofErr w:type="spellStart"/>
      <w:r w:rsidRPr="00814D2B">
        <w:rPr>
          <w:rFonts w:ascii="Arial" w:eastAsia="Times New Roman" w:hAnsi="Arial" w:cs="Arial"/>
          <w:color w:val="000000"/>
          <w:sz w:val="20"/>
          <w:szCs w:val="20"/>
        </w:rPr>
        <w:t>cPL</w:t>
      </w:r>
      <w:proofErr w:type="spellEnd"/>
      <w:r w:rsidRPr="00814D2B">
        <w:rPr>
          <w:rFonts w:ascii="Arial" w:eastAsia="Times New Roman" w:hAnsi="Arial" w:cs="Arial"/>
          <w:color w:val="000000"/>
          <w:sz w:val="20"/>
          <w:szCs w:val="20"/>
        </w:rPr>
        <w:t xml:space="preserve">) concentrations at hospital admission met the criteria for study inclusion. Dogs were grouped as AUS+ or AUS– </w:t>
      </w:r>
      <w:proofErr w:type="gramStart"/>
      <w:r w:rsidRPr="00814D2B">
        <w:rPr>
          <w:rFonts w:ascii="Arial" w:eastAsia="Times New Roman" w:hAnsi="Arial" w:cs="Arial"/>
          <w:color w:val="000000"/>
          <w:sz w:val="20"/>
          <w:szCs w:val="20"/>
        </w:rPr>
        <w:t>on the basis of</w:t>
      </w:r>
      <w:proofErr w:type="gramEnd"/>
      <w:r w:rsidRPr="00814D2B">
        <w:rPr>
          <w:rFonts w:ascii="Arial" w:eastAsia="Times New Roman" w:hAnsi="Arial" w:cs="Arial"/>
          <w:color w:val="000000"/>
          <w:sz w:val="20"/>
          <w:szCs w:val="20"/>
        </w:rPr>
        <w:t xml:space="preserve"> positive or negative findings for AP on AUS, respectively. Abdominal ultrasonography findings of AP were stratified (as mild, moderate, or severe) by use of an AUS severity index, and a canine acute pancreatitis severity score was calculated.</w:t>
      </w:r>
    </w:p>
    <w:p w14:paraId="5C77269C" w14:textId="77777777" w:rsidR="00814D2B" w:rsidRPr="00814D2B" w:rsidRDefault="00814D2B" w:rsidP="00814D2B">
      <w:pPr>
        <w:spacing w:after="0" w:line="240" w:lineRule="auto"/>
        <w:rPr>
          <w:rFonts w:ascii="Arial" w:eastAsia="Times New Roman" w:hAnsi="Arial" w:cs="Arial"/>
          <w:color w:val="000000"/>
          <w:sz w:val="20"/>
          <w:szCs w:val="20"/>
        </w:rPr>
      </w:pPr>
      <w:bookmarkStart w:id="4" w:name="_i4"/>
      <w:bookmarkEnd w:id="4"/>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44F2FF12" w14:textId="77777777" w:rsidTr="00814D2B">
        <w:trPr>
          <w:tblCellSpacing w:w="0" w:type="dxa"/>
        </w:trPr>
        <w:tc>
          <w:tcPr>
            <w:tcW w:w="4750" w:type="pct"/>
            <w:shd w:val="clear" w:color="auto" w:fill="E1E1E1"/>
            <w:vAlign w:val="center"/>
            <w:hideMark/>
          </w:tcPr>
          <w:p w14:paraId="621118D8"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RESULTS</w:t>
            </w:r>
          </w:p>
        </w:tc>
      </w:tr>
    </w:tbl>
    <w:p w14:paraId="39301EE5"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 xml:space="preserve">24 of 37 (64.8%) dogs had AUS findings of AP at hospital admission, whereas 10 had positive findings for AP on AUS within 2 days of hospitalization. Three (8%) dogs were AUS– but had serum </w:t>
      </w:r>
      <w:proofErr w:type="spellStart"/>
      <w:r w:rsidRPr="00814D2B">
        <w:rPr>
          <w:rFonts w:ascii="Arial" w:eastAsia="Times New Roman" w:hAnsi="Arial" w:cs="Arial"/>
          <w:color w:val="000000"/>
          <w:sz w:val="20"/>
          <w:szCs w:val="20"/>
        </w:rPr>
        <w:t>cPL</w:t>
      </w:r>
      <w:proofErr w:type="spellEnd"/>
      <w:r w:rsidRPr="00814D2B">
        <w:rPr>
          <w:rFonts w:ascii="Arial" w:eastAsia="Times New Roman" w:hAnsi="Arial" w:cs="Arial"/>
          <w:color w:val="000000"/>
          <w:sz w:val="20"/>
          <w:szCs w:val="20"/>
        </w:rPr>
        <w:t xml:space="preserve"> concentrations &gt; 400 </w:t>
      </w:r>
      <w:proofErr w:type="spellStart"/>
      <w:r w:rsidRPr="00814D2B">
        <w:rPr>
          <w:rFonts w:ascii="Arial" w:eastAsia="Times New Roman" w:hAnsi="Arial" w:cs="Arial"/>
          <w:color w:val="000000"/>
          <w:sz w:val="20"/>
          <w:szCs w:val="20"/>
        </w:rPr>
        <w:t>μg</w:t>
      </w:r>
      <w:proofErr w:type="spellEnd"/>
      <w:r w:rsidRPr="00814D2B">
        <w:rPr>
          <w:rFonts w:ascii="Arial" w:eastAsia="Times New Roman" w:hAnsi="Arial" w:cs="Arial"/>
          <w:color w:val="000000"/>
          <w:sz w:val="20"/>
          <w:szCs w:val="20"/>
        </w:rPr>
        <w:t>/L (</w:t>
      </w:r>
      <w:proofErr w:type="spellStart"/>
      <w:r w:rsidRPr="00814D2B">
        <w:rPr>
          <w:rFonts w:ascii="Arial" w:eastAsia="Times New Roman" w:hAnsi="Arial" w:cs="Arial"/>
          <w:color w:val="000000"/>
          <w:sz w:val="20"/>
          <w:szCs w:val="20"/>
        </w:rPr>
        <w:t>ie</w:t>
      </w:r>
      <w:proofErr w:type="spellEnd"/>
      <w:r w:rsidRPr="00814D2B">
        <w:rPr>
          <w:rFonts w:ascii="Arial" w:eastAsia="Times New Roman" w:hAnsi="Arial" w:cs="Arial"/>
          <w:color w:val="000000"/>
          <w:sz w:val="20"/>
          <w:szCs w:val="20"/>
        </w:rPr>
        <w:t>, values considered diagnostic for AP). On the AUS severity index, 5 of 34 (14.7%) AUS+ dogs had mild findings, 18 (52.9%) AUS+ dogs had moderate findings, and 11 (32.4%) AUS+ dogs had severe findings. Severe findings were associated with a higher risk of death than mild and moderate findings. A significant association was found between canine acute pancreatitis severity scores and mortality rates.</w:t>
      </w:r>
    </w:p>
    <w:p w14:paraId="061E0A5E" w14:textId="77777777" w:rsidR="00814D2B" w:rsidRPr="00814D2B" w:rsidRDefault="00814D2B" w:rsidP="00814D2B">
      <w:pPr>
        <w:spacing w:after="0" w:line="240" w:lineRule="auto"/>
        <w:rPr>
          <w:rFonts w:ascii="Arial" w:eastAsia="Times New Roman" w:hAnsi="Arial" w:cs="Arial"/>
          <w:color w:val="000000"/>
          <w:sz w:val="20"/>
          <w:szCs w:val="20"/>
        </w:rPr>
      </w:pPr>
      <w:bookmarkStart w:id="5" w:name="_i5"/>
      <w:bookmarkEnd w:id="5"/>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5C8003E2" w14:textId="77777777" w:rsidTr="00814D2B">
        <w:trPr>
          <w:tblCellSpacing w:w="0" w:type="dxa"/>
        </w:trPr>
        <w:tc>
          <w:tcPr>
            <w:tcW w:w="4750" w:type="pct"/>
            <w:shd w:val="clear" w:color="auto" w:fill="E1E1E1"/>
            <w:vAlign w:val="center"/>
            <w:hideMark/>
          </w:tcPr>
          <w:p w14:paraId="49805D16"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CONCLUSIONS AND CLINICAL RELEVANCE</w:t>
            </w:r>
          </w:p>
        </w:tc>
      </w:tr>
    </w:tbl>
    <w:p w14:paraId="3621EEB6"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lastRenderedPageBreak/>
        <w:t xml:space="preserve">For dogs with clinical signs of AP, repeated AUS examinations during hospitalization should be performed, severe findings on the AUS severity index may indicate an increased risk of death, and serum </w:t>
      </w:r>
      <w:proofErr w:type="spellStart"/>
      <w:r w:rsidRPr="00814D2B">
        <w:rPr>
          <w:rFonts w:ascii="Arial" w:eastAsia="Times New Roman" w:hAnsi="Arial" w:cs="Arial"/>
          <w:color w:val="000000"/>
          <w:sz w:val="20"/>
          <w:szCs w:val="20"/>
        </w:rPr>
        <w:t>cPL</w:t>
      </w:r>
      <w:proofErr w:type="spellEnd"/>
      <w:r w:rsidRPr="00814D2B">
        <w:rPr>
          <w:rFonts w:ascii="Arial" w:eastAsia="Times New Roman" w:hAnsi="Arial" w:cs="Arial"/>
          <w:color w:val="000000"/>
          <w:sz w:val="20"/>
          <w:szCs w:val="20"/>
        </w:rPr>
        <w:t xml:space="preserve"> concentrations may increase earlier than findings on AUS of AP.</w:t>
      </w:r>
    </w:p>
    <w:p w14:paraId="4ECF8E63"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Acute pancreatitis is an increasingly commonly recognized disease in dogs. However, the diagnosis of AP in dogs can be challenging as is the establishment of prognostic information. Abdominal ultrasonography is the most commonly used noninvasive imaging method for the diagnosis of AP in dogs,</w:t>
      </w:r>
      <w:hyperlink r:id="rId4" w:history="1">
        <w:r w:rsidRPr="00814D2B">
          <w:rPr>
            <w:rFonts w:ascii="Arial" w:eastAsia="Times New Roman" w:hAnsi="Arial" w:cs="Arial"/>
            <w:color w:val="000000"/>
            <w:sz w:val="20"/>
            <w:szCs w:val="20"/>
            <w:u w:val="single"/>
            <w:vertAlign w:val="superscript"/>
          </w:rPr>
          <w:t>1</w:t>
        </w:r>
      </w:hyperlink>
      <w:r w:rsidRPr="00814D2B">
        <w:rPr>
          <w:rFonts w:ascii="Arial" w:eastAsia="Times New Roman" w:hAnsi="Arial" w:cs="Arial"/>
          <w:color w:val="000000"/>
          <w:sz w:val="20"/>
          <w:szCs w:val="20"/>
        </w:rPr>
        <w:t> although other diagnostic methods are available (</w:t>
      </w:r>
      <w:proofErr w:type="spellStart"/>
      <w:r w:rsidRPr="00814D2B">
        <w:rPr>
          <w:rFonts w:ascii="Arial" w:eastAsia="Times New Roman" w:hAnsi="Arial" w:cs="Arial"/>
          <w:color w:val="000000"/>
          <w:sz w:val="20"/>
          <w:szCs w:val="20"/>
        </w:rPr>
        <w:t>eg</w:t>
      </w:r>
      <w:proofErr w:type="spellEnd"/>
      <w:r w:rsidRPr="00814D2B">
        <w:rPr>
          <w:rFonts w:ascii="Arial" w:eastAsia="Times New Roman" w:hAnsi="Arial" w:cs="Arial"/>
          <w:color w:val="000000"/>
          <w:sz w:val="20"/>
          <w:szCs w:val="20"/>
        </w:rPr>
        <w:t>, CT).</w:t>
      </w:r>
      <w:hyperlink r:id="rId5" w:history="1">
        <w:r w:rsidRPr="00814D2B">
          <w:rPr>
            <w:rFonts w:ascii="Arial" w:eastAsia="Times New Roman" w:hAnsi="Arial" w:cs="Arial"/>
            <w:color w:val="000000"/>
            <w:sz w:val="20"/>
            <w:szCs w:val="20"/>
            <w:u w:val="single"/>
            <w:vertAlign w:val="superscript"/>
          </w:rPr>
          <w:t>2,3</w:t>
        </w:r>
      </w:hyperlink>
      <w:r w:rsidRPr="00814D2B">
        <w:rPr>
          <w:rFonts w:ascii="Arial" w:eastAsia="Times New Roman" w:hAnsi="Arial" w:cs="Arial"/>
          <w:color w:val="000000"/>
          <w:sz w:val="20"/>
          <w:szCs w:val="20"/>
        </w:rPr>
        <w:t> The use of AUS is also useful to rule out diseases that can mimic the clinical signs of AP or diseases potentially linked to AP (</w:t>
      </w:r>
      <w:proofErr w:type="spellStart"/>
      <w:r w:rsidRPr="00814D2B">
        <w:rPr>
          <w:rFonts w:ascii="Arial" w:eastAsia="Times New Roman" w:hAnsi="Arial" w:cs="Arial"/>
          <w:color w:val="000000"/>
          <w:sz w:val="20"/>
          <w:szCs w:val="20"/>
        </w:rPr>
        <w:t>eg</w:t>
      </w:r>
      <w:proofErr w:type="spellEnd"/>
      <w:r w:rsidRPr="00814D2B">
        <w:rPr>
          <w:rFonts w:ascii="Arial" w:eastAsia="Times New Roman" w:hAnsi="Arial" w:cs="Arial"/>
          <w:color w:val="000000"/>
          <w:sz w:val="20"/>
          <w:szCs w:val="20"/>
        </w:rPr>
        <w:t>, duodenum foreign bodies, septic peritonitis, or biliary tract obstruction).</w:t>
      </w:r>
      <w:hyperlink r:id="rId6" w:history="1">
        <w:r w:rsidRPr="00814D2B">
          <w:rPr>
            <w:rFonts w:ascii="Arial" w:eastAsia="Times New Roman" w:hAnsi="Arial" w:cs="Arial"/>
            <w:color w:val="000000"/>
            <w:sz w:val="20"/>
            <w:szCs w:val="20"/>
            <w:u w:val="single"/>
            <w:vertAlign w:val="superscript"/>
          </w:rPr>
          <w:t>1,4,5</w:t>
        </w:r>
      </w:hyperlink>
      <w:r w:rsidRPr="00814D2B">
        <w:rPr>
          <w:rFonts w:ascii="Arial" w:eastAsia="Times New Roman" w:hAnsi="Arial" w:cs="Arial"/>
          <w:color w:val="000000"/>
          <w:sz w:val="20"/>
          <w:szCs w:val="20"/>
        </w:rPr>
        <w:t> Despite veterinarians' perceptions regarding the usefulness of AUS, to the authors' knowledge, more recent data regarding the diagnostic and potentially prognostic role of AUS in AP of dogs is lacking.</w:t>
      </w:r>
    </w:p>
    <w:p w14:paraId="0B9656BE" w14:textId="2984FC36" w:rsid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The purposes of the study presented here were to report AUS findings in dogs with clinical signs of AP during the first 2 days of hospitalization and to compare AUS findings with severity of disease and mortality rate. We hypothesized that, in dogs with clinical signs of AP, AUS findings of AP may not be present at hospital admission, but they may develop later during hospitalization. Second, we hypothesized that severe AP in dogs may be associated with more severe AUS changes and higher mortality rates, compared with milder AP in dogs.</w:t>
      </w:r>
    </w:p>
    <w:p w14:paraId="6DCC6CAB" w14:textId="184C94DA" w:rsidR="00814D2B" w:rsidRDefault="00814D2B" w:rsidP="00814D2B">
      <w:pPr>
        <w:spacing w:before="100" w:beforeAutospacing="1" w:after="100" w:afterAutospacing="1" w:line="240" w:lineRule="auto"/>
        <w:rPr>
          <w:rFonts w:ascii="Arial" w:eastAsia="Times New Roman" w:hAnsi="Arial" w:cs="Arial"/>
          <w:color w:val="000000"/>
          <w:sz w:val="20"/>
          <w:szCs w:val="20"/>
        </w:rPr>
      </w:pPr>
    </w:p>
    <w:p w14:paraId="6D58123A"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76390EFC"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6A74C37F"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7B211A56"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501E944C"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766DE5D9"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3350C43B"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4F6296DD"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541F4248"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52099F46"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11D0B3AF"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6089442E"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43B7E0A1"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7FFB9ED7" w14:textId="77777777" w:rsidR="00814D2B" w:rsidRDefault="00814D2B" w:rsidP="00814D2B">
      <w:pPr>
        <w:spacing w:after="100" w:afterAutospacing="1" w:line="240" w:lineRule="auto"/>
        <w:outlineLvl w:val="0"/>
        <w:rPr>
          <w:rFonts w:ascii="Arial" w:eastAsia="Times New Roman" w:hAnsi="Arial" w:cs="Arial"/>
          <w:b/>
          <w:bCs/>
          <w:color w:val="000000"/>
          <w:kern w:val="36"/>
        </w:rPr>
      </w:pPr>
    </w:p>
    <w:p w14:paraId="4E8E3818" w14:textId="003157A2" w:rsidR="00814D2B" w:rsidRPr="00814D2B" w:rsidRDefault="00814D2B" w:rsidP="00814D2B">
      <w:pPr>
        <w:spacing w:after="100" w:afterAutospacing="1" w:line="240" w:lineRule="auto"/>
        <w:outlineLvl w:val="0"/>
        <w:rPr>
          <w:rFonts w:ascii="Arial" w:eastAsia="Times New Roman" w:hAnsi="Arial" w:cs="Arial"/>
          <w:b/>
          <w:bCs/>
          <w:color w:val="000000"/>
          <w:kern w:val="36"/>
        </w:rPr>
      </w:pPr>
      <w:r w:rsidRPr="00814D2B">
        <w:rPr>
          <w:rFonts w:ascii="Arial" w:eastAsia="Times New Roman" w:hAnsi="Arial" w:cs="Arial"/>
          <w:b/>
          <w:bCs/>
          <w:color w:val="000000"/>
          <w:kern w:val="36"/>
        </w:rPr>
        <w:lastRenderedPageBreak/>
        <w:t>Evaluation of subcutaneous versus intravenous administration of apomorphine for induction of emesis in dogs</w:t>
      </w:r>
    </w:p>
    <w:p w14:paraId="410AD38D"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Christiana Fischer VMD; Kenneth J. </w:t>
      </w:r>
      <w:proofErr w:type="spellStart"/>
      <w:r w:rsidRPr="00814D2B">
        <w:rPr>
          <w:rFonts w:ascii="Arial" w:eastAsia="Times New Roman" w:hAnsi="Arial" w:cs="Arial"/>
          <w:color w:val="000000"/>
          <w:sz w:val="20"/>
          <w:szCs w:val="20"/>
        </w:rPr>
        <w:t>Drobatz</w:t>
      </w:r>
      <w:proofErr w:type="spellEnd"/>
      <w:r w:rsidRPr="00814D2B">
        <w:rPr>
          <w:rFonts w:ascii="Arial" w:eastAsia="Times New Roman" w:hAnsi="Arial" w:cs="Arial"/>
          <w:color w:val="000000"/>
          <w:sz w:val="20"/>
          <w:szCs w:val="20"/>
        </w:rPr>
        <w:t> DVM, MSCE and Vincent J. </w:t>
      </w:r>
      <w:proofErr w:type="spellStart"/>
      <w:r w:rsidRPr="00814D2B">
        <w:rPr>
          <w:rFonts w:ascii="Arial" w:eastAsia="Times New Roman" w:hAnsi="Arial" w:cs="Arial"/>
          <w:color w:val="000000"/>
          <w:sz w:val="20"/>
          <w:szCs w:val="20"/>
        </w:rPr>
        <w:t>Thawley</w:t>
      </w:r>
      <w:proofErr w:type="spellEnd"/>
      <w:r w:rsidRPr="00814D2B">
        <w:rPr>
          <w:rFonts w:ascii="Arial" w:eastAsia="Times New Roman" w:hAnsi="Arial" w:cs="Arial"/>
          <w:color w:val="000000"/>
          <w:sz w:val="20"/>
          <w:szCs w:val="20"/>
        </w:rPr>
        <w:t> VMD</w:t>
      </w:r>
    </w:p>
    <w:p w14:paraId="5762921A" w14:textId="77777777" w:rsidR="00814D2B" w:rsidRPr="00814D2B" w:rsidRDefault="00814D2B" w:rsidP="00814D2B">
      <w:pPr>
        <w:spacing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Department of Clinical Studies and Advanced Medicine, School of Veterinary Medicine, University of Pennsylvania, Philadelphia, PA 19104. ()</w:t>
      </w:r>
    </w:p>
    <w:p w14:paraId="7B8BCD07"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Address correspondence to Dr. Fischer (</w:t>
      </w:r>
      <w:hyperlink r:id="rId7" w:history="1">
        <w:r w:rsidRPr="00814D2B">
          <w:rPr>
            <w:rFonts w:ascii="Arial" w:eastAsia="Times New Roman" w:hAnsi="Arial" w:cs="Arial"/>
            <w:color w:val="000000"/>
            <w:sz w:val="20"/>
            <w:szCs w:val="20"/>
            <w:u w:val="single"/>
          </w:rPr>
          <w:t>chrissyfischer5@gmail.com</w:t>
        </w:r>
      </w:hyperlink>
      <w:r w:rsidRPr="00814D2B">
        <w:rPr>
          <w:rFonts w:ascii="Arial" w:eastAsia="Times New Roman" w:hAnsi="Arial" w:cs="Arial"/>
          <w:color w:val="000000"/>
          <w:sz w:val="20"/>
          <w:szCs w:val="20"/>
        </w:rPr>
        <w:t>).</w:t>
      </w:r>
    </w:p>
    <w:p w14:paraId="3D4580BA"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6D3BDC29" w14:textId="77777777" w:rsidTr="00814D2B">
        <w:trPr>
          <w:tblCellSpacing w:w="0" w:type="dxa"/>
        </w:trPr>
        <w:tc>
          <w:tcPr>
            <w:tcW w:w="4750" w:type="pct"/>
            <w:shd w:val="clear" w:color="auto" w:fill="E1E1E1"/>
            <w:vAlign w:val="center"/>
            <w:hideMark/>
          </w:tcPr>
          <w:p w14:paraId="2E682ABA"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OBJECTIVE</w:t>
            </w:r>
          </w:p>
        </w:tc>
      </w:tr>
    </w:tbl>
    <w:p w14:paraId="2C7A12BF"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To prospectively compare the effectiveness and any adverse effects of apomorphine administered SC or IV for induction of emesis in dogs.</w:t>
      </w:r>
    </w:p>
    <w:p w14:paraId="622DFAFB"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0C5B6772" w14:textId="77777777" w:rsidTr="00814D2B">
        <w:trPr>
          <w:tblCellSpacing w:w="0" w:type="dxa"/>
        </w:trPr>
        <w:tc>
          <w:tcPr>
            <w:tcW w:w="4750" w:type="pct"/>
            <w:shd w:val="clear" w:color="auto" w:fill="E1E1E1"/>
            <w:vAlign w:val="center"/>
            <w:hideMark/>
          </w:tcPr>
          <w:p w14:paraId="190267F8"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ANIMALS</w:t>
            </w:r>
          </w:p>
        </w:tc>
      </w:tr>
    </w:tbl>
    <w:p w14:paraId="299C256E"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42 client-owned dogs.</w:t>
      </w:r>
    </w:p>
    <w:p w14:paraId="6654BC75"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2727E7EC" w14:textId="77777777" w:rsidTr="00814D2B">
        <w:trPr>
          <w:tblCellSpacing w:w="0" w:type="dxa"/>
        </w:trPr>
        <w:tc>
          <w:tcPr>
            <w:tcW w:w="4750" w:type="pct"/>
            <w:shd w:val="clear" w:color="auto" w:fill="E1E1E1"/>
            <w:vAlign w:val="center"/>
            <w:hideMark/>
          </w:tcPr>
          <w:p w14:paraId="5BCEC9FD"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PROCEDURES</w:t>
            </w:r>
          </w:p>
        </w:tc>
      </w:tr>
    </w:tbl>
    <w:p w14:paraId="40F9099F"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Dogs for which emesis induction was deemed appropriate by the attending clinician were prospectively randomized to receive apomorphine (0.03 mg/kg [0.01 mg/</w:t>
      </w:r>
      <w:proofErr w:type="spellStart"/>
      <w:r w:rsidRPr="00814D2B">
        <w:rPr>
          <w:rFonts w:ascii="Arial" w:eastAsia="Times New Roman" w:hAnsi="Arial" w:cs="Arial"/>
          <w:color w:val="000000"/>
          <w:sz w:val="20"/>
          <w:szCs w:val="20"/>
        </w:rPr>
        <w:t>lb</w:t>
      </w:r>
      <w:proofErr w:type="spellEnd"/>
      <w:r w:rsidRPr="00814D2B">
        <w:rPr>
          <w:rFonts w:ascii="Arial" w:eastAsia="Times New Roman" w:hAnsi="Arial" w:cs="Arial"/>
          <w:color w:val="000000"/>
          <w:sz w:val="20"/>
          <w:szCs w:val="20"/>
        </w:rPr>
        <w:t>]) either SC (n = 20) or IV (22). Data collected included whether emesis was successfully induced, time from drug administration to emesis, number of emetic events, and adverse events (</w:t>
      </w:r>
      <w:proofErr w:type="spellStart"/>
      <w:r w:rsidRPr="00814D2B">
        <w:rPr>
          <w:rFonts w:ascii="Arial" w:eastAsia="Times New Roman" w:hAnsi="Arial" w:cs="Arial"/>
          <w:color w:val="000000"/>
          <w:sz w:val="20"/>
          <w:szCs w:val="20"/>
        </w:rPr>
        <w:t>eg</w:t>
      </w:r>
      <w:proofErr w:type="spellEnd"/>
      <w:r w:rsidRPr="00814D2B">
        <w:rPr>
          <w:rFonts w:ascii="Arial" w:eastAsia="Times New Roman" w:hAnsi="Arial" w:cs="Arial"/>
          <w:color w:val="000000"/>
          <w:sz w:val="20"/>
          <w:szCs w:val="20"/>
        </w:rPr>
        <w:t>, sedation, protracted vomiting, or other).</w:t>
      </w:r>
    </w:p>
    <w:p w14:paraId="2CF2FE24"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56F26CF3" w14:textId="77777777" w:rsidTr="00814D2B">
        <w:trPr>
          <w:tblCellSpacing w:w="0" w:type="dxa"/>
        </w:trPr>
        <w:tc>
          <w:tcPr>
            <w:tcW w:w="4750" w:type="pct"/>
            <w:shd w:val="clear" w:color="auto" w:fill="E1E1E1"/>
            <w:vAlign w:val="center"/>
            <w:hideMark/>
          </w:tcPr>
          <w:p w14:paraId="010C7BB5"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RESULTS</w:t>
            </w:r>
          </w:p>
        </w:tc>
      </w:tr>
    </w:tbl>
    <w:p w14:paraId="2D4A87D6"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 xml:space="preserve">Of the 20 dogs given apomorphine SC, 16 (80%) vomited. Of the 22 dogs given apomorphine IV, 18 (82%) vomited. </w:t>
      </w:r>
      <w:proofErr w:type="gramStart"/>
      <w:r w:rsidRPr="00814D2B">
        <w:rPr>
          <w:rFonts w:ascii="Arial" w:eastAsia="Times New Roman" w:hAnsi="Arial" w:cs="Arial"/>
          <w:color w:val="000000"/>
          <w:sz w:val="20"/>
          <w:szCs w:val="20"/>
        </w:rPr>
        <w:t>With regard to</w:t>
      </w:r>
      <w:proofErr w:type="gramEnd"/>
      <w:r w:rsidRPr="00814D2B">
        <w:rPr>
          <w:rFonts w:ascii="Arial" w:eastAsia="Times New Roman" w:hAnsi="Arial" w:cs="Arial"/>
          <w:color w:val="000000"/>
          <w:sz w:val="20"/>
          <w:szCs w:val="20"/>
        </w:rPr>
        <w:t xml:space="preserve"> route of administration, the number of dogs in which emesis was induced did not differ significantly. Median time to the first emetic event was 13.5 minutes (range, 3 to 32 minutes) in the SC treatment group and 2 minutes (range, 1 to 5 minutes) in the IV treatment group; the difference was significant. There was no significant difference in the number of emetic events or frequency of adverse events between the 2 groups.</w:t>
      </w:r>
    </w:p>
    <w:p w14:paraId="1F49EEB7"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293CBA58" w14:textId="77777777" w:rsidTr="00814D2B">
        <w:trPr>
          <w:tblCellSpacing w:w="0" w:type="dxa"/>
        </w:trPr>
        <w:tc>
          <w:tcPr>
            <w:tcW w:w="4750" w:type="pct"/>
            <w:shd w:val="clear" w:color="auto" w:fill="E1E1E1"/>
            <w:vAlign w:val="center"/>
            <w:hideMark/>
          </w:tcPr>
          <w:p w14:paraId="7257B161"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CONCLUSIONS AND CLINICAL RELEVANCE</w:t>
            </w:r>
          </w:p>
        </w:tc>
      </w:tr>
    </w:tbl>
    <w:p w14:paraId="19C58F39"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Apomorphine administered SC or IV reliably induced emesis in dogs. Compared with SC administration of apomorphine, the time from drug administration to emesis associated with IV administration was significantly shorter, a finding that has clinical importance.</w:t>
      </w:r>
    </w:p>
    <w:p w14:paraId="4CF72D03" w14:textId="730998C3" w:rsidR="00814D2B" w:rsidRDefault="00814D2B" w:rsidP="00814D2B">
      <w:pPr>
        <w:spacing w:before="100" w:beforeAutospacing="1" w:after="100" w:afterAutospacing="1" w:line="240" w:lineRule="auto"/>
        <w:rPr>
          <w:rFonts w:ascii="Arial" w:eastAsia="Times New Roman" w:hAnsi="Arial" w:cs="Arial"/>
          <w:color w:val="000000"/>
          <w:sz w:val="20"/>
          <w:szCs w:val="20"/>
        </w:rPr>
      </w:pPr>
    </w:p>
    <w:p w14:paraId="52366667" w14:textId="0C03571C" w:rsidR="00814D2B" w:rsidRDefault="00814D2B" w:rsidP="00814D2B">
      <w:pPr>
        <w:spacing w:before="100" w:beforeAutospacing="1" w:after="100" w:afterAutospacing="1" w:line="240" w:lineRule="auto"/>
        <w:rPr>
          <w:rFonts w:ascii="Arial" w:eastAsia="Times New Roman" w:hAnsi="Arial" w:cs="Arial"/>
          <w:color w:val="000000"/>
          <w:sz w:val="20"/>
          <w:szCs w:val="20"/>
        </w:rPr>
      </w:pPr>
    </w:p>
    <w:p w14:paraId="0421C322" w14:textId="77777777" w:rsidR="00814D2B" w:rsidRPr="00814D2B" w:rsidRDefault="00814D2B" w:rsidP="00814D2B">
      <w:pPr>
        <w:spacing w:after="100" w:afterAutospacing="1" w:line="240" w:lineRule="auto"/>
        <w:outlineLvl w:val="0"/>
        <w:rPr>
          <w:rFonts w:ascii="Arial" w:eastAsia="Times New Roman" w:hAnsi="Arial" w:cs="Arial"/>
          <w:b/>
          <w:bCs/>
          <w:color w:val="000000"/>
          <w:kern w:val="36"/>
        </w:rPr>
      </w:pPr>
      <w:r w:rsidRPr="00814D2B">
        <w:rPr>
          <w:rFonts w:ascii="Arial" w:eastAsia="Times New Roman" w:hAnsi="Arial" w:cs="Arial"/>
          <w:b/>
          <w:bCs/>
          <w:color w:val="000000"/>
          <w:kern w:val="36"/>
        </w:rPr>
        <w:lastRenderedPageBreak/>
        <w:t>A prospective, randomized, placebo-controlled, double-blinded clinical trial comparing the incidence and severity of gastrointestinal adverse events in dogs with cancer treated with piroxicam alone or in combination with omeprazole or famotidine</w:t>
      </w:r>
    </w:p>
    <w:p w14:paraId="1E47AC6C" w14:textId="77777777" w:rsidR="00814D2B" w:rsidRPr="00814D2B" w:rsidRDefault="00814D2B" w:rsidP="00814D2B">
      <w:pPr>
        <w:spacing w:after="0" w:line="240" w:lineRule="auto"/>
        <w:rPr>
          <w:rFonts w:ascii="Arial" w:eastAsia="Times New Roman" w:hAnsi="Arial" w:cs="Arial"/>
          <w:color w:val="000000"/>
          <w:sz w:val="20"/>
          <w:szCs w:val="20"/>
        </w:rPr>
      </w:pPr>
      <w:proofErr w:type="spellStart"/>
      <w:r w:rsidRPr="00814D2B">
        <w:rPr>
          <w:rFonts w:ascii="Arial" w:eastAsia="Times New Roman" w:hAnsi="Arial" w:cs="Arial"/>
          <w:color w:val="000000"/>
          <w:sz w:val="20"/>
          <w:szCs w:val="20"/>
        </w:rPr>
        <w:t>Marejka</w:t>
      </w:r>
      <w:proofErr w:type="spellEnd"/>
      <w:r w:rsidRPr="00814D2B">
        <w:rPr>
          <w:rFonts w:ascii="Arial" w:eastAsia="Times New Roman" w:hAnsi="Arial" w:cs="Arial"/>
          <w:color w:val="000000"/>
          <w:sz w:val="20"/>
          <w:szCs w:val="20"/>
        </w:rPr>
        <w:t xml:space="preserve"> H. </w:t>
      </w:r>
      <w:proofErr w:type="spellStart"/>
      <w:r w:rsidRPr="00814D2B">
        <w:rPr>
          <w:rFonts w:ascii="Arial" w:eastAsia="Times New Roman" w:hAnsi="Arial" w:cs="Arial"/>
          <w:color w:val="000000"/>
          <w:sz w:val="20"/>
          <w:szCs w:val="20"/>
        </w:rPr>
        <w:t>Shaevitz</w:t>
      </w:r>
      <w:proofErr w:type="spellEnd"/>
      <w:r w:rsidRPr="00814D2B">
        <w:rPr>
          <w:rFonts w:ascii="Arial" w:eastAsia="Times New Roman" w:hAnsi="Arial" w:cs="Arial"/>
          <w:color w:val="000000"/>
          <w:sz w:val="20"/>
          <w:szCs w:val="20"/>
        </w:rPr>
        <w:t>, MS, DVM</w:t>
      </w: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 George E. Moore, DVM, PhD</w:t>
      </w:r>
      <w:r w:rsidRPr="00814D2B">
        <w:rPr>
          <w:rFonts w:ascii="Arial" w:eastAsia="Times New Roman" w:hAnsi="Arial" w:cs="Arial"/>
          <w:color w:val="000000"/>
          <w:sz w:val="20"/>
          <w:szCs w:val="20"/>
          <w:vertAlign w:val="superscript"/>
        </w:rPr>
        <w:t>2</w:t>
      </w:r>
      <w:r w:rsidRPr="00814D2B">
        <w:rPr>
          <w:rFonts w:ascii="Arial" w:eastAsia="Times New Roman" w:hAnsi="Arial" w:cs="Arial"/>
          <w:color w:val="000000"/>
          <w:sz w:val="20"/>
          <w:szCs w:val="20"/>
        </w:rPr>
        <w:t> and Christopher M. Fulkerson, DVM, MS</w:t>
      </w:r>
      <w:r w:rsidRPr="00814D2B">
        <w:rPr>
          <w:rFonts w:ascii="Arial" w:eastAsia="Times New Roman" w:hAnsi="Arial" w:cs="Arial"/>
          <w:color w:val="000000"/>
          <w:sz w:val="20"/>
          <w:szCs w:val="20"/>
          <w:vertAlign w:val="superscript"/>
        </w:rPr>
        <w:t>13</w:t>
      </w:r>
    </w:p>
    <w:p w14:paraId="3EAE6022" w14:textId="77777777" w:rsidR="00814D2B" w:rsidRPr="00814D2B" w:rsidRDefault="00814D2B" w:rsidP="00814D2B">
      <w:pPr>
        <w:spacing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vertAlign w:val="superscript"/>
        </w:rPr>
        <w:t>1</w:t>
      </w:r>
      <w:r w:rsidRPr="00814D2B">
        <w:rPr>
          <w:rFonts w:ascii="Arial" w:eastAsia="Times New Roman" w:hAnsi="Arial" w:cs="Arial"/>
          <w:color w:val="000000"/>
          <w:sz w:val="20"/>
          <w:szCs w:val="20"/>
        </w:rPr>
        <w:t>Department of Veterinary Clinical Sciences, Purdue University, West Lafayette, IN 47907. (</w:t>
      </w:r>
      <w:proofErr w:type="spellStart"/>
      <w:r w:rsidRPr="00814D2B">
        <w:rPr>
          <w:rFonts w:ascii="Arial" w:eastAsia="Times New Roman" w:hAnsi="Arial" w:cs="Arial"/>
          <w:color w:val="000000"/>
          <w:sz w:val="20"/>
          <w:szCs w:val="20"/>
        </w:rPr>
        <w:t>Shaevitz</w:t>
      </w:r>
      <w:proofErr w:type="spellEnd"/>
      <w:r w:rsidRPr="00814D2B">
        <w:rPr>
          <w:rFonts w:ascii="Arial" w:eastAsia="Times New Roman" w:hAnsi="Arial" w:cs="Arial"/>
          <w:color w:val="000000"/>
          <w:sz w:val="20"/>
          <w:szCs w:val="20"/>
        </w:rPr>
        <w:t>, Fulkerson); </w:t>
      </w:r>
      <w:r w:rsidRPr="00814D2B">
        <w:rPr>
          <w:rFonts w:ascii="Arial" w:eastAsia="Times New Roman" w:hAnsi="Arial" w:cs="Arial"/>
          <w:color w:val="000000"/>
          <w:sz w:val="20"/>
          <w:szCs w:val="20"/>
          <w:vertAlign w:val="superscript"/>
        </w:rPr>
        <w:t>2</w:t>
      </w:r>
      <w:r w:rsidRPr="00814D2B">
        <w:rPr>
          <w:rFonts w:ascii="Arial" w:eastAsia="Times New Roman" w:hAnsi="Arial" w:cs="Arial"/>
          <w:color w:val="000000"/>
          <w:sz w:val="20"/>
          <w:szCs w:val="20"/>
        </w:rPr>
        <w:t>Department of Veterinary Administration, Purdue University, West Lafayette, IN 47907. (Moore); </w:t>
      </w:r>
      <w:r w:rsidRPr="00814D2B">
        <w:rPr>
          <w:rFonts w:ascii="Arial" w:eastAsia="Times New Roman" w:hAnsi="Arial" w:cs="Arial"/>
          <w:color w:val="000000"/>
          <w:sz w:val="20"/>
          <w:szCs w:val="20"/>
          <w:vertAlign w:val="superscript"/>
        </w:rPr>
        <w:t>3</w:t>
      </w:r>
      <w:r w:rsidRPr="00814D2B">
        <w:rPr>
          <w:rFonts w:ascii="Arial" w:eastAsia="Times New Roman" w:hAnsi="Arial" w:cs="Arial"/>
          <w:color w:val="000000"/>
          <w:sz w:val="20"/>
          <w:szCs w:val="20"/>
        </w:rPr>
        <w:t>College of Veterinary Medicine, and Purdue University Center for Cancer Research, Purdue University, West Lafayette, IN 47907. (Fulkerson)</w:t>
      </w:r>
    </w:p>
    <w:p w14:paraId="42AADB55"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Address correspondence to Dr. Fulkerson (</w:t>
      </w:r>
      <w:hyperlink r:id="rId8" w:history="1">
        <w:r w:rsidRPr="00814D2B">
          <w:rPr>
            <w:rFonts w:ascii="Arial" w:eastAsia="Times New Roman" w:hAnsi="Arial" w:cs="Arial"/>
            <w:color w:val="000000"/>
            <w:sz w:val="20"/>
            <w:szCs w:val="20"/>
            <w:u w:val="single"/>
          </w:rPr>
          <w:t>cfulkers@purdue.edu</w:t>
        </w:r>
      </w:hyperlink>
      <w:r w:rsidRPr="00814D2B">
        <w:rPr>
          <w:rFonts w:ascii="Arial" w:eastAsia="Times New Roman" w:hAnsi="Arial" w:cs="Arial"/>
          <w:color w:val="000000"/>
          <w:sz w:val="20"/>
          <w:szCs w:val="20"/>
        </w:rPr>
        <w:t>).</w:t>
      </w:r>
    </w:p>
    <w:p w14:paraId="2FAD23B2"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347AD74C" w14:textId="77777777" w:rsidTr="00814D2B">
        <w:trPr>
          <w:tblCellSpacing w:w="0" w:type="dxa"/>
        </w:trPr>
        <w:tc>
          <w:tcPr>
            <w:tcW w:w="4750" w:type="pct"/>
            <w:shd w:val="clear" w:color="auto" w:fill="E1E1E1"/>
            <w:vAlign w:val="center"/>
            <w:hideMark/>
          </w:tcPr>
          <w:p w14:paraId="203F3902"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OBJECTIVE</w:t>
            </w:r>
          </w:p>
        </w:tc>
      </w:tr>
    </w:tbl>
    <w:p w14:paraId="67A242B8"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To assess the impact of prophylactic omeprazole and famotidine on the incidence and severity of gastrointestinal (GI) adverse events (AEs) in dogs with cancer treated with single agent piroxicam.</w:t>
      </w:r>
    </w:p>
    <w:p w14:paraId="56E66AF4"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3FC8F30B" w14:textId="77777777" w:rsidTr="00814D2B">
        <w:trPr>
          <w:tblCellSpacing w:w="0" w:type="dxa"/>
        </w:trPr>
        <w:tc>
          <w:tcPr>
            <w:tcW w:w="4750" w:type="pct"/>
            <w:shd w:val="clear" w:color="auto" w:fill="E1E1E1"/>
            <w:vAlign w:val="center"/>
            <w:hideMark/>
          </w:tcPr>
          <w:p w14:paraId="60A1F1DF"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ANIMALS</w:t>
            </w:r>
          </w:p>
        </w:tc>
      </w:tr>
    </w:tbl>
    <w:p w14:paraId="1B20D094"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39 dogs with a cytologic or histologic diagnosis of cancer with no history of GI disease and received piroxicam.</w:t>
      </w:r>
    </w:p>
    <w:p w14:paraId="54EE809A"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104B0825" w14:textId="77777777" w:rsidTr="00814D2B">
        <w:trPr>
          <w:tblCellSpacing w:w="0" w:type="dxa"/>
        </w:trPr>
        <w:tc>
          <w:tcPr>
            <w:tcW w:w="4750" w:type="pct"/>
            <w:shd w:val="clear" w:color="auto" w:fill="E1E1E1"/>
            <w:vAlign w:val="center"/>
            <w:hideMark/>
          </w:tcPr>
          <w:p w14:paraId="5CC86EAF"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PROCEDURES</w:t>
            </w:r>
          </w:p>
        </w:tc>
      </w:tr>
    </w:tbl>
    <w:p w14:paraId="29841B61"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A prospective, randomized, placebo-controlled, double-blinded clinical trial was performed. All dogs received piroxicam (0.3 mg/kg [0.14 mg/</w:t>
      </w:r>
      <w:proofErr w:type="spellStart"/>
      <w:r w:rsidRPr="00814D2B">
        <w:rPr>
          <w:rFonts w:ascii="Arial" w:eastAsia="Times New Roman" w:hAnsi="Arial" w:cs="Arial"/>
          <w:color w:val="000000"/>
          <w:sz w:val="20"/>
          <w:szCs w:val="20"/>
        </w:rPr>
        <w:t>lb</w:t>
      </w:r>
      <w:proofErr w:type="spellEnd"/>
      <w:r w:rsidRPr="00814D2B">
        <w:rPr>
          <w:rFonts w:ascii="Arial" w:eastAsia="Times New Roman" w:hAnsi="Arial" w:cs="Arial"/>
          <w:color w:val="000000"/>
          <w:sz w:val="20"/>
          <w:szCs w:val="20"/>
        </w:rPr>
        <w:t>], PO, q 24 h) and either omeprazole (1 mg/kg [0.45 mg/</w:t>
      </w:r>
      <w:proofErr w:type="spellStart"/>
      <w:r w:rsidRPr="00814D2B">
        <w:rPr>
          <w:rFonts w:ascii="Arial" w:eastAsia="Times New Roman" w:hAnsi="Arial" w:cs="Arial"/>
          <w:color w:val="000000"/>
          <w:sz w:val="20"/>
          <w:szCs w:val="20"/>
        </w:rPr>
        <w:t>lb</w:t>
      </w:r>
      <w:proofErr w:type="spellEnd"/>
      <w:r w:rsidRPr="00814D2B">
        <w:rPr>
          <w:rFonts w:ascii="Arial" w:eastAsia="Times New Roman" w:hAnsi="Arial" w:cs="Arial"/>
          <w:color w:val="000000"/>
          <w:sz w:val="20"/>
          <w:szCs w:val="20"/>
        </w:rPr>
        <w:t>], PO, q 12 h), famotidine (1 mg/kg, PO, q 12 h), or placebo (lactose; PO, q 12 h). Monthly assessments of GI AEs were performed and scored by using the Veterinary Comparative Oncology Group's Common Terminology Criteria for Adverse Events (version 1.1).</w:t>
      </w:r>
    </w:p>
    <w:p w14:paraId="4C1B2AF5"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7FF256F6" w14:textId="77777777" w:rsidTr="00814D2B">
        <w:trPr>
          <w:tblCellSpacing w:w="0" w:type="dxa"/>
        </w:trPr>
        <w:tc>
          <w:tcPr>
            <w:tcW w:w="4750" w:type="pct"/>
            <w:shd w:val="clear" w:color="auto" w:fill="E1E1E1"/>
            <w:vAlign w:val="center"/>
            <w:hideMark/>
          </w:tcPr>
          <w:p w14:paraId="494BE739"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RESULTS</w:t>
            </w:r>
          </w:p>
        </w:tc>
      </w:tr>
    </w:tbl>
    <w:p w14:paraId="0EFF12BB"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Compared with dogs in the placebo group, more dogs in the omeprazole group (84.6% vs 36.4%) and famotidine group (80.0% vs 36.4%) experienced GI AEs by day 56. The severity of GI AEs was higher in the omeprazole group, compared with the placebo group.</w:t>
      </w:r>
    </w:p>
    <w:p w14:paraId="6A7E510B" w14:textId="77777777" w:rsidR="00814D2B" w:rsidRPr="00814D2B" w:rsidRDefault="00814D2B" w:rsidP="00814D2B">
      <w:pPr>
        <w:spacing w:after="0"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br w:type="textWrapping" w:clear="right"/>
      </w:r>
    </w:p>
    <w:tbl>
      <w:tblPr>
        <w:tblW w:w="5000" w:type="pct"/>
        <w:tblCellSpacing w:w="0" w:type="dxa"/>
        <w:shd w:val="clear" w:color="auto" w:fill="E1E1E1"/>
        <w:tblCellMar>
          <w:left w:w="0" w:type="dxa"/>
          <w:right w:w="0" w:type="dxa"/>
        </w:tblCellMar>
        <w:tblLook w:val="04A0" w:firstRow="1" w:lastRow="0" w:firstColumn="1" w:lastColumn="0" w:noHBand="0" w:noVBand="1"/>
      </w:tblPr>
      <w:tblGrid>
        <w:gridCol w:w="9360"/>
      </w:tblGrid>
      <w:tr w:rsidR="00814D2B" w:rsidRPr="00814D2B" w14:paraId="6922476A" w14:textId="77777777" w:rsidTr="00814D2B">
        <w:trPr>
          <w:tblCellSpacing w:w="0" w:type="dxa"/>
        </w:trPr>
        <w:tc>
          <w:tcPr>
            <w:tcW w:w="4750" w:type="pct"/>
            <w:shd w:val="clear" w:color="auto" w:fill="E1E1E1"/>
            <w:vAlign w:val="center"/>
            <w:hideMark/>
          </w:tcPr>
          <w:p w14:paraId="0AF80D48" w14:textId="77777777" w:rsidR="00814D2B" w:rsidRPr="00814D2B" w:rsidRDefault="00814D2B" w:rsidP="00814D2B">
            <w:pPr>
              <w:spacing w:after="0" w:line="240" w:lineRule="auto"/>
              <w:rPr>
                <w:rFonts w:ascii="Times New Roman" w:eastAsia="Times New Roman" w:hAnsi="Times New Roman" w:cs="Times New Roman"/>
                <w:b/>
                <w:bCs/>
                <w:sz w:val="27"/>
                <w:szCs w:val="27"/>
              </w:rPr>
            </w:pPr>
            <w:r w:rsidRPr="00814D2B">
              <w:rPr>
                <w:rFonts w:ascii="Times New Roman" w:eastAsia="Times New Roman" w:hAnsi="Times New Roman" w:cs="Times New Roman"/>
                <w:b/>
                <w:bCs/>
                <w:sz w:val="27"/>
                <w:szCs w:val="27"/>
              </w:rPr>
              <w:t>CONCLUSIONS AND CLINICAL RELEVANCE</w:t>
            </w:r>
          </w:p>
        </w:tc>
      </w:tr>
    </w:tbl>
    <w:p w14:paraId="631A998D" w14:textId="77777777" w:rsidR="00814D2B" w:rsidRPr="00814D2B" w:rsidRDefault="00814D2B" w:rsidP="00814D2B">
      <w:pPr>
        <w:spacing w:before="100" w:beforeAutospacing="1" w:after="100" w:afterAutospacing="1" w:line="240" w:lineRule="auto"/>
        <w:rPr>
          <w:rFonts w:ascii="Arial" w:eastAsia="Times New Roman" w:hAnsi="Arial" w:cs="Arial"/>
          <w:color w:val="000000"/>
          <w:sz w:val="20"/>
          <w:szCs w:val="20"/>
        </w:rPr>
      </w:pPr>
      <w:r w:rsidRPr="00814D2B">
        <w:rPr>
          <w:rFonts w:ascii="Arial" w:eastAsia="Times New Roman" w:hAnsi="Arial" w:cs="Arial"/>
          <w:color w:val="000000"/>
          <w:sz w:val="20"/>
          <w:szCs w:val="20"/>
        </w:rPr>
        <w:t>Omeprazole was not helpful in reducing the frequency or severity of GI AEs and was associated with more frequent and severer GI AEs in dogs with cancer treated with single agent piroxicam. Proton-pump inhibitors and H2-receptor antagonists should not be prescribed as prophylaxis with NSAIDs for dogs with cancer.</w:t>
      </w:r>
    </w:p>
    <w:sectPr w:rsidR="00814D2B" w:rsidRPr="00814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2B"/>
    <w:rsid w:val="0040066A"/>
    <w:rsid w:val="00437556"/>
    <w:rsid w:val="007766FD"/>
    <w:rsid w:val="0081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97439"/>
  <w15:chartTrackingRefBased/>
  <w15:docId w15:val="{4F750827-8FC6-417F-A25A-0C047B57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4D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D2B"/>
    <w:rPr>
      <w:rFonts w:ascii="Times New Roman" w:eastAsia="Times New Roman" w:hAnsi="Times New Roman" w:cs="Times New Roman"/>
      <w:b/>
      <w:bCs/>
      <w:kern w:val="36"/>
      <w:sz w:val="48"/>
      <w:szCs w:val="48"/>
    </w:rPr>
  </w:style>
  <w:style w:type="character" w:customStyle="1" w:styleId="nlmstring-name">
    <w:name w:val="nlm_string-name"/>
    <w:basedOn w:val="DefaultParagraphFont"/>
    <w:rsid w:val="00814D2B"/>
  </w:style>
  <w:style w:type="character" w:customStyle="1" w:styleId="nlmx">
    <w:name w:val="nlm_x"/>
    <w:basedOn w:val="DefaultParagraphFont"/>
    <w:rsid w:val="00814D2B"/>
  </w:style>
  <w:style w:type="character" w:customStyle="1" w:styleId="nlmxref-aff">
    <w:name w:val="nlm_xref-aff"/>
    <w:basedOn w:val="DefaultParagraphFont"/>
    <w:rsid w:val="00814D2B"/>
  </w:style>
  <w:style w:type="character" w:customStyle="1" w:styleId="affiliationtitle">
    <w:name w:val="affiliationtitle"/>
    <w:basedOn w:val="DefaultParagraphFont"/>
    <w:rsid w:val="00814D2B"/>
  </w:style>
  <w:style w:type="character" w:styleId="Hyperlink">
    <w:name w:val="Hyperlink"/>
    <w:basedOn w:val="DefaultParagraphFont"/>
    <w:uiPriority w:val="99"/>
    <w:semiHidden/>
    <w:unhideWhenUsed/>
    <w:rsid w:val="00814D2B"/>
    <w:rPr>
      <w:color w:val="0000FF"/>
      <w:u w:val="single"/>
    </w:rPr>
  </w:style>
  <w:style w:type="character" w:customStyle="1" w:styleId="fulltext">
    <w:name w:val="fulltext"/>
    <w:basedOn w:val="DefaultParagraphFont"/>
    <w:rsid w:val="00814D2B"/>
  </w:style>
  <w:style w:type="paragraph" w:styleId="z-TopofForm">
    <w:name w:val="HTML Top of Form"/>
    <w:basedOn w:val="Normal"/>
    <w:next w:val="Normal"/>
    <w:link w:val="z-TopofFormChar"/>
    <w:hidden/>
    <w:uiPriority w:val="99"/>
    <w:semiHidden/>
    <w:unhideWhenUsed/>
    <w:rsid w:val="00814D2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14D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4D2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14D2B"/>
    <w:rPr>
      <w:rFonts w:ascii="Arial" w:eastAsia="Times New Roman" w:hAnsi="Arial" w:cs="Arial"/>
      <w:vanish/>
      <w:sz w:val="16"/>
      <w:szCs w:val="16"/>
    </w:rPr>
  </w:style>
  <w:style w:type="paragraph" w:customStyle="1" w:styleId="last">
    <w:name w:val="last"/>
    <w:basedOn w:val="Normal"/>
    <w:rsid w:val="00814D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814D2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14D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04369">
      <w:bodyDiv w:val="1"/>
      <w:marLeft w:val="0"/>
      <w:marRight w:val="0"/>
      <w:marTop w:val="0"/>
      <w:marBottom w:val="0"/>
      <w:divBdr>
        <w:top w:val="none" w:sz="0" w:space="0" w:color="auto"/>
        <w:left w:val="none" w:sz="0" w:space="0" w:color="auto"/>
        <w:bottom w:val="none" w:sz="0" w:space="0" w:color="auto"/>
        <w:right w:val="none" w:sz="0" w:space="0" w:color="auto"/>
      </w:divBdr>
      <w:divsChild>
        <w:div w:id="1425883967">
          <w:marLeft w:val="0"/>
          <w:marRight w:val="0"/>
          <w:marTop w:val="0"/>
          <w:marBottom w:val="0"/>
          <w:divBdr>
            <w:top w:val="none" w:sz="0" w:space="0" w:color="auto"/>
            <w:left w:val="none" w:sz="0" w:space="0" w:color="auto"/>
            <w:bottom w:val="none" w:sz="0" w:space="0" w:color="auto"/>
            <w:right w:val="none" w:sz="0" w:space="0" w:color="auto"/>
          </w:divBdr>
        </w:div>
        <w:div w:id="1604610220">
          <w:marLeft w:val="0"/>
          <w:marRight w:val="0"/>
          <w:marTop w:val="0"/>
          <w:marBottom w:val="0"/>
          <w:divBdr>
            <w:top w:val="none" w:sz="0" w:space="0" w:color="auto"/>
            <w:left w:val="none" w:sz="0" w:space="0" w:color="auto"/>
            <w:bottom w:val="none" w:sz="0" w:space="0" w:color="auto"/>
            <w:right w:val="none" w:sz="0" w:space="0" w:color="auto"/>
          </w:divBdr>
        </w:div>
        <w:div w:id="1180393112">
          <w:marLeft w:val="0"/>
          <w:marRight w:val="0"/>
          <w:marTop w:val="240"/>
          <w:marBottom w:val="240"/>
          <w:divBdr>
            <w:top w:val="none" w:sz="0" w:space="0" w:color="auto"/>
            <w:left w:val="none" w:sz="0" w:space="0" w:color="auto"/>
            <w:bottom w:val="none" w:sz="0" w:space="0" w:color="auto"/>
            <w:right w:val="none" w:sz="0" w:space="0" w:color="auto"/>
          </w:divBdr>
        </w:div>
        <w:div w:id="933366389">
          <w:marLeft w:val="0"/>
          <w:marRight w:val="0"/>
          <w:marTop w:val="0"/>
          <w:marBottom w:val="0"/>
          <w:divBdr>
            <w:top w:val="none" w:sz="0" w:space="0" w:color="auto"/>
            <w:left w:val="none" w:sz="0" w:space="0" w:color="auto"/>
            <w:bottom w:val="none" w:sz="0" w:space="0" w:color="auto"/>
            <w:right w:val="none" w:sz="0" w:space="0" w:color="auto"/>
          </w:divBdr>
          <w:divsChild>
            <w:div w:id="507523000">
              <w:marLeft w:val="0"/>
              <w:marRight w:val="0"/>
              <w:marTop w:val="0"/>
              <w:marBottom w:val="0"/>
              <w:divBdr>
                <w:top w:val="none" w:sz="0" w:space="0" w:color="auto"/>
                <w:left w:val="none" w:sz="0" w:space="0" w:color="auto"/>
                <w:bottom w:val="none" w:sz="0" w:space="0" w:color="auto"/>
                <w:right w:val="none" w:sz="0" w:space="0" w:color="auto"/>
              </w:divBdr>
            </w:div>
          </w:divsChild>
        </w:div>
        <w:div w:id="545214487">
          <w:marLeft w:val="0"/>
          <w:marRight w:val="0"/>
          <w:marTop w:val="0"/>
          <w:marBottom w:val="0"/>
          <w:divBdr>
            <w:top w:val="none" w:sz="0" w:space="0" w:color="auto"/>
            <w:left w:val="none" w:sz="0" w:space="0" w:color="auto"/>
            <w:bottom w:val="none" w:sz="0" w:space="0" w:color="auto"/>
            <w:right w:val="none" w:sz="0" w:space="0" w:color="auto"/>
          </w:divBdr>
          <w:divsChild>
            <w:div w:id="681930824">
              <w:marLeft w:val="0"/>
              <w:marRight w:val="0"/>
              <w:marTop w:val="0"/>
              <w:marBottom w:val="0"/>
              <w:divBdr>
                <w:top w:val="none" w:sz="0" w:space="0" w:color="auto"/>
                <w:left w:val="none" w:sz="0" w:space="0" w:color="auto"/>
                <w:bottom w:val="none" w:sz="0" w:space="0" w:color="auto"/>
                <w:right w:val="none" w:sz="0" w:space="0" w:color="auto"/>
              </w:divBdr>
            </w:div>
            <w:div w:id="996349580">
              <w:marLeft w:val="0"/>
              <w:marRight w:val="0"/>
              <w:marTop w:val="0"/>
              <w:marBottom w:val="0"/>
              <w:divBdr>
                <w:top w:val="none" w:sz="0" w:space="0" w:color="auto"/>
                <w:left w:val="none" w:sz="0" w:space="0" w:color="auto"/>
                <w:bottom w:val="none" w:sz="0" w:space="0" w:color="auto"/>
                <w:right w:val="none" w:sz="0" w:space="0" w:color="auto"/>
              </w:divBdr>
            </w:div>
            <w:div w:id="2002810999">
              <w:marLeft w:val="0"/>
              <w:marRight w:val="0"/>
              <w:marTop w:val="0"/>
              <w:marBottom w:val="0"/>
              <w:divBdr>
                <w:top w:val="none" w:sz="0" w:space="0" w:color="auto"/>
                <w:left w:val="none" w:sz="0" w:space="0" w:color="auto"/>
                <w:bottom w:val="none" w:sz="0" w:space="0" w:color="auto"/>
                <w:right w:val="none" w:sz="0" w:space="0" w:color="auto"/>
              </w:divBdr>
            </w:div>
            <w:div w:id="918296924">
              <w:marLeft w:val="0"/>
              <w:marRight w:val="0"/>
              <w:marTop w:val="0"/>
              <w:marBottom w:val="0"/>
              <w:divBdr>
                <w:top w:val="none" w:sz="0" w:space="0" w:color="auto"/>
                <w:left w:val="none" w:sz="0" w:space="0" w:color="auto"/>
                <w:bottom w:val="none" w:sz="0" w:space="0" w:color="auto"/>
                <w:right w:val="none" w:sz="0" w:space="0" w:color="auto"/>
              </w:divBdr>
            </w:div>
            <w:div w:id="213536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80632">
      <w:bodyDiv w:val="1"/>
      <w:marLeft w:val="0"/>
      <w:marRight w:val="0"/>
      <w:marTop w:val="0"/>
      <w:marBottom w:val="0"/>
      <w:divBdr>
        <w:top w:val="none" w:sz="0" w:space="0" w:color="auto"/>
        <w:left w:val="none" w:sz="0" w:space="0" w:color="auto"/>
        <w:bottom w:val="none" w:sz="0" w:space="0" w:color="auto"/>
        <w:right w:val="none" w:sz="0" w:space="0" w:color="auto"/>
      </w:divBdr>
      <w:divsChild>
        <w:div w:id="2121411798">
          <w:marLeft w:val="0"/>
          <w:marRight w:val="0"/>
          <w:marTop w:val="0"/>
          <w:marBottom w:val="0"/>
          <w:divBdr>
            <w:top w:val="none" w:sz="0" w:space="0" w:color="auto"/>
            <w:left w:val="none" w:sz="0" w:space="0" w:color="auto"/>
            <w:bottom w:val="none" w:sz="0" w:space="0" w:color="auto"/>
            <w:right w:val="none" w:sz="0" w:space="0" w:color="auto"/>
          </w:divBdr>
          <w:divsChild>
            <w:div w:id="45108367">
              <w:marLeft w:val="0"/>
              <w:marRight w:val="0"/>
              <w:marTop w:val="0"/>
              <w:marBottom w:val="0"/>
              <w:divBdr>
                <w:top w:val="none" w:sz="0" w:space="0" w:color="auto"/>
                <w:left w:val="none" w:sz="0" w:space="0" w:color="auto"/>
                <w:bottom w:val="none" w:sz="0" w:space="0" w:color="auto"/>
                <w:right w:val="none" w:sz="0" w:space="0" w:color="auto"/>
              </w:divBdr>
            </w:div>
            <w:div w:id="589854842">
              <w:marLeft w:val="0"/>
              <w:marRight w:val="0"/>
              <w:marTop w:val="0"/>
              <w:marBottom w:val="0"/>
              <w:divBdr>
                <w:top w:val="none" w:sz="0" w:space="0" w:color="auto"/>
                <w:left w:val="none" w:sz="0" w:space="0" w:color="auto"/>
                <w:bottom w:val="none" w:sz="0" w:space="0" w:color="auto"/>
                <w:right w:val="none" w:sz="0" w:space="0" w:color="auto"/>
              </w:divBdr>
            </w:div>
            <w:div w:id="52772693">
              <w:marLeft w:val="0"/>
              <w:marRight w:val="0"/>
              <w:marTop w:val="240"/>
              <w:marBottom w:val="240"/>
              <w:divBdr>
                <w:top w:val="none" w:sz="0" w:space="0" w:color="auto"/>
                <w:left w:val="none" w:sz="0" w:space="0" w:color="auto"/>
                <w:bottom w:val="none" w:sz="0" w:space="0" w:color="auto"/>
                <w:right w:val="none" w:sz="0" w:space="0" w:color="auto"/>
              </w:divBdr>
            </w:div>
            <w:div w:id="582299879">
              <w:marLeft w:val="0"/>
              <w:marRight w:val="0"/>
              <w:marTop w:val="0"/>
              <w:marBottom w:val="0"/>
              <w:divBdr>
                <w:top w:val="none" w:sz="0" w:space="0" w:color="auto"/>
                <w:left w:val="none" w:sz="0" w:space="0" w:color="auto"/>
                <w:bottom w:val="none" w:sz="0" w:space="0" w:color="auto"/>
                <w:right w:val="none" w:sz="0" w:space="0" w:color="auto"/>
              </w:divBdr>
              <w:divsChild>
                <w:div w:id="1181508729">
                  <w:marLeft w:val="0"/>
                  <w:marRight w:val="0"/>
                  <w:marTop w:val="0"/>
                  <w:marBottom w:val="0"/>
                  <w:divBdr>
                    <w:top w:val="none" w:sz="0" w:space="0" w:color="auto"/>
                    <w:left w:val="none" w:sz="0" w:space="0" w:color="auto"/>
                    <w:bottom w:val="none" w:sz="0" w:space="0" w:color="auto"/>
                    <w:right w:val="none" w:sz="0" w:space="0" w:color="auto"/>
                  </w:divBdr>
                </w:div>
              </w:divsChild>
            </w:div>
            <w:div w:id="797525163">
              <w:marLeft w:val="0"/>
              <w:marRight w:val="0"/>
              <w:marTop w:val="0"/>
              <w:marBottom w:val="0"/>
              <w:divBdr>
                <w:top w:val="none" w:sz="0" w:space="0" w:color="auto"/>
                <w:left w:val="none" w:sz="0" w:space="0" w:color="auto"/>
                <w:bottom w:val="none" w:sz="0" w:space="0" w:color="auto"/>
                <w:right w:val="none" w:sz="0" w:space="0" w:color="auto"/>
              </w:divBdr>
              <w:divsChild>
                <w:div w:id="1685860031">
                  <w:marLeft w:val="0"/>
                  <w:marRight w:val="0"/>
                  <w:marTop w:val="0"/>
                  <w:marBottom w:val="0"/>
                  <w:divBdr>
                    <w:top w:val="none" w:sz="0" w:space="0" w:color="auto"/>
                    <w:left w:val="none" w:sz="0" w:space="0" w:color="auto"/>
                    <w:bottom w:val="none" w:sz="0" w:space="0" w:color="auto"/>
                    <w:right w:val="none" w:sz="0" w:space="0" w:color="auto"/>
                  </w:divBdr>
                </w:div>
                <w:div w:id="1272009395">
                  <w:marLeft w:val="0"/>
                  <w:marRight w:val="0"/>
                  <w:marTop w:val="0"/>
                  <w:marBottom w:val="0"/>
                  <w:divBdr>
                    <w:top w:val="none" w:sz="0" w:space="0" w:color="auto"/>
                    <w:left w:val="none" w:sz="0" w:space="0" w:color="auto"/>
                    <w:bottom w:val="none" w:sz="0" w:space="0" w:color="auto"/>
                    <w:right w:val="none" w:sz="0" w:space="0" w:color="auto"/>
                  </w:divBdr>
                </w:div>
                <w:div w:id="1801653905">
                  <w:marLeft w:val="0"/>
                  <w:marRight w:val="0"/>
                  <w:marTop w:val="0"/>
                  <w:marBottom w:val="0"/>
                  <w:divBdr>
                    <w:top w:val="none" w:sz="0" w:space="0" w:color="auto"/>
                    <w:left w:val="none" w:sz="0" w:space="0" w:color="auto"/>
                    <w:bottom w:val="none" w:sz="0" w:space="0" w:color="auto"/>
                    <w:right w:val="none" w:sz="0" w:space="0" w:color="auto"/>
                  </w:divBdr>
                </w:div>
                <w:div w:id="17192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135430">
      <w:bodyDiv w:val="1"/>
      <w:marLeft w:val="0"/>
      <w:marRight w:val="0"/>
      <w:marTop w:val="0"/>
      <w:marBottom w:val="0"/>
      <w:divBdr>
        <w:top w:val="none" w:sz="0" w:space="0" w:color="auto"/>
        <w:left w:val="none" w:sz="0" w:space="0" w:color="auto"/>
        <w:bottom w:val="none" w:sz="0" w:space="0" w:color="auto"/>
        <w:right w:val="none" w:sz="0" w:space="0" w:color="auto"/>
      </w:divBdr>
      <w:divsChild>
        <w:div w:id="393435597">
          <w:marLeft w:val="0"/>
          <w:marRight w:val="0"/>
          <w:marTop w:val="0"/>
          <w:marBottom w:val="0"/>
          <w:divBdr>
            <w:top w:val="none" w:sz="0" w:space="0" w:color="auto"/>
            <w:left w:val="none" w:sz="0" w:space="0" w:color="auto"/>
            <w:bottom w:val="none" w:sz="0" w:space="0" w:color="auto"/>
            <w:right w:val="none" w:sz="0" w:space="0" w:color="auto"/>
          </w:divBdr>
        </w:div>
        <w:div w:id="583421075">
          <w:marLeft w:val="0"/>
          <w:marRight w:val="0"/>
          <w:marTop w:val="0"/>
          <w:marBottom w:val="0"/>
          <w:divBdr>
            <w:top w:val="none" w:sz="0" w:space="0" w:color="auto"/>
            <w:left w:val="none" w:sz="0" w:space="0" w:color="auto"/>
            <w:bottom w:val="none" w:sz="0" w:space="0" w:color="auto"/>
            <w:right w:val="none" w:sz="0" w:space="0" w:color="auto"/>
          </w:divBdr>
        </w:div>
        <w:div w:id="929776444">
          <w:marLeft w:val="0"/>
          <w:marRight w:val="0"/>
          <w:marTop w:val="240"/>
          <w:marBottom w:val="240"/>
          <w:divBdr>
            <w:top w:val="none" w:sz="0" w:space="0" w:color="auto"/>
            <w:left w:val="none" w:sz="0" w:space="0" w:color="auto"/>
            <w:bottom w:val="none" w:sz="0" w:space="0" w:color="auto"/>
            <w:right w:val="none" w:sz="0" w:space="0" w:color="auto"/>
          </w:divBdr>
        </w:div>
        <w:div w:id="1536503463">
          <w:marLeft w:val="0"/>
          <w:marRight w:val="0"/>
          <w:marTop w:val="0"/>
          <w:marBottom w:val="0"/>
          <w:divBdr>
            <w:top w:val="none" w:sz="0" w:space="0" w:color="auto"/>
            <w:left w:val="none" w:sz="0" w:space="0" w:color="auto"/>
            <w:bottom w:val="none" w:sz="0" w:space="0" w:color="auto"/>
            <w:right w:val="none" w:sz="0" w:space="0" w:color="auto"/>
          </w:divBdr>
          <w:divsChild>
            <w:div w:id="1713456175">
              <w:marLeft w:val="0"/>
              <w:marRight w:val="0"/>
              <w:marTop w:val="0"/>
              <w:marBottom w:val="0"/>
              <w:divBdr>
                <w:top w:val="none" w:sz="0" w:space="0" w:color="auto"/>
                <w:left w:val="none" w:sz="0" w:space="0" w:color="auto"/>
                <w:bottom w:val="none" w:sz="0" w:space="0" w:color="auto"/>
                <w:right w:val="none" w:sz="0" w:space="0" w:color="auto"/>
              </w:divBdr>
            </w:div>
          </w:divsChild>
        </w:div>
        <w:div w:id="1948459939">
          <w:marLeft w:val="0"/>
          <w:marRight w:val="0"/>
          <w:marTop w:val="0"/>
          <w:marBottom w:val="0"/>
          <w:divBdr>
            <w:top w:val="none" w:sz="0" w:space="0" w:color="auto"/>
            <w:left w:val="none" w:sz="0" w:space="0" w:color="auto"/>
            <w:bottom w:val="none" w:sz="0" w:space="0" w:color="auto"/>
            <w:right w:val="none" w:sz="0" w:space="0" w:color="auto"/>
          </w:divBdr>
          <w:divsChild>
            <w:div w:id="1636183890">
              <w:marLeft w:val="0"/>
              <w:marRight w:val="0"/>
              <w:marTop w:val="0"/>
              <w:marBottom w:val="0"/>
              <w:divBdr>
                <w:top w:val="none" w:sz="0" w:space="0" w:color="auto"/>
                <w:left w:val="none" w:sz="0" w:space="0" w:color="auto"/>
                <w:bottom w:val="none" w:sz="0" w:space="0" w:color="auto"/>
                <w:right w:val="none" w:sz="0" w:space="0" w:color="auto"/>
              </w:divBdr>
              <w:divsChild>
                <w:div w:id="2052532802">
                  <w:marLeft w:val="0"/>
                  <w:marRight w:val="0"/>
                  <w:marTop w:val="0"/>
                  <w:marBottom w:val="0"/>
                  <w:divBdr>
                    <w:top w:val="none" w:sz="0" w:space="0" w:color="auto"/>
                    <w:left w:val="none" w:sz="0" w:space="0" w:color="auto"/>
                    <w:bottom w:val="none" w:sz="0" w:space="0" w:color="auto"/>
                    <w:right w:val="none" w:sz="0" w:space="0" w:color="auto"/>
                  </w:divBdr>
                </w:div>
                <w:div w:id="1082678320">
                  <w:marLeft w:val="0"/>
                  <w:marRight w:val="0"/>
                  <w:marTop w:val="0"/>
                  <w:marBottom w:val="0"/>
                  <w:divBdr>
                    <w:top w:val="none" w:sz="0" w:space="0" w:color="auto"/>
                    <w:left w:val="none" w:sz="0" w:space="0" w:color="auto"/>
                    <w:bottom w:val="none" w:sz="0" w:space="0" w:color="auto"/>
                    <w:right w:val="none" w:sz="0" w:space="0" w:color="auto"/>
                  </w:divBdr>
                </w:div>
                <w:div w:id="1265268715">
                  <w:marLeft w:val="0"/>
                  <w:marRight w:val="0"/>
                  <w:marTop w:val="0"/>
                  <w:marBottom w:val="0"/>
                  <w:divBdr>
                    <w:top w:val="none" w:sz="0" w:space="0" w:color="auto"/>
                    <w:left w:val="none" w:sz="0" w:space="0" w:color="auto"/>
                    <w:bottom w:val="none" w:sz="0" w:space="0" w:color="auto"/>
                    <w:right w:val="none" w:sz="0" w:space="0" w:color="auto"/>
                  </w:divBdr>
                </w:div>
                <w:div w:id="1550724654">
                  <w:marLeft w:val="0"/>
                  <w:marRight w:val="0"/>
                  <w:marTop w:val="0"/>
                  <w:marBottom w:val="0"/>
                  <w:divBdr>
                    <w:top w:val="none" w:sz="0" w:space="0" w:color="auto"/>
                    <w:left w:val="none" w:sz="0" w:space="0" w:color="auto"/>
                    <w:bottom w:val="none" w:sz="0" w:space="0" w:color="auto"/>
                    <w:right w:val="none" w:sz="0" w:space="0" w:color="auto"/>
                  </w:divBdr>
                </w:div>
                <w:div w:id="4213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820779">
      <w:bodyDiv w:val="1"/>
      <w:marLeft w:val="0"/>
      <w:marRight w:val="0"/>
      <w:marTop w:val="0"/>
      <w:marBottom w:val="0"/>
      <w:divBdr>
        <w:top w:val="none" w:sz="0" w:space="0" w:color="auto"/>
        <w:left w:val="none" w:sz="0" w:space="0" w:color="auto"/>
        <w:bottom w:val="none" w:sz="0" w:space="0" w:color="auto"/>
        <w:right w:val="none" w:sz="0" w:space="0" w:color="auto"/>
      </w:divBdr>
      <w:divsChild>
        <w:div w:id="46732675">
          <w:marLeft w:val="0"/>
          <w:marRight w:val="0"/>
          <w:marTop w:val="0"/>
          <w:marBottom w:val="0"/>
          <w:divBdr>
            <w:top w:val="none" w:sz="0" w:space="0" w:color="auto"/>
            <w:left w:val="none" w:sz="0" w:space="0" w:color="auto"/>
            <w:bottom w:val="none" w:sz="0" w:space="0" w:color="auto"/>
            <w:right w:val="none" w:sz="0" w:space="0" w:color="auto"/>
          </w:divBdr>
        </w:div>
        <w:div w:id="1292780712">
          <w:marLeft w:val="0"/>
          <w:marRight w:val="0"/>
          <w:marTop w:val="0"/>
          <w:marBottom w:val="0"/>
          <w:divBdr>
            <w:top w:val="none" w:sz="0" w:space="0" w:color="auto"/>
            <w:left w:val="none" w:sz="0" w:space="0" w:color="auto"/>
            <w:bottom w:val="none" w:sz="0" w:space="0" w:color="auto"/>
            <w:right w:val="none" w:sz="0" w:space="0" w:color="auto"/>
          </w:divBdr>
        </w:div>
        <w:div w:id="156697471">
          <w:marLeft w:val="0"/>
          <w:marRight w:val="0"/>
          <w:marTop w:val="240"/>
          <w:marBottom w:val="240"/>
          <w:divBdr>
            <w:top w:val="none" w:sz="0" w:space="0" w:color="auto"/>
            <w:left w:val="none" w:sz="0" w:space="0" w:color="auto"/>
            <w:bottom w:val="none" w:sz="0" w:space="0" w:color="auto"/>
            <w:right w:val="none" w:sz="0" w:space="0" w:color="auto"/>
          </w:divBdr>
        </w:div>
        <w:div w:id="134297298">
          <w:marLeft w:val="0"/>
          <w:marRight w:val="0"/>
          <w:marTop w:val="0"/>
          <w:marBottom w:val="0"/>
          <w:divBdr>
            <w:top w:val="none" w:sz="0" w:space="0" w:color="auto"/>
            <w:left w:val="none" w:sz="0" w:space="0" w:color="auto"/>
            <w:bottom w:val="none" w:sz="0" w:space="0" w:color="auto"/>
            <w:right w:val="none" w:sz="0" w:space="0" w:color="auto"/>
          </w:divBdr>
          <w:divsChild>
            <w:div w:id="604386047">
              <w:marLeft w:val="0"/>
              <w:marRight w:val="0"/>
              <w:marTop w:val="0"/>
              <w:marBottom w:val="0"/>
              <w:divBdr>
                <w:top w:val="none" w:sz="0" w:space="0" w:color="auto"/>
                <w:left w:val="none" w:sz="0" w:space="0" w:color="auto"/>
                <w:bottom w:val="none" w:sz="0" w:space="0" w:color="auto"/>
                <w:right w:val="none" w:sz="0" w:space="0" w:color="auto"/>
              </w:divBdr>
            </w:div>
          </w:divsChild>
        </w:div>
        <w:div w:id="706028418">
          <w:marLeft w:val="0"/>
          <w:marRight w:val="0"/>
          <w:marTop w:val="0"/>
          <w:marBottom w:val="0"/>
          <w:divBdr>
            <w:top w:val="none" w:sz="0" w:space="0" w:color="auto"/>
            <w:left w:val="none" w:sz="0" w:space="0" w:color="auto"/>
            <w:bottom w:val="none" w:sz="0" w:space="0" w:color="auto"/>
            <w:right w:val="none" w:sz="0" w:space="0" w:color="auto"/>
          </w:divBdr>
          <w:divsChild>
            <w:div w:id="2083331966">
              <w:marLeft w:val="0"/>
              <w:marRight w:val="0"/>
              <w:marTop w:val="0"/>
              <w:marBottom w:val="0"/>
              <w:divBdr>
                <w:top w:val="none" w:sz="0" w:space="0" w:color="auto"/>
                <w:left w:val="none" w:sz="0" w:space="0" w:color="auto"/>
                <w:bottom w:val="none" w:sz="0" w:space="0" w:color="auto"/>
                <w:right w:val="none" w:sz="0" w:space="0" w:color="auto"/>
              </w:divBdr>
            </w:div>
            <w:div w:id="504589468">
              <w:marLeft w:val="0"/>
              <w:marRight w:val="0"/>
              <w:marTop w:val="0"/>
              <w:marBottom w:val="0"/>
              <w:divBdr>
                <w:top w:val="none" w:sz="0" w:space="0" w:color="auto"/>
                <w:left w:val="none" w:sz="0" w:space="0" w:color="auto"/>
                <w:bottom w:val="none" w:sz="0" w:space="0" w:color="auto"/>
                <w:right w:val="none" w:sz="0" w:space="0" w:color="auto"/>
              </w:divBdr>
            </w:div>
            <w:div w:id="547567821">
              <w:marLeft w:val="0"/>
              <w:marRight w:val="0"/>
              <w:marTop w:val="0"/>
              <w:marBottom w:val="0"/>
              <w:divBdr>
                <w:top w:val="none" w:sz="0" w:space="0" w:color="auto"/>
                <w:left w:val="none" w:sz="0" w:space="0" w:color="auto"/>
                <w:bottom w:val="none" w:sz="0" w:space="0" w:color="auto"/>
                <w:right w:val="none" w:sz="0" w:space="0" w:color="auto"/>
              </w:divBdr>
            </w:div>
            <w:div w:id="504328108">
              <w:marLeft w:val="0"/>
              <w:marRight w:val="0"/>
              <w:marTop w:val="0"/>
              <w:marBottom w:val="0"/>
              <w:divBdr>
                <w:top w:val="none" w:sz="0" w:space="0" w:color="auto"/>
                <w:left w:val="none" w:sz="0" w:space="0" w:color="auto"/>
                <w:bottom w:val="none" w:sz="0" w:space="0" w:color="auto"/>
                <w:right w:val="none" w:sz="0" w:space="0" w:color="auto"/>
              </w:divBdr>
            </w:div>
            <w:div w:id="15030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98510">
      <w:bodyDiv w:val="1"/>
      <w:marLeft w:val="0"/>
      <w:marRight w:val="0"/>
      <w:marTop w:val="0"/>
      <w:marBottom w:val="0"/>
      <w:divBdr>
        <w:top w:val="none" w:sz="0" w:space="0" w:color="auto"/>
        <w:left w:val="none" w:sz="0" w:space="0" w:color="auto"/>
        <w:bottom w:val="none" w:sz="0" w:space="0" w:color="auto"/>
        <w:right w:val="none" w:sz="0" w:space="0" w:color="auto"/>
      </w:divBdr>
      <w:divsChild>
        <w:div w:id="96026009">
          <w:marLeft w:val="0"/>
          <w:marRight w:val="0"/>
          <w:marTop w:val="0"/>
          <w:marBottom w:val="0"/>
          <w:divBdr>
            <w:top w:val="none" w:sz="0" w:space="0" w:color="auto"/>
            <w:left w:val="none" w:sz="0" w:space="0" w:color="auto"/>
            <w:bottom w:val="none" w:sz="0" w:space="0" w:color="auto"/>
            <w:right w:val="none" w:sz="0" w:space="0" w:color="auto"/>
          </w:divBdr>
        </w:div>
        <w:div w:id="522398681">
          <w:marLeft w:val="0"/>
          <w:marRight w:val="0"/>
          <w:marTop w:val="0"/>
          <w:marBottom w:val="0"/>
          <w:divBdr>
            <w:top w:val="none" w:sz="0" w:space="0" w:color="auto"/>
            <w:left w:val="none" w:sz="0" w:space="0" w:color="auto"/>
            <w:bottom w:val="none" w:sz="0" w:space="0" w:color="auto"/>
            <w:right w:val="none" w:sz="0" w:space="0" w:color="auto"/>
          </w:divBdr>
        </w:div>
        <w:div w:id="1230076701">
          <w:marLeft w:val="0"/>
          <w:marRight w:val="0"/>
          <w:marTop w:val="240"/>
          <w:marBottom w:val="240"/>
          <w:divBdr>
            <w:top w:val="none" w:sz="0" w:space="0" w:color="auto"/>
            <w:left w:val="none" w:sz="0" w:space="0" w:color="auto"/>
            <w:bottom w:val="none" w:sz="0" w:space="0" w:color="auto"/>
            <w:right w:val="none" w:sz="0" w:space="0" w:color="auto"/>
          </w:divBdr>
        </w:div>
        <w:div w:id="1842894355">
          <w:marLeft w:val="0"/>
          <w:marRight w:val="0"/>
          <w:marTop w:val="0"/>
          <w:marBottom w:val="0"/>
          <w:divBdr>
            <w:top w:val="none" w:sz="0" w:space="0" w:color="auto"/>
            <w:left w:val="none" w:sz="0" w:space="0" w:color="auto"/>
            <w:bottom w:val="none" w:sz="0" w:space="0" w:color="auto"/>
            <w:right w:val="none" w:sz="0" w:space="0" w:color="auto"/>
          </w:divBdr>
          <w:divsChild>
            <w:div w:id="886718441">
              <w:marLeft w:val="0"/>
              <w:marRight w:val="0"/>
              <w:marTop w:val="0"/>
              <w:marBottom w:val="0"/>
              <w:divBdr>
                <w:top w:val="none" w:sz="0" w:space="0" w:color="auto"/>
                <w:left w:val="none" w:sz="0" w:space="0" w:color="auto"/>
                <w:bottom w:val="none" w:sz="0" w:space="0" w:color="auto"/>
                <w:right w:val="none" w:sz="0" w:space="0" w:color="auto"/>
              </w:divBdr>
            </w:div>
          </w:divsChild>
        </w:div>
        <w:div w:id="6256881">
          <w:marLeft w:val="0"/>
          <w:marRight w:val="0"/>
          <w:marTop w:val="0"/>
          <w:marBottom w:val="0"/>
          <w:divBdr>
            <w:top w:val="none" w:sz="0" w:space="0" w:color="auto"/>
            <w:left w:val="none" w:sz="0" w:space="0" w:color="auto"/>
            <w:bottom w:val="none" w:sz="0" w:space="0" w:color="auto"/>
            <w:right w:val="none" w:sz="0" w:space="0" w:color="auto"/>
          </w:divBdr>
          <w:divsChild>
            <w:div w:id="383872442">
              <w:marLeft w:val="0"/>
              <w:marRight w:val="0"/>
              <w:marTop w:val="0"/>
              <w:marBottom w:val="0"/>
              <w:divBdr>
                <w:top w:val="none" w:sz="0" w:space="0" w:color="auto"/>
                <w:left w:val="none" w:sz="0" w:space="0" w:color="auto"/>
                <w:bottom w:val="none" w:sz="0" w:space="0" w:color="auto"/>
                <w:right w:val="none" w:sz="0" w:space="0" w:color="auto"/>
              </w:divBdr>
            </w:div>
            <w:div w:id="331641433">
              <w:marLeft w:val="0"/>
              <w:marRight w:val="0"/>
              <w:marTop w:val="0"/>
              <w:marBottom w:val="0"/>
              <w:divBdr>
                <w:top w:val="none" w:sz="0" w:space="0" w:color="auto"/>
                <w:left w:val="none" w:sz="0" w:space="0" w:color="auto"/>
                <w:bottom w:val="none" w:sz="0" w:space="0" w:color="auto"/>
                <w:right w:val="none" w:sz="0" w:space="0" w:color="auto"/>
              </w:divBdr>
            </w:div>
            <w:div w:id="1965960672">
              <w:marLeft w:val="0"/>
              <w:marRight w:val="0"/>
              <w:marTop w:val="0"/>
              <w:marBottom w:val="0"/>
              <w:divBdr>
                <w:top w:val="none" w:sz="0" w:space="0" w:color="auto"/>
                <w:left w:val="none" w:sz="0" w:space="0" w:color="auto"/>
                <w:bottom w:val="none" w:sz="0" w:space="0" w:color="auto"/>
                <w:right w:val="none" w:sz="0" w:space="0" w:color="auto"/>
              </w:divBdr>
            </w:div>
            <w:div w:id="3360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05977">
      <w:bodyDiv w:val="1"/>
      <w:marLeft w:val="0"/>
      <w:marRight w:val="0"/>
      <w:marTop w:val="0"/>
      <w:marBottom w:val="0"/>
      <w:divBdr>
        <w:top w:val="none" w:sz="0" w:space="0" w:color="auto"/>
        <w:left w:val="none" w:sz="0" w:space="0" w:color="auto"/>
        <w:bottom w:val="none" w:sz="0" w:space="0" w:color="auto"/>
        <w:right w:val="none" w:sz="0" w:space="0" w:color="auto"/>
      </w:divBdr>
      <w:divsChild>
        <w:div w:id="158859689">
          <w:marLeft w:val="0"/>
          <w:marRight w:val="0"/>
          <w:marTop w:val="0"/>
          <w:marBottom w:val="0"/>
          <w:divBdr>
            <w:top w:val="none" w:sz="0" w:space="0" w:color="auto"/>
            <w:left w:val="none" w:sz="0" w:space="0" w:color="auto"/>
            <w:bottom w:val="none" w:sz="0" w:space="0" w:color="auto"/>
            <w:right w:val="none" w:sz="0" w:space="0" w:color="auto"/>
          </w:divBdr>
        </w:div>
        <w:div w:id="665330063">
          <w:marLeft w:val="0"/>
          <w:marRight w:val="0"/>
          <w:marTop w:val="0"/>
          <w:marBottom w:val="0"/>
          <w:divBdr>
            <w:top w:val="none" w:sz="0" w:space="0" w:color="auto"/>
            <w:left w:val="none" w:sz="0" w:space="0" w:color="auto"/>
            <w:bottom w:val="none" w:sz="0" w:space="0" w:color="auto"/>
            <w:right w:val="none" w:sz="0" w:space="0" w:color="auto"/>
          </w:divBdr>
        </w:div>
        <w:div w:id="1984849569">
          <w:marLeft w:val="0"/>
          <w:marRight w:val="0"/>
          <w:marTop w:val="240"/>
          <w:marBottom w:val="240"/>
          <w:divBdr>
            <w:top w:val="none" w:sz="0" w:space="0" w:color="auto"/>
            <w:left w:val="none" w:sz="0" w:space="0" w:color="auto"/>
            <w:bottom w:val="none" w:sz="0" w:space="0" w:color="auto"/>
            <w:right w:val="none" w:sz="0" w:space="0" w:color="auto"/>
          </w:divBdr>
        </w:div>
        <w:div w:id="554702087">
          <w:marLeft w:val="0"/>
          <w:marRight w:val="0"/>
          <w:marTop w:val="0"/>
          <w:marBottom w:val="0"/>
          <w:divBdr>
            <w:top w:val="none" w:sz="0" w:space="0" w:color="auto"/>
            <w:left w:val="none" w:sz="0" w:space="0" w:color="auto"/>
            <w:bottom w:val="none" w:sz="0" w:space="0" w:color="auto"/>
            <w:right w:val="none" w:sz="0" w:space="0" w:color="auto"/>
          </w:divBdr>
          <w:divsChild>
            <w:div w:id="1535658063">
              <w:marLeft w:val="0"/>
              <w:marRight w:val="0"/>
              <w:marTop w:val="0"/>
              <w:marBottom w:val="0"/>
              <w:divBdr>
                <w:top w:val="none" w:sz="0" w:space="0" w:color="auto"/>
                <w:left w:val="none" w:sz="0" w:space="0" w:color="auto"/>
                <w:bottom w:val="none" w:sz="0" w:space="0" w:color="auto"/>
                <w:right w:val="none" w:sz="0" w:space="0" w:color="auto"/>
              </w:divBdr>
            </w:div>
          </w:divsChild>
        </w:div>
        <w:div w:id="1768765296">
          <w:marLeft w:val="0"/>
          <w:marRight w:val="0"/>
          <w:marTop w:val="0"/>
          <w:marBottom w:val="0"/>
          <w:divBdr>
            <w:top w:val="none" w:sz="0" w:space="0" w:color="auto"/>
            <w:left w:val="none" w:sz="0" w:space="0" w:color="auto"/>
            <w:bottom w:val="none" w:sz="0" w:space="0" w:color="auto"/>
            <w:right w:val="none" w:sz="0" w:space="0" w:color="auto"/>
          </w:divBdr>
          <w:divsChild>
            <w:div w:id="1391926786">
              <w:marLeft w:val="0"/>
              <w:marRight w:val="0"/>
              <w:marTop w:val="0"/>
              <w:marBottom w:val="0"/>
              <w:divBdr>
                <w:top w:val="none" w:sz="0" w:space="0" w:color="auto"/>
                <w:left w:val="none" w:sz="0" w:space="0" w:color="auto"/>
                <w:bottom w:val="none" w:sz="0" w:space="0" w:color="auto"/>
                <w:right w:val="none" w:sz="0" w:space="0" w:color="auto"/>
              </w:divBdr>
            </w:div>
            <w:div w:id="1351107940">
              <w:marLeft w:val="0"/>
              <w:marRight w:val="0"/>
              <w:marTop w:val="0"/>
              <w:marBottom w:val="0"/>
              <w:divBdr>
                <w:top w:val="none" w:sz="0" w:space="0" w:color="auto"/>
                <w:left w:val="none" w:sz="0" w:space="0" w:color="auto"/>
                <w:bottom w:val="none" w:sz="0" w:space="0" w:color="auto"/>
                <w:right w:val="none" w:sz="0" w:space="0" w:color="auto"/>
              </w:divBdr>
            </w:div>
            <w:div w:id="442848632">
              <w:marLeft w:val="0"/>
              <w:marRight w:val="0"/>
              <w:marTop w:val="0"/>
              <w:marBottom w:val="0"/>
              <w:divBdr>
                <w:top w:val="none" w:sz="0" w:space="0" w:color="auto"/>
                <w:left w:val="none" w:sz="0" w:space="0" w:color="auto"/>
                <w:bottom w:val="none" w:sz="0" w:space="0" w:color="auto"/>
                <w:right w:val="none" w:sz="0" w:space="0" w:color="auto"/>
              </w:divBdr>
            </w:div>
            <w:div w:id="469447885">
              <w:marLeft w:val="0"/>
              <w:marRight w:val="0"/>
              <w:marTop w:val="0"/>
              <w:marBottom w:val="0"/>
              <w:divBdr>
                <w:top w:val="none" w:sz="0" w:space="0" w:color="auto"/>
                <w:left w:val="none" w:sz="0" w:space="0" w:color="auto"/>
                <w:bottom w:val="none" w:sz="0" w:space="0" w:color="auto"/>
                <w:right w:val="none" w:sz="0" w:space="0" w:color="auto"/>
              </w:divBdr>
            </w:div>
            <w:div w:id="1560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ulkers@purdue.edu" TargetMode="External"/><Relationship Id="rId3" Type="http://schemas.openxmlformats.org/officeDocument/2006/relationships/webSettings" Target="webSettings.xml"/><Relationship Id="rId7" Type="http://schemas.openxmlformats.org/officeDocument/2006/relationships/hyperlink" Target="mailto:chrissyfischer5@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popRef2('ref1%20ref4%20ref5')" TargetMode="External"/><Relationship Id="rId5" Type="http://schemas.openxmlformats.org/officeDocument/2006/relationships/hyperlink" Target="javascript:popRef2('ref2%20ref3')" TargetMode="External"/><Relationship Id="rId10" Type="http://schemas.openxmlformats.org/officeDocument/2006/relationships/theme" Target="theme/theme1.xml"/><Relationship Id="rId4" Type="http://schemas.openxmlformats.org/officeDocument/2006/relationships/hyperlink" Target="javascript:popRef2('ref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CUVS</dc:creator>
  <cp:keywords/>
  <dc:description/>
  <cp:lastModifiedBy>Mail Service</cp:lastModifiedBy>
  <cp:revision>2</cp:revision>
  <dcterms:created xsi:type="dcterms:W3CDTF">2021-11-04T13:52:00Z</dcterms:created>
  <dcterms:modified xsi:type="dcterms:W3CDTF">2021-11-04T13:52:00Z</dcterms:modified>
</cp:coreProperties>
</file>