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F80146" w14:textId="77777777" w:rsidR="000951FF" w:rsidRPr="000951FF" w:rsidRDefault="000951FF">
      <w:pPr>
        <w:rPr>
          <w:b/>
          <w:bCs/>
        </w:rPr>
      </w:pPr>
      <w:r w:rsidRPr="000951FF">
        <w:rPr>
          <w:b/>
          <w:bCs/>
        </w:rPr>
        <w:t xml:space="preserve">Influence of muscle-sparing lateral thoracotomy on postoperative pain and lameness: A randomized clinical trial </w:t>
      </w:r>
    </w:p>
    <w:p w14:paraId="7B92AD8A" w14:textId="1533DED3" w:rsidR="000951FF" w:rsidRDefault="000951FF">
      <w:r w:rsidRPr="000951FF">
        <w:t>Anna E. Nutt BVM&amp;S, MANZCVS, DECVS, MRCVS1 | Toby G. Knowles BSc (Agric), MSc, PhD (</w:t>
      </w:r>
      <w:proofErr w:type="spellStart"/>
      <w:r w:rsidRPr="000951FF">
        <w:t>Cantab</w:t>
      </w:r>
      <w:proofErr w:type="spellEnd"/>
      <w:r w:rsidRPr="000951FF">
        <w:t xml:space="preserve">), </w:t>
      </w:r>
      <w:proofErr w:type="spellStart"/>
      <w:r w:rsidRPr="000951FF">
        <w:t>CStat</w:t>
      </w:r>
      <w:proofErr w:type="spellEnd"/>
      <w:r w:rsidRPr="000951FF">
        <w:t xml:space="preserve">, </w:t>
      </w:r>
      <w:proofErr w:type="spellStart"/>
      <w:r w:rsidRPr="000951FF">
        <w:t>CBiol</w:t>
      </w:r>
      <w:proofErr w:type="spellEnd"/>
      <w:r w:rsidRPr="000951FF">
        <w:t xml:space="preserve">, CSci, FRSB, FHEA1 | Neil G. Nutt MEng (Hons) Civil Engineering, CEng, MICE2 | Joanna C. Murrell BVSc (Hons), PhD, DECVAA, MRCVS1 | Darren </w:t>
      </w:r>
      <w:proofErr w:type="spellStart"/>
      <w:r w:rsidRPr="000951FF">
        <w:t>Carwardine</w:t>
      </w:r>
      <w:proofErr w:type="spellEnd"/>
      <w:r w:rsidRPr="000951FF">
        <w:t xml:space="preserve"> BVSc, MSc, PhD, FHEA, MRCVS1 | Lee B. </w:t>
      </w:r>
      <w:proofErr w:type="spellStart"/>
      <w:r w:rsidRPr="000951FF">
        <w:t>Meakin</w:t>
      </w:r>
      <w:proofErr w:type="spellEnd"/>
      <w:r w:rsidRPr="000951FF">
        <w:t xml:space="preserve"> MA, </w:t>
      </w:r>
      <w:proofErr w:type="spellStart"/>
      <w:r w:rsidRPr="000951FF">
        <w:t>MRes</w:t>
      </w:r>
      <w:proofErr w:type="spellEnd"/>
      <w:r w:rsidRPr="000951FF">
        <w:t xml:space="preserve">, PhD, VetMB, DECVS, MRCVS1 | Guillaume </w:t>
      </w:r>
      <w:proofErr w:type="spellStart"/>
      <w:r w:rsidRPr="000951FF">
        <w:t>Chanoit</w:t>
      </w:r>
      <w:proofErr w:type="spellEnd"/>
      <w:r w:rsidRPr="000951FF">
        <w:t xml:space="preserve"> DEDV, PhD, DECVS, DACVS, FHEA, FRCVS1</w:t>
      </w:r>
    </w:p>
    <w:p w14:paraId="1A114ED2" w14:textId="25099480" w:rsidR="000951FF" w:rsidRDefault="000951FF">
      <w:r w:rsidRPr="000951FF">
        <w:t xml:space="preserve">Abstract </w:t>
      </w:r>
    </w:p>
    <w:p w14:paraId="4EDE3E13" w14:textId="77777777" w:rsidR="000951FF" w:rsidRDefault="000951FF">
      <w:r w:rsidRPr="000951FF">
        <w:t xml:space="preserve">Objective: To assess and compare the magnitude of lameness and level of pain after muscle-sparing lateral thoracotomy (MSLT) and standard lateral thoracotomy (SLT) in dogs. </w:t>
      </w:r>
    </w:p>
    <w:p w14:paraId="06B5E0E3" w14:textId="77777777" w:rsidR="000951FF" w:rsidRDefault="000951FF">
      <w:r w:rsidRPr="000951FF">
        <w:t xml:space="preserve">Study design: Randomized, blinded, prospective clinical study. </w:t>
      </w:r>
    </w:p>
    <w:p w14:paraId="18492A27" w14:textId="77777777" w:rsidR="000951FF" w:rsidRDefault="000951FF">
      <w:r w:rsidRPr="000951FF">
        <w:t xml:space="preserve">Animals: Twenty-eight client-owned dogs. </w:t>
      </w:r>
    </w:p>
    <w:p w14:paraId="1EF7AD98" w14:textId="77777777" w:rsidR="000951FF" w:rsidRDefault="000951FF">
      <w:r w:rsidRPr="000951FF">
        <w:t xml:space="preserve">Methods: The latissimus dorsi muscle was retracted in the MSLT group and was transected in the SLT group. Gait was analyzed with a force plate, and the peak vertical force symmetry index (SI) was calculated within 24 hours before surgery, 3 days postoperatively, and 8 to 12 weeks postoperatively. Symmetry index and pain scores as measured by the Glasgow Composite Measure Pain Scale - Short Form were assessed as primary outcome measures. </w:t>
      </w:r>
    </w:p>
    <w:p w14:paraId="7E52EBE9" w14:textId="77777777" w:rsidR="000951FF" w:rsidRDefault="000951FF">
      <w:r w:rsidRPr="000951FF">
        <w:t xml:space="preserve">Results: The SI 3 days postoperatively was lower compared with the preoperative SI value in all dogs, consistent with lameness of the ipsilateral thoracic limb (P &lt; .001). The absolute differences in preoperative and 3-daypostoperative SI provided evidence that this change was 3.1-fold greater after SLT compared with after MSLT (P = .009). Pain scores 1 day after surgery were lower after MSLT (1) compared with after SLT (2.5, P &lt; .001). </w:t>
      </w:r>
    </w:p>
    <w:p w14:paraId="00C1574D" w14:textId="1ECB74F7" w:rsidR="000951FF" w:rsidRDefault="000951FF">
      <w:r w:rsidRPr="000951FF">
        <w:t>Conclusion: Lateral thoracotomies caused postoperative pain and ipsilateral forelimb lameness, and both were reduced by sparing the latissimus dorsi.</w:t>
      </w:r>
    </w:p>
    <w:p w14:paraId="0C8C2611" w14:textId="77777777" w:rsidR="000951FF" w:rsidRPr="000951FF" w:rsidRDefault="000951FF">
      <w:pPr>
        <w:rPr>
          <w:b/>
          <w:bCs/>
        </w:rPr>
      </w:pPr>
      <w:r w:rsidRPr="000951FF">
        <w:rPr>
          <w:b/>
          <w:bCs/>
        </w:rPr>
        <w:t xml:space="preserve">Ex vivo comparison of leak testing of canine jejunal enterotomies: Saline infusion versus air insufflation </w:t>
      </w:r>
    </w:p>
    <w:p w14:paraId="46E43272" w14:textId="779D0BB3" w:rsidR="000951FF" w:rsidRDefault="000951FF">
      <w:r w:rsidRPr="000951FF">
        <w:t xml:space="preserve">Kaitlyn M. Mullen DVM, MS1 | Penny J. </w:t>
      </w:r>
      <w:proofErr w:type="spellStart"/>
      <w:r w:rsidRPr="000951FF">
        <w:t>Regier</w:t>
      </w:r>
      <w:proofErr w:type="spellEnd"/>
      <w:r w:rsidRPr="000951FF">
        <w:t xml:space="preserve"> DVM, MS1 | Monica </w:t>
      </w:r>
      <w:proofErr w:type="spellStart"/>
      <w:r w:rsidRPr="000951FF">
        <w:t>Waln</w:t>
      </w:r>
      <w:proofErr w:type="spellEnd"/>
      <w:r w:rsidRPr="000951FF">
        <w:t xml:space="preserve"> BS1 | James </w:t>
      </w:r>
      <w:proofErr w:type="spellStart"/>
      <w:r w:rsidRPr="000951FF">
        <w:t>Colee</w:t>
      </w:r>
      <w:proofErr w:type="spellEnd"/>
      <w:r w:rsidRPr="000951FF">
        <w:t xml:space="preserve"> PhD2</w:t>
      </w:r>
    </w:p>
    <w:p w14:paraId="14B89CFE" w14:textId="77777777" w:rsidR="000951FF" w:rsidRDefault="000951FF">
      <w:r w:rsidRPr="000951FF">
        <w:t xml:space="preserve">Abstract </w:t>
      </w:r>
    </w:p>
    <w:p w14:paraId="7CD865D2" w14:textId="77777777" w:rsidR="000951FF" w:rsidRDefault="000951FF">
      <w:r w:rsidRPr="000951FF">
        <w:t xml:space="preserve">Objective: To compare the ability to detect leakage of enterotomy closures by intraluminal injection of saline or air. </w:t>
      </w:r>
    </w:p>
    <w:p w14:paraId="353113BC" w14:textId="77777777" w:rsidR="000951FF" w:rsidRDefault="000951FF">
      <w:r w:rsidRPr="000951FF">
        <w:t xml:space="preserve">Study Design: Ex vivo study. </w:t>
      </w:r>
    </w:p>
    <w:p w14:paraId="396F6047" w14:textId="77777777" w:rsidR="000951FF" w:rsidRDefault="000951FF">
      <w:r w:rsidRPr="000951FF">
        <w:t xml:space="preserve">Animals: Grossly normal jejunal segments (n = 60) from five fresh canine cadavers. </w:t>
      </w:r>
    </w:p>
    <w:p w14:paraId="6190C164" w14:textId="77777777" w:rsidR="000951FF" w:rsidRDefault="000951FF">
      <w:r w:rsidRPr="000951FF">
        <w:t xml:space="preserve">Methods: Eight-centimeter jejunal segments were randomly assigned to two control (saline control [n = 5], air control [5]) and two treatment groups (injection of saline [n = 25] or air [25] after enterotomies were closed in a simple continuous pattern using 4–0 </w:t>
      </w:r>
      <w:proofErr w:type="spellStart"/>
      <w:r w:rsidRPr="000951FF">
        <w:t>glycomer</w:t>
      </w:r>
      <w:proofErr w:type="spellEnd"/>
      <w:r w:rsidRPr="000951FF">
        <w:t xml:space="preserve"> 631). Initial leak pressure (ILP, mean ± </w:t>
      </w:r>
      <w:r w:rsidRPr="000951FF">
        <w:lastRenderedPageBreak/>
        <w:t xml:space="preserve">SD), maximum intraluminal pressure (MIP), and leakage location were compared. For all air insufflation constructs, the volume of air insufflated at the time of initial leakage was recorded. </w:t>
      </w:r>
    </w:p>
    <w:p w14:paraId="1328FB6F" w14:textId="77777777" w:rsidR="000951FF" w:rsidRDefault="000951FF">
      <w:r w:rsidRPr="000951FF">
        <w:t xml:space="preserve">Results: The ILPs of control segments did not differ whether injected with saline (405.71 ± 56.97 mmHg) or air (376.84 ± 42.54, p = 1.00). Enterotomy closures leaked at lower pressures when injected with air (ILP: 68.52 ± 6.56) compared to saline (87.76 ± 5.20, p = .03). Similar results were obtained when comparing MIPs. A moderate association (r = .51) was identified between volume of air infused and ILPs. The strength of the association improved when stratified by cadaver. The location of leakage—most commonly suture tracks—was identified for all air constructs and for 14 of 25 saline constructs. </w:t>
      </w:r>
    </w:p>
    <w:p w14:paraId="62D62828" w14:textId="77777777" w:rsidR="000951FF" w:rsidRDefault="000951FF">
      <w:r w:rsidRPr="000951FF">
        <w:t xml:space="preserve">Conclusion: Enterotomy closures leaked at lower pressures after intraluminal injection of air compared to saline. </w:t>
      </w:r>
    </w:p>
    <w:p w14:paraId="5ED6D4B3" w14:textId="2642918A" w:rsidR="000951FF" w:rsidRDefault="000951FF">
      <w:r w:rsidRPr="000951FF">
        <w:t xml:space="preserve">Clinical Significance: Intraoperative leak testing of small intestinal enterotomy closures may be rendered more sensitive and precise </w:t>
      </w:r>
      <w:proofErr w:type="gramStart"/>
      <w:r w:rsidRPr="000951FF">
        <w:t>by the use of</w:t>
      </w:r>
      <w:proofErr w:type="gramEnd"/>
      <w:r w:rsidRPr="000951FF">
        <w:t xml:space="preserve"> air instead of saline as the </w:t>
      </w:r>
      <w:proofErr w:type="spellStart"/>
      <w:r w:rsidRPr="000951FF">
        <w:t>infusate</w:t>
      </w:r>
      <w:proofErr w:type="spellEnd"/>
      <w:r w:rsidRPr="000951FF">
        <w:t>.</w:t>
      </w:r>
    </w:p>
    <w:p w14:paraId="4BBD833D" w14:textId="77777777" w:rsidR="000951FF" w:rsidRPr="000951FF" w:rsidRDefault="000951FF">
      <w:pPr>
        <w:rPr>
          <w:b/>
          <w:bCs/>
        </w:rPr>
      </w:pPr>
      <w:r w:rsidRPr="000951FF">
        <w:rPr>
          <w:b/>
          <w:bCs/>
        </w:rPr>
        <w:t xml:space="preserve">Influence of preconstructed effector loop location using a barbed unidirectional suture on leakage pressures following canine enterotomy closure </w:t>
      </w:r>
    </w:p>
    <w:p w14:paraId="4709F044" w14:textId="40608950" w:rsidR="000951FF" w:rsidRDefault="000951FF">
      <w:r w:rsidRPr="000951FF">
        <w:t>Yi-Jen Chang BVetMed, MS1 | Daniel J. Duffy BVM&amp;S(Hons.), MS, FHEA, MRCVS, Diplomate ACVS-SA, DECVS, RCVS and EBVS Recognized Specialist in Small Animal Surgery1 | George E. Moore DVM, PhD, ACVIM (SAIM)2</w:t>
      </w:r>
    </w:p>
    <w:p w14:paraId="722ACEDB" w14:textId="77777777" w:rsidR="000951FF" w:rsidRDefault="000951FF">
      <w:r>
        <w:t>Abstract</w:t>
      </w:r>
    </w:p>
    <w:p w14:paraId="098620AA" w14:textId="77777777" w:rsidR="000951FF" w:rsidRDefault="000951FF">
      <w:r>
        <w:t xml:space="preserve">Objective: To evaluate the influence of preconstructed effector loop location using a barbed unidirectional suture on leakage pressures following canine enterotomy closure. </w:t>
      </w:r>
    </w:p>
    <w:p w14:paraId="0562C803" w14:textId="77777777" w:rsidR="000951FF" w:rsidRDefault="000951FF">
      <w:r>
        <w:t xml:space="preserve">Study design: Randomized, experimental, cadaveric. Animals or sample population: Grossly normal jejunal segments from three canine cadavers. </w:t>
      </w:r>
    </w:p>
    <w:p w14:paraId="42ECA08A" w14:textId="77777777" w:rsidR="000951FF" w:rsidRDefault="000951FF">
      <w:r>
        <w:t xml:space="preserve">Methods: Jejunal segments were harvested and randomly assigned based upon effector loop location from the beginning of the incisional line. Groups (n = 12/group) included 0 mm, 5 mm, 10 mm, 15 mm, and intact controls (n = 6/group), repaired using a 3–0 unidirectional barbed suture in a simple continuous pattern. Initial leakage pressure (ILP), maximum intraluminal pressure (MIP), repair time, and leakage location were recorded. </w:t>
      </w:r>
    </w:p>
    <w:p w14:paraId="0B5CEF46" w14:textId="77777777" w:rsidR="000951FF" w:rsidRDefault="000951FF">
      <w:r>
        <w:t xml:space="preserve">Results: Mean ILP for 0 mm group (24.42 ± 8.43 mmHg) was lower (p ≤ .001) compared to all experimental groups with ILP </w:t>
      </w:r>
      <w:r>
        <w:t xml:space="preserve">40% lower. There was no difference in MIP among experimental groups (p = .239). Repair time increased (p &lt; .0001) as the distance of the effector loop increased ≥5 mm from the beginning of the incisional line. Leakage location differed among groups (p &lt; .001) with leakage in the 0 mm group from the incisional line (75%), compared to leakage from predominantly from the suture holes in other groups, respectively. </w:t>
      </w:r>
    </w:p>
    <w:p w14:paraId="3F2655EF" w14:textId="77777777" w:rsidR="000951FF" w:rsidRDefault="000951FF">
      <w:r>
        <w:t xml:space="preserve">Conclusion: Effector loop location influenced ILP and leakage location. Effector loops placed at the beginning of the incisional line (0 mm) decreased ILP compared to loops placed at 5, 10, and 15 mm. </w:t>
      </w:r>
    </w:p>
    <w:p w14:paraId="528086D9" w14:textId="3CBB8692" w:rsidR="000951FF" w:rsidRDefault="000951FF">
      <w:r>
        <w:t>Clinical significance: Effector loop location using a unidirectional barbed suture should be placed ≥5 mm from beginning of the incisional line for enterotomy closure. Further in vivo studies are necessary to determine the clinical significance of these findings.</w:t>
      </w:r>
    </w:p>
    <w:p w14:paraId="63D524DA" w14:textId="77777777" w:rsidR="000951FF" w:rsidRPr="000951FF" w:rsidRDefault="000951FF">
      <w:pPr>
        <w:rPr>
          <w:b/>
          <w:bCs/>
        </w:rPr>
      </w:pPr>
      <w:r w:rsidRPr="000951FF">
        <w:rPr>
          <w:b/>
          <w:bCs/>
        </w:rPr>
        <w:t xml:space="preserve">Influence of </w:t>
      </w:r>
      <w:proofErr w:type="spellStart"/>
      <w:r w:rsidRPr="000951FF">
        <w:rPr>
          <w:b/>
          <w:bCs/>
        </w:rPr>
        <w:t>doxapram</w:t>
      </w:r>
      <w:proofErr w:type="spellEnd"/>
      <w:r w:rsidRPr="000951FF">
        <w:rPr>
          <w:b/>
          <w:bCs/>
        </w:rPr>
        <w:t xml:space="preserve"> and intermittent 10% carbon dioxide inspiration on cardiovascular and laryngeal functions in anesthetized dogs </w:t>
      </w:r>
    </w:p>
    <w:p w14:paraId="0126533A" w14:textId="02F3A075" w:rsidR="000951FF" w:rsidRDefault="000951FF">
      <w:r>
        <w:t xml:space="preserve">Daniel M. Sakai DVM, DACVAA1 | Shenise L. Howard DVM1 | Rachel A. Reed DVM, DACVAA2 | Jane E. </w:t>
      </w:r>
      <w:proofErr w:type="spellStart"/>
      <w:r>
        <w:t>Quandt</w:t>
      </w:r>
      <w:proofErr w:type="spellEnd"/>
      <w:r>
        <w:t xml:space="preserve"> DVM, MS, DACVAA, DACVECC1 | Michele Barletta DVM, MS, PhD, DACVAA2 | Mandy L. Wallace DVM, MS, DACVS-SA1 | Janet A. Grimes DVM, MS, DACVS-SA1 | Chad W. </w:t>
      </w:r>
      <w:proofErr w:type="spellStart"/>
      <w:r>
        <w:t>Schmiedt</w:t>
      </w:r>
      <w:proofErr w:type="spellEnd"/>
      <w:r>
        <w:t xml:space="preserve"> DVM, DACVS-SA1</w:t>
      </w:r>
    </w:p>
    <w:p w14:paraId="3BF9E5D7" w14:textId="77777777" w:rsidR="000951FF" w:rsidRDefault="000951FF">
      <w:r>
        <w:t xml:space="preserve">Abstract </w:t>
      </w:r>
    </w:p>
    <w:p w14:paraId="0BC30E63" w14:textId="77777777" w:rsidR="000951FF" w:rsidRDefault="000951FF">
      <w:r>
        <w:t xml:space="preserve">Objective: To compare the effects of two doses of </w:t>
      </w:r>
      <w:proofErr w:type="spellStart"/>
      <w:r>
        <w:t>doxapram</w:t>
      </w:r>
      <w:proofErr w:type="spellEnd"/>
      <w:r>
        <w:t xml:space="preserve"> intravenous injection and carbon dioxide inhalation on the cardiovascular and laryngeal functions of anesthetized hounds. </w:t>
      </w:r>
    </w:p>
    <w:p w14:paraId="180C15BD" w14:textId="22AAC137" w:rsidR="000951FF" w:rsidRDefault="000951FF">
      <w:r>
        <w:t xml:space="preserve">Study Design: Experimental study. </w:t>
      </w:r>
    </w:p>
    <w:p w14:paraId="37ABDDD9" w14:textId="77777777" w:rsidR="000951FF" w:rsidRDefault="000951FF">
      <w:r>
        <w:t xml:space="preserve">Animals: Six healthy adult dogs. </w:t>
      </w:r>
    </w:p>
    <w:p w14:paraId="2FE357DA" w14:textId="77777777" w:rsidR="000951FF" w:rsidRDefault="000951FF">
      <w:r>
        <w:t>Methods: In a Latin-square design, the mean arterial blood pressure (MABP) and heart rate (HR) were recorded continuously. The inspiratory normalized glottic gap areas (</w:t>
      </w:r>
      <w:proofErr w:type="spellStart"/>
      <w:r>
        <w:t>iNGGA</w:t>
      </w:r>
      <w:proofErr w:type="spellEnd"/>
      <w:r>
        <w:t xml:space="preserve">) were measured before and after each stimulation with 0.55 mg/kg of </w:t>
      </w:r>
      <w:proofErr w:type="spellStart"/>
      <w:r>
        <w:t>doxapram</w:t>
      </w:r>
      <w:proofErr w:type="spellEnd"/>
      <w:r>
        <w:t xml:space="preserve"> (L-DOX), 2.2 mg/kg of </w:t>
      </w:r>
      <w:proofErr w:type="spellStart"/>
      <w:r>
        <w:t>doxapram</w:t>
      </w:r>
      <w:proofErr w:type="spellEnd"/>
      <w:r>
        <w:t xml:space="preserve"> (H-DOX), or 90 s of inhalation of 10% carbon dioxide in oxygen (I-CO2). The stimulations were tested in duplicate or triplicate. Video clips of the laryngeal movement were scored by board-certified surgeons masked to the treatment. </w:t>
      </w:r>
    </w:p>
    <w:p w14:paraId="1152C185" w14:textId="77777777" w:rsidR="000951FF" w:rsidRDefault="000951FF">
      <w:r>
        <w:t>Results: The MABP increased with L-DOX and H-DOX up to 81% (both p &lt; .001 compared to I-CO2</w:t>
      </w:r>
      <w:proofErr w:type="gramStart"/>
      <w:r>
        <w:t>), and</w:t>
      </w:r>
      <w:proofErr w:type="gramEnd"/>
      <w:r>
        <w:t xml:space="preserve"> persisted during the other stimulations (both p &lt; .001). An intermittent tachycardic effect of up to 79% increase in HR was observed with </w:t>
      </w:r>
      <w:proofErr w:type="spellStart"/>
      <w:r>
        <w:t>doxapram</w:t>
      </w:r>
      <w:proofErr w:type="spellEnd"/>
      <w:r>
        <w:t xml:space="preserve">. The HR following H-DOX was higher than L-DOX and I-CO2 (both p &lt; .016). Neither hypertension nor tachycardia was observed with I-CO2. The </w:t>
      </w:r>
      <w:proofErr w:type="spellStart"/>
      <w:r>
        <w:t>iNGGA</w:t>
      </w:r>
      <w:proofErr w:type="spellEnd"/>
      <w:r>
        <w:t xml:space="preserve"> increased with all treatments (p &lt; .001). The </w:t>
      </w:r>
      <w:proofErr w:type="spellStart"/>
      <w:r>
        <w:t>iNGGA</w:t>
      </w:r>
      <w:proofErr w:type="spellEnd"/>
      <w:r>
        <w:t xml:space="preserve"> was greater with HDOX than L-DOX and I-CO2 (both p &lt; .007). All treatments received higher scores (all p &lt; .001) with acceptable inter- and intra-observers </w:t>
      </w:r>
      <w:proofErr w:type="spellStart"/>
      <w:r>
        <w:t>Krippendorff's</w:t>
      </w:r>
      <w:proofErr w:type="spellEnd"/>
      <w:r>
        <w:t xml:space="preserve"> alphas. </w:t>
      </w:r>
    </w:p>
    <w:p w14:paraId="575F5323" w14:textId="2ED6CB15" w:rsidR="000951FF" w:rsidRDefault="000951FF">
      <w:r>
        <w:t xml:space="preserve">Conclusion: All treatments were effective respiratory stimulants in anesthetized dogs; however, </w:t>
      </w:r>
      <w:proofErr w:type="spellStart"/>
      <w:r>
        <w:t>doxapram</w:t>
      </w:r>
      <w:proofErr w:type="spellEnd"/>
      <w:r>
        <w:t xml:space="preserve"> caused hypertension and tachycardia.</w:t>
      </w:r>
    </w:p>
    <w:p w14:paraId="51486F92" w14:textId="77777777" w:rsidR="000951FF" w:rsidRPr="000951FF" w:rsidRDefault="000951FF">
      <w:pPr>
        <w:rPr>
          <w:b/>
          <w:bCs/>
        </w:rPr>
      </w:pPr>
      <w:r w:rsidRPr="000951FF">
        <w:rPr>
          <w:b/>
          <w:bCs/>
        </w:rPr>
        <w:t xml:space="preserve">Outcomes of nine cats with urinary retention after </w:t>
      </w:r>
      <w:proofErr w:type="spellStart"/>
      <w:r w:rsidRPr="000951FF">
        <w:rPr>
          <w:b/>
          <w:bCs/>
        </w:rPr>
        <w:t>sacrocaudal</w:t>
      </w:r>
      <w:proofErr w:type="spellEnd"/>
      <w:r w:rsidRPr="000951FF">
        <w:rPr>
          <w:b/>
          <w:bCs/>
        </w:rPr>
        <w:t xml:space="preserve"> luxation managed with long-term urinary diversion </w:t>
      </w:r>
    </w:p>
    <w:p w14:paraId="0139AE36" w14:textId="62ED1525" w:rsidR="000951FF" w:rsidRDefault="000951FF">
      <w:r>
        <w:t xml:space="preserve">Marcos Garcia </w:t>
      </w:r>
      <w:proofErr w:type="spellStart"/>
      <w:r>
        <w:t>Ldo</w:t>
      </w:r>
      <w:proofErr w:type="spellEnd"/>
      <w:r>
        <w:t xml:space="preserve"> Med Vet | Caroline </w:t>
      </w:r>
      <w:proofErr w:type="spellStart"/>
      <w:r>
        <w:t>Dumartinet</w:t>
      </w:r>
      <w:proofErr w:type="spellEnd"/>
      <w:r>
        <w:t xml:space="preserve"> DVM | Fabrice Bernard DVM, DECVS | Antoine </w:t>
      </w:r>
      <w:proofErr w:type="spellStart"/>
      <w:r>
        <w:t>Bernardé</w:t>
      </w:r>
      <w:proofErr w:type="spellEnd"/>
      <w:r>
        <w:t xml:space="preserve"> DVM, MS, DECV</w:t>
      </w:r>
      <w:r>
        <w:t>S</w:t>
      </w:r>
    </w:p>
    <w:p w14:paraId="631748CA" w14:textId="77777777" w:rsidR="000951FF" w:rsidRDefault="000951FF">
      <w:r>
        <w:t xml:space="preserve">Abstract </w:t>
      </w:r>
    </w:p>
    <w:p w14:paraId="1AA2EF83" w14:textId="77777777" w:rsidR="000951FF" w:rsidRDefault="000951FF">
      <w:r>
        <w:t xml:space="preserve">Objective: To document the outcomes of cats with urinary retention (UR) after </w:t>
      </w:r>
      <w:proofErr w:type="spellStart"/>
      <w:r>
        <w:t>sacrocaudal</w:t>
      </w:r>
      <w:proofErr w:type="spellEnd"/>
      <w:r>
        <w:t xml:space="preserve"> luxation (SCL) and managed with a long-term cystostomy (LTC). </w:t>
      </w:r>
    </w:p>
    <w:p w14:paraId="4B257F4F" w14:textId="77777777" w:rsidR="000951FF" w:rsidRDefault="000951FF">
      <w:r>
        <w:t xml:space="preserve">Study Design: Short case series. </w:t>
      </w:r>
    </w:p>
    <w:p w14:paraId="0D4AA85C" w14:textId="77777777" w:rsidR="000951FF" w:rsidRDefault="000951FF">
      <w:r>
        <w:t xml:space="preserve">Animals: Nine client-owned cats with SCL and subsequent UR. </w:t>
      </w:r>
    </w:p>
    <w:p w14:paraId="074FA14B" w14:textId="77777777" w:rsidR="000951FF" w:rsidRDefault="000951FF">
      <w:r>
        <w:t xml:space="preserve">Methods: Nine cats suffering from non-relievable UR secondary to SCL, between March 2013 and December 2020, had a LTC placed 4.5 days post-SCL (mean, range 3.5–6.0), until clinical evidence of normal urination recovery. The bladder was emptied at least twice daily. No antimicrobial was given during LTC. Indication for tube removal was voluntary micturition with complete emptying for a minimum of three consecutive days. Recheck examinations were scheduled for post-SCL days 7 and 14, as well as for LTC tube removal. Minor and major complications and length of LTC use were recorded. </w:t>
      </w:r>
    </w:p>
    <w:p w14:paraId="497A2A9A" w14:textId="6EC143B6" w:rsidR="000951FF" w:rsidRDefault="000951FF">
      <w:r>
        <w:t xml:space="preserve">Results: The LTC was removed 11–42 days (mean 26 days) after placement. All cats recovered normal micturition spontaneously within 17–47 days </w:t>
      </w:r>
      <w:proofErr w:type="spellStart"/>
      <w:r>
        <w:t>postSCL</w:t>
      </w:r>
      <w:proofErr w:type="spellEnd"/>
      <w:r>
        <w:t xml:space="preserve"> (mean 30.7 days): 1 cat between the 2nd and 3rd weeks, 5 cats between the 3rd and 4th weeks, and 3 cats &gt;30 days after the trauma. Major complications, such tube dislodgement, occurred in two cats, whereas complications resolving after tube removal were recorded in 6 cats. </w:t>
      </w:r>
    </w:p>
    <w:p w14:paraId="3C5115DE" w14:textId="14EB7D9C" w:rsidR="000951FF" w:rsidRDefault="000951FF">
      <w:r>
        <w:t>Conclusion: LTC was effective at managing UR post-SCL in 9 cats. All cats recovered normal urinary function within 7 weeks. Clinical Significance: LTC can be an alternative to manual expression or bladder catheterization in cats with temporary UR after SCL.</w:t>
      </w:r>
    </w:p>
    <w:p w14:paraId="3899E24D" w14:textId="77777777" w:rsidR="000951FF" w:rsidRPr="000951FF" w:rsidRDefault="000951FF">
      <w:pPr>
        <w:rPr>
          <w:b/>
          <w:bCs/>
        </w:rPr>
      </w:pPr>
      <w:r w:rsidRPr="000951FF">
        <w:rPr>
          <w:b/>
          <w:bCs/>
        </w:rPr>
        <w:t xml:space="preserve">Early and aggressive surgical debridement and negative pressure wound therapy to treat necrotizing fasciitis in three dogs </w:t>
      </w:r>
    </w:p>
    <w:p w14:paraId="293E8877" w14:textId="028B6DA2" w:rsidR="000951FF" w:rsidRDefault="000951FF">
      <w:r>
        <w:t xml:space="preserve">Alicia </w:t>
      </w:r>
      <w:proofErr w:type="spellStart"/>
      <w:r>
        <w:t>Mastrocco</w:t>
      </w:r>
      <w:proofErr w:type="spellEnd"/>
      <w:r>
        <w:t xml:space="preserve"> DVM, DACVECC | Jennifer </w:t>
      </w:r>
      <w:proofErr w:type="spellStart"/>
      <w:r>
        <w:t>Prittie</w:t>
      </w:r>
      <w:proofErr w:type="spellEnd"/>
      <w:r>
        <w:t xml:space="preserve"> DVM, DACVIM (SAIM), DACVECC</w:t>
      </w:r>
    </w:p>
    <w:p w14:paraId="1288E50E" w14:textId="77777777" w:rsidR="000951FF" w:rsidRDefault="000951FF">
      <w:r>
        <w:t xml:space="preserve">Abstract </w:t>
      </w:r>
    </w:p>
    <w:p w14:paraId="1C45E441" w14:textId="77777777" w:rsidR="000951FF" w:rsidRDefault="000951FF">
      <w:r>
        <w:t xml:space="preserve">Objective: To report the management and outcomes of dogs with necrotizing fasciitis (NF) treated with early, aggressive surgical debridement and negative pressure wound therapy (NPWT). </w:t>
      </w:r>
    </w:p>
    <w:p w14:paraId="2F9BB03E" w14:textId="77777777" w:rsidR="000951FF" w:rsidRDefault="000951FF">
      <w:r>
        <w:t xml:space="preserve">Study design: </w:t>
      </w:r>
      <w:proofErr w:type="gramStart"/>
      <w:r>
        <w:t>Short</w:t>
      </w:r>
      <w:proofErr w:type="gramEnd"/>
      <w:r>
        <w:t xml:space="preserve"> case series. </w:t>
      </w:r>
    </w:p>
    <w:p w14:paraId="5DBF248D" w14:textId="77777777" w:rsidR="000951FF" w:rsidRDefault="000951FF">
      <w:r>
        <w:t xml:space="preserve">Animals: Three dogs surgically treated for NF. Methods: Clinical signs in the three dogs included an identified wound, severe pain, fever, and progressive erythema. A tentative diagnosis of NF was based on the presence of suppurative inflammation and intracellular bacteria seen in fine needle aspirates and clinical progression in each case. Each dog was treated with surgical debridement within 6 hours of clinical suspicion for NF. Necrosis affected multiple tissue layers was noted surgical exploration. Systemic supportive care and </w:t>
      </w:r>
      <w:proofErr w:type="spellStart"/>
      <w:r>
        <w:t>antibiotherapy</w:t>
      </w:r>
      <w:proofErr w:type="spellEnd"/>
      <w:r>
        <w:t xml:space="preserve"> were also provided for 3 to 4 weeks postoperatively. </w:t>
      </w:r>
    </w:p>
    <w:p w14:paraId="17AC91D7" w14:textId="77777777" w:rsidR="000951FF" w:rsidRDefault="000951FF">
      <w:r>
        <w:t xml:space="preserve">Results: Three surgical </w:t>
      </w:r>
      <w:proofErr w:type="spellStart"/>
      <w:r>
        <w:t>debridements</w:t>
      </w:r>
      <w:proofErr w:type="spellEnd"/>
      <w:r>
        <w:t xml:space="preserve"> were required in two dogs, and four surgical </w:t>
      </w:r>
      <w:proofErr w:type="spellStart"/>
      <w:r>
        <w:t>debridements</w:t>
      </w:r>
      <w:proofErr w:type="spellEnd"/>
      <w:r>
        <w:t xml:space="preserve"> were required in one dog. </w:t>
      </w:r>
      <w:proofErr w:type="gramStart"/>
      <w:r>
        <w:t>All of</w:t>
      </w:r>
      <w:proofErr w:type="gramEnd"/>
      <w:r>
        <w:t xml:space="preserve"> the surgical sites were managed with NPWT until final primary closure was possible at 4, 5, and 6 days after initial surgery. Results of histopathology and culture of the surgical sites were consistent with NF as described in each case. All dogs survived to discharge and long-term follow up. </w:t>
      </w:r>
    </w:p>
    <w:p w14:paraId="39F9822B" w14:textId="5263B581" w:rsidR="000951FF" w:rsidRDefault="000951FF">
      <w:r>
        <w:t xml:space="preserve">Conclusion: Management with early surgery, multiple </w:t>
      </w:r>
      <w:proofErr w:type="spellStart"/>
      <w:r>
        <w:t>debridements</w:t>
      </w:r>
      <w:proofErr w:type="spellEnd"/>
      <w:r>
        <w:t>, and the use of NPWT led to resolution of NF in three dogs.</w:t>
      </w:r>
    </w:p>
    <w:p w14:paraId="309CC63A" w14:textId="77777777" w:rsidR="000951FF" w:rsidRPr="000951FF" w:rsidRDefault="000951FF">
      <w:pPr>
        <w:rPr>
          <w:b/>
          <w:bCs/>
        </w:rPr>
      </w:pPr>
      <w:r w:rsidRPr="000951FF">
        <w:rPr>
          <w:b/>
          <w:bCs/>
        </w:rPr>
        <w:t xml:space="preserve">The effects of a proprietary Manuka honey and essential oil hydrogel on the healing of acute full-thickness wounds in dogs </w:t>
      </w:r>
    </w:p>
    <w:p w14:paraId="5636EBE1" w14:textId="096D7C82" w:rsidR="000951FF" w:rsidRDefault="000951FF">
      <w:r>
        <w:t xml:space="preserve">Raphael L. </w:t>
      </w:r>
      <w:proofErr w:type="spellStart"/>
      <w:r>
        <w:t>Repellin</w:t>
      </w:r>
      <w:proofErr w:type="spellEnd"/>
      <w:r>
        <w:t xml:space="preserve"> DVM1 | Kathryn A. Pitt DVM, MS, DACVS-SA1 | Ming Lu MS, DVM1 | Jamie Welker DVM1 | Erica L. Noland MS, DVM, DACVP2 | Bryden J. Stanley BVMS, MANZCVS, </w:t>
      </w:r>
      <w:proofErr w:type="spellStart"/>
      <w:r>
        <w:t>MVetSc</w:t>
      </w:r>
      <w:proofErr w:type="spellEnd"/>
      <w:r>
        <w:t>, MRCVS, DACVS1</w:t>
      </w:r>
    </w:p>
    <w:p w14:paraId="5747BDB2" w14:textId="77777777" w:rsidR="000951FF" w:rsidRDefault="000951FF">
      <w:r>
        <w:t xml:space="preserve">Abstract </w:t>
      </w:r>
    </w:p>
    <w:p w14:paraId="5ACB708A" w14:textId="77777777" w:rsidR="000951FF" w:rsidRDefault="000951FF">
      <w:r>
        <w:t xml:space="preserve">Objective: To evaluate the effect of a proprietary Manuka honey essential oil hydrogel on the healing of acute, full-thickness wounds in dogs. </w:t>
      </w:r>
    </w:p>
    <w:p w14:paraId="7B792144" w14:textId="77777777" w:rsidR="000951FF" w:rsidRDefault="000951FF">
      <w:r>
        <w:t xml:space="preserve">Study design: Prospective, controlled, randomized, experimental study. </w:t>
      </w:r>
    </w:p>
    <w:p w14:paraId="5EE6D50C" w14:textId="77777777" w:rsidR="000951FF" w:rsidRDefault="000951FF">
      <w:r>
        <w:t xml:space="preserve">Animals: Purpose-bred, adult, female beagles (n = 10). </w:t>
      </w:r>
    </w:p>
    <w:p w14:paraId="79DE8F47" w14:textId="77777777" w:rsidR="000951FF" w:rsidRDefault="000951FF">
      <w:r>
        <w:t xml:space="preserve">Methods: Two 2 </w:t>
      </w:r>
      <w:r>
        <w:t xml:space="preserve"> 2 cm surgical wounds were created bilaterally on the trunk of each dog; each side was randomized to receive </w:t>
      </w:r>
      <w:proofErr w:type="spellStart"/>
      <w:r>
        <w:t>HoneyCure</w:t>
      </w:r>
      <w:proofErr w:type="spellEnd"/>
      <w:r>
        <w:t xml:space="preserve">® (HOC) or standard-of-care (CON) dressings. Cranial wounds were for histopathological analysis and the caudal wounds for culture and planimetry. Total and open wound areas were measured with digital image planimetry at 15 time points. From these data, percent contraction and percent epithelialization were calculated. Tissue biopsies were obtained at 7 time points and histologic features scored. Cultures were obtained at 2 time points. </w:t>
      </w:r>
    </w:p>
    <w:p w14:paraId="228F25F1" w14:textId="77777777" w:rsidR="000951FF" w:rsidRDefault="000951FF">
      <w:r>
        <w:t xml:space="preserve">Results: Epithelialization was 11.7, 10.4, and 10.1 percentage points higher in HOC wounds compared to CON wounds at days 16, 18, and 21 respectively. Wound contraction and histological scores did not differ between groups. Cultures were positive in 7/40 (17.5%) wounds, with Staphylococcus </w:t>
      </w:r>
      <w:proofErr w:type="spellStart"/>
      <w:r>
        <w:t>pseudintermedius</w:t>
      </w:r>
      <w:proofErr w:type="spellEnd"/>
      <w:r>
        <w:t xml:space="preserve"> and Staphylococcus epidermidis isolated evenly. There was no difference of infection rate between the two groups; all infections were superficial and did not require treatment. </w:t>
      </w:r>
    </w:p>
    <w:p w14:paraId="484E4E1C" w14:textId="68AF50A3" w:rsidR="000951FF" w:rsidRDefault="000951FF">
      <w:r>
        <w:t xml:space="preserve">Conclusion: This study did not provide evidence to support the application of </w:t>
      </w:r>
      <w:proofErr w:type="spellStart"/>
      <w:r>
        <w:t>HoneyCure</w:t>
      </w:r>
      <w:proofErr w:type="spellEnd"/>
      <w:r>
        <w:t>® in small, acute wounds in healthy dogs. However, application may be beneficial in the early proliferative stage of wound healing and in wounds that would benefit from early, robust epithelialization.</w:t>
      </w:r>
    </w:p>
    <w:p w14:paraId="218582CD" w14:textId="77777777" w:rsidR="000951FF" w:rsidRPr="000951FF" w:rsidRDefault="000951FF">
      <w:pPr>
        <w:rPr>
          <w:b/>
          <w:bCs/>
        </w:rPr>
      </w:pPr>
      <w:r w:rsidRPr="000951FF">
        <w:rPr>
          <w:b/>
          <w:bCs/>
        </w:rPr>
        <w:t xml:space="preserve">Development of perioperative premature ventricular contractions as an indicator of splenic hemangiosarcoma and median survival times </w:t>
      </w:r>
    </w:p>
    <w:p w14:paraId="28B55EFF" w14:textId="19F7C499" w:rsidR="000951FF" w:rsidRDefault="000951FF">
      <w:r w:rsidRPr="000951FF">
        <w:t xml:space="preserve">Amanda A. </w:t>
      </w:r>
      <w:proofErr w:type="spellStart"/>
      <w:r w:rsidRPr="000951FF">
        <w:t>Panissidi</w:t>
      </w:r>
      <w:proofErr w:type="spellEnd"/>
      <w:r w:rsidRPr="000951FF">
        <w:t xml:space="preserve"> BVMS | Dana M. </w:t>
      </w:r>
      <w:proofErr w:type="spellStart"/>
      <w:r w:rsidRPr="000951FF">
        <w:t>DeSandre</w:t>
      </w:r>
      <w:proofErr w:type="spellEnd"/>
      <w:r w:rsidRPr="000951FF">
        <w:t>-Robinson DVM, CVA, DACVS</w:t>
      </w:r>
    </w:p>
    <w:p w14:paraId="4AB8D22D" w14:textId="77777777" w:rsidR="000951FF" w:rsidRDefault="000951FF">
      <w:r>
        <w:t xml:space="preserve">Abstract </w:t>
      </w:r>
    </w:p>
    <w:p w14:paraId="25312563" w14:textId="77777777" w:rsidR="000951FF" w:rsidRDefault="000951FF">
      <w:r>
        <w:t xml:space="preserve">Objective: The objectives of this study are (1) to determine whether there is an association between dogs with splenic hemangiosarcoma (HSA) and the development of premature ventricular contractions (VPCs), (2) to determine if there is a higher likelihood for dogs with ruptured splenic masses to be diagnosed with HSA and to develop VPCs, (3) to determine if the development of VPCs affects median survival times compared to dogs with benign or non-HSA malignant splenic masses. </w:t>
      </w:r>
    </w:p>
    <w:p w14:paraId="26521990" w14:textId="77777777" w:rsidR="000951FF" w:rsidRDefault="000951FF">
      <w:r>
        <w:t xml:space="preserve">Study Design: Retrospective case series. </w:t>
      </w:r>
    </w:p>
    <w:p w14:paraId="69FEE16D" w14:textId="77777777" w:rsidR="000951FF" w:rsidRDefault="000951FF">
      <w:r>
        <w:t xml:space="preserve">Animals: Forty-five dogs. </w:t>
      </w:r>
    </w:p>
    <w:p w14:paraId="328CBFFC" w14:textId="77777777" w:rsidR="000951FF" w:rsidRDefault="000951FF">
      <w:r>
        <w:t xml:space="preserve">Methods: Medical records of dogs undergoing splenectomy were reviewed for signalment, perioperative electrocardiogram (ECG), hematological values, histologic diagnosis, metastasis, and survival times. ECGs were performed preoperatively, intraoperatively, and continuously postoperatively. The presence of VPCs was recorded. The data were evaluated for an association between the development of VPCs and the histologic diagnosis of HSA. </w:t>
      </w:r>
    </w:p>
    <w:p w14:paraId="14035045" w14:textId="6BF86021" w:rsidR="000951FF" w:rsidRDefault="000951FF">
      <w:r>
        <w:t xml:space="preserve">Results: Eighteen out of 45 (40%) dogs were diagnosed with HSA with 13/18 (72%) dogs having VPCs postoperatively (P = .02). Ruptured splenic HSA and VPCs were noted in 13 dogs (P = .73). An association between dogs with and without VPCs diagnosed with HSA and median survival times could not be established. </w:t>
      </w:r>
    </w:p>
    <w:p w14:paraId="354D27B0" w14:textId="77777777" w:rsidR="000951FF" w:rsidRDefault="000951FF">
      <w:r>
        <w:t xml:space="preserve">Conclusion: Postoperative VPCs were more likely with splenic HSA. Splenic masses were more likely to be HSA if ruptured but less likely to develop VPCs. Development of VPCs does not affect median survival times. </w:t>
      </w:r>
    </w:p>
    <w:p w14:paraId="513DD80E" w14:textId="5E2B118D" w:rsidR="000951FF" w:rsidRDefault="000951FF">
      <w:r>
        <w:t>Clinical Significance: Development of postoperative VPCs may be a potential indicator of HSA, however, this warrants further investigations. Development of VPCs does not have a deleterious effect on survival.</w:t>
      </w:r>
    </w:p>
    <w:sectPr w:rsidR="000951FF">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30FC1E" w14:textId="77777777" w:rsidR="00043E59" w:rsidRDefault="00043E59" w:rsidP="000951FF">
      <w:pPr>
        <w:spacing w:after="0" w:line="240" w:lineRule="auto"/>
      </w:pPr>
      <w:r>
        <w:separator/>
      </w:r>
    </w:p>
  </w:endnote>
  <w:endnote w:type="continuationSeparator" w:id="0">
    <w:p w14:paraId="76536E82" w14:textId="77777777" w:rsidR="00043E59" w:rsidRDefault="00043E59" w:rsidP="000951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939BFD" w14:textId="77777777" w:rsidR="00043E59" w:rsidRDefault="00043E59" w:rsidP="000951FF">
      <w:pPr>
        <w:spacing w:after="0" w:line="240" w:lineRule="auto"/>
      </w:pPr>
      <w:r>
        <w:separator/>
      </w:r>
    </w:p>
  </w:footnote>
  <w:footnote w:type="continuationSeparator" w:id="0">
    <w:p w14:paraId="107C087B" w14:textId="77777777" w:rsidR="00043E59" w:rsidRDefault="00043E59" w:rsidP="000951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3EA4EA" w14:textId="4733B9BF" w:rsidR="000951FF" w:rsidRDefault="000951FF">
    <w:pPr>
      <w:pStyle w:val="Header"/>
    </w:pPr>
    <w:r>
      <w:t>Vet Surg Aug 2021-Nov 2021</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51FF"/>
    <w:rsid w:val="00043E59"/>
    <w:rsid w:val="000951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ACA05A"/>
  <w15:chartTrackingRefBased/>
  <w15:docId w15:val="{8BE6DEE7-5C36-4BB5-9A4E-C7DB8CDF4B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951FF"/>
    <w:pPr>
      <w:tabs>
        <w:tab w:val="center" w:pos="4680"/>
        <w:tab w:val="right" w:pos="9360"/>
      </w:tabs>
      <w:spacing w:after="0" w:line="240" w:lineRule="auto"/>
    </w:pPr>
  </w:style>
  <w:style w:type="character" w:customStyle="1" w:styleId="HeaderChar">
    <w:name w:val="Header Char"/>
    <w:basedOn w:val="DefaultParagraphFont"/>
    <w:link w:val="Header"/>
    <w:uiPriority w:val="99"/>
    <w:rsid w:val="000951FF"/>
  </w:style>
  <w:style w:type="paragraph" w:styleId="Footer">
    <w:name w:val="footer"/>
    <w:basedOn w:val="Normal"/>
    <w:link w:val="FooterChar"/>
    <w:uiPriority w:val="99"/>
    <w:unhideWhenUsed/>
    <w:rsid w:val="000951FF"/>
    <w:pPr>
      <w:tabs>
        <w:tab w:val="center" w:pos="4680"/>
        <w:tab w:val="right" w:pos="9360"/>
      </w:tabs>
      <w:spacing w:after="0" w:line="240" w:lineRule="auto"/>
    </w:pPr>
  </w:style>
  <w:style w:type="character" w:customStyle="1" w:styleId="FooterChar">
    <w:name w:val="Footer Char"/>
    <w:basedOn w:val="DefaultParagraphFont"/>
    <w:link w:val="Footer"/>
    <w:uiPriority w:val="99"/>
    <w:rsid w:val="000951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6</Pages>
  <Words>2234</Words>
  <Characters>12736</Characters>
  <Application>Microsoft Office Word</Application>
  <DocSecurity>0</DocSecurity>
  <Lines>106</Lines>
  <Paragraphs>29</Paragraphs>
  <ScaleCrop>false</ScaleCrop>
  <Company/>
  <LinksUpToDate>false</LinksUpToDate>
  <CharactersWithSpaces>14941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Bathilda</dc:creator>
  <cp:keywords/>
  <dc:description/>
  <cp:lastModifiedBy>Bathilda</cp:lastModifiedBy>
  <cp:revision>1</cp:revision>
  <dcterms:created xsi:type="dcterms:W3CDTF">2021-11-07T22:05:00Z</dcterms:created>
  <dcterms:modified xsi:type="dcterms:W3CDTF">2021-11-07T22:15:00Z</dcterms:modified>
</cp:coreProperties>
</file>