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3B4240" w14:textId="29BBCB69" w:rsidR="000A03BE" w:rsidRDefault="002F3136">
      <w:r>
        <w:rPr>
          <w:noProof/>
        </w:rPr>
        <w:drawing>
          <wp:inline distT="0" distB="0" distL="0" distR="0" wp14:anchorId="2F6EB257" wp14:editId="24B0B27A">
            <wp:extent cx="5943600" cy="153289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3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7753DD" w14:textId="0C018E4F" w:rsidR="002F3136" w:rsidRDefault="002F3136">
      <w:r>
        <w:rPr>
          <w:noProof/>
        </w:rPr>
        <w:drawing>
          <wp:inline distT="0" distB="0" distL="0" distR="0" wp14:anchorId="5C48651E" wp14:editId="766B434B">
            <wp:extent cx="5943600" cy="447929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479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BD1C21" w14:textId="64B36A09" w:rsidR="002F3136" w:rsidRDefault="002F3136">
      <w:r>
        <w:rPr>
          <w:noProof/>
        </w:rPr>
        <w:lastRenderedPageBreak/>
        <w:drawing>
          <wp:inline distT="0" distB="0" distL="0" distR="0" wp14:anchorId="224268F6" wp14:editId="5E6F08DA">
            <wp:extent cx="5943600" cy="3098165"/>
            <wp:effectExtent l="0" t="0" r="0" b="698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98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F7C91D" w14:textId="31097331" w:rsidR="002F3136" w:rsidRDefault="002F3136">
      <w:r>
        <w:t>Summary:</w:t>
      </w:r>
    </w:p>
    <w:p w14:paraId="5294E143" w14:textId="36BDF671" w:rsidR="007F2EF9" w:rsidRDefault="007F2EF9">
      <w:r w:rsidRPr="007F2EF9">
        <w:rPr>
          <w:u w:val="single"/>
        </w:rPr>
        <w:t>Intro:</w:t>
      </w:r>
      <w:r>
        <w:t xml:space="preserve"> Sepsis in dog</w:t>
      </w:r>
      <w:r w:rsidR="00F961CF">
        <w:t>s</w:t>
      </w:r>
      <w:r>
        <w:t xml:space="preserve"> with pyometra, pneumonia and peritonitis </w:t>
      </w:r>
      <w:r w:rsidR="00F961CF">
        <w:t xml:space="preserve">carries a high mortality rate (30- 64%). </w:t>
      </w:r>
      <w:r w:rsidR="003F6F83">
        <w:t xml:space="preserve">Early recognition is important as well as </w:t>
      </w:r>
      <w:r w:rsidR="009E405B">
        <w:t xml:space="preserve">appropriate </w:t>
      </w:r>
      <w:r w:rsidR="003F6F83">
        <w:t>antimicrobial</w:t>
      </w:r>
      <w:r w:rsidR="009E405B">
        <w:t xml:space="preserve"> drugs (AMD). </w:t>
      </w:r>
      <w:r w:rsidR="003F6F83">
        <w:t xml:space="preserve"> </w:t>
      </w:r>
      <w:r w:rsidR="009E405B">
        <w:t xml:space="preserve">This lead to resistance. </w:t>
      </w:r>
      <w:r w:rsidR="000B0ECC">
        <w:t xml:space="preserve">Research in humans shows that shorter courses of AMDs can be used without </w:t>
      </w:r>
      <w:r w:rsidR="0008513D">
        <w:t xml:space="preserve">worsening outcomes but now more research is needed in duration of treatment for dogs. </w:t>
      </w:r>
      <w:r w:rsidR="00F214AC">
        <w:t xml:space="preserve">In humans biomarkers measurements are used to guide treatment length. </w:t>
      </w:r>
      <w:r w:rsidR="00413B8B">
        <w:t>C reactive protein</w:t>
      </w:r>
      <w:r w:rsidR="00245DE4">
        <w:t xml:space="preserve"> and</w:t>
      </w:r>
      <w:r w:rsidR="00413B8B">
        <w:t xml:space="preserve"> procalcitonin</w:t>
      </w:r>
      <w:r w:rsidR="00245DE4">
        <w:t xml:space="preserve"> are exa</w:t>
      </w:r>
      <w:r w:rsidR="00166C3F">
        <w:t>m</w:t>
      </w:r>
      <w:r w:rsidR="00245DE4">
        <w:t xml:space="preserve">ples. Aim of the study was to compare </w:t>
      </w:r>
      <w:r w:rsidR="00166C3F">
        <w:t xml:space="preserve">temporal changes in </w:t>
      </w:r>
      <w:r w:rsidR="00245DE4">
        <w:t>biomarker</w:t>
      </w:r>
      <w:r w:rsidR="00166C3F">
        <w:t>s</w:t>
      </w:r>
      <w:r w:rsidR="0053756E">
        <w:t xml:space="preserve">. </w:t>
      </w:r>
      <w:r w:rsidR="005127FE">
        <w:t>They h</w:t>
      </w:r>
      <w:r w:rsidR="0053756E">
        <w:t xml:space="preserve">ypothesize that </w:t>
      </w:r>
      <w:r w:rsidR="005127FE">
        <w:t xml:space="preserve">biomarkers would decrease with treatment, stop AMD at normal levels and </w:t>
      </w:r>
      <w:r w:rsidR="003E5D3C">
        <w:t>decrease earlier</w:t>
      </w:r>
      <w:r w:rsidR="005127FE">
        <w:t xml:space="preserve"> in patients </w:t>
      </w:r>
      <w:r w:rsidR="003E5D3C">
        <w:t xml:space="preserve">with surgical intervention to control infection. </w:t>
      </w:r>
    </w:p>
    <w:p w14:paraId="59BEB32C" w14:textId="77777777" w:rsidR="00DC0FEA" w:rsidRDefault="003E5D3C">
      <w:r w:rsidRPr="00CD6B75">
        <w:rPr>
          <w:u w:val="single"/>
        </w:rPr>
        <w:t>M</w:t>
      </w:r>
      <w:r w:rsidR="00CD6B75" w:rsidRPr="00CD6B75">
        <w:rPr>
          <w:u w:val="single"/>
        </w:rPr>
        <w:t>aterials and M</w:t>
      </w:r>
      <w:r w:rsidRPr="00CD6B75">
        <w:rPr>
          <w:u w:val="single"/>
        </w:rPr>
        <w:t>ethods</w:t>
      </w:r>
      <w:r w:rsidR="00CD6B75" w:rsidRPr="00CD6B75">
        <w:rPr>
          <w:u w:val="single"/>
        </w:rPr>
        <w:t>:</w:t>
      </w:r>
      <w:r w:rsidRPr="00CD6B75">
        <w:rPr>
          <w:u w:val="single"/>
        </w:rPr>
        <w:t xml:space="preserve"> </w:t>
      </w:r>
      <w:r w:rsidR="00CD6B75">
        <w:t>Prospective observational cohort study</w:t>
      </w:r>
      <w:r w:rsidR="00A143E4">
        <w:t xml:space="preserve"> of client owned dogs admitted for pneumonia, septic peritonitis and pyometra based on CXR, positive bacterial culture and </w:t>
      </w:r>
      <w:r w:rsidR="00375505">
        <w:t xml:space="preserve">surgical confirmation. </w:t>
      </w:r>
      <w:r w:rsidR="00C01A6C">
        <w:t xml:space="preserve">Normalization of biomarkers was when they were withing the RI or </w:t>
      </w:r>
      <w:r w:rsidR="00D372E0">
        <w:t xml:space="preserve">decreased </w:t>
      </w:r>
      <w:r w:rsidR="00C01A6C">
        <w:t xml:space="preserve">20% of </w:t>
      </w:r>
      <w:r w:rsidR="00D372E0">
        <w:t xml:space="preserve">peak concentration. </w:t>
      </w:r>
      <w:r w:rsidR="00C6443F">
        <w:t xml:space="preserve">Blood samples were collected at </w:t>
      </w:r>
      <w:r w:rsidR="00BB7B6C">
        <w:t xml:space="preserve">study entry then 3,7,14,28 and 60. </w:t>
      </w:r>
      <w:r w:rsidR="003C66EB">
        <w:t xml:space="preserve">Along with VBG, CBC/chem and </w:t>
      </w:r>
      <w:proofErr w:type="spellStart"/>
      <w:r w:rsidR="003C66EB">
        <w:t>APPLEfast</w:t>
      </w:r>
      <w:proofErr w:type="spellEnd"/>
      <w:r w:rsidR="003C66EB">
        <w:t xml:space="preserve"> scores. </w:t>
      </w:r>
    </w:p>
    <w:p w14:paraId="210C86F4" w14:textId="0FF299F8" w:rsidR="007E4AFC" w:rsidRDefault="00DC0FEA">
      <w:r w:rsidRPr="00DC0FEA">
        <w:rPr>
          <w:u w:val="single"/>
        </w:rPr>
        <w:t xml:space="preserve">Results: </w:t>
      </w:r>
      <w:r w:rsidR="00C01A6C" w:rsidRPr="00DC0FEA">
        <w:rPr>
          <w:u w:val="single"/>
        </w:rPr>
        <w:t xml:space="preserve"> </w:t>
      </w:r>
      <w:r>
        <w:t xml:space="preserve">42 dogs enrolled, 22 with pneumonia, </w:t>
      </w:r>
      <w:r w:rsidR="000B2F61">
        <w:t xml:space="preserve">10 with SP and 10 with pyometra. 41 dogs survived to discharge. </w:t>
      </w:r>
      <w:r w:rsidR="00F71EE0">
        <w:t xml:space="preserve">35 dogs survived to day 60. </w:t>
      </w:r>
      <w:r w:rsidR="0022273E">
        <w:t xml:space="preserve">Median duration of AMD treatment was 16 days. </w:t>
      </w:r>
      <w:r w:rsidR="00D903A2">
        <w:t xml:space="preserve">Median of 3 antibiotics from 2 classes. </w:t>
      </w:r>
      <w:r w:rsidR="00812D48">
        <w:t xml:space="preserve">Potentiated beta lactams and fluoroquinolones were the most common. </w:t>
      </w:r>
      <w:r w:rsidR="00681F7F">
        <w:t xml:space="preserve">CBC </w:t>
      </w:r>
      <w:r w:rsidR="00214D35">
        <w:t>and chemistry showed changes in leukocytes, albumin and BUN/create had normalized in all by D60</w:t>
      </w:r>
      <w:r w:rsidR="001D2C8A">
        <w:t xml:space="preserve">, except 2 dogs with high </w:t>
      </w:r>
      <w:proofErr w:type="spellStart"/>
      <w:r w:rsidR="001D2C8A">
        <w:t>creats</w:t>
      </w:r>
      <w:proofErr w:type="spellEnd"/>
      <w:r w:rsidR="00214D35">
        <w:t xml:space="preserve">. </w:t>
      </w:r>
      <w:r w:rsidR="003012F0">
        <w:t xml:space="preserve">Concentration of CRP and PCT were maximal on day, </w:t>
      </w:r>
      <w:r w:rsidR="00DD7708">
        <w:t xml:space="preserve">SAA </w:t>
      </w:r>
      <w:r w:rsidR="003012F0">
        <w:t>on day 3</w:t>
      </w:r>
      <w:r w:rsidR="00DD7708">
        <w:t xml:space="preserve"> and haptoglobin on day 7. </w:t>
      </w:r>
      <w:r w:rsidR="00D73524">
        <w:t>Cytokines</w:t>
      </w:r>
      <w:r w:rsidR="006826E2">
        <w:t xml:space="preserve"> </w:t>
      </w:r>
      <w:r w:rsidR="00B33BC6">
        <w:t xml:space="preserve">varied greatly </w:t>
      </w:r>
      <w:r w:rsidR="006826E2">
        <w:t>and bioma</w:t>
      </w:r>
      <w:r w:rsidR="00D60C27">
        <w:t xml:space="preserve">rkers associated with </w:t>
      </w:r>
      <w:r w:rsidR="006826E2">
        <w:t>neutrophil extracellular trap formation (</w:t>
      </w:r>
      <w:proofErr w:type="spellStart"/>
      <w:r w:rsidR="006826E2">
        <w:t>NETosis</w:t>
      </w:r>
      <w:proofErr w:type="spellEnd"/>
      <w:r w:rsidR="006826E2">
        <w:t>)</w:t>
      </w:r>
      <w:r w:rsidR="00D60C27">
        <w:t xml:space="preserve"> were highest </w:t>
      </w:r>
      <w:r w:rsidR="00B33BC6">
        <w:t xml:space="preserve">on D3. </w:t>
      </w:r>
      <w:r w:rsidR="008750EE">
        <w:t>CRP and SAA normalized at D7</w:t>
      </w:r>
      <w:r w:rsidR="00527C7D">
        <w:t xml:space="preserve"> much earlier than the antibiotic course (16 days). </w:t>
      </w:r>
    </w:p>
    <w:p w14:paraId="69096A7A" w14:textId="1D42CF10" w:rsidR="00527C7D" w:rsidRPr="00527C7D" w:rsidRDefault="00527C7D">
      <w:r w:rsidRPr="00527C7D">
        <w:rPr>
          <w:u w:val="single"/>
        </w:rPr>
        <w:t xml:space="preserve">Discussion: </w:t>
      </w:r>
      <w:r w:rsidR="00BC0742">
        <w:t>Markers highest on D1 or D3 and decreased over time with normal values by D14 except hapto</w:t>
      </w:r>
      <w:r w:rsidR="00687466">
        <w:t>globin</w:t>
      </w:r>
      <w:r w:rsidR="00CE789E">
        <w:t xml:space="preserve"> (D60)</w:t>
      </w:r>
      <w:r w:rsidR="00687466">
        <w:t xml:space="preserve"> </w:t>
      </w:r>
      <w:r w:rsidR="00FB6F57">
        <w:t>which is a minor APP</w:t>
      </w:r>
      <w:r w:rsidR="00CE789E">
        <w:t xml:space="preserve">. </w:t>
      </w:r>
      <w:r w:rsidR="0073755E">
        <w:t xml:space="preserve">Biomarkers were </w:t>
      </w:r>
      <w:r w:rsidR="00253397">
        <w:t xml:space="preserve">normal or 20% of peak much earlier than discontinuation of AMDs in all groups (PCT 9 days vs </w:t>
      </w:r>
      <w:r w:rsidR="00F66240">
        <w:t xml:space="preserve">SAA </w:t>
      </w:r>
      <w:r w:rsidR="00253397">
        <w:t>10-12 days)</w:t>
      </w:r>
      <w:r w:rsidR="00F66240">
        <w:t xml:space="preserve">. Biomarkers did not decrease </w:t>
      </w:r>
      <w:r w:rsidR="00F66240">
        <w:lastRenderedPageBreak/>
        <w:t xml:space="preserve">earlier in patients with surgical intervention. </w:t>
      </w:r>
      <w:r w:rsidR="00E0720D">
        <w:t xml:space="preserve">However there was no group of dogs treated surgically then without AMDs for ethical purposes. </w:t>
      </w:r>
      <w:r w:rsidR="00481103">
        <w:t xml:space="preserve">Human studies would suggest that stopping AMDs when the biomarkers normalize is safe and </w:t>
      </w:r>
      <w:r w:rsidR="003D6E80">
        <w:t xml:space="preserve">there is not a higher risk of recurrent infection. </w:t>
      </w:r>
      <w:r w:rsidR="0045117C">
        <w:t>When compared to CBC results neutrophils were still elevated at D14</w:t>
      </w:r>
      <w:r w:rsidR="002F0DA6">
        <w:t xml:space="preserve"> compared to D60 so CBC is not a good substitute for biomarkers. </w:t>
      </w:r>
      <w:r w:rsidR="00910D44">
        <w:t>PCT</w:t>
      </w:r>
      <w:r w:rsidR="00B7170D">
        <w:t xml:space="preserve"> was comparable to previous reports</w:t>
      </w:r>
      <w:r w:rsidR="00E105D1">
        <w:t xml:space="preserve"> </w:t>
      </w:r>
      <w:r w:rsidR="00C8147B">
        <w:t xml:space="preserve">but </w:t>
      </w:r>
      <w:r w:rsidR="00EF2EB2">
        <w:t>lower severity illness scores</w:t>
      </w:r>
      <w:r w:rsidR="00C8147B">
        <w:t xml:space="preserve"> may make it hard to </w:t>
      </w:r>
      <w:r w:rsidR="00680DEB">
        <w:t xml:space="preserve">correlate in this study. </w:t>
      </w:r>
      <w:r w:rsidR="00DB2E00">
        <w:t xml:space="preserve">Cytokine CCL2 </w:t>
      </w:r>
      <w:r w:rsidR="00A32521">
        <w:t>were above RI on D1 and below on D7</w:t>
      </w:r>
      <w:r w:rsidR="00210FAF">
        <w:t>. Limitations: lower APPLEFAST scores in this study compared to other similar studies</w:t>
      </w:r>
      <w:r w:rsidR="007A622F">
        <w:t xml:space="preserve">, conclusions may not </w:t>
      </w:r>
      <w:r w:rsidR="00AB00F6">
        <w:t xml:space="preserve">be able to be extrapolated to other diseases, cannot be certain that all dogs had </w:t>
      </w:r>
      <w:r w:rsidR="006B6A33">
        <w:t xml:space="preserve">bacterial infections, </w:t>
      </w:r>
    </w:p>
    <w:p w14:paraId="7B503259" w14:textId="4EA87080" w:rsidR="007E4AFC" w:rsidRDefault="007E4AFC"/>
    <w:p w14:paraId="2EF0B532" w14:textId="6363F8B5" w:rsidR="007E4AFC" w:rsidRDefault="007E4AFC"/>
    <w:p w14:paraId="0D4924C7" w14:textId="4A14A4C8" w:rsidR="007E4AFC" w:rsidRDefault="007E4AFC"/>
    <w:p w14:paraId="1502793B" w14:textId="77777777" w:rsidR="007E4AFC" w:rsidRDefault="007E4AFC"/>
    <w:p w14:paraId="095A45AD" w14:textId="23DFEC99" w:rsidR="002F3136" w:rsidRDefault="003012F0">
      <w:r>
        <w:t xml:space="preserve"> </w:t>
      </w:r>
      <w:r w:rsidR="00AA618E">
        <w:rPr>
          <w:noProof/>
        </w:rPr>
        <w:drawing>
          <wp:inline distT="0" distB="0" distL="0" distR="0" wp14:anchorId="0523EF68" wp14:editId="2CCB94CC">
            <wp:extent cx="5943600" cy="1915795"/>
            <wp:effectExtent l="0" t="0" r="0" b="825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15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D1D080" w14:textId="2A43DF88" w:rsidR="00AA618E" w:rsidRDefault="006D2DC2">
      <w:r>
        <w:rPr>
          <w:noProof/>
        </w:rPr>
        <w:lastRenderedPageBreak/>
        <w:drawing>
          <wp:inline distT="0" distB="0" distL="0" distR="0" wp14:anchorId="2D7B17E6" wp14:editId="202799CC">
            <wp:extent cx="5943600" cy="466979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669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E335A2" w14:textId="61E21A13" w:rsidR="006D2DC2" w:rsidRDefault="00E22504">
      <w:r>
        <w:rPr>
          <w:noProof/>
        </w:rPr>
        <w:drawing>
          <wp:inline distT="0" distB="0" distL="0" distR="0" wp14:anchorId="3A0F2D5C" wp14:editId="5F7A7F3F">
            <wp:extent cx="5943600" cy="2856230"/>
            <wp:effectExtent l="0" t="0" r="0" b="127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5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8EC491" w14:textId="20A3088D" w:rsidR="002F3136" w:rsidRPr="00BD4EA9" w:rsidRDefault="002F3136">
      <w:pPr>
        <w:rPr>
          <w:b/>
          <w:bCs/>
          <w:sz w:val="28"/>
          <w:szCs w:val="28"/>
        </w:rPr>
      </w:pPr>
      <w:r w:rsidRPr="00BD4EA9">
        <w:rPr>
          <w:b/>
          <w:bCs/>
          <w:sz w:val="28"/>
          <w:szCs w:val="28"/>
        </w:rPr>
        <w:t xml:space="preserve">Summary: </w:t>
      </w:r>
    </w:p>
    <w:p w14:paraId="4A4D95BD" w14:textId="2317903A" w:rsidR="00BD4EA9" w:rsidRDefault="00490F5D">
      <w:r w:rsidRPr="00BD4EA9">
        <w:rPr>
          <w:u w:val="single"/>
        </w:rPr>
        <w:lastRenderedPageBreak/>
        <w:t>Intro:</w:t>
      </w:r>
      <w:r>
        <w:t xml:space="preserve"> CRP is a </w:t>
      </w:r>
      <w:r w:rsidR="00E70226">
        <w:t xml:space="preserve">reliable APP that can be used to serially monitor response to treatment in dogs with AP. </w:t>
      </w:r>
      <w:r w:rsidR="00FE3B79">
        <w:t xml:space="preserve">Can also be used to de-escalate therapy. Serial imaging was also </w:t>
      </w:r>
      <w:r w:rsidR="002754EA">
        <w:t>assessed</w:t>
      </w:r>
      <w:r w:rsidR="00FB23F5">
        <w:t xml:space="preserve"> using TFAST especially since CXR lag behind resolution of AP. </w:t>
      </w:r>
      <w:r w:rsidR="00C07D21">
        <w:t xml:space="preserve">Current guidelines recommend treatment for 3-6 weeks or 1-2 weeks post resolution of </w:t>
      </w:r>
      <w:r w:rsidR="007A5003">
        <w:t xml:space="preserve">clinical signs or CXR. </w:t>
      </w:r>
      <w:r w:rsidR="00591F02">
        <w:t>Aim was to determine safety of antibiotic discontinuation</w:t>
      </w:r>
      <w:r w:rsidR="00BD4EA9">
        <w:t xml:space="preserve"> as well as usefulness of CXR and LUS.</w:t>
      </w:r>
    </w:p>
    <w:p w14:paraId="5A04C0C2" w14:textId="73B5F15D" w:rsidR="00BD4EA9" w:rsidRDefault="004C32B8">
      <w:r w:rsidRPr="004C32B8">
        <w:rPr>
          <w:u w:val="single"/>
        </w:rPr>
        <w:t xml:space="preserve">Materials and methods: </w:t>
      </w:r>
      <w:r>
        <w:t xml:space="preserve">Prospective observational. </w:t>
      </w:r>
      <w:r w:rsidR="003F7773">
        <w:t xml:space="preserve">Dogs diagnosed with AP between January 2020 and June 2021. </w:t>
      </w:r>
      <w:r w:rsidR="00AF7A65">
        <w:t>Based on CXR, CRP, clinical signs</w:t>
      </w:r>
      <w:r w:rsidR="000E773B">
        <w:t xml:space="preserve"> and history. </w:t>
      </w:r>
      <w:r w:rsidR="00621714">
        <w:t>At diagnosis and each rechec</w:t>
      </w:r>
      <w:r w:rsidR="001561FD">
        <w:t>k (1 week initially then every 2 weeks)</w:t>
      </w:r>
      <w:r w:rsidR="00621714">
        <w:t xml:space="preserve"> TXR, LUS, CRP and PE were performed. </w:t>
      </w:r>
      <w:r w:rsidR="003F645D">
        <w:t xml:space="preserve">Owners filled out a QOL survey. </w:t>
      </w:r>
      <w:r w:rsidR="005776EC">
        <w:t xml:space="preserve">Imaging was reviewed by a BR radiologist. TXR were </w:t>
      </w:r>
      <w:r w:rsidR="00F64AE3">
        <w:t xml:space="preserve">classified as resolved, improving, stable or worsening. LUS </w:t>
      </w:r>
      <w:r w:rsidR="001C0AF4">
        <w:t xml:space="preserve">was evaluated </w:t>
      </w:r>
      <w:r w:rsidR="00737A7B">
        <w:t xml:space="preserve">by 9 windows for &gt;3 B lines, coalescing B lines, shred sign, </w:t>
      </w:r>
      <w:r w:rsidR="00514E1E">
        <w:t xml:space="preserve">fluid bronchogram or pleural effusion. </w:t>
      </w:r>
      <w:r w:rsidR="00D9428C">
        <w:t xml:space="preserve">Treatment was discontinued if </w:t>
      </w:r>
      <w:r w:rsidR="003A7FCF">
        <w:t xml:space="preserve">there was a normal PE and CRP and QOL survey was decreased by 25%. </w:t>
      </w:r>
      <w:r w:rsidR="00594684">
        <w:t xml:space="preserve">Relapse was defined as clinical signs, </w:t>
      </w:r>
      <w:r w:rsidR="00C335D4">
        <w:t xml:space="preserve">changes to PE, </w:t>
      </w:r>
      <w:r w:rsidR="00594684">
        <w:t xml:space="preserve">increased CRP but imaging was not included to determine if relapse occurred. </w:t>
      </w:r>
      <w:r w:rsidR="0072558C">
        <w:t xml:space="preserve">If relapse occurred short term antibiotics were instituted. </w:t>
      </w:r>
      <w:r w:rsidR="00AD36C7">
        <w:t xml:space="preserve">All dogs were hospitalized for 24 hours, went home with </w:t>
      </w:r>
      <w:proofErr w:type="spellStart"/>
      <w:r w:rsidR="00AD36C7">
        <w:t>Clavamox</w:t>
      </w:r>
      <w:proofErr w:type="spellEnd"/>
      <w:r w:rsidR="00AD36C7">
        <w:t xml:space="preserve"> an</w:t>
      </w:r>
      <w:r w:rsidR="00175270">
        <w:t xml:space="preserve">d </w:t>
      </w:r>
      <w:proofErr w:type="spellStart"/>
      <w:r w:rsidR="00175270">
        <w:t>Enforfloxacin</w:t>
      </w:r>
      <w:proofErr w:type="spellEnd"/>
      <w:r w:rsidR="00175270">
        <w:t xml:space="preserve"> was added if concern for sepsis. </w:t>
      </w:r>
    </w:p>
    <w:p w14:paraId="05F58AF9" w14:textId="5F5CB7B8" w:rsidR="005303A9" w:rsidRDefault="00175270">
      <w:r w:rsidRPr="00175270">
        <w:rPr>
          <w:u w:val="single"/>
        </w:rPr>
        <w:t xml:space="preserve">Results: </w:t>
      </w:r>
      <w:r w:rsidR="00F74BCC">
        <w:t xml:space="preserve">17 dogs, </w:t>
      </w:r>
      <w:r w:rsidR="00B32D26">
        <w:t xml:space="preserve">14/17 had a history of vomiting, 2/17 with regurgitation and </w:t>
      </w:r>
      <w:r w:rsidR="00DB6526">
        <w:t xml:space="preserve">1/17 had laryngeal paralysis. </w:t>
      </w:r>
      <w:r w:rsidR="00D75AAC">
        <w:t xml:space="preserve">Main complaints were lethargy and </w:t>
      </w:r>
      <w:r w:rsidR="00052ADB">
        <w:t xml:space="preserve">tachypnea. Common PE findings were </w:t>
      </w:r>
      <w:r w:rsidR="00A55D83">
        <w:t xml:space="preserve">abnormal respiratory pattern, pyrexia, </w:t>
      </w:r>
      <w:r w:rsidR="00D444C1">
        <w:t xml:space="preserve">and increased lung sounds. </w:t>
      </w:r>
      <w:r w:rsidR="00944467">
        <w:t xml:space="preserve">Thoracic radiographs </w:t>
      </w:r>
      <w:r w:rsidR="00CB5F61">
        <w:t xml:space="preserve">showed </w:t>
      </w:r>
      <w:r w:rsidR="00791620">
        <w:t xml:space="preserve">ventral </w:t>
      </w:r>
      <w:r w:rsidR="00CB5F61">
        <w:t xml:space="preserve">alveolar pattern in bilateral or unilateral lung lobes with the cranial lung lobes and right middle </w:t>
      </w:r>
      <w:r w:rsidR="00791620">
        <w:t>the most affected. Two dogs has pleural effusion</w:t>
      </w:r>
      <w:r w:rsidR="002C5D4A">
        <w:t xml:space="preserve">, 1 had megaesophagus and 2 had bronchiectasis. </w:t>
      </w:r>
      <w:r w:rsidR="00144832">
        <w:t xml:space="preserve">On admission LUS showed coalescing B lines </w:t>
      </w:r>
      <w:r w:rsidR="00903263">
        <w:t xml:space="preserve">and shred sign </w:t>
      </w:r>
      <w:r w:rsidR="00144832">
        <w:t>in all dogs</w:t>
      </w:r>
      <w:r w:rsidR="00903263">
        <w:t xml:space="preserve">. Changes matched </w:t>
      </w:r>
      <w:r w:rsidR="009D4007">
        <w:t xml:space="preserve">signs on CXR. </w:t>
      </w:r>
      <w:r w:rsidR="00F8091B">
        <w:t>M</w:t>
      </w:r>
      <w:r w:rsidR="00D806D7">
        <w:t xml:space="preserve">edian </w:t>
      </w:r>
      <w:r w:rsidR="00F8091B">
        <w:t xml:space="preserve">CRP </w:t>
      </w:r>
      <w:r w:rsidR="00D806D7">
        <w:t xml:space="preserve">was 82.8 </w:t>
      </w:r>
      <w:r w:rsidR="00F8091B">
        <w:t xml:space="preserve">mg/L </w:t>
      </w:r>
      <w:r w:rsidR="00D806D7">
        <w:t>at</w:t>
      </w:r>
      <w:r w:rsidR="00F8091B">
        <w:t xml:space="preserve"> </w:t>
      </w:r>
      <w:r w:rsidR="00545173">
        <w:t>diagnosis and decreased to 6</w:t>
      </w:r>
      <w:r w:rsidR="005410D1">
        <w:t>.0</w:t>
      </w:r>
      <w:r w:rsidR="00545173">
        <w:t xml:space="preserve"> mg/L</w:t>
      </w:r>
      <w:r w:rsidR="005410D1">
        <w:t xml:space="preserve">. Five dogs has mild persistent elevation that was gone at 3 weeks. </w:t>
      </w:r>
      <w:r w:rsidR="00950FC2">
        <w:t xml:space="preserve">Treatment was discontinued in 1 </w:t>
      </w:r>
      <w:r w:rsidR="00546AD0">
        <w:t>week in 70</w:t>
      </w:r>
      <w:r w:rsidR="00E64584">
        <w:t>.6</w:t>
      </w:r>
      <w:r w:rsidR="00546AD0">
        <w:t>% of dogs and 3 weeks in 29</w:t>
      </w:r>
      <w:r w:rsidR="00E64584">
        <w:t>.4</w:t>
      </w:r>
      <w:r w:rsidR="00546AD0">
        <w:t xml:space="preserve">% in dogs. </w:t>
      </w:r>
      <w:r w:rsidR="00791620">
        <w:t xml:space="preserve"> </w:t>
      </w:r>
      <w:r w:rsidR="00CE42D8">
        <w:t xml:space="preserve">PE was normal in all dogs at all follow up appointments. </w:t>
      </w:r>
      <w:r w:rsidR="00660166">
        <w:t xml:space="preserve">TXR were rechecked </w:t>
      </w:r>
      <w:r w:rsidR="00337085">
        <w:t xml:space="preserve">at 1 and 3 weeks. </w:t>
      </w:r>
      <w:r w:rsidR="005F4C19">
        <w:t xml:space="preserve">Lesions were present in 88% of </w:t>
      </w:r>
      <w:r w:rsidR="009E228C">
        <w:t xml:space="preserve">dogs at 1 week on TXR and </w:t>
      </w:r>
      <w:r w:rsidR="001E6ABB">
        <w:t>71</w:t>
      </w:r>
      <w:r w:rsidR="009E228C">
        <w:t xml:space="preserve">% of dogs at week on LUS. </w:t>
      </w:r>
      <w:r w:rsidR="00621C30">
        <w:t xml:space="preserve">Week 1 LUS </w:t>
      </w:r>
      <w:r w:rsidR="007C7031">
        <w:t xml:space="preserve">lesions decreased in all dogs. </w:t>
      </w:r>
      <w:r w:rsidR="00FF05BA">
        <w:t xml:space="preserve">LUS signs were persistent in 4 dogs that received 3 weeks of antibiotics. </w:t>
      </w:r>
      <w:r w:rsidR="0070024E">
        <w:t xml:space="preserve">Short term follow up was not needed past </w:t>
      </w:r>
      <w:r w:rsidR="00867A5D">
        <w:t xml:space="preserve">5 weeks. </w:t>
      </w:r>
      <w:r w:rsidR="00604F64">
        <w:t xml:space="preserve">Long term follow up was performed in 10/17 dogs 1 month after antibiotics were discontinued, only 3 dogs relapsed. </w:t>
      </w:r>
      <w:r w:rsidR="00EF4C5D">
        <w:t xml:space="preserve">Two of the relapsed dogs followed up and </w:t>
      </w:r>
      <w:r w:rsidR="00E03A5A">
        <w:t>both had bronchiectasis on the previous CXR</w:t>
      </w:r>
      <w:r w:rsidR="0072111B">
        <w:t>- both had a CT and one was consistent with AP.</w:t>
      </w:r>
      <w:r w:rsidR="006A1155">
        <w:t xml:space="preserve"> Remaining 7 dogs had follow up by phone and all were doing except one dog with focal MG </w:t>
      </w:r>
      <w:r w:rsidR="00B573D3">
        <w:t xml:space="preserve">that relapsed and was treated with the </w:t>
      </w:r>
      <w:proofErr w:type="spellStart"/>
      <w:r w:rsidR="00B573D3">
        <w:t>rDVM</w:t>
      </w:r>
      <w:proofErr w:type="spellEnd"/>
      <w:r w:rsidR="00B573D3">
        <w:t xml:space="preserve">. </w:t>
      </w:r>
    </w:p>
    <w:p w14:paraId="25F96876" w14:textId="14676A66" w:rsidR="00175270" w:rsidRPr="00FE54E7" w:rsidRDefault="005303A9">
      <w:r w:rsidRPr="005303A9">
        <w:rPr>
          <w:u w:val="single"/>
        </w:rPr>
        <w:t>Discussion:</w:t>
      </w:r>
      <w:r w:rsidR="00FE54E7">
        <w:t xml:space="preserve"> Antibiotics can be stopped safely based on PE and </w:t>
      </w:r>
      <w:r w:rsidR="00283F31">
        <w:t xml:space="preserve">normal CRP concentration. No dogs needed &gt; 3 weeks of antibiotics. </w:t>
      </w:r>
      <w:r w:rsidR="00AB5C6D">
        <w:t xml:space="preserve">QOL score not validated but only found changes in dogs that had relapsed. </w:t>
      </w:r>
      <w:r w:rsidR="00672660">
        <w:t xml:space="preserve">17% complication rate similar to previous study, but with shorter duration of treatment. </w:t>
      </w:r>
      <w:r w:rsidR="00FE0368">
        <w:t xml:space="preserve">The 3 dogs that has relapse were likely due to other underlying disease processes. </w:t>
      </w:r>
      <w:r w:rsidR="00185B45">
        <w:t>Limitations: no airway sampling</w:t>
      </w:r>
      <w:r w:rsidR="007E4AFC">
        <w:t xml:space="preserve"> and </w:t>
      </w:r>
      <w:r w:rsidR="00B911E3">
        <w:t xml:space="preserve">CRP is </w:t>
      </w:r>
      <w:proofErr w:type="spellStart"/>
      <w:r w:rsidR="00B911E3">
        <w:t>non specific</w:t>
      </w:r>
      <w:proofErr w:type="spellEnd"/>
      <w:r w:rsidR="007E4AFC">
        <w:t xml:space="preserve">. </w:t>
      </w:r>
    </w:p>
    <w:p w14:paraId="298BCB63" w14:textId="185D31D6" w:rsidR="001B78F7" w:rsidRDefault="00FE3B79">
      <w:r>
        <w:t xml:space="preserve"> </w:t>
      </w:r>
    </w:p>
    <w:sectPr w:rsidR="001B78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3136"/>
    <w:rsid w:val="00052ADB"/>
    <w:rsid w:val="0008513D"/>
    <w:rsid w:val="000A03BE"/>
    <w:rsid w:val="000B0ECC"/>
    <w:rsid w:val="000B2F61"/>
    <w:rsid w:val="000E773B"/>
    <w:rsid w:val="00144832"/>
    <w:rsid w:val="001561FD"/>
    <w:rsid w:val="00166C3F"/>
    <w:rsid w:val="00175270"/>
    <w:rsid w:val="00185B45"/>
    <w:rsid w:val="001B78F7"/>
    <w:rsid w:val="001C0AF4"/>
    <w:rsid w:val="001D2C8A"/>
    <w:rsid w:val="001E6ABB"/>
    <w:rsid w:val="00210FAF"/>
    <w:rsid w:val="00214D35"/>
    <w:rsid w:val="0022273E"/>
    <w:rsid w:val="00245DE4"/>
    <w:rsid w:val="00253397"/>
    <w:rsid w:val="002754EA"/>
    <w:rsid w:val="00283F31"/>
    <w:rsid w:val="002C5D4A"/>
    <w:rsid w:val="002F0DA6"/>
    <w:rsid w:val="002F3136"/>
    <w:rsid w:val="003012F0"/>
    <w:rsid w:val="00335AFE"/>
    <w:rsid w:val="00337085"/>
    <w:rsid w:val="00375505"/>
    <w:rsid w:val="003A7FCF"/>
    <w:rsid w:val="003C66EB"/>
    <w:rsid w:val="003D6E80"/>
    <w:rsid w:val="003E5D3C"/>
    <w:rsid w:val="003F645D"/>
    <w:rsid w:val="003F6F83"/>
    <w:rsid w:val="003F7773"/>
    <w:rsid w:val="00413B8B"/>
    <w:rsid w:val="0042050D"/>
    <w:rsid w:val="0045117C"/>
    <w:rsid w:val="00481103"/>
    <w:rsid w:val="00490F5D"/>
    <w:rsid w:val="004C32B8"/>
    <w:rsid w:val="005127FE"/>
    <w:rsid w:val="00514E1E"/>
    <w:rsid w:val="00527C7D"/>
    <w:rsid w:val="005303A9"/>
    <w:rsid w:val="0053756E"/>
    <w:rsid w:val="005410D1"/>
    <w:rsid w:val="00545173"/>
    <w:rsid w:val="00546AD0"/>
    <w:rsid w:val="005776EC"/>
    <w:rsid w:val="00591F02"/>
    <w:rsid w:val="00594684"/>
    <w:rsid w:val="005F4C19"/>
    <w:rsid w:val="00604F64"/>
    <w:rsid w:val="00621714"/>
    <w:rsid w:val="00621C30"/>
    <w:rsid w:val="00660166"/>
    <w:rsid w:val="00672660"/>
    <w:rsid w:val="00680DEB"/>
    <w:rsid w:val="00681F7F"/>
    <w:rsid w:val="006826E2"/>
    <w:rsid w:val="00687466"/>
    <w:rsid w:val="006A1155"/>
    <w:rsid w:val="006B6A33"/>
    <w:rsid w:val="006D2DC2"/>
    <w:rsid w:val="0070024E"/>
    <w:rsid w:val="0072111B"/>
    <w:rsid w:val="0072558C"/>
    <w:rsid w:val="0073755E"/>
    <w:rsid w:val="00737A7B"/>
    <w:rsid w:val="00791620"/>
    <w:rsid w:val="007A5003"/>
    <w:rsid w:val="007A622F"/>
    <w:rsid w:val="007C7031"/>
    <w:rsid w:val="007E4AFC"/>
    <w:rsid w:val="007F2EF9"/>
    <w:rsid w:val="00812D48"/>
    <w:rsid w:val="00867A5D"/>
    <w:rsid w:val="008750EE"/>
    <w:rsid w:val="00903263"/>
    <w:rsid w:val="00910D44"/>
    <w:rsid w:val="009365D6"/>
    <w:rsid w:val="00944467"/>
    <w:rsid w:val="00950FC2"/>
    <w:rsid w:val="009649CE"/>
    <w:rsid w:val="009D4007"/>
    <w:rsid w:val="009E228C"/>
    <w:rsid w:val="009E2318"/>
    <w:rsid w:val="009E405B"/>
    <w:rsid w:val="00A143E4"/>
    <w:rsid w:val="00A32521"/>
    <w:rsid w:val="00A55D83"/>
    <w:rsid w:val="00AA618E"/>
    <w:rsid w:val="00AB00F6"/>
    <w:rsid w:val="00AB5C6D"/>
    <w:rsid w:val="00AD36C7"/>
    <w:rsid w:val="00AF7A65"/>
    <w:rsid w:val="00B32D26"/>
    <w:rsid w:val="00B33BC6"/>
    <w:rsid w:val="00B573D3"/>
    <w:rsid w:val="00B7170D"/>
    <w:rsid w:val="00B911E3"/>
    <w:rsid w:val="00BB7B6C"/>
    <w:rsid w:val="00BC0742"/>
    <w:rsid w:val="00BD4EA9"/>
    <w:rsid w:val="00C01A6C"/>
    <w:rsid w:val="00C07D21"/>
    <w:rsid w:val="00C335D4"/>
    <w:rsid w:val="00C6443F"/>
    <w:rsid w:val="00C6688E"/>
    <w:rsid w:val="00C8147B"/>
    <w:rsid w:val="00CB5F61"/>
    <w:rsid w:val="00CD6B75"/>
    <w:rsid w:val="00CE42D8"/>
    <w:rsid w:val="00CE789E"/>
    <w:rsid w:val="00D372E0"/>
    <w:rsid w:val="00D444C1"/>
    <w:rsid w:val="00D60C27"/>
    <w:rsid w:val="00D73524"/>
    <w:rsid w:val="00D75AAC"/>
    <w:rsid w:val="00D806D7"/>
    <w:rsid w:val="00D903A2"/>
    <w:rsid w:val="00D9428C"/>
    <w:rsid w:val="00DB2E00"/>
    <w:rsid w:val="00DB6526"/>
    <w:rsid w:val="00DC0FEA"/>
    <w:rsid w:val="00DC7B19"/>
    <w:rsid w:val="00DD7708"/>
    <w:rsid w:val="00E03A5A"/>
    <w:rsid w:val="00E0720D"/>
    <w:rsid w:val="00E105D1"/>
    <w:rsid w:val="00E22504"/>
    <w:rsid w:val="00E64584"/>
    <w:rsid w:val="00E70226"/>
    <w:rsid w:val="00EB44A5"/>
    <w:rsid w:val="00EF2EB2"/>
    <w:rsid w:val="00EF4C5D"/>
    <w:rsid w:val="00F214AC"/>
    <w:rsid w:val="00F64AE3"/>
    <w:rsid w:val="00F66240"/>
    <w:rsid w:val="00F71EE0"/>
    <w:rsid w:val="00F74BCC"/>
    <w:rsid w:val="00F8091B"/>
    <w:rsid w:val="00F961CF"/>
    <w:rsid w:val="00FB23F5"/>
    <w:rsid w:val="00FB6F57"/>
    <w:rsid w:val="00FE0368"/>
    <w:rsid w:val="00FE3B79"/>
    <w:rsid w:val="00FE54E7"/>
    <w:rsid w:val="00FF0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D96781"/>
  <w15:chartTrackingRefBased/>
  <w15:docId w15:val="{9B1CD17B-146C-48C3-AD45-7590627D7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0" Type="http://schemas.openxmlformats.org/officeDocument/2006/relationships/image" Target="media/image4.png"/><Relationship Id="rId4" Type="http://schemas.openxmlformats.org/officeDocument/2006/relationships/styles" Target="style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700C8F1EDDDCA43912C9CD33B6C7633" ma:contentTypeVersion="7" ma:contentTypeDescription="Create a new document." ma:contentTypeScope="" ma:versionID="b070b19b344de9603044624af3c05299">
  <xsd:schema xmlns:xsd="http://www.w3.org/2001/XMLSchema" xmlns:xs="http://www.w3.org/2001/XMLSchema" xmlns:p="http://schemas.microsoft.com/office/2006/metadata/properties" xmlns:ns3="eead8066-1649-4026-958d-e71beebcb467" xmlns:ns4="ad34b622-fec7-45b7-8ac0-b0014bf39edb" targetNamespace="http://schemas.microsoft.com/office/2006/metadata/properties" ma:root="true" ma:fieldsID="a15abe94151def81fc51d1cf537d34c6" ns3:_="" ns4:_="">
    <xsd:import namespace="eead8066-1649-4026-958d-e71beebcb467"/>
    <xsd:import namespace="ad34b622-fec7-45b7-8ac0-b0014bf39ed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ad8066-1649-4026-958d-e71beebcb4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34b622-fec7-45b7-8ac0-b0014bf39edb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57E8F28-4D39-451E-BD0A-AB526EA5DE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ad8066-1649-4026-958d-e71beebcb467"/>
    <ds:schemaRef ds:uri="ad34b622-fec7-45b7-8ac0-b0014bf39e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D8B47B0-C922-4C61-AAFE-1A734C5DCC6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39315A6-F397-4B05-A4AC-93568EB144E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992</TotalTime>
  <Pages>5</Pages>
  <Words>942</Words>
  <Characters>5375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Davis</dc:creator>
  <cp:keywords/>
  <dc:description/>
  <cp:lastModifiedBy>Samantha Davis</cp:lastModifiedBy>
  <cp:revision>149</cp:revision>
  <dcterms:created xsi:type="dcterms:W3CDTF">2022-06-23T02:31:00Z</dcterms:created>
  <dcterms:modified xsi:type="dcterms:W3CDTF">2022-06-23T19:32:00Z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0x0101000700C8F1EDDDCA43912C9CD33B6C7633</vt:lpwstr>
  </property>
</Properties>
</file>