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9089DF" w14:textId="77777777" w:rsidR="002F01E2" w:rsidRDefault="002F01E2" w:rsidP="002F01E2">
      <w:pPr>
        <w:pStyle w:val="ListParagraph"/>
        <w:numPr>
          <w:ilvl w:val="0"/>
          <w:numId w:val="1"/>
        </w:numPr>
      </w:pPr>
      <w:r>
        <w:t>Evaluation of serum cardiac troponin-I concentrations for diagnosis of infective endocarditis in dogs</w:t>
      </w:r>
    </w:p>
    <w:p w14:paraId="2805FA1E" w14:textId="6735E8B0" w:rsidR="002F01E2" w:rsidRDefault="002F01E2" w:rsidP="00703132">
      <w:pPr>
        <w:pStyle w:val="ListParagraph"/>
        <w:numPr>
          <w:ilvl w:val="1"/>
          <w:numId w:val="1"/>
        </w:numPr>
      </w:pPr>
      <w:r>
        <w:t>Eoin Kilkenny,</w:t>
      </w:r>
      <w:r w:rsidR="00703132">
        <w:t xml:space="preserve"> </w:t>
      </w:r>
      <w:r>
        <w:t>Claire Watson,</w:t>
      </w:r>
      <w:r w:rsidR="00703132">
        <w:t xml:space="preserve"> </w:t>
      </w:r>
      <w:r>
        <w:t>Joanna Dukes-McEwan,</w:t>
      </w:r>
      <w:r w:rsidR="00703132">
        <w:t xml:space="preserve"> </w:t>
      </w:r>
      <w:r>
        <w:t>Elizabeth F. Bode,</w:t>
      </w:r>
      <w:r w:rsidR="00703132">
        <w:t xml:space="preserve"> </w:t>
      </w:r>
      <w:r>
        <w:t xml:space="preserve">Melanie J. </w:t>
      </w:r>
      <w:proofErr w:type="spellStart"/>
      <w:r>
        <w:t>Hezzell</w:t>
      </w:r>
      <w:proofErr w:type="spellEnd"/>
      <w:r>
        <w:t>,</w:t>
      </w:r>
      <w:r w:rsidR="00703132">
        <w:t xml:space="preserve"> </w:t>
      </w:r>
      <w:r>
        <w:t>Jessie Rosie Payne,</w:t>
      </w:r>
      <w:r w:rsidR="00703132">
        <w:t xml:space="preserve"> </w:t>
      </w:r>
      <w:r>
        <w:t xml:space="preserve">Kieran </w:t>
      </w:r>
      <w:proofErr w:type="spellStart"/>
      <w:r>
        <w:t>Borgeat</w:t>
      </w:r>
      <w:proofErr w:type="spellEnd"/>
    </w:p>
    <w:p w14:paraId="52417F7D" w14:textId="0ACEDE27" w:rsidR="002F01E2" w:rsidRDefault="002F01E2" w:rsidP="00703132">
      <w:pPr>
        <w:pStyle w:val="ListParagraph"/>
        <w:numPr>
          <w:ilvl w:val="1"/>
          <w:numId w:val="1"/>
        </w:numPr>
      </w:pPr>
      <w:r>
        <w:t xml:space="preserve">First published: 10 August 2021 </w:t>
      </w:r>
      <w:hyperlink r:id="rId10" w:history="1">
        <w:r w:rsidRPr="00870278">
          <w:rPr>
            <w:rStyle w:val="Hyperlink"/>
          </w:rPr>
          <w:t>https://doi.org/10.1111/jvim.16234</w:t>
        </w:r>
      </w:hyperlink>
    </w:p>
    <w:p w14:paraId="27CD4DB1" w14:textId="77777777" w:rsidR="002F01E2" w:rsidRDefault="002F01E2" w:rsidP="00703132">
      <w:pPr>
        <w:pStyle w:val="ListParagraph"/>
        <w:numPr>
          <w:ilvl w:val="2"/>
          <w:numId w:val="1"/>
        </w:numPr>
      </w:pPr>
      <w:r>
        <w:t>Background</w:t>
      </w:r>
    </w:p>
    <w:p w14:paraId="154BB005" w14:textId="2FFC1A43" w:rsidR="002F01E2" w:rsidRDefault="002F01E2" w:rsidP="00703132">
      <w:pPr>
        <w:pStyle w:val="ListParagraph"/>
        <w:numPr>
          <w:ilvl w:val="3"/>
          <w:numId w:val="1"/>
        </w:numPr>
      </w:pPr>
      <w:r>
        <w:t>Infective endocarditis (IE) in dogs is associated with severe disease and a high case fatality rate but often presents with nonspecific clinical signs.</w:t>
      </w:r>
    </w:p>
    <w:p w14:paraId="13AC77C0" w14:textId="77777777" w:rsidR="002F01E2" w:rsidRDefault="002F01E2" w:rsidP="00703132">
      <w:pPr>
        <w:pStyle w:val="ListParagraph"/>
        <w:numPr>
          <w:ilvl w:val="2"/>
          <w:numId w:val="1"/>
        </w:numPr>
      </w:pPr>
      <w:r>
        <w:t>Hypothesis/Objectives</w:t>
      </w:r>
    </w:p>
    <w:p w14:paraId="3288CDEA" w14:textId="581CE74C" w:rsidR="002F01E2" w:rsidRDefault="002F01E2" w:rsidP="00703132">
      <w:pPr>
        <w:pStyle w:val="ListParagraph"/>
        <w:numPr>
          <w:ilvl w:val="3"/>
          <w:numId w:val="1"/>
        </w:numPr>
      </w:pPr>
      <w:r>
        <w:t>Serum concentration of cardiac troponin-I (</w:t>
      </w:r>
      <w:proofErr w:type="spellStart"/>
      <w:r>
        <w:t>cTnI</w:t>
      </w:r>
      <w:proofErr w:type="spellEnd"/>
      <w:r>
        <w:t xml:space="preserve">) is elevated in dogs with IE and can differentiate dogs with IE from dogs with other diseases with similar clinical features. Concentration of serum </w:t>
      </w:r>
      <w:proofErr w:type="spellStart"/>
      <w:r>
        <w:t>cTnI</w:t>
      </w:r>
      <w:proofErr w:type="spellEnd"/>
      <w:r>
        <w:t xml:space="preserve"> is negatively correlated with survival time in dogs with IE.</w:t>
      </w:r>
    </w:p>
    <w:p w14:paraId="45504B6C" w14:textId="77777777" w:rsidR="002F01E2" w:rsidRDefault="002F01E2" w:rsidP="00703132">
      <w:pPr>
        <w:pStyle w:val="ListParagraph"/>
        <w:numPr>
          <w:ilvl w:val="2"/>
          <w:numId w:val="1"/>
        </w:numPr>
      </w:pPr>
      <w:r>
        <w:t>Animals</w:t>
      </w:r>
    </w:p>
    <w:p w14:paraId="69E64EE5" w14:textId="4145A6FB" w:rsidR="002F01E2" w:rsidRDefault="002F01E2" w:rsidP="00703132">
      <w:pPr>
        <w:pStyle w:val="ListParagraph"/>
        <w:numPr>
          <w:ilvl w:val="3"/>
          <w:numId w:val="1"/>
        </w:numPr>
      </w:pPr>
      <w:r>
        <w:t>Seventy-two client-owned dogs; 29 with IE, 27 with stage-B myxomatous mitral valve disease (MMVD), and 16 with immune-mediated disease (IMD).</w:t>
      </w:r>
    </w:p>
    <w:p w14:paraId="436D94BD" w14:textId="77777777" w:rsidR="002F01E2" w:rsidRDefault="002F01E2" w:rsidP="00703132">
      <w:pPr>
        <w:pStyle w:val="ListParagraph"/>
        <w:numPr>
          <w:ilvl w:val="2"/>
          <w:numId w:val="1"/>
        </w:numPr>
      </w:pPr>
      <w:r>
        <w:t>Methods</w:t>
      </w:r>
    </w:p>
    <w:p w14:paraId="56608D66" w14:textId="43C576B5" w:rsidR="002F01E2" w:rsidRDefault="002F01E2" w:rsidP="00703132">
      <w:pPr>
        <w:pStyle w:val="ListParagraph"/>
        <w:numPr>
          <w:ilvl w:val="3"/>
          <w:numId w:val="1"/>
        </w:numPr>
      </w:pPr>
      <w:r>
        <w:t xml:space="preserve">Retrospective clinical cohort study. Concentration of serum </w:t>
      </w:r>
      <w:proofErr w:type="spellStart"/>
      <w:r>
        <w:t>cTnI</w:t>
      </w:r>
      <w:proofErr w:type="spellEnd"/>
      <w:r>
        <w:t xml:space="preserve"> was measured in all dogs at time of diagnosis. Clinical findings and echocardiographic interpretation were also recorded. Statistical analyses included Kruskal-</w:t>
      </w:r>
      <w:proofErr w:type="gramStart"/>
      <w:r>
        <w:t>Wallis</w:t>
      </w:r>
      <w:proofErr w:type="gramEnd"/>
      <w:r>
        <w:t xml:space="preserve"> test, pairwise Mann-Whitney U tests, receiver operator characteristic, and Cox proportional hazards.</w:t>
      </w:r>
    </w:p>
    <w:p w14:paraId="511D6615" w14:textId="77777777" w:rsidR="002F01E2" w:rsidRDefault="002F01E2" w:rsidP="00703132">
      <w:pPr>
        <w:pStyle w:val="ListParagraph"/>
        <w:numPr>
          <w:ilvl w:val="2"/>
          <w:numId w:val="1"/>
        </w:numPr>
      </w:pPr>
      <w:r>
        <w:t>Results</w:t>
      </w:r>
    </w:p>
    <w:p w14:paraId="50FD05CE" w14:textId="25E91CA2" w:rsidR="002F01E2" w:rsidRDefault="002F01E2" w:rsidP="00703132">
      <w:pPr>
        <w:pStyle w:val="ListParagraph"/>
        <w:numPr>
          <w:ilvl w:val="3"/>
          <w:numId w:val="1"/>
        </w:numPr>
      </w:pPr>
      <w:r>
        <w:t xml:space="preserve">Serum concentration of </w:t>
      </w:r>
      <w:proofErr w:type="spellStart"/>
      <w:r>
        <w:t>cTnI</w:t>
      </w:r>
      <w:proofErr w:type="spellEnd"/>
      <w:r>
        <w:t xml:space="preserve"> was significantly higher in the IE group (0.69 ng/mL [0.03-80.8]) than in the MMVD (0.05 ng/mL [0.02-0.11], P &lt; .001) and IMD groups (0.05 ng/mL [0.03-0.57], P &lt; .001). Increased </w:t>
      </w:r>
      <w:proofErr w:type="spellStart"/>
      <w:r>
        <w:t>cTnI</w:t>
      </w:r>
      <w:proofErr w:type="spellEnd"/>
      <w:r>
        <w:t xml:space="preserve"> was a moderately accurate predictor of IE (area under the curve 0.857 (95% confidence interval [CI] 0.745-0.968, P &lt; .001). A </w:t>
      </w:r>
      <w:proofErr w:type="spellStart"/>
      <w:r>
        <w:t>cTnI</w:t>
      </w:r>
      <w:proofErr w:type="spellEnd"/>
      <w:r>
        <w:t xml:space="preserve"> cutoff of 0.625 ng/mL had 100% specificity (95% CI 90%-100%) and 52% sensitivity (95% CI 33%-70%) in this study sample. There was no association between </w:t>
      </w:r>
      <w:proofErr w:type="spellStart"/>
      <w:r>
        <w:t>cTnI</w:t>
      </w:r>
      <w:proofErr w:type="spellEnd"/>
      <w:r>
        <w:t xml:space="preserve"> concentration and survival time in dogs with IE (hazard ratio 1.013, 95% CI 0.993-1.034, P = .2).</w:t>
      </w:r>
    </w:p>
    <w:p w14:paraId="15D48ABA" w14:textId="77777777" w:rsidR="002F01E2" w:rsidRDefault="002F01E2" w:rsidP="00703132">
      <w:pPr>
        <w:pStyle w:val="ListParagraph"/>
        <w:numPr>
          <w:ilvl w:val="2"/>
          <w:numId w:val="1"/>
        </w:numPr>
      </w:pPr>
      <w:r>
        <w:t>Conclusions and Clinical Importance</w:t>
      </w:r>
    </w:p>
    <w:p w14:paraId="7811F246" w14:textId="1A631B68" w:rsidR="002F01E2" w:rsidRDefault="002F01E2" w:rsidP="00703132">
      <w:pPr>
        <w:pStyle w:val="ListParagraph"/>
        <w:numPr>
          <w:ilvl w:val="3"/>
          <w:numId w:val="1"/>
        </w:numPr>
      </w:pPr>
      <w:r>
        <w:t xml:space="preserve">Cardiac troponin-I concentrations are higher in dogs with IE compared to dogs with preclinical MMVD or IMD. In dogs with a compatible clinical presentation, serum </w:t>
      </w:r>
      <w:proofErr w:type="spellStart"/>
      <w:r>
        <w:t>cTnI</w:t>
      </w:r>
      <w:proofErr w:type="spellEnd"/>
      <w:r>
        <w:t xml:space="preserve"> concentrations &gt;0.625 ng/mL are supportive of IE.</w:t>
      </w:r>
    </w:p>
    <w:p w14:paraId="671F2F42" w14:textId="7AFC3B4E" w:rsidR="002F01E2" w:rsidRDefault="002F01E2" w:rsidP="002F01E2">
      <w:pPr>
        <w:pStyle w:val="ListParagraph"/>
      </w:pPr>
    </w:p>
    <w:p w14:paraId="397C11FA" w14:textId="67CA7A5C" w:rsidR="00703132" w:rsidRDefault="00703132" w:rsidP="002F01E2">
      <w:pPr>
        <w:pStyle w:val="ListParagraph"/>
      </w:pPr>
    </w:p>
    <w:p w14:paraId="5DC513C1" w14:textId="6C93C860" w:rsidR="00703132" w:rsidRDefault="00703132" w:rsidP="002F01E2">
      <w:pPr>
        <w:pStyle w:val="ListParagraph"/>
      </w:pPr>
    </w:p>
    <w:p w14:paraId="0864E6A8" w14:textId="77777777" w:rsidR="00703132" w:rsidRDefault="00703132" w:rsidP="002F01E2">
      <w:pPr>
        <w:pStyle w:val="ListParagraph"/>
      </w:pPr>
    </w:p>
    <w:p w14:paraId="2C34A601" w14:textId="77777777" w:rsidR="002F01E2" w:rsidRDefault="002F01E2" w:rsidP="002F01E2">
      <w:pPr>
        <w:pStyle w:val="ListParagraph"/>
        <w:numPr>
          <w:ilvl w:val="0"/>
          <w:numId w:val="1"/>
        </w:numPr>
      </w:pPr>
      <w:r>
        <w:lastRenderedPageBreak/>
        <w:t>Retrospective evaluation of a dose-dependent effect of angiotensin-converting enzyme inhibitors on long-term outcome in dogs with cardiac disease</w:t>
      </w:r>
    </w:p>
    <w:p w14:paraId="7AD13B51" w14:textId="3976BAA6" w:rsidR="002F01E2" w:rsidRDefault="002F01E2" w:rsidP="00703132">
      <w:pPr>
        <w:pStyle w:val="ListParagraph"/>
        <w:numPr>
          <w:ilvl w:val="1"/>
          <w:numId w:val="1"/>
        </w:numPr>
      </w:pPr>
      <w:r>
        <w:t>Jessica L. Ward,</w:t>
      </w:r>
      <w:r w:rsidR="00703132">
        <w:t xml:space="preserve"> </w:t>
      </w:r>
      <w:r>
        <w:t>Yen-Yu Chou,</w:t>
      </w:r>
      <w:r w:rsidR="00703132">
        <w:t xml:space="preserve"> </w:t>
      </w:r>
      <w:r>
        <w:t>Lingnan Yuan,</w:t>
      </w:r>
      <w:r w:rsidR="00703132">
        <w:t xml:space="preserve"> </w:t>
      </w:r>
      <w:r>
        <w:t>Karin S. Dorman,</w:t>
      </w:r>
      <w:r w:rsidR="00703132">
        <w:t xml:space="preserve"> </w:t>
      </w:r>
      <w:r>
        <w:t xml:space="preserve">Jonathan P. </w:t>
      </w:r>
      <w:proofErr w:type="spellStart"/>
      <w:r>
        <w:t>Mochel</w:t>
      </w:r>
      <w:proofErr w:type="spellEnd"/>
    </w:p>
    <w:p w14:paraId="12A676D2" w14:textId="666B167F" w:rsidR="002F01E2" w:rsidRDefault="002F01E2" w:rsidP="00703132">
      <w:pPr>
        <w:pStyle w:val="ListParagraph"/>
        <w:numPr>
          <w:ilvl w:val="1"/>
          <w:numId w:val="1"/>
        </w:numPr>
      </w:pPr>
      <w:r>
        <w:t xml:space="preserve">First published: 13 August 2021 </w:t>
      </w:r>
      <w:hyperlink r:id="rId11" w:history="1">
        <w:r w:rsidRPr="00870278">
          <w:rPr>
            <w:rStyle w:val="Hyperlink"/>
          </w:rPr>
          <w:t>https://doi.org/10.1111/jvim.16236</w:t>
        </w:r>
      </w:hyperlink>
    </w:p>
    <w:p w14:paraId="48B63210" w14:textId="77777777" w:rsidR="002F01E2" w:rsidRDefault="002F01E2" w:rsidP="00703132">
      <w:pPr>
        <w:pStyle w:val="ListParagraph"/>
        <w:numPr>
          <w:ilvl w:val="2"/>
          <w:numId w:val="1"/>
        </w:numPr>
      </w:pPr>
      <w:r>
        <w:t>Background</w:t>
      </w:r>
    </w:p>
    <w:p w14:paraId="1C17D0CC" w14:textId="1838F84E" w:rsidR="002F01E2" w:rsidRDefault="002F01E2" w:rsidP="00703132">
      <w:pPr>
        <w:pStyle w:val="ListParagraph"/>
        <w:numPr>
          <w:ilvl w:val="3"/>
          <w:numId w:val="1"/>
        </w:numPr>
      </w:pPr>
      <w:r>
        <w:t>Angiotensin-converting enzyme inhibitors (ACEIs) are commonly prescribed in dogs, but the ideal dosage is unknown.</w:t>
      </w:r>
    </w:p>
    <w:p w14:paraId="58B1EB63" w14:textId="77777777" w:rsidR="002F01E2" w:rsidRDefault="002F01E2" w:rsidP="00703132">
      <w:pPr>
        <w:pStyle w:val="ListParagraph"/>
        <w:numPr>
          <w:ilvl w:val="2"/>
          <w:numId w:val="1"/>
        </w:numPr>
      </w:pPr>
      <w:r>
        <w:t>Hypothesis/Objectives</w:t>
      </w:r>
    </w:p>
    <w:p w14:paraId="67195BD4" w14:textId="2E2E1AC7" w:rsidR="002F01E2" w:rsidRDefault="002F01E2" w:rsidP="00703132">
      <w:pPr>
        <w:pStyle w:val="ListParagraph"/>
        <w:numPr>
          <w:ilvl w:val="3"/>
          <w:numId w:val="1"/>
        </w:numPr>
      </w:pPr>
      <w:r>
        <w:t>In dogs with cardiac disease, a dose-response relationship exists for ACEIs with respect to long-term outcome.</w:t>
      </w:r>
    </w:p>
    <w:p w14:paraId="52E4C289" w14:textId="77777777" w:rsidR="002F01E2" w:rsidRDefault="002F01E2" w:rsidP="00703132">
      <w:pPr>
        <w:pStyle w:val="ListParagraph"/>
        <w:numPr>
          <w:ilvl w:val="2"/>
          <w:numId w:val="1"/>
        </w:numPr>
      </w:pPr>
      <w:r>
        <w:t>Animals</w:t>
      </w:r>
    </w:p>
    <w:p w14:paraId="210AE6A6" w14:textId="4DD1B867" w:rsidR="002F01E2" w:rsidRDefault="002F01E2" w:rsidP="00703132">
      <w:pPr>
        <w:pStyle w:val="ListParagraph"/>
        <w:numPr>
          <w:ilvl w:val="3"/>
          <w:numId w:val="1"/>
        </w:numPr>
      </w:pPr>
      <w:r>
        <w:t>One hundred forty-four dogs with cardiac disease, 63 with current or prior congestive heart failure.</w:t>
      </w:r>
    </w:p>
    <w:p w14:paraId="3A3F30D7" w14:textId="77777777" w:rsidR="002F01E2" w:rsidRDefault="002F01E2" w:rsidP="00703132">
      <w:pPr>
        <w:pStyle w:val="ListParagraph"/>
        <w:numPr>
          <w:ilvl w:val="2"/>
          <w:numId w:val="1"/>
        </w:numPr>
      </w:pPr>
      <w:r>
        <w:t>Methods</w:t>
      </w:r>
    </w:p>
    <w:p w14:paraId="5ED7DEED" w14:textId="02621AE3" w:rsidR="002F01E2" w:rsidRDefault="002F01E2" w:rsidP="00703132">
      <w:pPr>
        <w:pStyle w:val="ListParagraph"/>
        <w:numPr>
          <w:ilvl w:val="3"/>
          <w:numId w:val="1"/>
        </w:numPr>
      </w:pPr>
      <w:r>
        <w:t>Retrospective medical record review. Cox proportional hazards models were used to determine variables associated with 2-year survival or survival from first-onset congestive heart failure (CHF).</w:t>
      </w:r>
    </w:p>
    <w:p w14:paraId="1A901D44" w14:textId="77777777" w:rsidR="002F01E2" w:rsidRDefault="002F01E2" w:rsidP="00703132">
      <w:pPr>
        <w:pStyle w:val="ListParagraph"/>
        <w:numPr>
          <w:ilvl w:val="2"/>
          <w:numId w:val="1"/>
        </w:numPr>
      </w:pPr>
      <w:r>
        <w:t>Results</w:t>
      </w:r>
    </w:p>
    <w:p w14:paraId="3CD7A35B" w14:textId="3DDC7718" w:rsidR="002F01E2" w:rsidRDefault="002F01E2" w:rsidP="00703132">
      <w:pPr>
        <w:pStyle w:val="ListParagraph"/>
        <w:numPr>
          <w:ilvl w:val="3"/>
          <w:numId w:val="1"/>
        </w:numPr>
      </w:pPr>
      <w:r>
        <w:t>Median initial ACEI dosage was 0.84 (interquartile range [IQR], 0.56-0.98) mg/kg/day, and 108/144 (75%) of dogs received q12h dosing. No clinically relevant changes in renal function test results, serum electrolyte concentrations, or blood pressure occurred between initial prescription of ACEI and first reevaluation (median, 14 days later). In univariable analysis, higher ACEI dose was associated with increased survival from first-onset CHF (P = .005), and within the subgroup of dogs in CHF at the time of ACEI prescription, higher ACEI dose was associated with improved survival at 2 years (P = .04). In multivariable analysis, q12h dose frequency of ACEI (hazard ratio [HR], 0.30; 95% CI, 0.10-0.88; P = .03) and higher serum potassium concentration at visit 1 (HR, 0.39; 95% CI, 0.16-0.97; P = .04) were predictive of 2-year survival. The ACEIs were well-tolerated, with only 8/144 (5.6%) dogs having ACEI dose decreased or discontinued because of adverse effects.</w:t>
      </w:r>
    </w:p>
    <w:p w14:paraId="37A2B3D3" w14:textId="77777777" w:rsidR="002F01E2" w:rsidRDefault="002F01E2" w:rsidP="00703132">
      <w:pPr>
        <w:pStyle w:val="ListParagraph"/>
        <w:numPr>
          <w:ilvl w:val="2"/>
          <w:numId w:val="1"/>
        </w:numPr>
      </w:pPr>
      <w:r>
        <w:t>Conclusions and Clinical Importance</w:t>
      </w:r>
    </w:p>
    <w:p w14:paraId="36BB6921" w14:textId="247FFC60" w:rsidR="002F01E2" w:rsidRDefault="002F01E2" w:rsidP="00703132">
      <w:pPr>
        <w:pStyle w:val="ListParagraph"/>
        <w:numPr>
          <w:ilvl w:val="3"/>
          <w:numId w:val="1"/>
        </w:numPr>
      </w:pPr>
      <w:r>
        <w:t>Twice daily dose frequency might optimize the cardioprotective benefit of ACEIs.</w:t>
      </w:r>
    </w:p>
    <w:p w14:paraId="5D01BA1A" w14:textId="10123030" w:rsidR="00703132" w:rsidRDefault="00703132" w:rsidP="00703132"/>
    <w:p w14:paraId="24CF5391" w14:textId="40C5A902" w:rsidR="00703132" w:rsidRDefault="00703132" w:rsidP="00703132"/>
    <w:p w14:paraId="79F18891" w14:textId="42111085" w:rsidR="00703132" w:rsidRDefault="00703132" w:rsidP="00703132"/>
    <w:p w14:paraId="23B3A33F" w14:textId="3D8A7510" w:rsidR="00703132" w:rsidRDefault="00703132" w:rsidP="00703132"/>
    <w:p w14:paraId="03B9C41A" w14:textId="08A4D265" w:rsidR="00703132" w:rsidRDefault="00703132" w:rsidP="00703132"/>
    <w:p w14:paraId="362821F7" w14:textId="77777777" w:rsidR="00703132" w:rsidRDefault="00703132" w:rsidP="00703132"/>
    <w:p w14:paraId="1502E92B" w14:textId="77777777" w:rsidR="002F01E2" w:rsidRDefault="002F01E2" w:rsidP="002F01E2">
      <w:pPr>
        <w:pStyle w:val="ListParagraph"/>
        <w:numPr>
          <w:ilvl w:val="0"/>
          <w:numId w:val="1"/>
        </w:numPr>
      </w:pPr>
      <w:r>
        <w:lastRenderedPageBreak/>
        <w:t>An ultra-long-acting recombinant insulin for the treatment of diabetes mellitus in cats</w:t>
      </w:r>
    </w:p>
    <w:p w14:paraId="2BB7CB39" w14:textId="224EB340" w:rsidR="002F01E2" w:rsidRDefault="002F01E2" w:rsidP="00AF3DFB">
      <w:pPr>
        <w:pStyle w:val="ListParagraph"/>
        <w:numPr>
          <w:ilvl w:val="1"/>
          <w:numId w:val="1"/>
        </w:numPr>
      </w:pPr>
      <w:r>
        <w:t xml:space="preserve">Chen </w:t>
      </w:r>
      <w:proofErr w:type="spellStart"/>
      <w:r>
        <w:t>Gilor</w:t>
      </w:r>
      <w:proofErr w:type="spellEnd"/>
      <w:r>
        <w:t>,</w:t>
      </w:r>
      <w:r w:rsidR="00AF3DFB">
        <w:t xml:space="preserve"> </w:t>
      </w:r>
      <w:r>
        <w:t xml:space="preserve">Sean E. </w:t>
      </w:r>
      <w:proofErr w:type="spellStart"/>
      <w:r>
        <w:t>Hulsebosch</w:t>
      </w:r>
      <w:proofErr w:type="spellEnd"/>
      <w:r>
        <w:t>,</w:t>
      </w:r>
      <w:r w:rsidR="00AF3DFB">
        <w:t xml:space="preserve"> </w:t>
      </w:r>
      <w:proofErr w:type="spellStart"/>
      <w:r>
        <w:t>Jully</w:t>
      </w:r>
      <w:proofErr w:type="spellEnd"/>
      <w:r>
        <w:t xml:space="preserve"> Pires,</w:t>
      </w:r>
      <w:r w:rsidR="00AF3DFB">
        <w:t xml:space="preserve"> </w:t>
      </w:r>
      <w:r>
        <w:t xml:space="preserve">Michael J. </w:t>
      </w:r>
      <w:proofErr w:type="spellStart"/>
      <w:r>
        <w:t>Bannasch</w:t>
      </w:r>
      <w:proofErr w:type="spellEnd"/>
      <w:r>
        <w:t>,</w:t>
      </w:r>
      <w:r w:rsidR="00AF3DFB">
        <w:t xml:space="preserve"> </w:t>
      </w:r>
      <w:r>
        <w:t>Thomas Lancaster,</w:t>
      </w:r>
      <w:r w:rsidR="00AF3DFB">
        <w:t xml:space="preserve"> </w:t>
      </w:r>
      <w:r>
        <w:t xml:space="preserve">Andrea </w:t>
      </w:r>
      <w:proofErr w:type="spellStart"/>
      <w:r>
        <w:t>Delpero</w:t>
      </w:r>
      <w:proofErr w:type="spellEnd"/>
      <w:r>
        <w:t>,</w:t>
      </w:r>
      <w:r w:rsidR="00AF3DFB">
        <w:t xml:space="preserve"> </w:t>
      </w:r>
      <w:r>
        <w:t xml:space="preserve">Ramya </w:t>
      </w:r>
      <w:proofErr w:type="spellStart"/>
      <w:r>
        <w:t>Ragupathy</w:t>
      </w:r>
      <w:proofErr w:type="spellEnd"/>
      <w:r>
        <w:t>,</w:t>
      </w:r>
      <w:r w:rsidR="00AF3DFB">
        <w:t xml:space="preserve"> </w:t>
      </w:r>
      <w:proofErr w:type="spellStart"/>
      <w:r>
        <w:t>Sylaja</w:t>
      </w:r>
      <w:proofErr w:type="spellEnd"/>
      <w:r>
        <w:t xml:space="preserve"> </w:t>
      </w:r>
      <w:proofErr w:type="spellStart"/>
      <w:r>
        <w:t>Murikipudi</w:t>
      </w:r>
      <w:proofErr w:type="spellEnd"/>
      <w:r>
        <w:t>,</w:t>
      </w:r>
      <w:r w:rsidR="00AF3DFB">
        <w:t xml:space="preserve"> </w:t>
      </w:r>
      <w:r>
        <w:t>Todd Zion</w:t>
      </w:r>
    </w:p>
    <w:p w14:paraId="142C1EE4" w14:textId="0E592318" w:rsidR="002F01E2" w:rsidRDefault="002F01E2" w:rsidP="00AF3DFB">
      <w:pPr>
        <w:pStyle w:val="ListParagraph"/>
        <w:numPr>
          <w:ilvl w:val="1"/>
          <w:numId w:val="1"/>
        </w:numPr>
      </w:pPr>
      <w:r>
        <w:t xml:space="preserve">First published: 30 June 2021 </w:t>
      </w:r>
      <w:hyperlink r:id="rId12" w:history="1">
        <w:r w:rsidRPr="00870278">
          <w:rPr>
            <w:rStyle w:val="Hyperlink"/>
          </w:rPr>
          <w:t>https://doi.org/10.1111/jvim.16150</w:t>
        </w:r>
      </w:hyperlink>
    </w:p>
    <w:p w14:paraId="5FA9B302" w14:textId="77777777" w:rsidR="002F01E2" w:rsidRDefault="002F01E2" w:rsidP="00AF3DFB">
      <w:pPr>
        <w:pStyle w:val="ListParagraph"/>
        <w:numPr>
          <w:ilvl w:val="2"/>
          <w:numId w:val="1"/>
        </w:numPr>
      </w:pPr>
      <w:r>
        <w:t>Background</w:t>
      </w:r>
    </w:p>
    <w:p w14:paraId="570E4D09" w14:textId="55C44F3E" w:rsidR="002F01E2" w:rsidRDefault="002F01E2" w:rsidP="00AF3DFB">
      <w:pPr>
        <w:pStyle w:val="ListParagraph"/>
        <w:numPr>
          <w:ilvl w:val="3"/>
          <w:numId w:val="1"/>
        </w:numPr>
      </w:pPr>
      <w:r>
        <w:t>Treatment of diabetes mellitus (DM) in cats typically requires insulin injections q12h-q24h, posing a major compliance barrier for caregivers. Novel treatments enabling decreased injection frequency while maintaining safety are highly desirable. Insulin fused with feline immunoglobulin fragment crystallizable (Fc) has an ultra-long plasma half-life because it recycles through cells where it is protected from proteolysis.</w:t>
      </w:r>
    </w:p>
    <w:p w14:paraId="5AAE242A" w14:textId="77777777" w:rsidR="002F01E2" w:rsidRDefault="002F01E2" w:rsidP="00AF3DFB">
      <w:pPr>
        <w:pStyle w:val="ListParagraph"/>
        <w:numPr>
          <w:ilvl w:val="2"/>
          <w:numId w:val="1"/>
        </w:numPr>
      </w:pPr>
      <w:r>
        <w:t>Hypothesis</w:t>
      </w:r>
    </w:p>
    <w:p w14:paraId="6AE20272" w14:textId="7C78A681" w:rsidR="002F01E2" w:rsidRDefault="002F01E2" w:rsidP="00AF3DFB">
      <w:pPr>
        <w:pStyle w:val="ListParagraph"/>
        <w:numPr>
          <w:ilvl w:val="3"/>
          <w:numId w:val="1"/>
        </w:numPr>
      </w:pPr>
      <w:r>
        <w:t>Glycemic control can be achieved in diabetic cats with a recombinant fusion protein of a synthetic insulin and feline Fc (AKS-267c) administered SC weekly.</w:t>
      </w:r>
    </w:p>
    <w:p w14:paraId="7B84C2A7" w14:textId="77777777" w:rsidR="002F01E2" w:rsidRDefault="002F01E2" w:rsidP="00AF3DFB">
      <w:pPr>
        <w:pStyle w:val="ListParagraph"/>
        <w:numPr>
          <w:ilvl w:val="2"/>
          <w:numId w:val="1"/>
        </w:numPr>
      </w:pPr>
      <w:r>
        <w:t>Animals</w:t>
      </w:r>
    </w:p>
    <w:p w14:paraId="55B566A9" w14:textId="477272DC" w:rsidR="002F01E2" w:rsidRDefault="002F01E2" w:rsidP="00AF3DFB">
      <w:pPr>
        <w:pStyle w:val="ListParagraph"/>
        <w:numPr>
          <w:ilvl w:val="3"/>
          <w:numId w:val="1"/>
        </w:numPr>
      </w:pPr>
      <w:r>
        <w:t>Five cats with spontaneous DM.</w:t>
      </w:r>
    </w:p>
    <w:p w14:paraId="2B303A43" w14:textId="77777777" w:rsidR="002F01E2" w:rsidRDefault="002F01E2" w:rsidP="00AF3DFB">
      <w:pPr>
        <w:pStyle w:val="ListParagraph"/>
        <w:numPr>
          <w:ilvl w:val="2"/>
          <w:numId w:val="1"/>
        </w:numPr>
      </w:pPr>
      <w:r>
        <w:t>Methods</w:t>
      </w:r>
    </w:p>
    <w:p w14:paraId="1E9EFA68" w14:textId="3D204943" w:rsidR="002F01E2" w:rsidRDefault="002F01E2" w:rsidP="00AF3DFB">
      <w:pPr>
        <w:pStyle w:val="ListParagraph"/>
        <w:numPr>
          <w:ilvl w:val="3"/>
          <w:numId w:val="1"/>
        </w:numPr>
      </w:pPr>
      <w:r>
        <w:t xml:space="preserve">Cats previously controlled using insulin glargine q12h were transitioned to once-weekly injection of AKS-267c. The dose of AKS-267c was titrated weekly for 7 weeks based on continuous glucose monitoring. Clinical signs, body weight, </w:t>
      </w:r>
      <w:proofErr w:type="spellStart"/>
      <w:r>
        <w:t>fructosamine</w:t>
      </w:r>
      <w:proofErr w:type="spellEnd"/>
      <w:r>
        <w:t xml:space="preserve"> concentrations, and mean interstitial glucose concentrations (IG) were compared between baseline (week 0, on insulin glargine) and the last week of treatment. Data were assessed for normality and compared using parametric or nonparametric paired tests (as appropriate).</w:t>
      </w:r>
    </w:p>
    <w:p w14:paraId="53F93123" w14:textId="77777777" w:rsidR="002F01E2" w:rsidRDefault="002F01E2" w:rsidP="00AF3DFB">
      <w:pPr>
        <w:pStyle w:val="ListParagraph"/>
        <w:numPr>
          <w:ilvl w:val="2"/>
          <w:numId w:val="1"/>
        </w:numPr>
      </w:pPr>
      <w:r>
        <w:t>Results</w:t>
      </w:r>
    </w:p>
    <w:p w14:paraId="161975C5" w14:textId="7518C813" w:rsidR="002F01E2" w:rsidRDefault="002F01E2" w:rsidP="00AF3DFB">
      <w:pPr>
        <w:pStyle w:val="ListParagraph"/>
        <w:numPr>
          <w:ilvl w:val="3"/>
          <w:numId w:val="1"/>
        </w:numPr>
      </w:pPr>
      <w:r>
        <w:t xml:space="preserve">After 7 weeks of once-weekly injections, compared to baseline, there were no significant changes in clinical signs, body weight (median [range] gain, 0.1 kg [−0.1 to +0.7]; P = .5), </w:t>
      </w:r>
      <w:proofErr w:type="spellStart"/>
      <w:r>
        <w:t>fructosamine</w:t>
      </w:r>
      <w:proofErr w:type="spellEnd"/>
      <w:r>
        <w:t xml:space="preserve"> (−60 mmol/L [−338 to +206]; P = .6), and mean IG concentrations (change = −153 mmol/L [−179 to +29]; P = .3), and no adverse reactions were reported.</w:t>
      </w:r>
    </w:p>
    <w:p w14:paraId="69C7CF18" w14:textId="77777777" w:rsidR="002F01E2" w:rsidRDefault="002F01E2" w:rsidP="00AF3DFB">
      <w:pPr>
        <w:pStyle w:val="ListParagraph"/>
        <w:numPr>
          <w:ilvl w:val="2"/>
          <w:numId w:val="1"/>
        </w:numPr>
      </w:pPr>
      <w:r>
        <w:t>Conclusion</w:t>
      </w:r>
    </w:p>
    <w:p w14:paraId="42E855BF" w14:textId="076DE4D8" w:rsidR="002F01E2" w:rsidRDefault="002F01E2" w:rsidP="00AF3DFB">
      <w:pPr>
        <w:pStyle w:val="ListParagraph"/>
        <w:numPr>
          <w:ilvl w:val="3"/>
          <w:numId w:val="1"/>
        </w:numPr>
      </w:pPr>
      <w:r>
        <w:t>Successful control of clinical signs and maintenance of glycemia was achieved with this once-weekly novel insulin treatment. The efficacy and safety of this novel formulation should be further assessed in a large clinical trial.</w:t>
      </w:r>
    </w:p>
    <w:p w14:paraId="1DF0D59D" w14:textId="52C07544" w:rsidR="002F01E2" w:rsidRDefault="002F01E2" w:rsidP="002F01E2">
      <w:pPr>
        <w:pStyle w:val="ListParagraph"/>
      </w:pPr>
    </w:p>
    <w:p w14:paraId="3C5F8EFD" w14:textId="38FD5F38" w:rsidR="00AF3DFB" w:rsidRDefault="00AF3DFB" w:rsidP="002F01E2">
      <w:pPr>
        <w:pStyle w:val="ListParagraph"/>
      </w:pPr>
    </w:p>
    <w:p w14:paraId="6B3AC2FB" w14:textId="4856F6A4" w:rsidR="00AF3DFB" w:rsidRDefault="00AF3DFB" w:rsidP="002F01E2">
      <w:pPr>
        <w:pStyle w:val="ListParagraph"/>
      </w:pPr>
    </w:p>
    <w:p w14:paraId="4B40DB4D" w14:textId="77777777" w:rsidR="00AF3DFB" w:rsidRDefault="00AF3DFB" w:rsidP="002F01E2">
      <w:pPr>
        <w:pStyle w:val="ListParagraph"/>
      </w:pPr>
    </w:p>
    <w:p w14:paraId="71C56E61" w14:textId="77777777" w:rsidR="002F01E2" w:rsidRDefault="002F01E2" w:rsidP="002F01E2">
      <w:pPr>
        <w:pStyle w:val="ListParagraph"/>
        <w:numPr>
          <w:ilvl w:val="0"/>
          <w:numId w:val="1"/>
        </w:numPr>
      </w:pPr>
      <w:r>
        <w:lastRenderedPageBreak/>
        <w:t xml:space="preserve">Day-to-day variability of porcine </w:t>
      </w:r>
      <w:proofErr w:type="spellStart"/>
      <w:r>
        <w:t>lente</w:t>
      </w:r>
      <w:proofErr w:type="spellEnd"/>
      <w:r>
        <w:t xml:space="preserve">, insulin glargine 300 U/mL and insulin </w:t>
      </w:r>
      <w:proofErr w:type="spellStart"/>
      <w:r>
        <w:t>degludec</w:t>
      </w:r>
      <w:proofErr w:type="spellEnd"/>
      <w:r>
        <w:t xml:space="preserve"> in diabetic dogs</w:t>
      </w:r>
    </w:p>
    <w:p w14:paraId="3E2877A6" w14:textId="068215E3" w:rsidR="002F01E2" w:rsidRDefault="002F01E2" w:rsidP="00AF3DFB">
      <w:pPr>
        <w:pStyle w:val="ListParagraph"/>
        <w:numPr>
          <w:ilvl w:val="1"/>
          <w:numId w:val="1"/>
        </w:numPr>
      </w:pPr>
      <w:r>
        <w:t>Michelle Miller,</w:t>
      </w:r>
      <w:r w:rsidR="00AF3DFB">
        <w:t xml:space="preserve"> </w:t>
      </w:r>
      <w:proofErr w:type="spellStart"/>
      <w:r>
        <w:t>Jully</w:t>
      </w:r>
      <w:proofErr w:type="spellEnd"/>
      <w:r>
        <w:t xml:space="preserve"> Pires,</w:t>
      </w:r>
      <w:r w:rsidR="00AF3DFB">
        <w:t xml:space="preserve"> </w:t>
      </w:r>
      <w:proofErr w:type="spellStart"/>
      <w:r>
        <w:t>Katti</w:t>
      </w:r>
      <w:proofErr w:type="spellEnd"/>
      <w:r>
        <w:t xml:space="preserve"> Crakes,</w:t>
      </w:r>
      <w:r w:rsidR="00AF3DFB">
        <w:t xml:space="preserve"> </w:t>
      </w:r>
      <w:r>
        <w:t>Rachel Greathouse,</w:t>
      </w:r>
      <w:r w:rsidR="00AF3DFB">
        <w:t xml:space="preserve"> </w:t>
      </w:r>
      <w:r>
        <w:t>Nina Quach,</w:t>
      </w:r>
      <w:r w:rsidR="00AF3DFB">
        <w:t xml:space="preserve"> </w:t>
      </w:r>
      <w:r>
        <w:t xml:space="preserve">Chen </w:t>
      </w:r>
      <w:proofErr w:type="spellStart"/>
      <w:r>
        <w:t>Gilor</w:t>
      </w:r>
      <w:proofErr w:type="spellEnd"/>
    </w:p>
    <w:p w14:paraId="6A417ECA" w14:textId="154C9454" w:rsidR="002F01E2" w:rsidRDefault="002F01E2" w:rsidP="00AF3DFB">
      <w:pPr>
        <w:pStyle w:val="ListParagraph"/>
        <w:numPr>
          <w:ilvl w:val="1"/>
          <w:numId w:val="1"/>
        </w:numPr>
      </w:pPr>
      <w:r>
        <w:t xml:space="preserve">First published: 09 July 2021 </w:t>
      </w:r>
      <w:hyperlink r:id="rId13" w:history="1">
        <w:r w:rsidRPr="00870278">
          <w:rPr>
            <w:rStyle w:val="Hyperlink"/>
          </w:rPr>
          <w:t>https://doi.org/10.1111/jvim.16178</w:t>
        </w:r>
      </w:hyperlink>
    </w:p>
    <w:p w14:paraId="44834CDA" w14:textId="77777777" w:rsidR="002F01E2" w:rsidRDefault="002F01E2" w:rsidP="00AF3DFB">
      <w:pPr>
        <w:pStyle w:val="ListParagraph"/>
        <w:numPr>
          <w:ilvl w:val="2"/>
          <w:numId w:val="1"/>
        </w:numPr>
      </w:pPr>
      <w:r>
        <w:t>Background</w:t>
      </w:r>
    </w:p>
    <w:p w14:paraId="2CA1AFC2" w14:textId="6577360F" w:rsidR="002F01E2" w:rsidRDefault="002F01E2" w:rsidP="00AF3DFB">
      <w:pPr>
        <w:pStyle w:val="ListParagraph"/>
        <w:numPr>
          <w:ilvl w:val="3"/>
          <w:numId w:val="1"/>
        </w:numPr>
      </w:pPr>
      <w:r>
        <w:t>Day-to-day variability impacts safety of insulin therapy and the choice of monitoring strategies. Side-by-side comparisons of insulin formulations in diabetic dogs are scarce.</w:t>
      </w:r>
    </w:p>
    <w:p w14:paraId="51E07B92" w14:textId="77777777" w:rsidR="002F01E2" w:rsidRDefault="002F01E2" w:rsidP="00AF3DFB">
      <w:pPr>
        <w:pStyle w:val="ListParagraph"/>
        <w:numPr>
          <w:ilvl w:val="2"/>
          <w:numId w:val="1"/>
        </w:numPr>
      </w:pPr>
      <w:r>
        <w:t>Hypothesis/Objectives</w:t>
      </w:r>
    </w:p>
    <w:p w14:paraId="65C5A1F0" w14:textId="14906BA7" w:rsidR="002F01E2" w:rsidRDefault="002F01E2" w:rsidP="00AF3DFB">
      <w:pPr>
        <w:pStyle w:val="ListParagraph"/>
        <w:numPr>
          <w:ilvl w:val="3"/>
          <w:numId w:val="1"/>
        </w:numPr>
      </w:pPr>
      <w:r>
        <w:t xml:space="preserve">Insulin glargine 300 U/mL (IGla300) and insulin </w:t>
      </w:r>
      <w:proofErr w:type="spellStart"/>
      <w:r>
        <w:t>degludec</w:t>
      </w:r>
      <w:proofErr w:type="spellEnd"/>
      <w:r>
        <w:t xml:space="preserve"> (</w:t>
      </w:r>
      <w:proofErr w:type="spellStart"/>
      <w:r>
        <w:t>IDeg</w:t>
      </w:r>
      <w:proofErr w:type="spellEnd"/>
      <w:r>
        <w:t xml:space="preserve">) are associated with less day-to-day glucose variability compared to porcine </w:t>
      </w:r>
      <w:proofErr w:type="spellStart"/>
      <w:r>
        <w:t>lente</w:t>
      </w:r>
      <w:proofErr w:type="spellEnd"/>
      <w:r>
        <w:t xml:space="preserve"> (PL) in diabetic dogs.</w:t>
      </w:r>
    </w:p>
    <w:p w14:paraId="69E2560B" w14:textId="77777777" w:rsidR="002F01E2" w:rsidRDefault="002F01E2" w:rsidP="00AF3DFB">
      <w:pPr>
        <w:pStyle w:val="ListParagraph"/>
        <w:numPr>
          <w:ilvl w:val="2"/>
          <w:numId w:val="1"/>
        </w:numPr>
      </w:pPr>
      <w:r>
        <w:t>Animals</w:t>
      </w:r>
    </w:p>
    <w:p w14:paraId="7DC63DAB" w14:textId="4BD8326E" w:rsidR="002F01E2" w:rsidRDefault="002F01E2" w:rsidP="00AF3DFB">
      <w:pPr>
        <w:pStyle w:val="ListParagraph"/>
        <w:numPr>
          <w:ilvl w:val="3"/>
          <w:numId w:val="1"/>
        </w:numPr>
      </w:pPr>
      <w:r>
        <w:t>Seven intact male purpose-bred beagles with toxin-induced diabetes.</w:t>
      </w:r>
    </w:p>
    <w:p w14:paraId="3938BF6F" w14:textId="77777777" w:rsidR="002F01E2" w:rsidRDefault="002F01E2" w:rsidP="00AF3DFB">
      <w:pPr>
        <w:pStyle w:val="ListParagraph"/>
        <w:numPr>
          <w:ilvl w:val="2"/>
          <w:numId w:val="1"/>
        </w:numPr>
      </w:pPr>
      <w:r>
        <w:t>Methods</w:t>
      </w:r>
    </w:p>
    <w:p w14:paraId="27AE2C59" w14:textId="0A00C042" w:rsidR="002F01E2" w:rsidRDefault="002F01E2" w:rsidP="00AF3DFB">
      <w:pPr>
        <w:pStyle w:val="ListParagraph"/>
        <w:numPr>
          <w:ilvl w:val="3"/>
          <w:numId w:val="1"/>
        </w:numPr>
      </w:pPr>
      <w:r>
        <w:t xml:space="preserve">In this repeated measured study, PL, IGla300 and </w:t>
      </w:r>
      <w:proofErr w:type="spellStart"/>
      <w:r>
        <w:t>IDeg</w:t>
      </w:r>
      <w:proofErr w:type="spellEnd"/>
      <w:r>
        <w:t xml:space="preserve"> were compared in 2 phases: once-daily (q24h) and twice-daily (q12h) administration. Interstitial glucose concentrations (IG) were measured continuously throughout the study. For each formulation, maximal q24h dose was determined using the same algorithm (while avoiding hypoglycemia) and then maintained for 72 hours. In phase 2, 70% of the maximal q24h dose was administered q12h and maintained for 5 days regardless of hypoglycemia. Coefficient of variation (CV) and glycemic variability percentage (GVP) were calculated to determine day-to-day and intraday variability, respectively.</w:t>
      </w:r>
    </w:p>
    <w:p w14:paraId="5FE81158" w14:textId="77777777" w:rsidR="002F01E2" w:rsidRDefault="002F01E2" w:rsidP="00AF3DFB">
      <w:pPr>
        <w:pStyle w:val="ListParagraph"/>
        <w:numPr>
          <w:ilvl w:val="2"/>
          <w:numId w:val="1"/>
        </w:numPr>
      </w:pPr>
      <w:r>
        <w:t>Results</w:t>
      </w:r>
    </w:p>
    <w:p w14:paraId="2617A291" w14:textId="56CF731C" w:rsidR="002F01E2" w:rsidRDefault="002F01E2" w:rsidP="00AF3DFB">
      <w:pPr>
        <w:pStyle w:val="ListParagraph"/>
        <w:numPr>
          <w:ilvl w:val="3"/>
          <w:numId w:val="1"/>
        </w:numPr>
      </w:pPr>
      <w:r>
        <w:t xml:space="preserve">There was no difference in day-to-day variability between PL, IGla300, and </w:t>
      </w:r>
      <w:proofErr w:type="spellStart"/>
      <w:r>
        <w:t>IDeg</w:t>
      </w:r>
      <w:proofErr w:type="spellEnd"/>
      <w:r>
        <w:t xml:space="preserve"> in the q24h phase. In the q12h phase, day-to-day variability was higher (P = .01) for PL (CV = 42.6 ± 6.8%) compared to IGla300 and </w:t>
      </w:r>
      <w:proofErr w:type="spellStart"/>
      <w:r>
        <w:t>IDeg</w:t>
      </w:r>
      <w:proofErr w:type="spellEnd"/>
      <w:r>
        <w:t xml:space="preserve"> (CV = 30.1 ± 7.7%, 25.2 ± 7.0%, respectively). The GVP of PL was lower (P = .02) compared to IGla300. There was no difference between PL, IGla300 and </w:t>
      </w:r>
      <w:proofErr w:type="spellStart"/>
      <w:r>
        <w:t>IDeg</w:t>
      </w:r>
      <w:proofErr w:type="spellEnd"/>
      <w:r>
        <w:t xml:space="preserve"> in %time IG &lt; 70 mg/dL.</w:t>
      </w:r>
    </w:p>
    <w:p w14:paraId="73C44FDE" w14:textId="77777777" w:rsidR="002F01E2" w:rsidRDefault="002F01E2" w:rsidP="00AF3DFB">
      <w:pPr>
        <w:pStyle w:val="ListParagraph"/>
        <w:numPr>
          <w:ilvl w:val="2"/>
          <w:numId w:val="1"/>
        </w:numPr>
      </w:pPr>
      <w:r>
        <w:t>Conclusions and Clinical Importance</w:t>
      </w:r>
    </w:p>
    <w:p w14:paraId="135495B8" w14:textId="6F7FD1F6" w:rsidR="002F01E2" w:rsidRDefault="002F01E2" w:rsidP="00AF3DFB">
      <w:pPr>
        <w:pStyle w:val="ListParagraph"/>
        <w:numPr>
          <w:ilvl w:val="3"/>
          <w:numId w:val="1"/>
        </w:numPr>
      </w:pPr>
      <w:r>
        <w:t xml:space="preserve">Insulin </w:t>
      </w:r>
      <w:proofErr w:type="spellStart"/>
      <w:r>
        <w:t>degludec</w:t>
      </w:r>
      <w:proofErr w:type="spellEnd"/>
      <w:r>
        <w:t xml:space="preserve"> and IGla300 administered q12h were associated with lower day-to-day variability, which might be advantageous in minimizing monitoring requirements without increasing the risk of hypoglycemia.</w:t>
      </w:r>
    </w:p>
    <w:p w14:paraId="15A6AD93" w14:textId="532EF4BA" w:rsidR="00AF3DFB" w:rsidRDefault="00AF3DFB" w:rsidP="00AF3DFB"/>
    <w:p w14:paraId="4B6F7024" w14:textId="0D2DF67D" w:rsidR="00AF3DFB" w:rsidRDefault="00AF3DFB" w:rsidP="00AF3DFB"/>
    <w:p w14:paraId="3755D1FB" w14:textId="72656957" w:rsidR="00AF3DFB" w:rsidRDefault="00AF3DFB" w:rsidP="00AF3DFB"/>
    <w:p w14:paraId="378722AC" w14:textId="77777777" w:rsidR="00AF3DFB" w:rsidRDefault="00AF3DFB" w:rsidP="00AF3DFB"/>
    <w:p w14:paraId="3D968F2B" w14:textId="77777777" w:rsidR="002F01E2" w:rsidRDefault="002F01E2" w:rsidP="002F01E2">
      <w:pPr>
        <w:pStyle w:val="ListParagraph"/>
      </w:pPr>
    </w:p>
    <w:p w14:paraId="1500A4ED" w14:textId="77777777" w:rsidR="002F01E2" w:rsidRDefault="002F01E2" w:rsidP="002F01E2">
      <w:pPr>
        <w:pStyle w:val="ListParagraph"/>
        <w:numPr>
          <w:ilvl w:val="0"/>
          <w:numId w:val="1"/>
        </w:numPr>
      </w:pPr>
      <w:r>
        <w:lastRenderedPageBreak/>
        <w:t>Retrospective study of aldosterone and progesterone secreting adrenal tumors in 10 cats</w:t>
      </w:r>
    </w:p>
    <w:p w14:paraId="54C3CC2C" w14:textId="73BBDB6F" w:rsidR="002F01E2" w:rsidRDefault="002F01E2" w:rsidP="00AF3DFB">
      <w:pPr>
        <w:pStyle w:val="ListParagraph"/>
        <w:numPr>
          <w:ilvl w:val="1"/>
          <w:numId w:val="1"/>
        </w:numPr>
      </w:pPr>
      <w:r>
        <w:t xml:space="preserve">Cailin C. </w:t>
      </w:r>
      <w:proofErr w:type="spellStart"/>
      <w:r>
        <w:t>Harro</w:t>
      </w:r>
      <w:proofErr w:type="spellEnd"/>
      <w:r>
        <w:t>,</w:t>
      </w:r>
      <w:r w:rsidR="00AF3DFB">
        <w:t xml:space="preserve"> </w:t>
      </w:r>
      <w:r>
        <w:t xml:space="preserve">Kent R. </w:t>
      </w:r>
      <w:proofErr w:type="spellStart"/>
      <w:r>
        <w:t>Refsal</w:t>
      </w:r>
      <w:proofErr w:type="spellEnd"/>
      <w:r>
        <w:t>,</w:t>
      </w:r>
      <w:r w:rsidR="00AF3DFB">
        <w:t xml:space="preserve"> </w:t>
      </w:r>
      <w:r>
        <w:t>Nicole Shaw,</w:t>
      </w:r>
      <w:r w:rsidR="00AF3DFB">
        <w:t xml:space="preserve"> </w:t>
      </w:r>
      <w:r>
        <w:t>Samantha M. Alston,</w:t>
      </w:r>
      <w:r w:rsidR="00AF3DFB">
        <w:t xml:space="preserve"> </w:t>
      </w:r>
      <w:r>
        <w:t>William Folger,</w:t>
      </w:r>
      <w:r w:rsidR="00AF3DFB">
        <w:t xml:space="preserve"> </w:t>
      </w:r>
      <w:r>
        <w:t>Carolyn Gross,</w:t>
      </w:r>
      <w:r w:rsidR="00AF3DFB">
        <w:t xml:space="preserve"> </w:t>
      </w:r>
      <w:r>
        <w:t>W. Mark Cousins,</w:t>
      </w:r>
      <w:r w:rsidR="00AF3DFB">
        <w:t xml:space="preserve"> </w:t>
      </w:r>
      <w:r>
        <w:t>Colleen F. Monahan,</w:t>
      </w:r>
      <w:r w:rsidR="00AF3DFB">
        <w:t xml:space="preserve"> </w:t>
      </w:r>
      <w:r>
        <w:t xml:space="preserve">Michal </w:t>
      </w:r>
      <w:proofErr w:type="spellStart"/>
      <w:r>
        <w:t>Mazaki-Tovi</w:t>
      </w:r>
      <w:proofErr w:type="spellEnd"/>
      <w:r>
        <w:t>,</w:t>
      </w:r>
      <w:r w:rsidR="00AF3DFB">
        <w:t xml:space="preserve"> </w:t>
      </w:r>
      <w:r>
        <w:t>Daniel K. Langlois</w:t>
      </w:r>
    </w:p>
    <w:p w14:paraId="113D411F" w14:textId="4D3E5DCC" w:rsidR="002F01E2" w:rsidRDefault="002F01E2" w:rsidP="00AF3DFB">
      <w:pPr>
        <w:pStyle w:val="ListParagraph"/>
        <w:numPr>
          <w:ilvl w:val="1"/>
          <w:numId w:val="1"/>
        </w:numPr>
      </w:pPr>
      <w:r>
        <w:t xml:space="preserve">First published: 02 September 2021 </w:t>
      </w:r>
      <w:hyperlink r:id="rId14" w:history="1">
        <w:r w:rsidRPr="00870278">
          <w:rPr>
            <w:rStyle w:val="Hyperlink"/>
          </w:rPr>
          <w:t>https://doi.org/10.1111/jvim.16256</w:t>
        </w:r>
      </w:hyperlink>
    </w:p>
    <w:p w14:paraId="323E8A4B" w14:textId="77777777" w:rsidR="002F01E2" w:rsidRDefault="002F01E2" w:rsidP="00AF3DFB">
      <w:pPr>
        <w:pStyle w:val="ListParagraph"/>
        <w:numPr>
          <w:ilvl w:val="2"/>
          <w:numId w:val="1"/>
        </w:numPr>
      </w:pPr>
      <w:r>
        <w:t>Background</w:t>
      </w:r>
    </w:p>
    <w:p w14:paraId="175CDF07" w14:textId="35B22CF5" w:rsidR="002F01E2" w:rsidRDefault="002F01E2" w:rsidP="00AF3DFB">
      <w:pPr>
        <w:pStyle w:val="ListParagraph"/>
        <w:numPr>
          <w:ilvl w:val="3"/>
          <w:numId w:val="1"/>
        </w:numPr>
      </w:pPr>
      <w:r>
        <w:t>Primary hyperaldosteronism caused by adrenal neoplasia has been well described in cats. Multiple corticosteroid abnormalities occur in a subset of affected cats, but characterizations of this syndrome are limited to several case reports.</w:t>
      </w:r>
    </w:p>
    <w:p w14:paraId="60E4BCA6" w14:textId="77777777" w:rsidR="002F01E2" w:rsidRDefault="002F01E2" w:rsidP="00AF3DFB">
      <w:pPr>
        <w:pStyle w:val="ListParagraph"/>
        <w:numPr>
          <w:ilvl w:val="2"/>
          <w:numId w:val="1"/>
        </w:numPr>
      </w:pPr>
      <w:r>
        <w:t>Objectives</w:t>
      </w:r>
    </w:p>
    <w:p w14:paraId="49C63418" w14:textId="3676F58F" w:rsidR="002F01E2" w:rsidRDefault="002F01E2" w:rsidP="00AF3DFB">
      <w:pPr>
        <w:pStyle w:val="ListParagraph"/>
        <w:numPr>
          <w:ilvl w:val="3"/>
          <w:numId w:val="1"/>
        </w:numPr>
      </w:pPr>
      <w:r>
        <w:t>To describe a series of cats with adrenal tumors secreting aldosterone and additional corticosteroids.</w:t>
      </w:r>
    </w:p>
    <w:p w14:paraId="53C95176" w14:textId="77777777" w:rsidR="002F01E2" w:rsidRDefault="002F01E2" w:rsidP="00AF3DFB">
      <w:pPr>
        <w:pStyle w:val="ListParagraph"/>
        <w:numPr>
          <w:ilvl w:val="2"/>
          <w:numId w:val="1"/>
        </w:numPr>
      </w:pPr>
      <w:r>
        <w:t>Animals</w:t>
      </w:r>
    </w:p>
    <w:p w14:paraId="58CDF596" w14:textId="23E7B7B0" w:rsidR="002F01E2" w:rsidRDefault="002F01E2" w:rsidP="00AF3DFB">
      <w:pPr>
        <w:pStyle w:val="ListParagraph"/>
        <w:numPr>
          <w:ilvl w:val="3"/>
          <w:numId w:val="1"/>
        </w:numPr>
      </w:pPr>
      <w:r>
        <w:t xml:space="preserve">Ten cats with multiple </w:t>
      </w:r>
      <w:proofErr w:type="gramStart"/>
      <w:r>
        <w:t>corticosteroid</w:t>
      </w:r>
      <w:proofErr w:type="gramEnd"/>
      <w:r>
        <w:t xml:space="preserve"> secreting adrenocortical tumors.</w:t>
      </w:r>
    </w:p>
    <w:p w14:paraId="705356AD" w14:textId="77777777" w:rsidR="002F01E2" w:rsidRDefault="002F01E2" w:rsidP="00AF3DFB">
      <w:pPr>
        <w:pStyle w:val="ListParagraph"/>
        <w:numPr>
          <w:ilvl w:val="2"/>
          <w:numId w:val="1"/>
        </w:numPr>
      </w:pPr>
      <w:r>
        <w:t>Methods</w:t>
      </w:r>
    </w:p>
    <w:p w14:paraId="21A0BFA5" w14:textId="0C70BE00" w:rsidR="002F01E2" w:rsidRDefault="002F01E2" w:rsidP="00AF3DFB">
      <w:pPr>
        <w:pStyle w:val="ListParagraph"/>
        <w:numPr>
          <w:ilvl w:val="3"/>
          <w:numId w:val="1"/>
        </w:numPr>
      </w:pPr>
      <w:r>
        <w:t>Retrospective case series. Medical records of cats with adrenal tumors secreting both aldosterone and progesterone were identified. Data concerning historical findings, clinicopathologic features, treatments, and outcomes were retrieved from medical records.</w:t>
      </w:r>
    </w:p>
    <w:p w14:paraId="2EE4F1E9" w14:textId="77777777" w:rsidR="002F01E2" w:rsidRDefault="002F01E2" w:rsidP="00AF3DFB">
      <w:pPr>
        <w:pStyle w:val="ListParagraph"/>
        <w:numPr>
          <w:ilvl w:val="2"/>
          <w:numId w:val="1"/>
        </w:numPr>
      </w:pPr>
      <w:r>
        <w:t>Results</w:t>
      </w:r>
    </w:p>
    <w:p w14:paraId="39231503" w14:textId="18F72CEB" w:rsidR="002F01E2" w:rsidRDefault="002F01E2" w:rsidP="00AF3DFB">
      <w:pPr>
        <w:pStyle w:val="ListParagraph"/>
        <w:numPr>
          <w:ilvl w:val="3"/>
          <w:numId w:val="1"/>
        </w:numPr>
      </w:pPr>
      <w:r>
        <w:t>All 10 cats had diabetes mellitus in addition to biochemical features of hyperaldosteronism such as hypokalemia. High corticosterone concentrations were observed in all 3 cats in which this corticosteroid was measured. Ultrasound examinations revealed unilateral adrenal tumors in all 10 cases, and the contralateral adrenal gland was either atrophied or not identified in 5 cats. Three of 4 cats developed hypoadrenocorticism after surgical adrenalectomy. Three cats achieved diabetic remission after adrenalectomy. Two cats treated with adrenalectomy survived &gt;1 year, 1 cat survived 6.5 months, and 1 cat was alive 5.5 months after diagnosis. Survival &gt;1 year occurred in 2 of 4 cats treated with medical management alone. Two cats were not treated.</w:t>
      </w:r>
    </w:p>
    <w:p w14:paraId="11E9F054" w14:textId="77777777" w:rsidR="002F01E2" w:rsidRDefault="002F01E2" w:rsidP="00AF3DFB">
      <w:pPr>
        <w:pStyle w:val="ListParagraph"/>
        <w:numPr>
          <w:ilvl w:val="2"/>
          <w:numId w:val="1"/>
        </w:numPr>
      </w:pPr>
      <w:r>
        <w:t>Conclusions and Clinical Importance</w:t>
      </w:r>
    </w:p>
    <w:p w14:paraId="0281E13E" w14:textId="5D83003F" w:rsidR="002F01E2" w:rsidRDefault="002F01E2" w:rsidP="00AF3DFB">
      <w:pPr>
        <w:pStyle w:val="ListParagraph"/>
        <w:numPr>
          <w:ilvl w:val="3"/>
          <w:numId w:val="1"/>
        </w:numPr>
      </w:pPr>
      <w:r>
        <w:t>The presence of multiple corticosteroid abnormalities should be considered in cats with aldosterone secreting adrenal tumors, especially those with concurrent diabetes mellitus. Both surgical and medical management can result in long-term survival, although diabetic remission was documented only in cats undergoing adrenalectomy.</w:t>
      </w:r>
    </w:p>
    <w:p w14:paraId="05AD642B" w14:textId="6F534A2B" w:rsidR="00AF3DFB" w:rsidRDefault="00AF3DFB" w:rsidP="00AF3DFB"/>
    <w:p w14:paraId="69515206" w14:textId="77777777" w:rsidR="00AF3DFB" w:rsidRDefault="00AF3DFB" w:rsidP="00AF3DFB"/>
    <w:p w14:paraId="63E49E67" w14:textId="77777777" w:rsidR="002F01E2" w:rsidRDefault="002F01E2" w:rsidP="002F01E2">
      <w:pPr>
        <w:pStyle w:val="ListParagraph"/>
      </w:pPr>
    </w:p>
    <w:p w14:paraId="6F2A642A" w14:textId="77777777" w:rsidR="002F01E2" w:rsidRDefault="002F01E2" w:rsidP="002F01E2">
      <w:pPr>
        <w:pStyle w:val="ListParagraph"/>
        <w:numPr>
          <w:ilvl w:val="0"/>
          <w:numId w:val="1"/>
        </w:numPr>
      </w:pPr>
      <w:r>
        <w:lastRenderedPageBreak/>
        <w:t>Serum concentrations of canine pancreatic lipase immunoreactivity and C-reactive protein for monitoring disease progression in dogs with acute pancreatitis</w:t>
      </w:r>
    </w:p>
    <w:p w14:paraId="48518E4D" w14:textId="6491820C" w:rsidR="002F01E2" w:rsidRDefault="002F01E2" w:rsidP="00AF3DFB">
      <w:pPr>
        <w:pStyle w:val="ListParagraph"/>
        <w:numPr>
          <w:ilvl w:val="1"/>
          <w:numId w:val="1"/>
        </w:numPr>
      </w:pPr>
      <w:r>
        <w:t xml:space="preserve">Kirstin M. </w:t>
      </w:r>
      <w:proofErr w:type="spellStart"/>
      <w:r>
        <w:t>Keany</w:t>
      </w:r>
      <w:proofErr w:type="spellEnd"/>
      <w:r>
        <w:t>,</w:t>
      </w:r>
      <w:r w:rsidR="00AF3DFB">
        <w:t xml:space="preserve"> </w:t>
      </w:r>
      <w:r>
        <w:t xml:space="preserve">Geoffrey T. </w:t>
      </w:r>
      <w:proofErr w:type="spellStart"/>
      <w:r>
        <w:t>Fosgate</w:t>
      </w:r>
      <w:proofErr w:type="spellEnd"/>
      <w:r>
        <w:t>,</w:t>
      </w:r>
      <w:r w:rsidR="00AF3DFB">
        <w:t xml:space="preserve"> </w:t>
      </w:r>
      <w:r>
        <w:t>Sean M. Perry,</w:t>
      </w:r>
      <w:r w:rsidR="00AF3DFB">
        <w:t xml:space="preserve"> </w:t>
      </w:r>
      <w:r>
        <w:t>Shannon T. Stroup,</w:t>
      </w:r>
      <w:r w:rsidR="00AF3DFB">
        <w:t xml:space="preserve"> </w:t>
      </w:r>
      <w:r>
        <w:t>Joerg M. Steiner</w:t>
      </w:r>
    </w:p>
    <w:p w14:paraId="1E54D7BD" w14:textId="130671E6" w:rsidR="002F01E2" w:rsidRDefault="002F01E2" w:rsidP="00AF3DFB">
      <w:pPr>
        <w:pStyle w:val="ListParagraph"/>
        <w:numPr>
          <w:ilvl w:val="1"/>
          <w:numId w:val="1"/>
        </w:numPr>
      </w:pPr>
      <w:r>
        <w:t xml:space="preserve">First published: 11 July 2021 </w:t>
      </w:r>
      <w:hyperlink r:id="rId15" w:history="1">
        <w:r w:rsidRPr="00870278">
          <w:rPr>
            <w:rStyle w:val="Hyperlink"/>
          </w:rPr>
          <w:t>https://doi.org/10.1111/jvim.16218</w:t>
        </w:r>
      </w:hyperlink>
    </w:p>
    <w:p w14:paraId="42A58B8D" w14:textId="77777777" w:rsidR="002F01E2" w:rsidRDefault="002F01E2" w:rsidP="00AF3DFB">
      <w:pPr>
        <w:pStyle w:val="ListParagraph"/>
        <w:numPr>
          <w:ilvl w:val="2"/>
          <w:numId w:val="1"/>
        </w:numPr>
      </w:pPr>
      <w:r>
        <w:t>Background</w:t>
      </w:r>
    </w:p>
    <w:p w14:paraId="3F62AA98" w14:textId="622AF873" w:rsidR="002F01E2" w:rsidRDefault="002F01E2" w:rsidP="00AF3DFB">
      <w:pPr>
        <w:pStyle w:val="ListParagraph"/>
        <w:numPr>
          <w:ilvl w:val="3"/>
          <w:numId w:val="1"/>
        </w:numPr>
      </w:pPr>
      <w:r>
        <w:t>Reliable biomarkers for monitoring disease progression and management in dogs with acute pancreatitis have not been described.</w:t>
      </w:r>
    </w:p>
    <w:p w14:paraId="47374F6D" w14:textId="77777777" w:rsidR="002F01E2" w:rsidRDefault="002F01E2" w:rsidP="00AF3DFB">
      <w:pPr>
        <w:pStyle w:val="ListParagraph"/>
        <w:numPr>
          <w:ilvl w:val="2"/>
          <w:numId w:val="1"/>
        </w:numPr>
      </w:pPr>
      <w:r>
        <w:t>Objective</w:t>
      </w:r>
    </w:p>
    <w:p w14:paraId="7B94074B" w14:textId="5B5C9C15" w:rsidR="002F01E2" w:rsidRDefault="002F01E2" w:rsidP="00AF3DFB">
      <w:pPr>
        <w:pStyle w:val="ListParagraph"/>
        <w:numPr>
          <w:ilvl w:val="3"/>
          <w:numId w:val="1"/>
        </w:numPr>
      </w:pPr>
      <w:r>
        <w:t>To determine if serum concentrations of canine pancreatic lipase immunoreactivity (</w:t>
      </w:r>
      <w:proofErr w:type="spellStart"/>
      <w:r>
        <w:t>cPLI</w:t>
      </w:r>
      <w:proofErr w:type="spellEnd"/>
      <w:r>
        <w:t>) and C-reactive protein (CRP) can be used as biomarkers for disease progression in hospitalized dogs with acute pancreatitis.</w:t>
      </w:r>
    </w:p>
    <w:p w14:paraId="78E8CDC4" w14:textId="77777777" w:rsidR="002F01E2" w:rsidRDefault="002F01E2" w:rsidP="00AF3DFB">
      <w:pPr>
        <w:pStyle w:val="ListParagraph"/>
        <w:numPr>
          <w:ilvl w:val="2"/>
          <w:numId w:val="1"/>
        </w:numPr>
      </w:pPr>
      <w:r>
        <w:t>Animals</w:t>
      </w:r>
    </w:p>
    <w:p w14:paraId="02F0F439" w14:textId="5275B823" w:rsidR="002F01E2" w:rsidRDefault="002F01E2" w:rsidP="00AF3DFB">
      <w:pPr>
        <w:pStyle w:val="ListParagraph"/>
        <w:numPr>
          <w:ilvl w:val="3"/>
          <w:numId w:val="1"/>
        </w:numPr>
      </w:pPr>
      <w:r>
        <w:t xml:space="preserve">Thirteen hospitalized dogs with acute pancreatitis diagnosed based on clinical signs, serum </w:t>
      </w:r>
      <w:proofErr w:type="spellStart"/>
      <w:r>
        <w:t>cPLI</w:t>
      </w:r>
      <w:proofErr w:type="spellEnd"/>
      <w:r>
        <w:t xml:space="preserve"> concentrations, and imaging findings were enrolled.</w:t>
      </w:r>
    </w:p>
    <w:p w14:paraId="70D5EFE4" w14:textId="77777777" w:rsidR="002F01E2" w:rsidRDefault="002F01E2" w:rsidP="00AF3DFB">
      <w:pPr>
        <w:pStyle w:val="ListParagraph"/>
        <w:numPr>
          <w:ilvl w:val="2"/>
          <w:numId w:val="1"/>
        </w:numPr>
      </w:pPr>
      <w:r>
        <w:t>Methods</w:t>
      </w:r>
    </w:p>
    <w:p w14:paraId="56269FC5" w14:textId="346973AB" w:rsidR="002F01E2" w:rsidRDefault="002F01E2" w:rsidP="00AF3DFB">
      <w:pPr>
        <w:pStyle w:val="ListParagraph"/>
        <w:numPr>
          <w:ilvl w:val="3"/>
          <w:numId w:val="1"/>
        </w:numPr>
      </w:pPr>
      <w:r>
        <w:t xml:space="preserve">Serum </w:t>
      </w:r>
      <w:proofErr w:type="spellStart"/>
      <w:r>
        <w:t>cPLI</w:t>
      </w:r>
      <w:proofErr w:type="spellEnd"/>
      <w:r>
        <w:t xml:space="preserve"> and CRP concentrations were determined before and then daily during hospital management and 1 week after hospital discharge. Modified canine activity index (MCAI) and canine acute pancreatitis clinical severity index (CAPCSI) scores were calculated daily for each patient while hospitalized.</w:t>
      </w:r>
    </w:p>
    <w:p w14:paraId="22CC2BEC" w14:textId="77777777" w:rsidR="002F01E2" w:rsidRDefault="002F01E2" w:rsidP="00AF3DFB">
      <w:pPr>
        <w:pStyle w:val="ListParagraph"/>
        <w:numPr>
          <w:ilvl w:val="2"/>
          <w:numId w:val="1"/>
        </w:numPr>
      </w:pPr>
      <w:r>
        <w:t>Results</w:t>
      </w:r>
    </w:p>
    <w:p w14:paraId="4608E0A5" w14:textId="583E0C0F" w:rsidR="002F01E2" w:rsidRDefault="002F01E2" w:rsidP="00AF3DFB">
      <w:pPr>
        <w:pStyle w:val="ListParagraph"/>
        <w:numPr>
          <w:ilvl w:val="3"/>
          <w:numId w:val="1"/>
        </w:numPr>
      </w:pPr>
      <w:r>
        <w:t xml:space="preserve">The MCAI scores (P = .03) but not CAPCSI scores (P = .31) were significantly different between dogs that survived to discharge (n = 11) and those that did not (n = 2). Serum </w:t>
      </w:r>
      <w:proofErr w:type="spellStart"/>
      <w:r>
        <w:t>cPLI</w:t>
      </w:r>
      <w:proofErr w:type="spellEnd"/>
      <w:r>
        <w:t xml:space="preserve"> concentration was positively correlated with MCAI (rho = 0.42; P = .01). Serum CRP concentration also was positively correlated with the MCAI (rho = 0.42, P = .01).</w:t>
      </w:r>
    </w:p>
    <w:p w14:paraId="5D9EF162" w14:textId="77777777" w:rsidR="002F01E2" w:rsidRDefault="002F01E2" w:rsidP="00AF3DFB">
      <w:pPr>
        <w:pStyle w:val="ListParagraph"/>
        <w:numPr>
          <w:ilvl w:val="2"/>
          <w:numId w:val="1"/>
        </w:numPr>
      </w:pPr>
      <w:r>
        <w:t>Conclusions</w:t>
      </w:r>
    </w:p>
    <w:p w14:paraId="408FFD32" w14:textId="1FC2DBD1" w:rsidR="002F01E2" w:rsidRDefault="002F01E2" w:rsidP="00AF3DFB">
      <w:pPr>
        <w:pStyle w:val="ListParagraph"/>
        <w:numPr>
          <w:ilvl w:val="3"/>
          <w:numId w:val="1"/>
        </w:numPr>
      </w:pPr>
      <w:r>
        <w:t xml:space="preserve">Serum </w:t>
      </w:r>
      <w:proofErr w:type="spellStart"/>
      <w:r>
        <w:t>cPLI</w:t>
      </w:r>
      <w:proofErr w:type="spellEnd"/>
      <w:r>
        <w:t xml:space="preserve"> and possibly CRP could be used as objective biomarkers for clinical changes in hospitalized dogs with acute pancreatitis. Additional studies involving larger numbers of dogs would be warranted to evaluate the broader impact of these findings.</w:t>
      </w:r>
    </w:p>
    <w:p w14:paraId="117795E7" w14:textId="5F61749D" w:rsidR="002F01E2" w:rsidRDefault="002F01E2" w:rsidP="002F01E2">
      <w:pPr>
        <w:pStyle w:val="ListParagraph"/>
      </w:pPr>
    </w:p>
    <w:p w14:paraId="38C38AB8" w14:textId="40AD8CF6" w:rsidR="00AF3DFB" w:rsidRDefault="00AF3DFB" w:rsidP="002F01E2">
      <w:pPr>
        <w:pStyle w:val="ListParagraph"/>
      </w:pPr>
    </w:p>
    <w:p w14:paraId="5D058438" w14:textId="37AE43CB" w:rsidR="00AF3DFB" w:rsidRDefault="00AF3DFB" w:rsidP="002F01E2">
      <w:pPr>
        <w:pStyle w:val="ListParagraph"/>
      </w:pPr>
    </w:p>
    <w:p w14:paraId="336B885B" w14:textId="3F5ADB15" w:rsidR="00AF3DFB" w:rsidRDefault="00AF3DFB" w:rsidP="002F01E2">
      <w:pPr>
        <w:pStyle w:val="ListParagraph"/>
      </w:pPr>
    </w:p>
    <w:p w14:paraId="1B938E2C" w14:textId="06C1E3C9" w:rsidR="00AF3DFB" w:rsidRDefault="00AF3DFB" w:rsidP="002F01E2">
      <w:pPr>
        <w:pStyle w:val="ListParagraph"/>
      </w:pPr>
    </w:p>
    <w:p w14:paraId="574C5987" w14:textId="27138322" w:rsidR="00AF3DFB" w:rsidRDefault="00AF3DFB" w:rsidP="002F01E2">
      <w:pPr>
        <w:pStyle w:val="ListParagraph"/>
      </w:pPr>
    </w:p>
    <w:p w14:paraId="329A8931" w14:textId="6D8DEE78" w:rsidR="00AF3DFB" w:rsidRDefault="00AF3DFB" w:rsidP="002F01E2">
      <w:pPr>
        <w:pStyle w:val="ListParagraph"/>
      </w:pPr>
    </w:p>
    <w:p w14:paraId="79027158" w14:textId="6DC331A1" w:rsidR="00AF3DFB" w:rsidRDefault="00AF3DFB" w:rsidP="002F01E2">
      <w:pPr>
        <w:pStyle w:val="ListParagraph"/>
      </w:pPr>
    </w:p>
    <w:p w14:paraId="7453E6A5" w14:textId="77777777" w:rsidR="00AF3DFB" w:rsidRDefault="00AF3DFB" w:rsidP="002F01E2">
      <w:pPr>
        <w:pStyle w:val="ListParagraph"/>
      </w:pPr>
    </w:p>
    <w:p w14:paraId="62AB5B31" w14:textId="77777777" w:rsidR="002F01E2" w:rsidRDefault="002F01E2" w:rsidP="002F01E2">
      <w:pPr>
        <w:pStyle w:val="ListParagraph"/>
        <w:numPr>
          <w:ilvl w:val="0"/>
          <w:numId w:val="1"/>
        </w:numPr>
      </w:pPr>
      <w:r>
        <w:lastRenderedPageBreak/>
        <w:t>A retrospective study of adverse effects of mycophenolate mofetil administration to dogs with immune-mediated disease</w:t>
      </w:r>
    </w:p>
    <w:p w14:paraId="62D64343" w14:textId="1AA9FEC3" w:rsidR="002F01E2" w:rsidRDefault="002F01E2" w:rsidP="00AF3DFB">
      <w:pPr>
        <w:pStyle w:val="ListParagraph"/>
        <w:numPr>
          <w:ilvl w:val="1"/>
          <w:numId w:val="1"/>
        </w:numPr>
      </w:pPr>
      <w:proofErr w:type="spellStart"/>
      <w:r>
        <w:t>Kenjiro</w:t>
      </w:r>
      <w:proofErr w:type="spellEnd"/>
      <w:r>
        <w:t xml:space="preserve"> Fukushima,</w:t>
      </w:r>
      <w:r w:rsidR="00AF3DFB">
        <w:t xml:space="preserve"> </w:t>
      </w:r>
      <w:r>
        <w:t>Michael Lappin,</w:t>
      </w:r>
      <w:r w:rsidR="00AF3DFB">
        <w:t xml:space="preserve"> </w:t>
      </w:r>
      <w:r>
        <w:t xml:space="preserve">Marie </w:t>
      </w:r>
      <w:proofErr w:type="spellStart"/>
      <w:r>
        <w:t>Legare</w:t>
      </w:r>
      <w:proofErr w:type="spellEnd"/>
      <w:r>
        <w:t>,</w:t>
      </w:r>
      <w:r w:rsidR="00AF3DFB">
        <w:t xml:space="preserve"> </w:t>
      </w:r>
      <w:r>
        <w:t xml:space="preserve">Julia </w:t>
      </w:r>
      <w:proofErr w:type="spellStart"/>
      <w:r>
        <w:t>Veir</w:t>
      </w:r>
      <w:proofErr w:type="spellEnd"/>
    </w:p>
    <w:p w14:paraId="3D0A3805" w14:textId="514EA304" w:rsidR="002F01E2" w:rsidRDefault="002F01E2" w:rsidP="00AF3DFB">
      <w:pPr>
        <w:pStyle w:val="ListParagraph"/>
        <w:numPr>
          <w:ilvl w:val="1"/>
          <w:numId w:val="1"/>
        </w:numPr>
      </w:pPr>
      <w:r>
        <w:t xml:space="preserve">First published: 06 July 2021 </w:t>
      </w:r>
      <w:hyperlink r:id="rId16" w:history="1">
        <w:r w:rsidRPr="00870278">
          <w:rPr>
            <w:rStyle w:val="Hyperlink"/>
          </w:rPr>
          <w:t>https://doi.org/10.1111/jvim.16209</w:t>
        </w:r>
      </w:hyperlink>
    </w:p>
    <w:p w14:paraId="24CEBB54" w14:textId="77777777" w:rsidR="002F01E2" w:rsidRDefault="002F01E2" w:rsidP="00AF3DFB">
      <w:pPr>
        <w:pStyle w:val="ListParagraph"/>
        <w:numPr>
          <w:ilvl w:val="2"/>
          <w:numId w:val="1"/>
        </w:numPr>
      </w:pPr>
      <w:r>
        <w:t>Background</w:t>
      </w:r>
    </w:p>
    <w:p w14:paraId="4175647A" w14:textId="57EF55C7" w:rsidR="002F01E2" w:rsidRDefault="002F01E2" w:rsidP="00AF3DFB">
      <w:pPr>
        <w:pStyle w:val="ListParagraph"/>
        <w:numPr>
          <w:ilvl w:val="3"/>
          <w:numId w:val="1"/>
        </w:numPr>
      </w:pPr>
      <w:r>
        <w:t>Information regarding adverse events (AEs) of mycophenolate mofetil (MMF) is limited.</w:t>
      </w:r>
    </w:p>
    <w:p w14:paraId="4F9C7C27" w14:textId="77777777" w:rsidR="002F01E2" w:rsidRDefault="002F01E2" w:rsidP="00AF3DFB">
      <w:pPr>
        <w:pStyle w:val="ListParagraph"/>
        <w:numPr>
          <w:ilvl w:val="2"/>
          <w:numId w:val="1"/>
        </w:numPr>
      </w:pPr>
      <w:r>
        <w:t>Objectives</w:t>
      </w:r>
    </w:p>
    <w:p w14:paraId="4681AF51" w14:textId="03B2B324" w:rsidR="002F01E2" w:rsidRDefault="002F01E2" w:rsidP="00AF3DFB">
      <w:pPr>
        <w:pStyle w:val="ListParagraph"/>
        <w:numPr>
          <w:ilvl w:val="3"/>
          <w:numId w:val="1"/>
        </w:numPr>
      </w:pPr>
      <w:r>
        <w:t>To evaluate the types and frequency of potential AEs of MMF in dogs with immune-mediated disease.</w:t>
      </w:r>
    </w:p>
    <w:p w14:paraId="782FA29E" w14:textId="77777777" w:rsidR="002F01E2" w:rsidRDefault="002F01E2" w:rsidP="00AF3DFB">
      <w:pPr>
        <w:pStyle w:val="ListParagraph"/>
        <w:numPr>
          <w:ilvl w:val="2"/>
          <w:numId w:val="1"/>
        </w:numPr>
      </w:pPr>
      <w:r>
        <w:t>Animals</w:t>
      </w:r>
    </w:p>
    <w:p w14:paraId="50CE5D8D" w14:textId="3379A7FF" w:rsidR="002F01E2" w:rsidRDefault="002F01E2" w:rsidP="00AF3DFB">
      <w:pPr>
        <w:pStyle w:val="ListParagraph"/>
        <w:numPr>
          <w:ilvl w:val="3"/>
          <w:numId w:val="1"/>
        </w:numPr>
      </w:pPr>
      <w:r>
        <w:t>One hundred thirty-one dogs treated with MMF for management of suspected immune-mediated disease.</w:t>
      </w:r>
    </w:p>
    <w:p w14:paraId="17E7CE7B" w14:textId="77777777" w:rsidR="002F01E2" w:rsidRDefault="002F01E2" w:rsidP="00AF3DFB">
      <w:pPr>
        <w:pStyle w:val="ListParagraph"/>
        <w:numPr>
          <w:ilvl w:val="2"/>
          <w:numId w:val="1"/>
        </w:numPr>
      </w:pPr>
      <w:r>
        <w:t>Methods</w:t>
      </w:r>
    </w:p>
    <w:p w14:paraId="2EB8CC3D" w14:textId="24EBB845" w:rsidR="002F01E2" w:rsidRDefault="002F01E2" w:rsidP="00AF3DFB">
      <w:pPr>
        <w:pStyle w:val="ListParagraph"/>
        <w:numPr>
          <w:ilvl w:val="3"/>
          <w:numId w:val="1"/>
        </w:numPr>
      </w:pPr>
      <w:r>
        <w:t>Retrospective study. Medical records were reviewed to find and group suspect AEs in gastrointestinal (GI), hematologic, and other categories. Age, dosage, body weight, and sex were analyzed between dogs with and without AEs by using the Mann-Whitney U-test and chi-squared test.</w:t>
      </w:r>
    </w:p>
    <w:p w14:paraId="02801C1A" w14:textId="77777777" w:rsidR="002F01E2" w:rsidRDefault="002F01E2" w:rsidP="00AF3DFB">
      <w:pPr>
        <w:pStyle w:val="ListParagraph"/>
        <w:numPr>
          <w:ilvl w:val="2"/>
          <w:numId w:val="1"/>
        </w:numPr>
      </w:pPr>
      <w:r>
        <w:t>Results</w:t>
      </w:r>
    </w:p>
    <w:p w14:paraId="554E8BD0" w14:textId="65C1099D" w:rsidR="002F01E2" w:rsidRDefault="002F01E2" w:rsidP="00AF3DFB">
      <w:pPr>
        <w:pStyle w:val="ListParagraph"/>
        <w:numPr>
          <w:ilvl w:val="3"/>
          <w:numId w:val="1"/>
        </w:numPr>
      </w:pPr>
      <w:r>
        <w:t xml:space="preserve">The median starting dosage of MMF was 17.5 mg/kg/day (interquartile range [IQR] = 15.1-20.6 mg/kg/day) and the median treatment duration was 56 days (IQR = 14-236 days). Mycophenolate mofetil was prescribed for immune-mediated hemolytic anemia (n = 31), immune-mediated thrombocytopenia (n = 31), pemphigus foliaceus (n = 15), immune-mediated polyarthritis (n = 12), and others (n = 42). Overall, potential AEs of MMF were observed in 34 of 131 dogs (GI 24.4% [31/127], neutropenia 4% [3/76], anemia 4% [1/25], thrombocytopenia 4.0% [1/25], and dermatologic 1.5% [2/131]). There were no significant differences among dogs with (n = 37) or without potential AEs (n = 94) </w:t>
      </w:r>
      <w:proofErr w:type="gramStart"/>
      <w:r>
        <w:t>in regards to</w:t>
      </w:r>
      <w:proofErr w:type="gramEnd"/>
      <w:r>
        <w:t xml:space="preserve"> sex, age, body weight, or dosage of MMF (P = .06, .13, .24, and .26, respectively).</w:t>
      </w:r>
    </w:p>
    <w:p w14:paraId="41569A45" w14:textId="77777777" w:rsidR="002F01E2" w:rsidRDefault="002F01E2" w:rsidP="00AF3DFB">
      <w:pPr>
        <w:pStyle w:val="ListParagraph"/>
        <w:numPr>
          <w:ilvl w:val="2"/>
          <w:numId w:val="1"/>
        </w:numPr>
      </w:pPr>
      <w:r>
        <w:t>Conclusions and Clinical Importance</w:t>
      </w:r>
    </w:p>
    <w:p w14:paraId="2EA1628F" w14:textId="45D894FF" w:rsidR="002F01E2" w:rsidRDefault="002F01E2" w:rsidP="00AF3DFB">
      <w:pPr>
        <w:pStyle w:val="ListParagraph"/>
        <w:numPr>
          <w:ilvl w:val="3"/>
          <w:numId w:val="1"/>
        </w:numPr>
      </w:pPr>
      <w:r>
        <w:t>In the dogs administered MMF, GI AEs were most common. Since potential hematologic and dermatologic AEs developed in a few dogs, clinicians should be aware of these when prescribing MMF to dogs with immune-mediated disease.</w:t>
      </w:r>
    </w:p>
    <w:p w14:paraId="20D8E530" w14:textId="399AAD11" w:rsidR="002F01E2" w:rsidRDefault="002F01E2" w:rsidP="002F01E2">
      <w:pPr>
        <w:pStyle w:val="ListParagraph"/>
      </w:pPr>
    </w:p>
    <w:p w14:paraId="7DEE47A1" w14:textId="393EDF41" w:rsidR="00AF3DFB" w:rsidRDefault="00AF3DFB" w:rsidP="002F01E2">
      <w:pPr>
        <w:pStyle w:val="ListParagraph"/>
      </w:pPr>
    </w:p>
    <w:p w14:paraId="3C078C84" w14:textId="08A67DDF" w:rsidR="00AF3DFB" w:rsidRDefault="00AF3DFB" w:rsidP="002F01E2">
      <w:pPr>
        <w:pStyle w:val="ListParagraph"/>
      </w:pPr>
    </w:p>
    <w:p w14:paraId="76378649" w14:textId="4B279A27" w:rsidR="00AF3DFB" w:rsidRDefault="00AF3DFB" w:rsidP="002F01E2">
      <w:pPr>
        <w:pStyle w:val="ListParagraph"/>
      </w:pPr>
    </w:p>
    <w:p w14:paraId="495198EB" w14:textId="5A64458A" w:rsidR="00AF3DFB" w:rsidRDefault="00AF3DFB" w:rsidP="002F01E2">
      <w:pPr>
        <w:pStyle w:val="ListParagraph"/>
      </w:pPr>
    </w:p>
    <w:p w14:paraId="53CC94A0" w14:textId="77777777" w:rsidR="00AF3DFB" w:rsidRDefault="00AF3DFB" w:rsidP="002F01E2">
      <w:pPr>
        <w:pStyle w:val="ListParagraph"/>
      </w:pPr>
    </w:p>
    <w:p w14:paraId="489BB55B" w14:textId="77777777" w:rsidR="002F01E2" w:rsidRDefault="002F01E2" w:rsidP="002F01E2">
      <w:pPr>
        <w:pStyle w:val="ListParagraph"/>
        <w:numPr>
          <w:ilvl w:val="0"/>
          <w:numId w:val="1"/>
        </w:numPr>
      </w:pPr>
      <w:r>
        <w:lastRenderedPageBreak/>
        <w:t>Comparison of nonenhanced computed tomography and ultrasonography for detection of ureteral calculi in cats: A prospective study</w:t>
      </w:r>
    </w:p>
    <w:p w14:paraId="18894B3D" w14:textId="19C1BF9B" w:rsidR="002F01E2" w:rsidRDefault="002F01E2" w:rsidP="009E4F17">
      <w:pPr>
        <w:pStyle w:val="ListParagraph"/>
        <w:numPr>
          <w:ilvl w:val="1"/>
          <w:numId w:val="1"/>
        </w:numPr>
      </w:pPr>
      <w:r>
        <w:t xml:space="preserve">Isabelle </w:t>
      </w:r>
      <w:proofErr w:type="spellStart"/>
      <w:r>
        <w:t>Testault</w:t>
      </w:r>
      <w:proofErr w:type="spellEnd"/>
      <w:r>
        <w:t>,</w:t>
      </w:r>
      <w:r w:rsidR="009E4F17">
        <w:t xml:space="preserve"> </w:t>
      </w:r>
      <w:r>
        <w:t xml:space="preserve">Laure </w:t>
      </w:r>
      <w:proofErr w:type="spellStart"/>
      <w:r>
        <w:t>Gatel</w:t>
      </w:r>
      <w:proofErr w:type="spellEnd"/>
      <w:r>
        <w:t>,</w:t>
      </w:r>
      <w:r w:rsidR="009E4F17">
        <w:t xml:space="preserve"> </w:t>
      </w:r>
      <w:proofErr w:type="spellStart"/>
      <w:r>
        <w:t>Maïa</w:t>
      </w:r>
      <w:proofErr w:type="spellEnd"/>
      <w:r>
        <w:t xml:space="preserve"> </w:t>
      </w:r>
      <w:proofErr w:type="spellStart"/>
      <w:r>
        <w:t>Vanel</w:t>
      </w:r>
      <w:proofErr w:type="spellEnd"/>
    </w:p>
    <w:p w14:paraId="727AD315" w14:textId="31CBCCE4" w:rsidR="002F01E2" w:rsidRDefault="002F01E2" w:rsidP="009E4F17">
      <w:pPr>
        <w:pStyle w:val="ListParagraph"/>
        <w:numPr>
          <w:ilvl w:val="1"/>
          <w:numId w:val="1"/>
        </w:numPr>
      </w:pPr>
      <w:r>
        <w:t xml:space="preserve">First published: 13 July 2021 </w:t>
      </w:r>
      <w:hyperlink r:id="rId17" w:history="1">
        <w:r w:rsidR="00703132" w:rsidRPr="00870278">
          <w:rPr>
            <w:rStyle w:val="Hyperlink"/>
          </w:rPr>
          <w:t>https://doi.org/10.1111/jvim.16210</w:t>
        </w:r>
      </w:hyperlink>
    </w:p>
    <w:p w14:paraId="3E1D05CC" w14:textId="77777777" w:rsidR="00703132" w:rsidRDefault="00703132" w:rsidP="009E4F17">
      <w:pPr>
        <w:pStyle w:val="ListParagraph"/>
        <w:numPr>
          <w:ilvl w:val="2"/>
          <w:numId w:val="1"/>
        </w:numPr>
      </w:pPr>
      <w:r>
        <w:t>Background</w:t>
      </w:r>
    </w:p>
    <w:p w14:paraId="5D82DF84" w14:textId="77777777" w:rsidR="009E4F17" w:rsidRDefault="00703132" w:rsidP="009E4F17">
      <w:pPr>
        <w:pStyle w:val="ListParagraph"/>
        <w:numPr>
          <w:ilvl w:val="3"/>
          <w:numId w:val="1"/>
        </w:numPr>
      </w:pPr>
      <w:r>
        <w:t>Radiographs and ultrasound (US) are the primary imaging modalities used to assess ureteral calculi in cats. Reports describing the use of nonenhanced computed tomography (CT) are scarce.</w:t>
      </w:r>
    </w:p>
    <w:p w14:paraId="207AA4FF" w14:textId="07C64CF4" w:rsidR="00703132" w:rsidRDefault="00703132" w:rsidP="009E4F17">
      <w:pPr>
        <w:pStyle w:val="ListParagraph"/>
        <w:numPr>
          <w:ilvl w:val="2"/>
          <w:numId w:val="1"/>
        </w:numPr>
      </w:pPr>
      <w:r>
        <w:t>Hypothesis/Objectives</w:t>
      </w:r>
    </w:p>
    <w:p w14:paraId="74C47805" w14:textId="4A536062" w:rsidR="00703132" w:rsidRDefault="00703132" w:rsidP="009E4F17">
      <w:pPr>
        <w:pStyle w:val="ListParagraph"/>
        <w:numPr>
          <w:ilvl w:val="3"/>
          <w:numId w:val="1"/>
        </w:numPr>
      </w:pPr>
      <w:r>
        <w:t xml:space="preserve">To compare US and nonenhanced CT for detection, </w:t>
      </w:r>
      <w:proofErr w:type="gramStart"/>
      <w:r>
        <w:t>number</w:t>
      </w:r>
      <w:proofErr w:type="gramEnd"/>
      <w:r>
        <w:t xml:space="preserve"> and localization of ureteral calculi in cats.</w:t>
      </w:r>
    </w:p>
    <w:p w14:paraId="303D5433" w14:textId="77777777" w:rsidR="00703132" w:rsidRDefault="00703132" w:rsidP="009E4F17">
      <w:pPr>
        <w:pStyle w:val="ListParagraph"/>
        <w:numPr>
          <w:ilvl w:val="2"/>
          <w:numId w:val="1"/>
        </w:numPr>
      </w:pPr>
      <w:r>
        <w:t>Animals</w:t>
      </w:r>
    </w:p>
    <w:p w14:paraId="4CAE4160" w14:textId="30AEEB01" w:rsidR="00703132" w:rsidRDefault="00703132" w:rsidP="009E4F17">
      <w:pPr>
        <w:pStyle w:val="ListParagraph"/>
        <w:numPr>
          <w:ilvl w:val="3"/>
          <w:numId w:val="1"/>
        </w:numPr>
      </w:pPr>
      <w:r>
        <w:t>Fifty-one cats with at least 1 ureteral calculus, and 101 ureters.</w:t>
      </w:r>
    </w:p>
    <w:p w14:paraId="540EE15B" w14:textId="77777777" w:rsidR="00703132" w:rsidRDefault="00703132" w:rsidP="009E4F17">
      <w:pPr>
        <w:pStyle w:val="ListParagraph"/>
        <w:numPr>
          <w:ilvl w:val="2"/>
          <w:numId w:val="1"/>
        </w:numPr>
      </w:pPr>
      <w:r>
        <w:t>Methods</w:t>
      </w:r>
    </w:p>
    <w:p w14:paraId="3ED0C968" w14:textId="3FA137EB" w:rsidR="00703132" w:rsidRDefault="00703132" w:rsidP="009E4F17">
      <w:pPr>
        <w:pStyle w:val="ListParagraph"/>
        <w:numPr>
          <w:ilvl w:val="3"/>
          <w:numId w:val="1"/>
        </w:numPr>
      </w:pPr>
      <w:r>
        <w:t>Prospective case series. All cats underwent an US followed by a nonenhanced CT. Cats were included in the study if at least 1 ureteral calculus was diagnosed on either modality. Number of calculi and their localization (proximal, middle, and distal) were recorded on both modalities. Pelvic dilatation and maximal ureteral diameter were recorded with US.</w:t>
      </w:r>
    </w:p>
    <w:p w14:paraId="6ACB68DB" w14:textId="77777777" w:rsidR="00703132" w:rsidRDefault="00703132" w:rsidP="009E4F17">
      <w:pPr>
        <w:pStyle w:val="ListParagraph"/>
        <w:numPr>
          <w:ilvl w:val="2"/>
          <w:numId w:val="1"/>
        </w:numPr>
      </w:pPr>
      <w:r>
        <w:t>Results</w:t>
      </w:r>
    </w:p>
    <w:p w14:paraId="611E8FF4" w14:textId="60A0AA41" w:rsidR="00703132" w:rsidRDefault="00703132" w:rsidP="009E4F17">
      <w:pPr>
        <w:pStyle w:val="ListParagraph"/>
        <w:numPr>
          <w:ilvl w:val="3"/>
          <w:numId w:val="1"/>
        </w:numPr>
      </w:pPr>
      <w:r>
        <w:t>More calculi were detected by nonenhanced CT (126) compared to US (90), regardless of localization (P &lt; .001). More ureters were affected on nonenhanced CT (70) compared to US (57; P &lt; .001). The number of calculi detected was significantly different between US and nonenhanced CT in the proximal (P = .02) and distal ureteral region (P &lt; .001). Bilateral calculi were more frequent with nonenhanced CT (19 cats) compared to US (9 cats; P &lt; .001). A pelvic size superior to 5 mm and a maximal ureteral diameter value superior to 3 mm were always associated with ureteral calculi.</w:t>
      </w:r>
    </w:p>
    <w:p w14:paraId="6C856ABD" w14:textId="77777777" w:rsidR="00703132" w:rsidRDefault="00703132" w:rsidP="009E4F17">
      <w:pPr>
        <w:pStyle w:val="ListParagraph"/>
        <w:numPr>
          <w:ilvl w:val="2"/>
          <w:numId w:val="1"/>
        </w:numPr>
      </w:pPr>
      <w:r>
        <w:t>Conclusions and Clinical Importance</w:t>
      </w:r>
    </w:p>
    <w:p w14:paraId="60184A9A" w14:textId="524BE380" w:rsidR="00703132" w:rsidRDefault="00703132" w:rsidP="009E4F17">
      <w:pPr>
        <w:pStyle w:val="ListParagraph"/>
        <w:numPr>
          <w:ilvl w:val="3"/>
          <w:numId w:val="1"/>
        </w:numPr>
      </w:pPr>
      <w:r>
        <w:t>Computed tomography is an emerging imaging modality in cats with a suspected ureteral obstruction. Combination of CT and US can be beneficial for case management.</w:t>
      </w:r>
    </w:p>
    <w:p w14:paraId="44637D77" w14:textId="0EB07721" w:rsidR="00703132" w:rsidRDefault="00703132" w:rsidP="00703132">
      <w:pPr>
        <w:pStyle w:val="ListParagraph"/>
      </w:pPr>
    </w:p>
    <w:p w14:paraId="22D6D59A" w14:textId="26CD39A8" w:rsidR="009E4F17" w:rsidRDefault="009E4F17" w:rsidP="00703132">
      <w:pPr>
        <w:pStyle w:val="ListParagraph"/>
      </w:pPr>
    </w:p>
    <w:p w14:paraId="2A29AB2A" w14:textId="1B982887" w:rsidR="009E4F17" w:rsidRDefault="009E4F17" w:rsidP="00703132">
      <w:pPr>
        <w:pStyle w:val="ListParagraph"/>
      </w:pPr>
    </w:p>
    <w:p w14:paraId="37577459" w14:textId="311741BD" w:rsidR="009E4F17" w:rsidRDefault="009E4F17" w:rsidP="00703132">
      <w:pPr>
        <w:pStyle w:val="ListParagraph"/>
      </w:pPr>
    </w:p>
    <w:p w14:paraId="6441CD78" w14:textId="4B745E51" w:rsidR="009E4F17" w:rsidRDefault="009E4F17" w:rsidP="00703132">
      <w:pPr>
        <w:pStyle w:val="ListParagraph"/>
      </w:pPr>
    </w:p>
    <w:p w14:paraId="4A532E94" w14:textId="742EC5D8" w:rsidR="009E4F17" w:rsidRDefault="009E4F17" w:rsidP="00703132">
      <w:pPr>
        <w:pStyle w:val="ListParagraph"/>
      </w:pPr>
    </w:p>
    <w:p w14:paraId="4168E6C1" w14:textId="70695A8B" w:rsidR="009E4F17" w:rsidRDefault="009E4F17" w:rsidP="00703132">
      <w:pPr>
        <w:pStyle w:val="ListParagraph"/>
      </w:pPr>
    </w:p>
    <w:p w14:paraId="14C37DEF" w14:textId="2AC301FB" w:rsidR="009E4F17" w:rsidRDefault="009E4F17" w:rsidP="00703132">
      <w:pPr>
        <w:pStyle w:val="ListParagraph"/>
      </w:pPr>
    </w:p>
    <w:p w14:paraId="162FD0F4" w14:textId="77777777" w:rsidR="009E4F17" w:rsidRDefault="009E4F17" w:rsidP="00703132">
      <w:pPr>
        <w:pStyle w:val="ListParagraph"/>
      </w:pPr>
    </w:p>
    <w:p w14:paraId="551D7B55" w14:textId="77777777" w:rsidR="00703132" w:rsidRDefault="00703132" w:rsidP="00703132">
      <w:pPr>
        <w:pStyle w:val="ListParagraph"/>
        <w:numPr>
          <w:ilvl w:val="0"/>
          <w:numId w:val="1"/>
        </w:numPr>
      </w:pPr>
      <w:r>
        <w:lastRenderedPageBreak/>
        <w:t xml:space="preserve">Adjusted calcium concentration as a predictor of ionized hypocalcemia in </w:t>
      </w:r>
      <w:proofErr w:type="spellStart"/>
      <w:r>
        <w:t>hypoalbuminemic</w:t>
      </w:r>
      <w:proofErr w:type="spellEnd"/>
      <w:r>
        <w:t xml:space="preserve"> dogs</w:t>
      </w:r>
    </w:p>
    <w:p w14:paraId="671147AA" w14:textId="361D7E12" w:rsidR="00703132" w:rsidRDefault="00703132" w:rsidP="009E4F17">
      <w:pPr>
        <w:pStyle w:val="ListParagraph"/>
        <w:numPr>
          <w:ilvl w:val="1"/>
          <w:numId w:val="1"/>
        </w:numPr>
      </w:pPr>
      <w:proofErr w:type="spellStart"/>
      <w:r>
        <w:t>Fiamma</w:t>
      </w:r>
      <w:proofErr w:type="spellEnd"/>
      <w:r>
        <w:t xml:space="preserve"> De Witte,</w:t>
      </w:r>
      <w:r w:rsidR="009E4F17">
        <w:t xml:space="preserve"> </w:t>
      </w:r>
      <w:r>
        <w:t xml:space="preserve">Alan </w:t>
      </w:r>
      <w:proofErr w:type="spellStart"/>
      <w:r>
        <w:t>Klag</w:t>
      </w:r>
      <w:proofErr w:type="spellEnd"/>
      <w:r>
        <w:t>,</w:t>
      </w:r>
      <w:r w:rsidR="009E4F17">
        <w:t xml:space="preserve"> </w:t>
      </w:r>
      <w:r>
        <w:t>Peter Chapman</w:t>
      </w:r>
    </w:p>
    <w:p w14:paraId="3DF77AC3" w14:textId="4AE3D83C" w:rsidR="00703132" w:rsidRDefault="00703132" w:rsidP="009E4F17">
      <w:pPr>
        <w:pStyle w:val="ListParagraph"/>
        <w:numPr>
          <w:ilvl w:val="1"/>
          <w:numId w:val="1"/>
        </w:numPr>
      </w:pPr>
      <w:r>
        <w:t xml:space="preserve">First published: 23 August 2021 </w:t>
      </w:r>
      <w:hyperlink r:id="rId18" w:history="1">
        <w:r w:rsidRPr="00870278">
          <w:rPr>
            <w:rStyle w:val="Hyperlink"/>
          </w:rPr>
          <w:t>https://doi.org/10.1111/jvim.16247</w:t>
        </w:r>
      </w:hyperlink>
    </w:p>
    <w:p w14:paraId="0BD610C8" w14:textId="77777777" w:rsidR="00703132" w:rsidRDefault="00703132" w:rsidP="009E4F17">
      <w:pPr>
        <w:pStyle w:val="ListParagraph"/>
        <w:numPr>
          <w:ilvl w:val="2"/>
          <w:numId w:val="1"/>
        </w:numPr>
      </w:pPr>
      <w:r>
        <w:t>Background</w:t>
      </w:r>
    </w:p>
    <w:p w14:paraId="14FFAA63" w14:textId="5A73AA68" w:rsidR="00703132" w:rsidRDefault="00703132" w:rsidP="009E4F17">
      <w:pPr>
        <w:pStyle w:val="ListParagraph"/>
        <w:numPr>
          <w:ilvl w:val="3"/>
          <w:numId w:val="1"/>
        </w:numPr>
      </w:pPr>
      <w:r>
        <w:t>Ionized calcium (</w:t>
      </w:r>
      <w:proofErr w:type="spellStart"/>
      <w:r>
        <w:t>iCa</w:t>
      </w:r>
      <w:proofErr w:type="spellEnd"/>
      <w:r>
        <w:t>) is the biologically active fraction of total calcium (</w:t>
      </w:r>
      <w:proofErr w:type="spellStart"/>
      <w:r>
        <w:t>tCa</w:t>
      </w:r>
      <w:proofErr w:type="spellEnd"/>
      <w:r>
        <w:t xml:space="preserve">) with clinical relevance to evaluate calcium homeostasis, but not all primary veterinarians have access to serum </w:t>
      </w:r>
      <w:proofErr w:type="spellStart"/>
      <w:r>
        <w:t>iCa</w:t>
      </w:r>
      <w:proofErr w:type="spellEnd"/>
      <w:r>
        <w:t xml:space="preserve">. Formulas that adjust </w:t>
      </w:r>
      <w:proofErr w:type="spellStart"/>
      <w:r>
        <w:t>tCa</w:t>
      </w:r>
      <w:proofErr w:type="spellEnd"/>
      <w:r>
        <w:t xml:space="preserve"> to correct for variability in serum protein concentrations were not designed to predict </w:t>
      </w:r>
      <w:proofErr w:type="spellStart"/>
      <w:r>
        <w:t>iCa</w:t>
      </w:r>
      <w:proofErr w:type="spellEnd"/>
      <w:r>
        <w:t xml:space="preserve"> and are considered unreliable surrogates for </w:t>
      </w:r>
      <w:proofErr w:type="spellStart"/>
      <w:r>
        <w:t>iCa</w:t>
      </w:r>
      <w:proofErr w:type="spellEnd"/>
      <w:r>
        <w:t>.</w:t>
      </w:r>
    </w:p>
    <w:p w14:paraId="2F3857BB" w14:textId="77777777" w:rsidR="00703132" w:rsidRDefault="00703132" w:rsidP="009E4F17">
      <w:pPr>
        <w:pStyle w:val="ListParagraph"/>
        <w:numPr>
          <w:ilvl w:val="2"/>
          <w:numId w:val="1"/>
        </w:numPr>
      </w:pPr>
      <w:r>
        <w:t>Objectives</w:t>
      </w:r>
    </w:p>
    <w:p w14:paraId="1C250BAB" w14:textId="06C8B668" w:rsidR="00703132" w:rsidRDefault="00703132" w:rsidP="009E4F17">
      <w:pPr>
        <w:pStyle w:val="ListParagraph"/>
        <w:numPr>
          <w:ilvl w:val="3"/>
          <w:numId w:val="1"/>
        </w:numPr>
      </w:pPr>
      <w:r>
        <w:t>To determine whether adjusted calcium concentration (</w:t>
      </w:r>
      <w:proofErr w:type="spellStart"/>
      <w:r>
        <w:t>aCa</w:t>
      </w:r>
      <w:proofErr w:type="spellEnd"/>
      <w:r>
        <w:t xml:space="preserve">) can predict ionized hypocalcemia in </w:t>
      </w:r>
      <w:proofErr w:type="spellStart"/>
      <w:r>
        <w:t>hypoalbuminemic</w:t>
      </w:r>
      <w:proofErr w:type="spellEnd"/>
      <w:r>
        <w:t xml:space="preserve"> dogs without hyperphosphatemia.</w:t>
      </w:r>
    </w:p>
    <w:p w14:paraId="543D5E0F" w14:textId="77777777" w:rsidR="00703132" w:rsidRDefault="00703132" w:rsidP="009E4F17">
      <w:pPr>
        <w:pStyle w:val="ListParagraph"/>
        <w:numPr>
          <w:ilvl w:val="2"/>
          <w:numId w:val="1"/>
        </w:numPr>
      </w:pPr>
      <w:r>
        <w:t>Animals</w:t>
      </w:r>
    </w:p>
    <w:p w14:paraId="4531A546" w14:textId="260996E4" w:rsidR="00703132" w:rsidRDefault="00703132" w:rsidP="009E4F17">
      <w:pPr>
        <w:pStyle w:val="ListParagraph"/>
        <w:numPr>
          <w:ilvl w:val="3"/>
          <w:numId w:val="1"/>
        </w:numPr>
      </w:pPr>
      <w:r>
        <w:t xml:space="preserve">A total of 262 </w:t>
      </w:r>
      <w:proofErr w:type="spellStart"/>
      <w:r>
        <w:t>hypoalbuminemic</w:t>
      </w:r>
      <w:proofErr w:type="spellEnd"/>
      <w:r>
        <w:t xml:space="preserve"> dogs without hyperphosphatemia.</w:t>
      </w:r>
    </w:p>
    <w:p w14:paraId="1C9E4F9D" w14:textId="77777777" w:rsidR="00703132" w:rsidRDefault="00703132" w:rsidP="009E4F17">
      <w:pPr>
        <w:pStyle w:val="ListParagraph"/>
        <w:numPr>
          <w:ilvl w:val="2"/>
          <w:numId w:val="1"/>
        </w:numPr>
      </w:pPr>
      <w:r>
        <w:t>Methods</w:t>
      </w:r>
    </w:p>
    <w:p w14:paraId="24E5C556" w14:textId="44FC627C" w:rsidR="00703132" w:rsidRDefault="00703132" w:rsidP="009E4F17">
      <w:pPr>
        <w:pStyle w:val="ListParagraph"/>
        <w:numPr>
          <w:ilvl w:val="3"/>
          <w:numId w:val="1"/>
        </w:numPr>
      </w:pPr>
      <w:r>
        <w:t xml:space="preserve">Retrospective review of paired </w:t>
      </w:r>
      <w:proofErr w:type="spellStart"/>
      <w:r>
        <w:t>tCa</w:t>
      </w:r>
      <w:proofErr w:type="spellEnd"/>
      <w:r>
        <w:t xml:space="preserve"> and </w:t>
      </w:r>
      <w:proofErr w:type="spellStart"/>
      <w:r>
        <w:t>iCa</w:t>
      </w:r>
      <w:proofErr w:type="spellEnd"/>
      <w:r>
        <w:t xml:space="preserve">. Patients were included if serum albumin concentration was ≤2.5 g/L and serum phosphorus concentration was ≤5 mg/dL. The </w:t>
      </w:r>
      <w:proofErr w:type="spellStart"/>
      <w:r>
        <w:t>aCa</w:t>
      </w:r>
      <w:proofErr w:type="spellEnd"/>
      <w:r>
        <w:t xml:space="preserve"> was calculated using </w:t>
      </w:r>
      <w:proofErr w:type="spellStart"/>
      <w:r>
        <w:t>tCa</w:t>
      </w:r>
      <w:proofErr w:type="spellEnd"/>
      <w:r>
        <w:t xml:space="preserve"> (mg/dL) − serum albumin concentration (g/dL) + 3.5 (g/dL). Sensitivity, specificity, positive (PPVs) and negative (NPVs) predictive values, and accuracy were determined for </w:t>
      </w:r>
      <w:proofErr w:type="spellStart"/>
      <w:r>
        <w:t>tCa</w:t>
      </w:r>
      <w:proofErr w:type="spellEnd"/>
      <w:r>
        <w:t xml:space="preserve"> and </w:t>
      </w:r>
      <w:proofErr w:type="spellStart"/>
      <w:r>
        <w:t>aCa</w:t>
      </w:r>
      <w:proofErr w:type="spellEnd"/>
      <w:r>
        <w:t xml:space="preserve"> at predicting any (&lt;1.13 mmol/L) and moderate (&lt;1.02 mmol/L) ionized hypocalcemia. Patients also were stratified into mild-to-moderate (2.0-2.5 g/dL) and severe hypoalbuminemia (&lt;2.0 g/dL).</w:t>
      </w:r>
    </w:p>
    <w:p w14:paraId="1DD040D3" w14:textId="77777777" w:rsidR="00703132" w:rsidRDefault="00703132" w:rsidP="009E4F17">
      <w:pPr>
        <w:pStyle w:val="ListParagraph"/>
        <w:numPr>
          <w:ilvl w:val="2"/>
          <w:numId w:val="1"/>
        </w:numPr>
      </w:pPr>
      <w:r>
        <w:t>Results</w:t>
      </w:r>
    </w:p>
    <w:p w14:paraId="762B0CE2" w14:textId="6C512943" w:rsidR="00703132" w:rsidRDefault="00703132" w:rsidP="009E4F17">
      <w:pPr>
        <w:pStyle w:val="ListParagraph"/>
        <w:numPr>
          <w:ilvl w:val="3"/>
          <w:numId w:val="1"/>
        </w:numPr>
      </w:pPr>
      <w:r>
        <w:t xml:space="preserve">A total of 4296 dogs had paired results of which 262 met the inclusion criteria. Of these, 35 (13.4%) dogs had </w:t>
      </w:r>
      <w:proofErr w:type="spellStart"/>
      <w:r>
        <w:t>iCa</w:t>
      </w:r>
      <w:proofErr w:type="spellEnd"/>
      <w:r>
        <w:t xml:space="preserve"> &lt; 1.13 mmol/L and 13 dogs (5.0%) had concentrations &lt;1.02 mmol/L. The sensitivity, specificity, NPVs and PPVs of a decreased </w:t>
      </w:r>
      <w:proofErr w:type="spellStart"/>
      <w:r>
        <w:t>tCa</w:t>
      </w:r>
      <w:proofErr w:type="spellEnd"/>
      <w:r>
        <w:t xml:space="preserve"> and </w:t>
      </w:r>
      <w:proofErr w:type="spellStart"/>
      <w:r>
        <w:t>aCa</w:t>
      </w:r>
      <w:proofErr w:type="spellEnd"/>
      <w:r>
        <w:t xml:space="preserve"> for detecting moderate ionized hypocalcemia were 100% and 92.3%, 57.8% and 94.8%, 100% and 99.6%, and 11.0% and 48.2%, respectively, and accuracy was 60.0% and 94.7%, respectively.</w:t>
      </w:r>
    </w:p>
    <w:p w14:paraId="6C9A2120" w14:textId="77777777" w:rsidR="00703132" w:rsidRDefault="00703132" w:rsidP="009E4F17">
      <w:pPr>
        <w:pStyle w:val="ListParagraph"/>
        <w:numPr>
          <w:ilvl w:val="2"/>
          <w:numId w:val="1"/>
        </w:numPr>
      </w:pPr>
      <w:r>
        <w:t>Conclusions</w:t>
      </w:r>
    </w:p>
    <w:p w14:paraId="6CFF6BEA" w14:textId="31577F9A" w:rsidR="00703132" w:rsidRDefault="00703132" w:rsidP="009E4F17">
      <w:pPr>
        <w:pStyle w:val="ListParagraph"/>
        <w:numPr>
          <w:ilvl w:val="3"/>
          <w:numId w:val="1"/>
        </w:numPr>
      </w:pPr>
      <w:r>
        <w:t xml:space="preserve">A low </w:t>
      </w:r>
      <w:proofErr w:type="spellStart"/>
      <w:r>
        <w:t>aCa</w:t>
      </w:r>
      <w:proofErr w:type="spellEnd"/>
      <w:r>
        <w:t xml:space="preserve"> was useful to detect ionized hypocalcemia in </w:t>
      </w:r>
      <w:proofErr w:type="spellStart"/>
      <w:r>
        <w:t>hypoalbuminemic</w:t>
      </w:r>
      <w:proofErr w:type="spellEnd"/>
      <w:r>
        <w:t xml:space="preserve"> </w:t>
      </w:r>
      <w:proofErr w:type="spellStart"/>
      <w:r>
        <w:t>nonhyperphosphatemic</w:t>
      </w:r>
      <w:proofErr w:type="spellEnd"/>
      <w:r>
        <w:t xml:space="preserve"> dogs. A normal </w:t>
      </w:r>
      <w:proofErr w:type="spellStart"/>
      <w:r>
        <w:t>aCa</w:t>
      </w:r>
      <w:proofErr w:type="spellEnd"/>
      <w:r>
        <w:t xml:space="preserve"> indicated that moderate ionized hypocalcemia was unlikely.</w:t>
      </w:r>
    </w:p>
    <w:p w14:paraId="04C6FE35" w14:textId="00A8D060" w:rsidR="00703132" w:rsidRDefault="00703132" w:rsidP="00703132">
      <w:pPr>
        <w:pStyle w:val="ListParagraph"/>
      </w:pPr>
    </w:p>
    <w:p w14:paraId="674EAF0A" w14:textId="509E0D5E" w:rsidR="009E4F17" w:rsidRDefault="009E4F17" w:rsidP="00703132">
      <w:pPr>
        <w:pStyle w:val="ListParagraph"/>
      </w:pPr>
    </w:p>
    <w:p w14:paraId="5A73A251" w14:textId="2126EF18" w:rsidR="009E4F17" w:rsidRDefault="009E4F17" w:rsidP="00703132">
      <w:pPr>
        <w:pStyle w:val="ListParagraph"/>
      </w:pPr>
    </w:p>
    <w:p w14:paraId="6DAF343F" w14:textId="75744E7E" w:rsidR="009E4F17" w:rsidRDefault="009E4F17" w:rsidP="00703132">
      <w:pPr>
        <w:pStyle w:val="ListParagraph"/>
      </w:pPr>
    </w:p>
    <w:p w14:paraId="09F4307D" w14:textId="77F4D07F" w:rsidR="009E4F17" w:rsidRDefault="009E4F17" w:rsidP="00703132">
      <w:pPr>
        <w:pStyle w:val="ListParagraph"/>
      </w:pPr>
    </w:p>
    <w:p w14:paraId="05EF94F9" w14:textId="77777777" w:rsidR="009E4F17" w:rsidRDefault="009E4F17" w:rsidP="00703132">
      <w:pPr>
        <w:pStyle w:val="ListParagraph"/>
      </w:pPr>
    </w:p>
    <w:p w14:paraId="1F2A9E0E" w14:textId="77777777" w:rsidR="00703132" w:rsidRDefault="00703132" w:rsidP="00703132">
      <w:pPr>
        <w:pStyle w:val="ListParagraph"/>
        <w:numPr>
          <w:ilvl w:val="0"/>
          <w:numId w:val="1"/>
        </w:numPr>
      </w:pPr>
      <w:r>
        <w:lastRenderedPageBreak/>
        <w:t>Evaluation of antimicrobial prescriptions in dogs with suspected bacterial urinary tract disease</w:t>
      </w:r>
    </w:p>
    <w:p w14:paraId="40FE4080" w14:textId="4575CD7F" w:rsidR="00703132" w:rsidRDefault="00703132" w:rsidP="009E4F17">
      <w:pPr>
        <w:pStyle w:val="ListParagraph"/>
        <w:numPr>
          <w:ilvl w:val="1"/>
          <w:numId w:val="1"/>
        </w:numPr>
      </w:pPr>
      <w:r>
        <w:t xml:space="preserve">Jeffrey Scott </w:t>
      </w:r>
      <w:proofErr w:type="spellStart"/>
      <w:r>
        <w:t>Weese</w:t>
      </w:r>
      <w:proofErr w:type="spellEnd"/>
      <w:r>
        <w:t>,</w:t>
      </w:r>
      <w:r w:rsidR="009E4F17">
        <w:t xml:space="preserve"> </w:t>
      </w:r>
      <w:proofErr w:type="spellStart"/>
      <w:r>
        <w:t>Jinelle</w:t>
      </w:r>
      <w:proofErr w:type="spellEnd"/>
      <w:r>
        <w:t xml:space="preserve"> Webb,</w:t>
      </w:r>
      <w:r w:rsidR="009E4F17">
        <w:t xml:space="preserve"> </w:t>
      </w:r>
      <w:r>
        <w:t>Dennis Ballance,</w:t>
      </w:r>
      <w:r w:rsidR="009E4F17">
        <w:t xml:space="preserve"> </w:t>
      </w:r>
      <w:r>
        <w:t>Talon McKee,</w:t>
      </w:r>
      <w:r w:rsidR="009E4F17">
        <w:t xml:space="preserve"> </w:t>
      </w:r>
      <w:r>
        <w:t>Jason W. Stull,</w:t>
      </w:r>
      <w:r w:rsidR="009E4F17">
        <w:t xml:space="preserve"> </w:t>
      </w:r>
      <w:r>
        <w:t>Philip J. Bergman</w:t>
      </w:r>
    </w:p>
    <w:p w14:paraId="432754D5" w14:textId="74859573" w:rsidR="00703132" w:rsidRDefault="00703132" w:rsidP="009E4F17">
      <w:pPr>
        <w:pStyle w:val="ListParagraph"/>
        <w:numPr>
          <w:ilvl w:val="1"/>
          <w:numId w:val="1"/>
        </w:numPr>
      </w:pPr>
      <w:r>
        <w:t xml:space="preserve">First published: 16 August 2021 </w:t>
      </w:r>
      <w:hyperlink r:id="rId19" w:history="1">
        <w:r w:rsidRPr="00870278">
          <w:rPr>
            <w:rStyle w:val="Hyperlink"/>
          </w:rPr>
          <w:t>https://doi.org/10.1111/jvim.16246</w:t>
        </w:r>
      </w:hyperlink>
    </w:p>
    <w:p w14:paraId="68DA4C75" w14:textId="77777777" w:rsidR="00703132" w:rsidRDefault="00703132" w:rsidP="009E4F17">
      <w:pPr>
        <w:pStyle w:val="ListParagraph"/>
        <w:numPr>
          <w:ilvl w:val="2"/>
          <w:numId w:val="1"/>
        </w:numPr>
      </w:pPr>
      <w:r>
        <w:t>Background</w:t>
      </w:r>
    </w:p>
    <w:p w14:paraId="2A2E3C43" w14:textId="340E441A" w:rsidR="00703132" w:rsidRDefault="00703132" w:rsidP="009E4F17">
      <w:pPr>
        <w:pStyle w:val="ListParagraph"/>
        <w:numPr>
          <w:ilvl w:val="3"/>
          <w:numId w:val="1"/>
        </w:numPr>
      </w:pPr>
      <w:r>
        <w:t>Antimicrobials are commonly used to treat urinary tract disease in dogs. Understanding antimicrobial use is a critical component of antimicrobial stewardship efforts.</w:t>
      </w:r>
    </w:p>
    <w:p w14:paraId="4ACA9E58" w14:textId="77777777" w:rsidR="00703132" w:rsidRDefault="00703132" w:rsidP="009E4F17">
      <w:pPr>
        <w:pStyle w:val="ListParagraph"/>
        <w:numPr>
          <w:ilvl w:val="2"/>
          <w:numId w:val="1"/>
        </w:numPr>
      </w:pPr>
      <w:r>
        <w:t>Hypothesis/Objectives</w:t>
      </w:r>
    </w:p>
    <w:p w14:paraId="05E66504" w14:textId="6D80C909" w:rsidR="00703132" w:rsidRDefault="00703132" w:rsidP="009E4F17">
      <w:pPr>
        <w:pStyle w:val="ListParagraph"/>
        <w:numPr>
          <w:ilvl w:val="3"/>
          <w:numId w:val="1"/>
        </w:numPr>
      </w:pPr>
      <w:r>
        <w:t>To evaluate antimicrobial prescriptions for dogs diagnosed with acute cystitis, recurrent cystitis, and pyelonephritis.</w:t>
      </w:r>
    </w:p>
    <w:p w14:paraId="72BE0C3D" w14:textId="77777777" w:rsidR="00703132" w:rsidRDefault="00703132" w:rsidP="009E4F17">
      <w:pPr>
        <w:pStyle w:val="ListParagraph"/>
        <w:numPr>
          <w:ilvl w:val="2"/>
          <w:numId w:val="1"/>
        </w:numPr>
      </w:pPr>
      <w:r>
        <w:t>Animals</w:t>
      </w:r>
    </w:p>
    <w:p w14:paraId="1294A3F0" w14:textId="59431551" w:rsidR="00703132" w:rsidRDefault="00703132" w:rsidP="009E4F17">
      <w:pPr>
        <w:pStyle w:val="ListParagraph"/>
        <w:numPr>
          <w:ilvl w:val="3"/>
          <w:numId w:val="1"/>
        </w:numPr>
      </w:pPr>
      <w:r>
        <w:t>Dogs prescribed antimicrobials for urinary tract disease at veterinary practices in the United States and Canada.</w:t>
      </w:r>
    </w:p>
    <w:p w14:paraId="6B61D7EC" w14:textId="77777777" w:rsidR="00703132" w:rsidRDefault="00703132" w:rsidP="009E4F17">
      <w:pPr>
        <w:pStyle w:val="ListParagraph"/>
        <w:numPr>
          <w:ilvl w:val="2"/>
          <w:numId w:val="1"/>
        </w:numPr>
      </w:pPr>
      <w:r>
        <w:t>Materials and Methods</w:t>
      </w:r>
    </w:p>
    <w:p w14:paraId="195D7791" w14:textId="56A978F9" w:rsidR="00703132" w:rsidRDefault="00703132" w:rsidP="009E4F17">
      <w:pPr>
        <w:pStyle w:val="ListParagraph"/>
        <w:numPr>
          <w:ilvl w:val="3"/>
          <w:numId w:val="1"/>
        </w:numPr>
      </w:pPr>
      <w:r>
        <w:t>A retrospective review of antimicrobial prescriptions was performed.</w:t>
      </w:r>
    </w:p>
    <w:p w14:paraId="31C0B990" w14:textId="77777777" w:rsidR="00703132" w:rsidRDefault="00703132" w:rsidP="009E4F17">
      <w:pPr>
        <w:pStyle w:val="ListParagraph"/>
        <w:numPr>
          <w:ilvl w:val="2"/>
          <w:numId w:val="1"/>
        </w:numPr>
      </w:pPr>
      <w:r>
        <w:t>Results</w:t>
      </w:r>
    </w:p>
    <w:p w14:paraId="7050BD8C" w14:textId="1B2F09F9" w:rsidR="00703132" w:rsidRDefault="00703132" w:rsidP="009E4F17">
      <w:pPr>
        <w:pStyle w:val="ListParagraph"/>
        <w:numPr>
          <w:ilvl w:val="3"/>
          <w:numId w:val="1"/>
        </w:numPr>
      </w:pPr>
      <w:r>
        <w:t>The main clinical concerns were sporadic bacterial cystitis (n = 6582), recurrent cystitis (n = 428), and pyelonephritis (n = 326). Amoxicillin/clavulanic acid (2702, 41%), cefpodoxime (1024, 16%), and amoxicillin (874, 13%) were most commonly prescribed for sporadic bacterial cystitis. The median prescribed duration was 12 days (range, 3-60 days; interquartile range [IQR], 4 days). Shorter durations were used in 2018 (median, 10 days; IQR, 4 days) compared to both 2016 and 2017 (both median, 14 days; IQR, 4 days; P ≤ .0002).</w:t>
      </w:r>
    </w:p>
    <w:p w14:paraId="4EA5566C" w14:textId="04AA0F29" w:rsidR="00703132" w:rsidRDefault="00703132" w:rsidP="009E4F17">
      <w:pPr>
        <w:pStyle w:val="ListParagraph"/>
        <w:numPr>
          <w:ilvl w:val="3"/>
          <w:numId w:val="1"/>
        </w:numPr>
      </w:pPr>
      <w:r>
        <w:t>Amoxicillin/clavulanic acid (146, 33%), marbofloxacin (95, 21%), and cefpodoxime (65, 14%) were most commonly used for recurrent cystitis; median duration of 14 days (range, 3-77 days; IQR, 10.5 days). Amoxicillin/clavulanic acid (86, 26%), marbofloxacin (56, 17%), and enrofloxacin (36, 11%) were most commonly prescribed for pyelonephritis; however, 93 (29%) dogs received drug combinations. The median duration of treatment was 14 days (range, 3-77 days; IQR, 11 days).</w:t>
      </w:r>
    </w:p>
    <w:p w14:paraId="37F14E7E" w14:textId="77777777" w:rsidR="00703132" w:rsidRDefault="00703132" w:rsidP="009E4F17">
      <w:pPr>
        <w:pStyle w:val="ListParagraph"/>
        <w:numPr>
          <w:ilvl w:val="2"/>
          <w:numId w:val="1"/>
        </w:numPr>
      </w:pPr>
      <w:r>
        <w:t>Conclusions and Clinical Importance</w:t>
      </w:r>
    </w:p>
    <w:p w14:paraId="2C458ACF" w14:textId="4BF7998B" w:rsidR="00703132" w:rsidRDefault="00703132" w:rsidP="009E4F17">
      <w:pPr>
        <w:pStyle w:val="ListParagraph"/>
        <w:numPr>
          <w:ilvl w:val="3"/>
          <w:numId w:val="1"/>
        </w:numPr>
      </w:pPr>
      <w:r>
        <w:t>Decreases in duration and increased use of recommended first-line antimicrobials were encouraging. Common drug choices and durations should still be targets for antimicrobial stewardship programs that aim to optimize antimicrobial use, concurrently maximizing patient benefits while minimizing antimicrobial use and use of higher tier antimicrobials.</w:t>
      </w:r>
    </w:p>
    <w:p w14:paraId="74CA3519" w14:textId="0B143FD6" w:rsidR="00703132" w:rsidRDefault="00703132" w:rsidP="00703132">
      <w:pPr>
        <w:pStyle w:val="ListParagraph"/>
      </w:pPr>
    </w:p>
    <w:p w14:paraId="22E1A11A" w14:textId="44EE2A4D" w:rsidR="009E4F17" w:rsidRDefault="009E4F17" w:rsidP="00703132">
      <w:pPr>
        <w:pStyle w:val="ListParagraph"/>
      </w:pPr>
    </w:p>
    <w:p w14:paraId="7FD9AD3A" w14:textId="5CD7816E" w:rsidR="009E4F17" w:rsidRDefault="009E4F17" w:rsidP="00703132">
      <w:pPr>
        <w:pStyle w:val="ListParagraph"/>
      </w:pPr>
    </w:p>
    <w:p w14:paraId="528D4070" w14:textId="0FEDDC9C" w:rsidR="009E4F17" w:rsidRDefault="009E4F17" w:rsidP="00703132">
      <w:pPr>
        <w:pStyle w:val="ListParagraph"/>
      </w:pPr>
    </w:p>
    <w:p w14:paraId="333510EF" w14:textId="77777777" w:rsidR="009E4F17" w:rsidRDefault="009E4F17" w:rsidP="00703132">
      <w:pPr>
        <w:pStyle w:val="ListParagraph"/>
      </w:pPr>
    </w:p>
    <w:p w14:paraId="3D4E7C38" w14:textId="77777777" w:rsidR="00703132" w:rsidRDefault="00703132" w:rsidP="00703132">
      <w:pPr>
        <w:pStyle w:val="ListParagraph"/>
        <w:numPr>
          <w:ilvl w:val="0"/>
          <w:numId w:val="1"/>
        </w:numPr>
      </w:pPr>
      <w:r>
        <w:lastRenderedPageBreak/>
        <w:t xml:space="preserve">Efficacy of medical dissolution for suspected struvite </w:t>
      </w:r>
      <w:proofErr w:type="spellStart"/>
      <w:r>
        <w:t>cystoliths</w:t>
      </w:r>
      <w:proofErr w:type="spellEnd"/>
      <w:r>
        <w:t xml:space="preserve"> in dogs</w:t>
      </w:r>
    </w:p>
    <w:p w14:paraId="070049A9" w14:textId="4AD78B3A" w:rsidR="00703132" w:rsidRDefault="00703132" w:rsidP="009E4F17">
      <w:pPr>
        <w:pStyle w:val="ListParagraph"/>
        <w:numPr>
          <w:ilvl w:val="1"/>
          <w:numId w:val="1"/>
        </w:numPr>
      </w:pPr>
      <w:r>
        <w:t>Allie M. Wingert,</w:t>
      </w:r>
      <w:r w:rsidR="009E4F17">
        <w:t xml:space="preserve"> </w:t>
      </w:r>
      <w:r>
        <w:t>Olivia A. Murray,</w:t>
      </w:r>
      <w:r w:rsidR="009E4F17">
        <w:t xml:space="preserve"> </w:t>
      </w:r>
      <w:r>
        <w:t xml:space="preserve">Jody P. </w:t>
      </w:r>
      <w:proofErr w:type="spellStart"/>
      <w:r>
        <w:t>Lulich</w:t>
      </w:r>
      <w:proofErr w:type="spellEnd"/>
      <w:r>
        <w:t>,</w:t>
      </w:r>
      <w:r w:rsidR="009E4F17">
        <w:t xml:space="preserve"> </w:t>
      </w:r>
      <w:r>
        <w:t xml:space="preserve">Alexis M. </w:t>
      </w:r>
      <w:proofErr w:type="spellStart"/>
      <w:r>
        <w:t>Hoelmer</w:t>
      </w:r>
      <w:proofErr w:type="spellEnd"/>
      <w:r>
        <w:t>,</w:t>
      </w:r>
      <w:r w:rsidR="009E4F17">
        <w:t xml:space="preserve"> </w:t>
      </w:r>
      <w:r>
        <w:t>Lindsay K. Merkel,</w:t>
      </w:r>
      <w:r w:rsidR="009E4F17">
        <w:t xml:space="preserve"> </w:t>
      </w:r>
      <w:r>
        <w:t>Eva Furrow</w:t>
      </w:r>
    </w:p>
    <w:p w14:paraId="2C967B0C" w14:textId="1C5D8909" w:rsidR="00703132" w:rsidRDefault="00703132" w:rsidP="009E4F17">
      <w:pPr>
        <w:pStyle w:val="ListParagraph"/>
        <w:numPr>
          <w:ilvl w:val="1"/>
          <w:numId w:val="1"/>
        </w:numPr>
      </w:pPr>
      <w:r>
        <w:t xml:space="preserve">First published: 01 September 2021 </w:t>
      </w:r>
      <w:hyperlink r:id="rId20" w:history="1">
        <w:r w:rsidRPr="00870278">
          <w:rPr>
            <w:rStyle w:val="Hyperlink"/>
          </w:rPr>
          <w:t>https://doi.org/10.1111/jvim.16252</w:t>
        </w:r>
      </w:hyperlink>
    </w:p>
    <w:p w14:paraId="1F37CA0A" w14:textId="77777777" w:rsidR="00703132" w:rsidRDefault="00703132" w:rsidP="009E4F17">
      <w:pPr>
        <w:pStyle w:val="ListParagraph"/>
        <w:numPr>
          <w:ilvl w:val="2"/>
          <w:numId w:val="1"/>
        </w:numPr>
      </w:pPr>
      <w:r>
        <w:t>Background</w:t>
      </w:r>
    </w:p>
    <w:p w14:paraId="74F196E0" w14:textId="70E6F4A7" w:rsidR="00703132" w:rsidRDefault="00703132" w:rsidP="009E4F17">
      <w:pPr>
        <w:pStyle w:val="ListParagraph"/>
        <w:numPr>
          <w:ilvl w:val="3"/>
          <w:numId w:val="1"/>
        </w:numPr>
      </w:pPr>
      <w:r>
        <w:t>Medical dissolution of struvite uroliths in dogs is commonly recommended, but data on success rates and complications are limited.</w:t>
      </w:r>
    </w:p>
    <w:p w14:paraId="7335F80C" w14:textId="77777777" w:rsidR="00703132" w:rsidRDefault="00703132" w:rsidP="009E4F17">
      <w:pPr>
        <w:pStyle w:val="ListParagraph"/>
        <w:numPr>
          <w:ilvl w:val="2"/>
          <w:numId w:val="1"/>
        </w:numPr>
      </w:pPr>
      <w:r>
        <w:t>Objectives</w:t>
      </w:r>
    </w:p>
    <w:p w14:paraId="75D80A5A" w14:textId="6D7FAF6D" w:rsidR="00703132" w:rsidRDefault="00703132" w:rsidP="009E4F17">
      <w:pPr>
        <w:pStyle w:val="ListParagraph"/>
        <w:numPr>
          <w:ilvl w:val="3"/>
          <w:numId w:val="1"/>
        </w:numPr>
      </w:pPr>
      <w:r>
        <w:t xml:space="preserve">To evaluate the efficacy of medical dissolution for suspected struvite </w:t>
      </w:r>
      <w:proofErr w:type="spellStart"/>
      <w:r>
        <w:t>cystoliths</w:t>
      </w:r>
      <w:proofErr w:type="spellEnd"/>
      <w:r>
        <w:t xml:space="preserve"> in dogs.</w:t>
      </w:r>
    </w:p>
    <w:p w14:paraId="7C1213A8" w14:textId="77777777" w:rsidR="00703132" w:rsidRDefault="00703132" w:rsidP="009E4F17">
      <w:pPr>
        <w:pStyle w:val="ListParagraph"/>
        <w:numPr>
          <w:ilvl w:val="2"/>
          <w:numId w:val="1"/>
        </w:numPr>
      </w:pPr>
      <w:r>
        <w:t>Animals</w:t>
      </w:r>
    </w:p>
    <w:p w14:paraId="0F3971CF" w14:textId="7D1C038B" w:rsidR="00703132" w:rsidRDefault="00703132" w:rsidP="009E4F17">
      <w:pPr>
        <w:pStyle w:val="ListParagraph"/>
        <w:numPr>
          <w:ilvl w:val="3"/>
          <w:numId w:val="1"/>
        </w:numPr>
      </w:pPr>
      <w:r>
        <w:t xml:space="preserve">Fifty client-owned dogs fed a therapeutic dissolution diet, with or without administration of antimicrobials, for treatment of suspected struvite </w:t>
      </w:r>
      <w:proofErr w:type="spellStart"/>
      <w:r>
        <w:t>cystoliths</w:t>
      </w:r>
      <w:proofErr w:type="spellEnd"/>
      <w:r>
        <w:t>.</w:t>
      </w:r>
    </w:p>
    <w:p w14:paraId="29CFD171" w14:textId="77777777" w:rsidR="00703132" w:rsidRDefault="00703132" w:rsidP="009E4F17">
      <w:pPr>
        <w:pStyle w:val="ListParagraph"/>
        <w:numPr>
          <w:ilvl w:val="2"/>
          <w:numId w:val="1"/>
        </w:numPr>
      </w:pPr>
      <w:r>
        <w:t>Methods</w:t>
      </w:r>
    </w:p>
    <w:p w14:paraId="0D296B8B" w14:textId="44E81F2D" w:rsidR="00703132" w:rsidRDefault="00703132" w:rsidP="009E4F17">
      <w:pPr>
        <w:pStyle w:val="ListParagraph"/>
        <w:numPr>
          <w:ilvl w:val="3"/>
          <w:numId w:val="1"/>
        </w:numPr>
      </w:pPr>
      <w:r>
        <w:t>Single institution, retrospective case series. Medical records were reviewed for dogs with at least 1 follow-up visit. Dissolution success, complications, and possible predictors of success were evaluated.</w:t>
      </w:r>
    </w:p>
    <w:p w14:paraId="090F6FD1" w14:textId="77777777" w:rsidR="00703132" w:rsidRDefault="00703132" w:rsidP="009E4F17">
      <w:pPr>
        <w:pStyle w:val="ListParagraph"/>
        <w:numPr>
          <w:ilvl w:val="2"/>
          <w:numId w:val="1"/>
        </w:numPr>
      </w:pPr>
      <w:r>
        <w:t>Results</w:t>
      </w:r>
    </w:p>
    <w:p w14:paraId="572E0A7A" w14:textId="27E6385E" w:rsidR="00703132" w:rsidRDefault="00703132" w:rsidP="009E4F17">
      <w:pPr>
        <w:pStyle w:val="ListParagraph"/>
        <w:numPr>
          <w:ilvl w:val="3"/>
          <w:numId w:val="1"/>
        </w:numPr>
      </w:pPr>
      <w:r>
        <w:t xml:space="preserve">Full dissolution of </w:t>
      </w:r>
      <w:proofErr w:type="spellStart"/>
      <w:r>
        <w:t>cystoliths</w:t>
      </w:r>
      <w:proofErr w:type="spellEnd"/>
      <w:r>
        <w:t xml:space="preserve"> was achieved in 58% (29/50) of dogs within a median of 35 days (range, 13-167). Of 21 dogs without success, 7 each had partial dissolution, no dissolution, or undetermined outcome. Uroliths containing &gt;10% </w:t>
      </w:r>
      <w:proofErr w:type="spellStart"/>
      <w:r>
        <w:t>nonstruvite</w:t>
      </w:r>
      <w:proofErr w:type="spellEnd"/>
      <w:r>
        <w:t xml:space="preserve"> mineral were common in the nonsuccess group (11/16 analyzed). Maximum urolith diameter, number of uroliths, and baseline urine pH did not differ significantly between dogs with and without success. Dissolution was more likely in dogs receiving antimicrobial therapy (OR = 16.3, 95% confidence interval 1.9-787.4, P = .002). Adverse events occurred in 9 dogs (18%); urethral obstructions were the most common, but 3 of 4 dogs with this complication were obstructed on presentation, before trial initiation.</w:t>
      </w:r>
    </w:p>
    <w:p w14:paraId="1C54BE64" w14:textId="77777777" w:rsidR="00703132" w:rsidRDefault="00703132" w:rsidP="009E4F17">
      <w:pPr>
        <w:pStyle w:val="ListParagraph"/>
        <w:numPr>
          <w:ilvl w:val="2"/>
          <w:numId w:val="1"/>
        </w:numPr>
      </w:pPr>
      <w:r>
        <w:t>Conclusions and Clinical Importance</w:t>
      </w:r>
    </w:p>
    <w:p w14:paraId="6F41522B" w14:textId="7A18D485" w:rsidR="00703132" w:rsidRDefault="00703132" w:rsidP="009E4F17">
      <w:pPr>
        <w:pStyle w:val="ListParagraph"/>
        <w:numPr>
          <w:ilvl w:val="3"/>
          <w:numId w:val="1"/>
        </w:numPr>
      </w:pPr>
      <w:r>
        <w:t xml:space="preserve">Results support a medical dissolution trial for dogs with suspected struvite </w:t>
      </w:r>
      <w:proofErr w:type="spellStart"/>
      <w:r>
        <w:t>cystoliths</w:t>
      </w:r>
      <w:proofErr w:type="spellEnd"/>
      <w:r>
        <w:t xml:space="preserve">. If no reduction in urolith size or number occurs by 1 month, a </w:t>
      </w:r>
      <w:proofErr w:type="spellStart"/>
      <w:r>
        <w:t>nonstruvite</w:t>
      </w:r>
      <w:proofErr w:type="spellEnd"/>
      <w:r>
        <w:t xml:space="preserve"> composition is likely, and alternative interventions should be considered. Dogs presenting with urethral obstructions should not be considered candidates for medical dissolution.</w:t>
      </w:r>
    </w:p>
    <w:sectPr w:rsidR="00703132">
      <w:headerReference w:type="default" r:id="rId21"/>
      <w:footerReference w:type="default" r:id="rId2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A5F286" w14:textId="77777777" w:rsidR="0019226A" w:rsidRDefault="0019226A" w:rsidP="0019226A">
      <w:pPr>
        <w:spacing w:after="0" w:line="240" w:lineRule="auto"/>
      </w:pPr>
      <w:r>
        <w:separator/>
      </w:r>
    </w:p>
  </w:endnote>
  <w:endnote w:type="continuationSeparator" w:id="0">
    <w:p w14:paraId="71C8E310" w14:textId="77777777" w:rsidR="0019226A" w:rsidRDefault="0019226A" w:rsidP="001922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13532955"/>
      <w:docPartObj>
        <w:docPartGallery w:val="Page Numbers (Bottom of Page)"/>
        <w:docPartUnique/>
      </w:docPartObj>
    </w:sdtPr>
    <w:sdtEndPr>
      <w:rPr>
        <w:noProof/>
      </w:rPr>
    </w:sdtEndPr>
    <w:sdtContent>
      <w:p w14:paraId="0E263844" w14:textId="7698DFB8" w:rsidR="0019226A" w:rsidRDefault="0019226A">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FC10D57" w14:textId="77777777" w:rsidR="0019226A" w:rsidRDefault="0019226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A5B825" w14:textId="77777777" w:rsidR="0019226A" w:rsidRDefault="0019226A" w:rsidP="0019226A">
      <w:pPr>
        <w:spacing w:after="0" w:line="240" w:lineRule="auto"/>
      </w:pPr>
      <w:r>
        <w:separator/>
      </w:r>
    </w:p>
  </w:footnote>
  <w:footnote w:type="continuationSeparator" w:id="0">
    <w:p w14:paraId="62D8F907" w14:textId="77777777" w:rsidR="0019226A" w:rsidRDefault="0019226A" w:rsidP="0019226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0A9B5C" w14:textId="7C538B85" w:rsidR="0019226A" w:rsidRPr="0019226A" w:rsidRDefault="0019226A">
    <w:pPr>
      <w:pStyle w:val="Header"/>
      <w:rPr>
        <w:sz w:val="32"/>
        <w:szCs w:val="32"/>
      </w:rPr>
    </w:pPr>
    <w:r w:rsidRPr="0019226A">
      <w:rPr>
        <w:sz w:val="32"/>
        <w:szCs w:val="32"/>
      </w:rPr>
      <w:t>JVIM Abstracts September/October 2021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662535A"/>
    <w:multiLevelType w:val="hybridMultilevel"/>
    <w:tmpl w:val="F854442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01E2"/>
    <w:rsid w:val="00081FC0"/>
    <w:rsid w:val="0019226A"/>
    <w:rsid w:val="002F01E2"/>
    <w:rsid w:val="00703132"/>
    <w:rsid w:val="009E4F17"/>
    <w:rsid w:val="00AF3D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6791BC"/>
  <w15:chartTrackingRefBased/>
  <w15:docId w15:val="{6EC69E38-9478-43DE-9960-C115E9F2BF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F01E2"/>
    <w:pPr>
      <w:ind w:left="720"/>
      <w:contextualSpacing/>
    </w:pPr>
  </w:style>
  <w:style w:type="character" w:styleId="Hyperlink">
    <w:name w:val="Hyperlink"/>
    <w:basedOn w:val="DefaultParagraphFont"/>
    <w:uiPriority w:val="99"/>
    <w:unhideWhenUsed/>
    <w:rsid w:val="002F01E2"/>
    <w:rPr>
      <w:color w:val="0563C1" w:themeColor="hyperlink"/>
      <w:u w:val="single"/>
    </w:rPr>
  </w:style>
  <w:style w:type="character" w:styleId="UnresolvedMention">
    <w:name w:val="Unresolved Mention"/>
    <w:basedOn w:val="DefaultParagraphFont"/>
    <w:uiPriority w:val="99"/>
    <w:semiHidden/>
    <w:unhideWhenUsed/>
    <w:rsid w:val="002F01E2"/>
    <w:rPr>
      <w:color w:val="605E5C"/>
      <w:shd w:val="clear" w:color="auto" w:fill="E1DFDD"/>
    </w:rPr>
  </w:style>
  <w:style w:type="paragraph" w:styleId="Header">
    <w:name w:val="header"/>
    <w:basedOn w:val="Normal"/>
    <w:link w:val="HeaderChar"/>
    <w:uiPriority w:val="99"/>
    <w:unhideWhenUsed/>
    <w:rsid w:val="0019226A"/>
    <w:pPr>
      <w:tabs>
        <w:tab w:val="center" w:pos="4680"/>
        <w:tab w:val="right" w:pos="9360"/>
      </w:tabs>
      <w:spacing w:after="0" w:line="240" w:lineRule="auto"/>
    </w:pPr>
  </w:style>
  <w:style w:type="character" w:customStyle="1" w:styleId="HeaderChar">
    <w:name w:val="Header Char"/>
    <w:basedOn w:val="DefaultParagraphFont"/>
    <w:link w:val="Header"/>
    <w:uiPriority w:val="99"/>
    <w:rsid w:val="0019226A"/>
  </w:style>
  <w:style w:type="paragraph" w:styleId="Footer">
    <w:name w:val="footer"/>
    <w:basedOn w:val="Normal"/>
    <w:link w:val="FooterChar"/>
    <w:uiPriority w:val="99"/>
    <w:unhideWhenUsed/>
    <w:rsid w:val="0019226A"/>
    <w:pPr>
      <w:tabs>
        <w:tab w:val="center" w:pos="4680"/>
        <w:tab w:val="right" w:pos="9360"/>
      </w:tabs>
      <w:spacing w:after="0" w:line="240" w:lineRule="auto"/>
    </w:pPr>
  </w:style>
  <w:style w:type="character" w:customStyle="1" w:styleId="FooterChar">
    <w:name w:val="Footer Char"/>
    <w:basedOn w:val="DefaultParagraphFont"/>
    <w:link w:val="Footer"/>
    <w:uiPriority w:val="99"/>
    <w:rsid w:val="001922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doi.org/10.1111/jvim.16178" TargetMode="External"/><Relationship Id="rId18" Type="http://schemas.openxmlformats.org/officeDocument/2006/relationships/hyperlink" Target="https://doi.org/10.1111/jvim.16247"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webSettings" Target="webSettings.xml"/><Relationship Id="rId12" Type="http://schemas.openxmlformats.org/officeDocument/2006/relationships/hyperlink" Target="https://doi.org/10.1111/jvim.16150" TargetMode="External"/><Relationship Id="rId17" Type="http://schemas.openxmlformats.org/officeDocument/2006/relationships/hyperlink" Target="https://doi.org/10.1111/jvim.16210" TargetMode="External"/><Relationship Id="rId2" Type="http://schemas.openxmlformats.org/officeDocument/2006/relationships/customXml" Target="../customXml/item2.xml"/><Relationship Id="rId16" Type="http://schemas.openxmlformats.org/officeDocument/2006/relationships/hyperlink" Target="https://doi.org/10.1111/jvim.16209" TargetMode="External"/><Relationship Id="rId20" Type="http://schemas.openxmlformats.org/officeDocument/2006/relationships/hyperlink" Target="https://doi.org/10.1111/jvim.16252"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doi.org/10.1111/jvim.16236" TargetMode="External"/><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https://doi.org/10.1111/jvim.16218" TargetMode="External"/><Relationship Id="rId23" Type="http://schemas.openxmlformats.org/officeDocument/2006/relationships/fontTable" Target="fontTable.xml"/><Relationship Id="rId10" Type="http://schemas.openxmlformats.org/officeDocument/2006/relationships/hyperlink" Target="https://doi.org/10.1111/jvim.16234" TargetMode="External"/><Relationship Id="rId19" Type="http://schemas.openxmlformats.org/officeDocument/2006/relationships/hyperlink" Target="https://doi.org/10.1111/jvim.16246"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doi.org/10.1111/jvim.16256"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C3C311349C71C408ECA71E0ACF1E45B" ma:contentTypeVersion="4" ma:contentTypeDescription="Create a new document." ma:contentTypeScope="" ma:versionID="161075c7e23fb86cf8afc0f871335ea3">
  <xsd:schema xmlns:xsd="http://www.w3.org/2001/XMLSchema" xmlns:xs="http://www.w3.org/2001/XMLSchema" xmlns:p="http://schemas.microsoft.com/office/2006/metadata/properties" xmlns:ns3="b22d73dd-241b-4662-8d52-c3f6baed165c" targetNamespace="http://schemas.microsoft.com/office/2006/metadata/properties" ma:root="true" ma:fieldsID="d417118734c919aaed63f3981b86b02b" ns3:_="">
    <xsd:import namespace="b22d73dd-241b-4662-8d52-c3f6baed165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22d73dd-241b-4662-8d52-c3f6baed165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1A41A85-3A34-44AE-8F24-BF51E01C99E2}">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b22d73dd-241b-4662-8d52-c3f6baed165c"/>
    <ds:schemaRef ds:uri="http://www.w3.org/XML/1998/namespace"/>
    <ds:schemaRef ds:uri="http://purl.org/dc/dcmitype/"/>
  </ds:schemaRefs>
</ds:datastoreItem>
</file>

<file path=customXml/itemProps2.xml><?xml version="1.0" encoding="utf-8"?>
<ds:datastoreItem xmlns:ds="http://schemas.openxmlformats.org/officeDocument/2006/customXml" ds:itemID="{95AAE50F-8594-4BE5-82E8-3E197C087FF9}">
  <ds:schemaRefs>
    <ds:schemaRef ds:uri="http://schemas.microsoft.com/sharepoint/v3/contenttype/forms"/>
  </ds:schemaRefs>
</ds:datastoreItem>
</file>

<file path=customXml/itemProps3.xml><?xml version="1.0" encoding="utf-8"?>
<ds:datastoreItem xmlns:ds="http://schemas.openxmlformats.org/officeDocument/2006/customXml" ds:itemID="{B155A0EB-A0F6-4B8D-AB11-66F648E701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22d73dd-241b-4662-8d52-c3f6baed16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3363</Words>
  <Characters>19174</Characters>
  <Application>Microsoft Office Word</Application>
  <DocSecurity>0</DocSecurity>
  <Lines>159</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Jamie A Wadelton</dc:creator>
  <cp:keywords/>
  <dc:description/>
  <cp:lastModifiedBy>Jamie A Wadelton</cp:lastModifiedBy>
  <cp:revision>2</cp:revision>
  <dcterms:created xsi:type="dcterms:W3CDTF">2022-01-11T13:51:00Z</dcterms:created>
  <dcterms:modified xsi:type="dcterms:W3CDTF">2022-01-11T13:51:00Z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0x0101000C3C311349C71C408ECA71E0ACF1E45B</vt:lpwstr>
  </property>
</Properties>
</file>