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D993C9" w14:textId="77777777" w:rsidR="00C36A47" w:rsidRDefault="00DF0016" w:rsidP="00C36A47">
      <w:pPr>
        <w:pStyle w:val="ListParagraph"/>
        <w:numPr>
          <w:ilvl w:val="0"/>
          <w:numId w:val="4"/>
        </w:numPr>
      </w:pPr>
      <w:r>
        <w:t>Prevalence of sudden cardiac death in dogs with atrial fibrillation</w:t>
      </w:r>
    </w:p>
    <w:p w14:paraId="36D862E8" w14:textId="77777777" w:rsidR="00C36A47" w:rsidRDefault="00DF0016" w:rsidP="00C36A47">
      <w:pPr>
        <w:pStyle w:val="ListParagraph"/>
        <w:numPr>
          <w:ilvl w:val="1"/>
          <w:numId w:val="4"/>
        </w:numPr>
      </w:pPr>
      <w:r>
        <w:t xml:space="preserve">Kieran </w:t>
      </w:r>
      <w:proofErr w:type="spellStart"/>
      <w:r>
        <w:t>Borgeat</w:t>
      </w:r>
      <w:proofErr w:type="spellEnd"/>
      <w:r>
        <w:t xml:space="preserve">, Matthew Pack, Jo Harris, Alex Laver, </w:t>
      </w:r>
      <w:proofErr w:type="spellStart"/>
      <w:r>
        <w:t>Joonbum</w:t>
      </w:r>
      <w:proofErr w:type="spellEnd"/>
      <w:r>
        <w:t xml:space="preserve"> </w:t>
      </w:r>
      <w:proofErr w:type="spellStart"/>
      <w:r>
        <w:t>Seo</w:t>
      </w:r>
      <w:proofErr w:type="spellEnd"/>
      <w:r>
        <w:t xml:space="preserve">, </w:t>
      </w:r>
      <w:proofErr w:type="spellStart"/>
      <w:r>
        <w:t>Omri</w:t>
      </w:r>
      <w:proofErr w:type="spellEnd"/>
      <w:r>
        <w:t xml:space="preserve"> </w:t>
      </w:r>
      <w:proofErr w:type="spellStart"/>
      <w:r>
        <w:t>Belachsen</w:t>
      </w:r>
      <w:proofErr w:type="spellEnd"/>
      <w:r>
        <w:t xml:space="preserve">, Joshua </w:t>
      </w:r>
      <w:proofErr w:type="spellStart"/>
      <w:r>
        <w:t>Hannabuss</w:t>
      </w:r>
      <w:proofErr w:type="spellEnd"/>
      <w:r>
        <w:t xml:space="preserve">, Julie Todd, Luca </w:t>
      </w:r>
      <w:proofErr w:type="spellStart"/>
      <w:r>
        <w:t>Ferasin</w:t>
      </w:r>
      <w:proofErr w:type="spellEnd"/>
      <w:r>
        <w:t>, Jessie Rose Payne</w:t>
      </w:r>
    </w:p>
    <w:p w14:paraId="43531A64" w14:textId="77777777" w:rsidR="00C36A47" w:rsidRDefault="00DF0016" w:rsidP="00C36A47">
      <w:pPr>
        <w:pStyle w:val="ListParagraph"/>
        <w:numPr>
          <w:ilvl w:val="1"/>
          <w:numId w:val="4"/>
        </w:numPr>
      </w:pPr>
      <w:r>
        <w:t xml:space="preserve">First published: 09 November 2021 </w:t>
      </w:r>
      <w:hyperlink r:id="rId10" w:history="1">
        <w:r w:rsidRPr="00FE5DD6">
          <w:rPr>
            <w:rStyle w:val="Hyperlink"/>
          </w:rPr>
          <w:t>https://doi.org/10.1111/jvim.16297</w:t>
        </w:r>
      </w:hyperlink>
    </w:p>
    <w:p w14:paraId="7ED395FB" w14:textId="77777777" w:rsidR="00C36A47" w:rsidRDefault="00DF0016" w:rsidP="00C36A47">
      <w:pPr>
        <w:pStyle w:val="ListParagraph"/>
        <w:numPr>
          <w:ilvl w:val="2"/>
          <w:numId w:val="4"/>
        </w:numPr>
      </w:pPr>
      <w:r>
        <w:t>Background</w:t>
      </w:r>
    </w:p>
    <w:p w14:paraId="5705B1FF" w14:textId="77777777" w:rsidR="00C36A47" w:rsidRDefault="00DF0016" w:rsidP="00C36A47">
      <w:pPr>
        <w:pStyle w:val="ListParagraph"/>
        <w:numPr>
          <w:ilvl w:val="3"/>
          <w:numId w:val="4"/>
        </w:numPr>
      </w:pPr>
      <w:r>
        <w:t>Atrial fibrillation (AF) is associated with increased risk of sudden cardiac death (SCD) in humans, independent of secondary risk factors such as thrombogenic disorders. In dogs, SCD is described in a number of heart diseases, but an association between AF and SCD is unreported.</w:t>
      </w:r>
    </w:p>
    <w:p w14:paraId="17A3E6F9" w14:textId="77777777" w:rsidR="00C36A47" w:rsidRDefault="00DF0016" w:rsidP="00C36A47">
      <w:pPr>
        <w:pStyle w:val="ListParagraph"/>
        <w:numPr>
          <w:ilvl w:val="2"/>
          <w:numId w:val="4"/>
        </w:numPr>
      </w:pPr>
      <w:r>
        <w:t>Hypothesis</w:t>
      </w:r>
    </w:p>
    <w:p w14:paraId="4E0A8EEB" w14:textId="77777777" w:rsidR="00C36A47" w:rsidRDefault="00DF0016" w:rsidP="00C36A47">
      <w:pPr>
        <w:pStyle w:val="ListParagraph"/>
        <w:numPr>
          <w:ilvl w:val="3"/>
          <w:numId w:val="4"/>
        </w:numPr>
      </w:pPr>
      <w:r>
        <w:t>A higher proportion of dogs with AF will experience SCD, and (b) SCD will be associated with complex ventricular arrhythmias.</w:t>
      </w:r>
    </w:p>
    <w:p w14:paraId="2B539080" w14:textId="77777777" w:rsidR="00C36A47" w:rsidRDefault="00DF0016" w:rsidP="00C36A47">
      <w:pPr>
        <w:pStyle w:val="ListParagraph"/>
        <w:numPr>
          <w:ilvl w:val="2"/>
          <w:numId w:val="4"/>
        </w:numPr>
      </w:pPr>
      <w:r>
        <w:t>Animals</w:t>
      </w:r>
    </w:p>
    <w:p w14:paraId="59F37035" w14:textId="77777777" w:rsidR="00C36A47" w:rsidRDefault="00DF0016" w:rsidP="00C36A47">
      <w:pPr>
        <w:pStyle w:val="ListParagraph"/>
        <w:numPr>
          <w:ilvl w:val="3"/>
          <w:numId w:val="4"/>
        </w:numPr>
      </w:pPr>
      <w:r>
        <w:t>One-hundred forty-two dogs with AF, and 127 dogs without AF.</w:t>
      </w:r>
    </w:p>
    <w:p w14:paraId="286FF917" w14:textId="77777777" w:rsidR="00C36A47" w:rsidRDefault="00DF0016" w:rsidP="00C36A47">
      <w:pPr>
        <w:pStyle w:val="ListParagraph"/>
        <w:numPr>
          <w:ilvl w:val="2"/>
          <w:numId w:val="4"/>
        </w:numPr>
      </w:pPr>
      <w:r>
        <w:t>Methods</w:t>
      </w:r>
    </w:p>
    <w:p w14:paraId="49FC224F" w14:textId="77777777" w:rsidR="00C36A47" w:rsidRDefault="00DF0016" w:rsidP="00C36A47">
      <w:pPr>
        <w:pStyle w:val="ListParagraph"/>
        <w:numPr>
          <w:ilvl w:val="3"/>
          <w:numId w:val="4"/>
        </w:numPr>
      </w:pPr>
      <w:r>
        <w:t>Retrospective, multicenter, case-control study. Dogs included in the AF group were compared to a control group of dogs in sinus rhythm, matched for echocardiographic diagnosis. Descriptive statistics were used to identify proportions of each group suffering SCD, compared using chi-squared testing. Risk factors for SCD in dogs with AF were evaluated at the univariable and multivariable level using binary logistic regression. Significance was P &lt; .05.</w:t>
      </w:r>
    </w:p>
    <w:p w14:paraId="3F569CAB" w14:textId="77777777" w:rsidR="00C36A47" w:rsidRDefault="00DF0016" w:rsidP="00C36A47">
      <w:pPr>
        <w:pStyle w:val="ListParagraph"/>
        <w:numPr>
          <w:ilvl w:val="2"/>
          <w:numId w:val="4"/>
        </w:numPr>
      </w:pPr>
      <w:r>
        <w:t>Results</w:t>
      </w:r>
    </w:p>
    <w:p w14:paraId="39D21CD2" w14:textId="77777777" w:rsidR="00C36A47" w:rsidRDefault="00DF0016" w:rsidP="00C36A47">
      <w:pPr>
        <w:pStyle w:val="ListParagraph"/>
        <w:numPr>
          <w:ilvl w:val="3"/>
          <w:numId w:val="4"/>
        </w:numPr>
      </w:pPr>
      <w:r>
        <w:t>A significantly higher proportion of dogs with AF suffered SCD than dogs in the control group (14.8% vs 5.5%; P = .01). Younger age at diagnosis, larger left atrial size, and a history of syncope all were independent predictors of SCD in dogs with AF (χ2, 16.3; P = .04).</w:t>
      </w:r>
    </w:p>
    <w:p w14:paraId="7819CF50" w14:textId="77777777" w:rsidR="00C36A47" w:rsidRDefault="00DF0016" w:rsidP="00C36A47">
      <w:pPr>
        <w:pStyle w:val="ListParagraph"/>
        <w:numPr>
          <w:ilvl w:val="2"/>
          <w:numId w:val="4"/>
        </w:numPr>
      </w:pPr>
      <w:r>
        <w:t>Conclusions and Clinical Importance</w:t>
      </w:r>
    </w:p>
    <w:p w14:paraId="20B88B05" w14:textId="3E5904CC" w:rsidR="00DF0016" w:rsidRDefault="00DF0016" w:rsidP="00C36A47">
      <w:pPr>
        <w:pStyle w:val="ListParagraph"/>
        <w:numPr>
          <w:ilvl w:val="3"/>
          <w:numId w:val="4"/>
        </w:numPr>
      </w:pPr>
      <w:r>
        <w:t>Atrial fibrillation was associated with a higher prevalence of SCD in dogs. A history of syncope may be a useful predictor of SCD risk.</w:t>
      </w:r>
    </w:p>
    <w:p w14:paraId="72C5F90B" w14:textId="41091EFA" w:rsidR="00FF5224" w:rsidRDefault="00FF5224" w:rsidP="00FF5224"/>
    <w:p w14:paraId="15F62760" w14:textId="1F515D73" w:rsidR="00773362" w:rsidRDefault="00773362" w:rsidP="00FF5224"/>
    <w:p w14:paraId="0F7ADAE0" w14:textId="7178CCAF" w:rsidR="00773362" w:rsidRDefault="00773362" w:rsidP="00FF5224"/>
    <w:p w14:paraId="42513C60" w14:textId="77777777" w:rsidR="00F6112F" w:rsidRDefault="00F6112F" w:rsidP="00FF5224"/>
    <w:p w14:paraId="57C94E65" w14:textId="60D15A9F" w:rsidR="00773362" w:rsidRDefault="00773362" w:rsidP="00FF5224"/>
    <w:p w14:paraId="5A8E6F1C" w14:textId="25496DD9" w:rsidR="00773362" w:rsidRDefault="00773362" w:rsidP="00FF5224"/>
    <w:p w14:paraId="0D07EE29" w14:textId="04484396" w:rsidR="00773362" w:rsidRDefault="00773362" w:rsidP="00FF5224"/>
    <w:p w14:paraId="635576CE" w14:textId="77777777" w:rsidR="00773362" w:rsidRDefault="00773362" w:rsidP="00FF5224"/>
    <w:p w14:paraId="6DC5C6E6" w14:textId="77777777" w:rsidR="00C36A47" w:rsidRDefault="00DF0016" w:rsidP="00C36A47">
      <w:pPr>
        <w:pStyle w:val="ListParagraph"/>
        <w:numPr>
          <w:ilvl w:val="0"/>
          <w:numId w:val="4"/>
        </w:numPr>
      </w:pPr>
      <w:r>
        <w:lastRenderedPageBreak/>
        <w:t>Evaluation of a flash glucose monitoring system in nondiabetic dogs with rapidly changing blood glucose concentrations</w:t>
      </w:r>
    </w:p>
    <w:p w14:paraId="7A1666A4" w14:textId="77777777" w:rsidR="00C36A47" w:rsidRDefault="00DF0016" w:rsidP="00C36A47">
      <w:pPr>
        <w:pStyle w:val="ListParagraph"/>
        <w:numPr>
          <w:ilvl w:val="1"/>
          <w:numId w:val="4"/>
        </w:numPr>
      </w:pPr>
      <w:r>
        <w:t xml:space="preserve">Leigh A. Howard, Jonathan A. </w:t>
      </w:r>
      <w:proofErr w:type="spellStart"/>
      <w:r>
        <w:t>Lidbury</w:t>
      </w:r>
      <w:proofErr w:type="spellEnd"/>
      <w:r>
        <w:t>, Nicholas Jeffery, Shannon E. Washburn, Carly A. Patterson</w:t>
      </w:r>
    </w:p>
    <w:p w14:paraId="27F0588B" w14:textId="77777777" w:rsidR="00C36A47" w:rsidRDefault="00DF0016" w:rsidP="00C36A47">
      <w:pPr>
        <w:pStyle w:val="ListParagraph"/>
        <w:numPr>
          <w:ilvl w:val="1"/>
          <w:numId w:val="4"/>
        </w:numPr>
      </w:pPr>
      <w:r>
        <w:t xml:space="preserve">First published: 02 October 2021 </w:t>
      </w:r>
      <w:hyperlink r:id="rId11" w:history="1">
        <w:r w:rsidRPr="00FE5DD6">
          <w:rPr>
            <w:rStyle w:val="Hyperlink"/>
          </w:rPr>
          <w:t>https://doi.org/10.1111/jvim.16273</w:t>
        </w:r>
      </w:hyperlink>
    </w:p>
    <w:p w14:paraId="08EE2DE2" w14:textId="77777777" w:rsidR="00C36A47" w:rsidRDefault="00FF5224" w:rsidP="00C36A47">
      <w:pPr>
        <w:pStyle w:val="ListParagraph"/>
        <w:numPr>
          <w:ilvl w:val="2"/>
          <w:numId w:val="4"/>
        </w:numPr>
      </w:pPr>
      <w:r>
        <w:t>Background</w:t>
      </w:r>
    </w:p>
    <w:p w14:paraId="6D1D38AA" w14:textId="77777777" w:rsidR="00C36A47" w:rsidRDefault="00FF5224" w:rsidP="00C36A47">
      <w:pPr>
        <w:pStyle w:val="ListParagraph"/>
        <w:numPr>
          <w:ilvl w:val="3"/>
          <w:numId w:val="4"/>
        </w:numPr>
      </w:pPr>
      <w:r>
        <w:t xml:space="preserve">A flash glucose monitoring system (FGMS; </w:t>
      </w:r>
      <w:proofErr w:type="spellStart"/>
      <w:r>
        <w:t>FreeStyle</w:t>
      </w:r>
      <w:proofErr w:type="spellEnd"/>
      <w:r>
        <w:t xml:space="preserve"> Libre) is useful for monitoring hypoglycemic dogs with diabetes.</w:t>
      </w:r>
    </w:p>
    <w:p w14:paraId="54B5B379" w14:textId="77777777" w:rsidR="00C36A47" w:rsidRDefault="00FF5224" w:rsidP="00C36A47">
      <w:pPr>
        <w:pStyle w:val="ListParagraph"/>
        <w:numPr>
          <w:ilvl w:val="2"/>
          <w:numId w:val="4"/>
        </w:numPr>
      </w:pPr>
      <w:r>
        <w:t>Objective</w:t>
      </w:r>
    </w:p>
    <w:p w14:paraId="1C654051" w14:textId="77777777" w:rsidR="00C36A47" w:rsidRDefault="00FF5224" w:rsidP="00C36A47">
      <w:pPr>
        <w:pStyle w:val="ListParagraph"/>
        <w:numPr>
          <w:ilvl w:val="3"/>
          <w:numId w:val="4"/>
        </w:numPr>
      </w:pPr>
      <w:r>
        <w:t>To assess the utility of this FGMS in dogs with induced hypoglycemia and rapid fluctuations in blood glucose (BG) concentrations.</w:t>
      </w:r>
    </w:p>
    <w:p w14:paraId="5EED34A0" w14:textId="77777777" w:rsidR="00C36A47" w:rsidRDefault="00FF5224" w:rsidP="00C36A47">
      <w:pPr>
        <w:pStyle w:val="ListParagraph"/>
        <w:numPr>
          <w:ilvl w:val="2"/>
          <w:numId w:val="4"/>
        </w:numPr>
      </w:pPr>
      <w:r>
        <w:t>Animals</w:t>
      </w:r>
    </w:p>
    <w:p w14:paraId="0BE51C80" w14:textId="77777777" w:rsidR="00C36A47" w:rsidRDefault="00FF5224" w:rsidP="00C36A47">
      <w:pPr>
        <w:pStyle w:val="ListParagraph"/>
        <w:numPr>
          <w:ilvl w:val="3"/>
          <w:numId w:val="4"/>
        </w:numPr>
      </w:pPr>
      <w:r>
        <w:t>Twenty-four apparently healthy research (n = 10) and teaching (n = 14) dogs.</w:t>
      </w:r>
    </w:p>
    <w:p w14:paraId="1CC4B155" w14:textId="77777777" w:rsidR="00C36A47" w:rsidRDefault="00FF5224" w:rsidP="00C36A47">
      <w:pPr>
        <w:pStyle w:val="ListParagraph"/>
        <w:numPr>
          <w:ilvl w:val="2"/>
          <w:numId w:val="4"/>
        </w:numPr>
      </w:pPr>
      <w:r>
        <w:t>Methods</w:t>
      </w:r>
    </w:p>
    <w:p w14:paraId="7D824E0D" w14:textId="77777777" w:rsidR="00C36A47" w:rsidRDefault="00FF5224" w:rsidP="00C36A47">
      <w:pPr>
        <w:pStyle w:val="ListParagraph"/>
        <w:numPr>
          <w:ilvl w:val="3"/>
          <w:numId w:val="4"/>
        </w:numPr>
      </w:pPr>
      <w:r>
        <w:t xml:space="preserve">Prospective, observational study performed in tandem with a teaching laboratory. Regular insulin was administered to dogs and resulting hypoglycemia was corrected. Before insulin administration and every 10 minutes over a 90-minute period, serial measurements of interstitial glucose (IG) with FGMS and BG with a portable blood glucose meter (PBGM) and clinical chemistry analyzer concentrations were made. Portable blood glucose meter and FGMS readings were compared to that of the clinical chemistry analyzer. Analytical and clinical accuracy were assessed using ISO 15197:2013 criteria, including </w:t>
      </w:r>
      <w:proofErr w:type="gramStart"/>
      <w:r>
        <w:t>Parkes</w:t>
      </w:r>
      <w:proofErr w:type="gramEnd"/>
      <w:r>
        <w:t xml:space="preserve"> error grid analysis.</w:t>
      </w:r>
    </w:p>
    <w:p w14:paraId="2F6DD82C" w14:textId="77777777" w:rsidR="00C36A47" w:rsidRDefault="00FF5224" w:rsidP="00C36A47">
      <w:pPr>
        <w:pStyle w:val="ListParagraph"/>
        <w:numPr>
          <w:ilvl w:val="2"/>
          <w:numId w:val="4"/>
        </w:numPr>
      </w:pPr>
      <w:r>
        <w:t>Results</w:t>
      </w:r>
    </w:p>
    <w:p w14:paraId="625EBA4B" w14:textId="77777777" w:rsidR="00C36A47" w:rsidRDefault="00FF5224" w:rsidP="00C36A47">
      <w:pPr>
        <w:pStyle w:val="ListParagraph"/>
        <w:numPr>
          <w:ilvl w:val="3"/>
          <w:numId w:val="4"/>
        </w:numPr>
      </w:pPr>
      <w:r>
        <w:t xml:space="preserve">The proportions of readings in the low BG range (BG &lt;100 mg/dL) for which the test method measurement was within ±15 mg/dL of the reference BG for the PBGM and FGMS were 81.7% (161/197) and 39.1% (72/184), respectively. The proportions of readings for the PBGM and FGMS, which were not likely to affect clinical outcome according to </w:t>
      </w:r>
      <w:proofErr w:type="gramStart"/>
      <w:r>
        <w:t>Parkes</w:t>
      </w:r>
      <w:proofErr w:type="gramEnd"/>
      <w:r>
        <w:t xml:space="preserve"> error grid analysis, were 97.9% (233/238) and 80.1% (177/221), respectively.</w:t>
      </w:r>
    </w:p>
    <w:p w14:paraId="46D41648" w14:textId="77777777" w:rsidR="00C36A47" w:rsidRDefault="00FF5224" w:rsidP="00C36A47">
      <w:pPr>
        <w:pStyle w:val="ListParagraph"/>
        <w:numPr>
          <w:ilvl w:val="2"/>
          <w:numId w:val="4"/>
        </w:numPr>
      </w:pPr>
      <w:r>
        <w:t>Conclusions and Clinical Importance</w:t>
      </w:r>
    </w:p>
    <w:p w14:paraId="590FE596" w14:textId="378E70D2" w:rsidR="00FF5224" w:rsidRDefault="00FF5224" w:rsidP="00C36A47">
      <w:pPr>
        <w:pStyle w:val="ListParagraph"/>
        <w:numPr>
          <w:ilvl w:val="3"/>
          <w:numId w:val="4"/>
        </w:numPr>
      </w:pPr>
      <w:r>
        <w:t>In this model, there was limited agreement between the FGMS and reference standard BG measurements. The FGMS (measuring IG concentrations) was compared to peripheral BG concentrations, not brain-tissue glucose concentrations, and failed to reliably detect hypoglycemia.</w:t>
      </w:r>
    </w:p>
    <w:p w14:paraId="6E8B087F" w14:textId="60BBA835" w:rsidR="00C36A47" w:rsidRDefault="00C36A47" w:rsidP="00C36A47">
      <w:pPr>
        <w:pStyle w:val="ListParagraph"/>
        <w:ind w:left="2880"/>
      </w:pPr>
    </w:p>
    <w:p w14:paraId="1A30DE43" w14:textId="5FCB5E1F" w:rsidR="00773362" w:rsidRDefault="00773362" w:rsidP="00C36A47">
      <w:pPr>
        <w:pStyle w:val="ListParagraph"/>
        <w:ind w:left="2880"/>
      </w:pPr>
    </w:p>
    <w:p w14:paraId="17E6A46E" w14:textId="77777777" w:rsidR="00773362" w:rsidRDefault="00773362" w:rsidP="00C36A47">
      <w:pPr>
        <w:pStyle w:val="ListParagraph"/>
        <w:ind w:left="2880"/>
      </w:pPr>
    </w:p>
    <w:p w14:paraId="6BFC16F1" w14:textId="77777777" w:rsidR="00773362" w:rsidRDefault="00773362" w:rsidP="00C36A47">
      <w:pPr>
        <w:pStyle w:val="ListParagraph"/>
        <w:ind w:left="2880"/>
      </w:pPr>
    </w:p>
    <w:p w14:paraId="38120EDC" w14:textId="77777777" w:rsidR="00C36A47" w:rsidRDefault="00DF0016" w:rsidP="00C36A47">
      <w:pPr>
        <w:pStyle w:val="ListParagraph"/>
        <w:numPr>
          <w:ilvl w:val="0"/>
          <w:numId w:val="4"/>
        </w:numPr>
      </w:pPr>
      <w:r>
        <w:lastRenderedPageBreak/>
        <w:t>Appetite-stimulating effects of once-daily omeprazole in cats with chronic kidney disease: Double-blind, placebo-controlled, randomized, crossover trial</w:t>
      </w:r>
    </w:p>
    <w:p w14:paraId="43EE5A0B" w14:textId="77777777" w:rsidR="00C36A47" w:rsidRDefault="00DF0016" w:rsidP="00C36A47">
      <w:pPr>
        <w:pStyle w:val="ListParagraph"/>
        <w:numPr>
          <w:ilvl w:val="1"/>
          <w:numId w:val="4"/>
        </w:numPr>
      </w:pPr>
      <w:r>
        <w:t xml:space="preserve">Ashley Spencer, Jessica M. Quimby, Josh M. Price, Sally </w:t>
      </w:r>
      <w:proofErr w:type="spellStart"/>
      <w:r>
        <w:t>MacLane</w:t>
      </w:r>
      <w:proofErr w:type="spellEnd"/>
      <w:r>
        <w:t xml:space="preserve">, Shanna </w:t>
      </w:r>
      <w:proofErr w:type="spellStart"/>
      <w:r>
        <w:t>Hillsman</w:t>
      </w:r>
      <w:proofErr w:type="spellEnd"/>
      <w:r>
        <w:t xml:space="preserve">, Patty </w:t>
      </w:r>
      <w:proofErr w:type="spellStart"/>
      <w:r>
        <w:t>Secoura</w:t>
      </w:r>
      <w:proofErr w:type="spellEnd"/>
      <w:r>
        <w:t xml:space="preserve">, </w:t>
      </w:r>
      <w:proofErr w:type="spellStart"/>
      <w:r>
        <w:t>Jörg</w:t>
      </w:r>
      <w:proofErr w:type="spellEnd"/>
      <w:r>
        <w:t xml:space="preserve"> M. Steiner, M. Katherine Tolbert</w:t>
      </w:r>
    </w:p>
    <w:p w14:paraId="321FDBBF" w14:textId="77777777" w:rsidR="00C36A47" w:rsidRDefault="00DF0016" w:rsidP="00C36A47">
      <w:pPr>
        <w:pStyle w:val="ListParagraph"/>
        <w:numPr>
          <w:ilvl w:val="1"/>
          <w:numId w:val="4"/>
        </w:numPr>
      </w:pPr>
      <w:r>
        <w:t xml:space="preserve">First published: 30 September 2021 </w:t>
      </w:r>
      <w:hyperlink r:id="rId12" w:history="1">
        <w:r w:rsidRPr="00FE5DD6">
          <w:rPr>
            <w:rStyle w:val="Hyperlink"/>
          </w:rPr>
          <w:t>https://doi.org/10.1111/jvim.16268</w:t>
        </w:r>
      </w:hyperlink>
    </w:p>
    <w:p w14:paraId="0669A0C5" w14:textId="77777777" w:rsidR="00C36A47" w:rsidRDefault="00FF5224" w:rsidP="00C36A47">
      <w:pPr>
        <w:pStyle w:val="ListParagraph"/>
        <w:numPr>
          <w:ilvl w:val="2"/>
          <w:numId w:val="4"/>
        </w:numPr>
      </w:pPr>
      <w:r>
        <w:t>Background</w:t>
      </w:r>
    </w:p>
    <w:p w14:paraId="6E5930B1" w14:textId="77777777" w:rsidR="00C36A47" w:rsidRDefault="00FF5224" w:rsidP="00773362">
      <w:pPr>
        <w:pStyle w:val="ListParagraph"/>
        <w:numPr>
          <w:ilvl w:val="3"/>
          <w:numId w:val="4"/>
        </w:numPr>
      </w:pPr>
      <w:r>
        <w:t>Cats with moderate to advanced chronic kidney disease (CKD) often display clinical signs such as vomiting and decreased appetite, and frequently receive omeprazole or other acid suppressants despite a lack of evidence to support their use.</w:t>
      </w:r>
    </w:p>
    <w:p w14:paraId="453B7121" w14:textId="77777777" w:rsidR="00C36A47" w:rsidRDefault="00FF5224" w:rsidP="00C36A47">
      <w:pPr>
        <w:pStyle w:val="ListParagraph"/>
        <w:numPr>
          <w:ilvl w:val="2"/>
          <w:numId w:val="4"/>
        </w:numPr>
      </w:pPr>
      <w:r>
        <w:t>Hypothesis/Objectives</w:t>
      </w:r>
    </w:p>
    <w:p w14:paraId="70F73F89" w14:textId="77777777" w:rsidR="00C36A47" w:rsidRDefault="00FF5224" w:rsidP="00773362">
      <w:pPr>
        <w:pStyle w:val="ListParagraph"/>
        <w:numPr>
          <w:ilvl w:val="3"/>
          <w:numId w:val="4"/>
        </w:numPr>
      </w:pPr>
      <w:r>
        <w:t>To evaluate the effect of once-daily PO omeprazole on appetite in cats with CKD. We hypothesized that omeprazole would improve subjective appetite assessments in cats with CKD.</w:t>
      </w:r>
    </w:p>
    <w:p w14:paraId="45822109" w14:textId="77777777" w:rsidR="00C36A47" w:rsidRDefault="00FF5224" w:rsidP="00C36A47">
      <w:pPr>
        <w:pStyle w:val="ListParagraph"/>
        <w:numPr>
          <w:ilvl w:val="2"/>
          <w:numId w:val="4"/>
        </w:numPr>
      </w:pPr>
      <w:r>
        <w:t>Animals</w:t>
      </w:r>
    </w:p>
    <w:p w14:paraId="4887C841" w14:textId="77777777" w:rsidR="00C36A47" w:rsidRDefault="00FF5224" w:rsidP="00773362">
      <w:pPr>
        <w:pStyle w:val="ListParagraph"/>
        <w:numPr>
          <w:ilvl w:val="3"/>
          <w:numId w:val="4"/>
        </w:numPr>
      </w:pPr>
      <w:r>
        <w:t>Fourteen client-owned cats with International Renal Interest Society (IRIS) stage 2 or 3 CKD and hyporexia.</w:t>
      </w:r>
    </w:p>
    <w:p w14:paraId="107CAF25" w14:textId="77777777" w:rsidR="00C36A47" w:rsidRDefault="00FF5224" w:rsidP="00C36A47">
      <w:pPr>
        <w:pStyle w:val="ListParagraph"/>
        <w:numPr>
          <w:ilvl w:val="2"/>
          <w:numId w:val="4"/>
        </w:numPr>
      </w:pPr>
      <w:r>
        <w:t>Methods</w:t>
      </w:r>
    </w:p>
    <w:p w14:paraId="330F72DB" w14:textId="77777777" w:rsidR="00C36A47" w:rsidRDefault="00FF5224" w:rsidP="00773362">
      <w:pPr>
        <w:pStyle w:val="ListParagraph"/>
        <w:numPr>
          <w:ilvl w:val="3"/>
          <w:numId w:val="4"/>
        </w:numPr>
      </w:pPr>
      <w:r>
        <w:t>Cats were prospectively enrolled in a multi-institutional, double-blinded, randomized, crossover study to evaluate the effect of a 14-day trial of once-daily PO omeprazole (1 mg/kg) or placebo (lactose gel capsule) on vomiting frequency and appetite. A daily log was completed by the owner during all treatment and rest periods to assess appetite using a subjective, qualitative, and 5-point scoring system. Mixed model analyses of variance were performed to determine if average daily percentage food consumed or appetite score, as measured by subjective owner assessment, differed between treatments.</w:t>
      </w:r>
    </w:p>
    <w:p w14:paraId="56430071" w14:textId="77777777" w:rsidR="00C36A47" w:rsidRDefault="00FF5224" w:rsidP="00C36A47">
      <w:pPr>
        <w:pStyle w:val="ListParagraph"/>
        <w:numPr>
          <w:ilvl w:val="2"/>
          <w:numId w:val="4"/>
        </w:numPr>
      </w:pPr>
      <w:r>
        <w:t>Results</w:t>
      </w:r>
    </w:p>
    <w:p w14:paraId="2059D75C" w14:textId="77777777" w:rsidR="00C36A47" w:rsidRDefault="00FF5224" w:rsidP="00773362">
      <w:pPr>
        <w:pStyle w:val="ListParagraph"/>
        <w:numPr>
          <w:ilvl w:val="3"/>
          <w:numId w:val="4"/>
        </w:numPr>
      </w:pPr>
      <w:r>
        <w:t>Compared to placebo, a negligible but statistically significant difference in percentage of food consumed was observed between treatments (P = .04) with once-daily omeprazole treatment resulting in a 2.7% increase in food consumption compared to placebo. No significant difference, however, was found in appetite score, body weight, or serum creatinine concentration between treatments.</w:t>
      </w:r>
    </w:p>
    <w:p w14:paraId="2AD39EF4" w14:textId="77777777" w:rsidR="00C36A47" w:rsidRDefault="00FF5224" w:rsidP="00C36A47">
      <w:pPr>
        <w:pStyle w:val="ListParagraph"/>
        <w:numPr>
          <w:ilvl w:val="2"/>
          <w:numId w:val="4"/>
        </w:numPr>
      </w:pPr>
      <w:r>
        <w:t>Conclusions and Clinical Importance</w:t>
      </w:r>
    </w:p>
    <w:p w14:paraId="50520184" w14:textId="4AE59BBE" w:rsidR="00FF5224" w:rsidRDefault="00FF5224" w:rsidP="00773362">
      <w:pPr>
        <w:pStyle w:val="ListParagraph"/>
        <w:numPr>
          <w:ilvl w:val="3"/>
          <w:numId w:val="4"/>
        </w:numPr>
      </w:pPr>
      <w:r>
        <w:t>Once-daily omeprazole does not markedly increase appetite in cats with CKD and should not be used as a first-line treatment in the absence of evidence of gastrointestinal ulceration.</w:t>
      </w:r>
    </w:p>
    <w:p w14:paraId="6594AE13" w14:textId="063EC949" w:rsidR="00773362" w:rsidRDefault="00773362" w:rsidP="00773362">
      <w:pPr>
        <w:pStyle w:val="ListParagraph"/>
        <w:ind w:left="2880"/>
      </w:pPr>
    </w:p>
    <w:p w14:paraId="31BCA746" w14:textId="2D69F349" w:rsidR="00773362" w:rsidRDefault="00773362" w:rsidP="00773362">
      <w:pPr>
        <w:pStyle w:val="ListParagraph"/>
        <w:ind w:left="2880"/>
      </w:pPr>
    </w:p>
    <w:p w14:paraId="54A6FC9A" w14:textId="25358BEB" w:rsidR="00773362" w:rsidRDefault="00773362" w:rsidP="00773362">
      <w:pPr>
        <w:pStyle w:val="ListParagraph"/>
        <w:ind w:left="2880"/>
      </w:pPr>
    </w:p>
    <w:p w14:paraId="12458666" w14:textId="1041AA3C" w:rsidR="00773362" w:rsidRDefault="00773362" w:rsidP="00773362">
      <w:pPr>
        <w:pStyle w:val="ListParagraph"/>
        <w:ind w:left="2880"/>
      </w:pPr>
    </w:p>
    <w:p w14:paraId="422C7598" w14:textId="77777777" w:rsidR="00773362" w:rsidRDefault="00773362" w:rsidP="00773362">
      <w:pPr>
        <w:pStyle w:val="ListParagraph"/>
        <w:ind w:left="2880"/>
      </w:pPr>
    </w:p>
    <w:p w14:paraId="475327D8" w14:textId="77777777" w:rsidR="00773362" w:rsidRDefault="00DF0016" w:rsidP="00773362">
      <w:pPr>
        <w:pStyle w:val="ListParagraph"/>
        <w:numPr>
          <w:ilvl w:val="0"/>
          <w:numId w:val="4"/>
        </w:numPr>
      </w:pPr>
      <w:r>
        <w:lastRenderedPageBreak/>
        <w:t>Sedation with dexmedetomidine is associated with transient gallbladder wall thickening and peritoneal effusion in some dogs undergoing abdominal ultrasonography</w:t>
      </w:r>
    </w:p>
    <w:p w14:paraId="10F5DB49" w14:textId="77777777" w:rsidR="00773362" w:rsidRDefault="00DF0016" w:rsidP="00773362">
      <w:pPr>
        <w:pStyle w:val="ListParagraph"/>
        <w:numPr>
          <w:ilvl w:val="1"/>
          <w:numId w:val="4"/>
        </w:numPr>
      </w:pPr>
      <w:r>
        <w:t>Marc A. Seitz, Alison M. Lee, Kimberly A. Woodruff, Alexis C. Thompson</w:t>
      </w:r>
    </w:p>
    <w:p w14:paraId="73B63794" w14:textId="77777777" w:rsidR="00773362" w:rsidRDefault="00DF0016" w:rsidP="00773362">
      <w:pPr>
        <w:pStyle w:val="ListParagraph"/>
        <w:numPr>
          <w:ilvl w:val="1"/>
          <w:numId w:val="4"/>
        </w:numPr>
      </w:pPr>
      <w:r>
        <w:t xml:space="preserve">First published: 11 November 2021 </w:t>
      </w:r>
      <w:hyperlink r:id="rId13" w:history="1">
        <w:r w:rsidRPr="00FE5DD6">
          <w:rPr>
            <w:rStyle w:val="Hyperlink"/>
          </w:rPr>
          <w:t>https://doi.org/10.1111/jvim.16306</w:t>
        </w:r>
      </w:hyperlink>
    </w:p>
    <w:p w14:paraId="43F18C9B" w14:textId="77777777" w:rsidR="00773362" w:rsidRDefault="00FF5224" w:rsidP="00773362">
      <w:pPr>
        <w:pStyle w:val="ListParagraph"/>
        <w:numPr>
          <w:ilvl w:val="2"/>
          <w:numId w:val="4"/>
        </w:numPr>
      </w:pPr>
      <w:r>
        <w:t>Background</w:t>
      </w:r>
    </w:p>
    <w:p w14:paraId="7AE43044" w14:textId="77777777" w:rsidR="00773362" w:rsidRDefault="00FF5224" w:rsidP="00773362">
      <w:pPr>
        <w:pStyle w:val="ListParagraph"/>
        <w:numPr>
          <w:ilvl w:val="3"/>
          <w:numId w:val="4"/>
        </w:numPr>
      </w:pPr>
      <w:r>
        <w:t>Dexmedetomidine often is used for sedation before or during abdominal ultrasonography. The effect of dexmedetomidine on gallbladder wall thickness is unknown.</w:t>
      </w:r>
    </w:p>
    <w:p w14:paraId="30E75BA0" w14:textId="77777777" w:rsidR="00773362" w:rsidRDefault="00FF5224" w:rsidP="00773362">
      <w:pPr>
        <w:pStyle w:val="ListParagraph"/>
        <w:numPr>
          <w:ilvl w:val="2"/>
          <w:numId w:val="4"/>
        </w:numPr>
      </w:pPr>
      <w:r>
        <w:t>Hypothesis/Objectives</w:t>
      </w:r>
    </w:p>
    <w:p w14:paraId="63C9D999" w14:textId="36B2C9CA" w:rsidR="00FF5224" w:rsidRDefault="00FF5224" w:rsidP="00773362">
      <w:pPr>
        <w:pStyle w:val="ListParagraph"/>
        <w:numPr>
          <w:ilvl w:val="3"/>
          <w:numId w:val="4"/>
        </w:numPr>
      </w:pPr>
      <w:r>
        <w:t>To investigate the relationship between dexmedetomidine administration and gallbladder wall thickening in dogs. The hypothesis was that sedation with dexmedetomidine will cause transient gallbladder wall thickening. Gallbladder wall thickness will be associated with duration of sedation and recumbency position.</w:t>
      </w:r>
    </w:p>
    <w:p w14:paraId="074295A6" w14:textId="77777777" w:rsidR="00773362" w:rsidRDefault="00FF5224" w:rsidP="00773362">
      <w:pPr>
        <w:pStyle w:val="ListParagraph"/>
        <w:numPr>
          <w:ilvl w:val="2"/>
          <w:numId w:val="4"/>
        </w:numPr>
      </w:pPr>
      <w:r>
        <w:t>Animals</w:t>
      </w:r>
    </w:p>
    <w:p w14:paraId="7391D523" w14:textId="77777777" w:rsidR="00773362" w:rsidRDefault="00FF5224" w:rsidP="00773362">
      <w:pPr>
        <w:pStyle w:val="ListParagraph"/>
        <w:numPr>
          <w:ilvl w:val="3"/>
          <w:numId w:val="4"/>
        </w:numPr>
      </w:pPr>
      <w:r>
        <w:t>Seventy-nine client owned dogs and 10 healthy research dogs.</w:t>
      </w:r>
    </w:p>
    <w:p w14:paraId="5770E866" w14:textId="77777777" w:rsidR="00773362" w:rsidRDefault="00FF5224" w:rsidP="00773362">
      <w:pPr>
        <w:pStyle w:val="ListParagraph"/>
        <w:numPr>
          <w:ilvl w:val="2"/>
          <w:numId w:val="4"/>
        </w:numPr>
      </w:pPr>
      <w:r>
        <w:t>Methods</w:t>
      </w:r>
    </w:p>
    <w:p w14:paraId="594EAFA3" w14:textId="35BAB9A6" w:rsidR="00773362" w:rsidRDefault="00FF5224" w:rsidP="00773362">
      <w:pPr>
        <w:pStyle w:val="ListParagraph"/>
        <w:numPr>
          <w:ilvl w:val="3"/>
          <w:numId w:val="4"/>
        </w:numPr>
      </w:pPr>
      <w:r>
        <w:t>A prospective observational study (n = 79) was used to establish the prevalence of gallbladder wall thickening (&gt; 2.0 mm) after sedation with dexmedetomidine. A randomized, crossover study (n = 10) was used to evaluate the effect of time and recumbency position on the development of gallbladder wall thickening. Linear mixed models were used.</w:t>
      </w:r>
    </w:p>
    <w:p w14:paraId="034F0E40" w14:textId="77777777" w:rsidR="00773362" w:rsidRDefault="00FF5224" w:rsidP="00773362">
      <w:pPr>
        <w:pStyle w:val="ListParagraph"/>
        <w:numPr>
          <w:ilvl w:val="2"/>
          <w:numId w:val="4"/>
        </w:numPr>
      </w:pPr>
      <w:r>
        <w:t>Results</w:t>
      </w:r>
    </w:p>
    <w:p w14:paraId="4FE4A6E3" w14:textId="77777777" w:rsidR="00773362" w:rsidRDefault="00FF5224" w:rsidP="00773362">
      <w:pPr>
        <w:pStyle w:val="ListParagraph"/>
        <w:numPr>
          <w:ilvl w:val="3"/>
          <w:numId w:val="4"/>
        </w:numPr>
      </w:pPr>
      <w:r>
        <w:t xml:space="preserve">The proportion of client-owned dogs that developed gallbladder wall thickening was 24.05% (19/79; 95% confidence interval [CI], 15.1%-35.0%) with a median dose of dexmedetomidine of 5.0 </w:t>
      </w:r>
      <w:proofErr w:type="spellStart"/>
      <w:r>
        <w:t>μg</w:t>
      </w:r>
      <w:proofErr w:type="spellEnd"/>
      <w:r>
        <w:t xml:space="preserve">/kg (range, 2.0-12.5 </w:t>
      </w:r>
      <w:proofErr w:type="spellStart"/>
      <w:r>
        <w:t>μg</w:t>
      </w:r>
      <w:proofErr w:type="spellEnd"/>
      <w:r>
        <w:t>/kg). After sedation, the proportion of research dogs that developed gallbladder wall thickening in left lateral (5/10, 50%; 95% CI, 18.7%-81.3%) and dorsal (7/10, 70%; 95% CI, 34.8%-93.3%) recumbency did not differ significantly (P = .45). Gallbladder wall thickening developed within 20 to 40 minutes. Duration of sedation was significantly associated with thickening of the gallbladder wall (P &lt; .001). Five dogs developed 9 instances of peritoneal effusion in both lateral (5) and dorsal (4) recumbency.</w:t>
      </w:r>
    </w:p>
    <w:p w14:paraId="64F70B80" w14:textId="77777777" w:rsidR="00773362" w:rsidRDefault="00FF5224" w:rsidP="00773362">
      <w:pPr>
        <w:pStyle w:val="ListParagraph"/>
        <w:numPr>
          <w:ilvl w:val="2"/>
          <w:numId w:val="4"/>
        </w:numPr>
      </w:pPr>
      <w:r>
        <w:t>Conclusions and Clinical Importance</w:t>
      </w:r>
    </w:p>
    <w:p w14:paraId="0944322D" w14:textId="6289D77B" w:rsidR="00FF5224" w:rsidRDefault="00FF5224" w:rsidP="00773362">
      <w:pPr>
        <w:pStyle w:val="ListParagraph"/>
        <w:numPr>
          <w:ilvl w:val="3"/>
          <w:numId w:val="4"/>
        </w:numPr>
      </w:pPr>
      <w:r>
        <w:t>Sedation with dexmedetomidine is associated with gallbladder wall thickening (&gt; 2.0 mm) and peritoneal effusion that could be confused with pathologic etiologies.</w:t>
      </w:r>
    </w:p>
    <w:p w14:paraId="5D1C6C10" w14:textId="52B46EF2" w:rsidR="00773362" w:rsidRDefault="00773362" w:rsidP="00773362"/>
    <w:p w14:paraId="6F110CA2" w14:textId="7C1E9111" w:rsidR="00773362" w:rsidRDefault="00773362" w:rsidP="00773362"/>
    <w:p w14:paraId="3BB040DF" w14:textId="77777777" w:rsidR="00773362" w:rsidRDefault="00773362" w:rsidP="00773362"/>
    <w:p w14:paraId="16229168" w14:textId="77777777" w:rsidR="00773362" w:rsidRDefault="00DF0016" w:rsidP="00773362">
      <w:pPr>
        <w:pStyle w:val="ListParagraph"/>
        <w:numPr>
          <w:ilvl w:val="0"/>
          <w:numId w:val="4"/>
        </w:numPr>
      </w:pPr>
      <w:r>
        <w:lastRenderedPageBreak/>
        <w:t>Bacterial infection in dogs with aspiration pneumonia at 2 tertiary referral practices</w:t>
      </w:r>
    </w:p>
    <w:p w14:paraId="0D9230A6" w14:textId="77777777" w:rsidR="00773362" w:rsidRDefault="00DF0016" w:rsidP="00773362">
      <w:pPr>
        <w:pStyle w:val="ListParagraph"/>
        <w:numPr>
          <w:ilvl w:val="1"/>
          <w:numId w:val="4"/>
        </w:numPr>
      </w:pPr>
      <w:r>
        <w:t xml:space="preserve">Jennifer Howard, Carol R. </w:t>
      </w:r>
      <w:proofErr w:type="spellStart"/>
      <w:r>
        <w:t>Reinero</w:t>
      </w:r>
      <w:proofErr w:type="spellEnd"/>
      <w:r>
        <w:t xml:space="preserve">, Greg Almond, Aida </w:t>
      </w:r>
      <w:proofErr w:type="spellStart"/>
      <w:r>
        <w:t>Vientos-Plotts</w:t>
      </w:r>
      <w:proofErr w:type="spellEnd"/>
      <w:r>
        <w:t xml:space="preserve">, Leah A. Cohn, Megan </w:t>
      </w:r>
      <w:proofErr w:type="spellStart"/>
      <w:r>
        <w:t>Grobman</w:t>
      </w:r>
      <w:proofErr w:type="spellEnd"/>
    </w:p>
    <w:p w14:paraId="6BB2E008" w14:textId="77777777" w:rsidR="00773362" w:rsidRDefault="00DF0016" w:rsidP="00773362">
      <w:pPr>
        <w:pStyle w:val="ListParagraph"/>
        <w:numPr>
          <w:ilvl w:val="1"/>
          <w:numId w:val="4"/>
        </w:numPr>
      </w:pPr>
      <w:r>
        <w:t xml:space="preserve">First published: 09 November 2021 </w:t>
      </w:r>
      <w:hyperlink r:id="rId14" w:history="1">
        <w:r w:rsidRPr="00FE5DD6">
          <w:rPr>
            <w:rStyle w:val="Hyperlink"/>
          </w:rPr>
          <w:t>https://doi.org/10.1111/jvim.16310</w:t>
        </w:r>
      </w:hyperlink>
    </w:p>
    <w:p w14:paraId="6BD0BAFB" w14:textId="77777777" w:rsidR="00773362" w:rsidRDefault="00FF5224" w:rsidP="00773362">
      <w:pPr>
        <w:pStyle w:val="ListParagraph"/>
        <w:numPr>
          <w:ilvl w:val="2"/>
          <w:numId w:val="4"/>
        </w:numPr>
      </w:pPr>
      <w:r>
        <w:t>Background</w:t>
      </w:r>
    </w:p>
    <w:p w14:paraId="645C26A5" w14:textId="77777777" w:rsidR="00773362" w:rsidRDefault="00FF5224" w:rsidP="00773362">
      <w:pPr>
        <w:pStyle w:val="ListParagraph"/>
        <w:numPr>
          <w:ilvl w:val="3"/>
          <w:numId w:val="4"/>
        </w:numPr>
      </w:pPr>
      <w:r>
        <w:t>In dogs, antimicrobial drugs are widely prescribed for aspiration pneumonia (AP) despite poor documentation of bacterial infection in AP (b-AP) using bronchoalveolar lavage fluid (BALF) analysis. Interpretating discordant cytology and culture results is challenging, contributing to lack of a criterion standard, and highlighting differences between veterinary and human medical criteria for b-AP.</w:t>
      </w:r>
    </w:p>
    <w:p w14:paraId="78B491B8" w14:textId="77777777" w:rsidR="00773362" w:rsidRDefault="00FF5224" w:rsidP="00773362">
      <w:pPr>
        <w:pStyle w:val="ListParagraph"/>
        <w:numPr>
          <w:ilvl w:val="2"/>
          <w:numId w:val="4"/>
        </w:numPr>
      </w:pPr>
      <w:r>
        <w:t>Objectives</w:t>
      </w:r>
    </w:p>
    <w:p w14:paraId="59641E6A" w14:textId="77777777" w:rsidR="00773362" w:rsidRDefault="00FF5224" w:rsidP="00773362">
      <w:pPr>
        <w:pStyle w:val="ListParagraph"/>
        <w:numPr>
          <w:ilvl w:val="3"/>
          <w:numId w:val="4"/>
        </w:numPr>
      </w:pPr>
      <w:r>
        <w:t>Determine how many dogs with AP had BALF collection and differences in diagnosis of b-AP using veterinary vs human medical criteria. Report findings of noninvasive markers (</w:t>
      </w:r>
      <w:proofErr w:type="gramStart"/>
      <w:r>
        <w:t>e.g.</w:t>
      </w:r>
      <w:proofErr w:type="gramEnd"/>
      <w:r>
        <w:t xml:space="preserve"> fever, band neutrophilia, radiographic severity score) in dogs with and without b-AP.</w:t>
      </w:r>
    </w:p>
    <w:p w14:paraId="2C6F0A36" w14:textId="77777777" w:rsidR="00773362" w:rsidRDefault="00FF5224" w:rsidP="00773362">
      <w:pPr>
        <w:pStyle w:val="ListParagraph"/>
        <w:numPr>
          <w:ilvl w:val="2"/>
          <w:numId w:val="4"/>
        </w:numPr>
      </w:pPr>
      <w:r>
        <w:t>Animals</w:t>
      </w:r>
    </w:p>
    <w:p w14:paraId="3D9E4E59" w14:textId="77777777" w:rsidR="00773362" w:rsidRDefault="00FF5224" w:rsidP="00773362">
      <w:pPr>
        <w:pStyle w:val="ListParagraph"/>
        <w:numPr>
          <w:ilvl w:val="3"/>
          <w:numId w:val="4"/>
        </w:numPr>
      </w:pPr>
      <w:r>
        <w:t>Retrospective cohort study of client-owned dogs (n = 429) with AP at 2 university veterinary hospitals. Twenty-four dogs met enrollment criteria.</w:t>
      </w:r>
    </w:p>
    <w:p w14:paraId="52429AE4" w14:textId="77777777" w:rsidR="00773362" w:rsidRDefault="00FF5224" w:rsidP="00773362">
      <w:pPr>
        <w:pStyle w:val="ListParagraph"/>
        <w:numPr>
          <w:ilvl w:val="2"/>
          <w:numId w:val="4"/>
        </w:numPr>
      </w:pPr>
      <w:r>
        <w:t>Methods</w:t>
      </w:r>
    </w:p>
    <w:p w14:paraId="1946BDAE" w14:textId="77777777" w:rsidR="00773362" w:rsidRDefault="00FF5224" w:rsidP="00773362">
      <w:pPr>
        <w:pStyle w:val="ListParagraph"/>
        <w:numPr>
          <w:ilvl w:val="3"/>
          <w:numId w:val="4"/>
        </w:numPr>
      </w:pPr>
      <w:r>
        <w:t xml:space="preserve">Inclusion criteria were radiographic diagnosis of AP, ≥1 risk factor, CBC findings, and BALF cytology and culture results. Veterinary medical b-AP criteria were cytology findings compatible with sepsis with or without positive culture, or cytology findings not consistent with sepsis and positive culture (≥1.7 × 103 </w:t>
      </w:r>
      <w:proofErr w:type="spellStart"/>
      <w:r>
        <w:t>cfu</w:t>
      </w:r>
      <w:proofErr w:type="spellEnd"/>
      <w:r>
        <w:t xml:space="preserve">/mL). Human medical b-AP criteria required culture with ≥104 </w:t>
      </w:r>
      <w:proofErr w:type="spellStart"/>
      <w:r>
        <w:t>cfu</w:t>
      </w:r>
      <w:proofErr w:type="spellEnd"/>
      <w:r>
        <w:t>/mL or &gt; 7% cells with intracellular bacteria on cytology.</w:t>
      </w:r>
    </w:p>
    <w:p w14:paraId="363E84C4" w14:textId="77777777" w:rsidR="00773362" w:rsidRDefault="00FF5224" w:rsidP="00773362">
      <w:pPr>
        <w:pStyle w:val="ListParagraph"/>
        <w:numPr>
          <w:ilvl w:val="2"/>
          <w:numId w:val="4"/>
        </w:numPr>
      </w:pPr>
      <w:r>
        <w:t>Results</w:t>
      </w:r>
    </w:p>
    <w:p w14:paraId="1E797FF7" w14:textId="77777777" w:rsidR="00773362" w:rsidRDefault="00FF5224" w:rsidP="00773362">
      <w:pPr>
        <w:pStyle w:val="ListParagraph"/>
        <w:numPr>
          <w:ilvl w:val="3"/>
          <w:numId w:val="4"/>
        </w:numPr>
      </w:pPr>
      <w:r>
        <w:t>Only 24/429 dogs met all enrollment criteria; 379/429 dogs lacked BALF collection. Diagnosis of b-AP differed using veterinary (79%) vs human (29%) medical criteria. Fever, band neutrophils and high radiographic scores were noted in dogs with and without b-AP.</w:t>
      </w:r>
    </w:p>
    <w:p w14:paraId="3D3AC3DC" w14:textId="77777777" w:rsidR="00773362" w:rsidRDefault="00FF5224" w:rsidP="00773362">
      <w:pPr>
        <w:pStyle w:val="ListParagraph"/>
        <w:numPr>
          <w:ilvl w:val="2"/>
          <w:numId w:val="4"/>
        </w:numPr>
      </w:pPr>
      <w:r>
        <w:t>Conclusions and Clinical Importance</w:t>
      </w:r>
    </w:p>
    <w:p w14:paraId="6F808C07" w14:textId="33D60E59" w:rsidR="00FF5224" w:rsidRDefault="00FF5224" w:rsidP="00773362">
      <w:pPr>
        <w:pStyle w:val="ListParagraph"/>
        <w:numPr>
          <w:ilvl w:val="3"/>
          <w:numId w:val="4"/>
        </w:numPr>
      </w:pPr>
      <w:r>
        <w:t>Lack of routine BALF collection hampers definitive recognition of bacterial infection in AP. Differences in dogs meeting veterinary vs human medical definitions for b-AP and usefulness of noninvasive markers warrant further study to improve understanding of the role of bacteria in AP.</w:t>
      </w:r>
    </w:p>
    <w:p w14:paraId="35F1305E" w14:textId="73B5830D" w:rsidR="00773362" w:rsidRDefault="00773362" w:rsidP="00773362">
      <w:pPr>
        <w:pStyle w:val="ListParagraph"/>
        <w:ind w:left="2880"/>
      </w:pPr>
    </w:p>
    <w:p w14:paraId="157173F9" w14:textId="3C7AE0D0" w:rsidR="00773362" w:rsidRDefault="00773362" w:rsidP="00773362">
      <w:pPr>
        <w:pStyle w:val="ListParagraph"/>
        <w:ind w:left="2880"/>
      </w:pPr>
    </w:p>
    <w:p w14:paraId="510F5EBB" w14:textId="55B21D99" w:rsidR="00773362" w:rsidRDefault="00773362" w:rsidP="00773362">
      <w:pPr>
        <w:pStyle w:val="ListParagraph"/>
        <w:ind w:left="2880"/>
      </w:pPr>
    </w:p>
    <w:p w14:paraId="2D26657A" w14:textId="77777777" w:rsidR="00773362" w:rsidRDefault="00773362" w:rsidP="00773362">
      <w:pPr>
        <w:pStyle w:val="ListParagraph"/>
        <w:ind w:left="2880"/>
      </w:pPr>
    </w:p>
    <w:p w14:paraId="62AD8942" w14:textId="77777777" w:rsidR="00773362" w:rsidRDefault="00DF0016" w:rsidP="00773362">
      <w:pPr>
        <w:pStyle w:val="ListParagraph"/>
        <w:numPr>
          <w:ilvl w:val="0"/>
          <w:numId w:val="4"/>
        </w:numPr>
      </w:pPr>
      <w:r>
        <w:lastRenderedPageBreak/>
        <w:t>Subcutaneous ureteral bypass device placement in 81 cats with benign ureteral obstruction (2013-2018)</w:t>
      </w:r>
    </w:p>
    <w:p w14:paraId="49FC7330" w14:textId="77777777" w:rsidR="00773362" w:rsidRDefault="00DF0016" w:rsidP="00773362">
      <w:pPr>
        <w:pStyle w:val="ListParagraph"/>
        <w:numPr>
          <w:ilvl w:val="1"/>
          <w:numId w:val="4"/>
        </w:numPr>
      </w:pPr>
      <w:r>
        <w:t xml:space="preserve">Florian </w:t>
      </w:r>
      <w:proofErr w:type="spellStart"/>
      <w:r>
        <w:t>Wuillemin</w:t>
      </w:r>
      <w:proofErr w:type="spellEnd"/>
      <w:r>
        <w:t>, Catherine Vachon, Guy Beauchamp, Marilyn Dunn</w:t>
      </w:r>
    </w:p>
    <w:p w14:paraId="3F02F123" w14:textId="25B91F8F" w:rsidR="00DF0016" w:rsidRDefault="00DF0016" w:rsidP="00773362">
      <w:pPr>
        <w:pStyle w:val="ListParagraph"/>
        <w:numPr>
          <w:ilvl w:val="1"/>
          <w:numId w:val="4"/>
        </w:numPr>
      </w:pPr>
      <w:r>
        <w:t xml:space="preserve">First published: 10 December 2021 </w:t>
      </w:r>
      <w:hyperlink r:id="rId15" w:history="1">
        <w:r w:rsidRPr="00FE5DD6">
          <w:rPr>
            <w:rStyle w:val="Hyperlink"/>
          </w:rPr>
          <w:t>https://doi.org/10.1111/jvim.16280</w:t>
        </w:r>
      </w:hyperlink>
    </w:p>
    <w:p w14:paraId="1A588D28" w14:textId="77777777" w:rsidR="00773362" w:rsidRDefault="00FF5224" w:rsidP="00773362">
      <w:pPr>
        <w:pStyle w:val="ListParagraph"/>
        <w:numPr>
          <w:ilvl w:val="2"/>
          <w:numId w:val="1"/>
        </w:numPr>
      </w:pPr>
      <w:r>
        <w:t>Background</w:t>
      </w:r>
    </w:p>
    <w:p w14:paraId="1D8B50DA" w14:textId="77777777" w:rsidR="00773362" w:rsidRDefault="00FF5224" w:rsidP="00773362">
      <w:pPr>
        <w:pStyle w:val="ListParagraph"/>
        <w:numPr>
          <w:ilvl w:val="3"/>
          <w:numId w:val="1"/>
        </w:numPr>
      </w:pPr>
      <w:r>
        <w:t>Benign ureteral obstructions (BUOs) present a therapeutic challenge in cats.</w:t>
      </w:r>
    </w:p>
    <w:p w14:paraId="6FC2F355" w14:textId="14C325BC" w:rsidR="00FF5224" w:rsidRDefault="00FF5224" w:rsidP="00773362">
      <w:pPr>
        <w:pStyle w:val="ListParagraph"/>
        <w:numPr>
          <w:ilvl w:val="2"/>
          <w:numId w:val="1"/>
        </w:numPr>
      </w:pPr>
      <w:r>
        <w:t>Hypothesis/Objectives</w:t>
      </w:r>
    </w:p>
    <w:p w14:paraId="61A8A51C" w14:textId="77777777" w:rsidR="00773362" w:rsidRDefault="00FF5224" w:rsidP="00773362">
      <w:pPr>
        <w:pStyle w:val="ListParagraph"/>
        <w:numPr>
          <w:ilvl w:val="3"/>
          <w:numId w:val="1"/>
        </w:numPr>
      </w:pPr>
      <w:r>
        <w:t>The purpose of this study was to determine the outcome and complications associated with placement of subcutaneous ureteral bypass (SUB) device in cats.</w:t>
      </w:r>
    </w:p>
    <w:p w14:paraId="6F492893" w14:textId="36C5E9D7" w:rsidR="00FF5224" w:rsidRDefault="00FF5224" w:rsidP="00773362">
      <w:pPr>
        <w:pStyle w:val="ListParagraph"/>
        <w:numPr>
          <w:ilvl w:val="2"/>
          <w:numId w:val="1"/>
        </w:numPr>
      </w:pPr>
      <w:r>
        <w:t>Animals</w:t>
      </w:r>
    </w:p>
    <w:p w14:paraId="5152FF94" w14:textId="77777777" w:rsidR="00773362" w:rsidRDefault="00FF5224" w:rsidP="00773362">
      <w:pPr>
        <w:pStyle w:val="ListParagraph"/>
        <w:numPr>
          <w:ilvl w:val="3"/>
          <w:numId w:val="1"/>
        </w:numPr>
      </w:pPr>
      <w:r>
        <w:t>Eighty-one client-owned cats (117 kidneys) with BUO treated by placement of a SUB.</w:t>
      </w:r>
    </w:p>
    <w:p w14:paraId="516C17D7" w14:textId="48B13535" w:rsidR="00FF5224" w:rsidRDefault="00FF5224" w:rsidP="00773362">
      <w:pPr>
        <w:pStyle w:val="ListParagraph"/>
        <w:numPr>
          <w:ilvl w:val="2"/>
          <w:numId w:val="1"/>
        </w:numPr>
      </w:pPr>
      <w:r>
        <w:t>Methods</w:t>
      </w:r>
    </w:p>
    <w:p w14:paraId="4928474C" w14:textId="77777777" w:rsidR="00773362" w:rsidRDefault="00FF5224" w:rsidP="00773362">
      <w:pPr>
        <w:pStyle w:val="ListParagraph"/>
        <w:numPr>
          <w:ilvl w:val="3"/>
          <w:numId w:val="1"/>
        </w:numPr>
      </w:pPr>
      <w:r>
        <w:t>Retrospective study. Medical records of cats with BUO and treated by SUB device placement between 2013 and 2018 were reviewed. Outcome and complications were documented.</w:t>
      </w:r>
    </w:p>
    <w:p w14:paraId="5483A4E4" w14:textId="15005778" w:rsidR="00FF5224" w:rsidRDefault="00FF5224" w:rsidP="00773362">
      <w:pPr>
        <w:pStyle w:val="ListParagraph"/>
        <w:numPr>
          <w:ilvl w:val="2"/>
          <w:numId w:val="1"/>
        </w:numPr>
      </w:pPr>
      <w:r>
        <w:t>Results</w:t>
      </w:r>
    </w:p>
    <w:p w14:paraId="4CCC43F4" w14:textId="77777777" w:rsidR="00773362" w:rsidRDefault="00FF5224" w:rsidP="00773362">
      <w:pPr>
        <w:pStyle w:val="ListParagraph"/>
        <w:numPr>
          <w:ilvl w:val="3"/>
          <w:numId w:val="1"/>
        </w:numPr>
      </w:pPr>
      <w:r>
        <w:t>Hospital discharge rate was 94% (76/81). Serum creatinine on admission and at the time of discharge was 5.3 mg/dL (range, 1.2 to &gt;15 mg/dL) and 2.1 mg/dL (range, 1.1-12.5 mg/dL), respectively. Luminal obstructions were documented in 17% (18/109) of the SUB devices of 16 cats discharged from the hospital. Infection was documented in 26% (20/76) of discharged cats. Kink of the device was documented in 10% (12/117) of devices. Time to luminal obstruction and kink were 204 days (range, 21-1678 days) and 58 days (range, 2-601 days), respectively. Fourteen of 81 (17%) cats required a revision surgery in order to restore patency of the device. At the time of writing, 53% (43/81) of cats were alive, with a mean survival time of 821 days (range, 1-2170 days) after surgery. Of those that died, 52% (20/38) died of urinary related causes.</w:t>
      </w:r>
    </w:p>
    <w:p w14:paraId="63407117" w14:textId="49CCB1C2" w:rsidR="00FF5224" w:rsidRDefault="00FF5224" w:rsidP="00773362">
      <w:pPr>
        <w:pStyle w:val="ListParagraph"/>
        <w:numPr>
          <w:ilvl w:val="2"/>
          <w:numId w:val="1"/>
        </w:numPr>
      </w:pPr>
      <w:r>
        <w:t>Conclusion and Clinical Importance</w:t>
      </w:r>
    </w:p>
    <w:p w14:paraId="1BE80791" w14:textId="3A3F736C" w:rsidR="00FF5224" w:rsidRDefault="00FF5224" w:rsidP="00773362">
      <w:pPr>
        <w:pStyle w:val="ListParagraph"/>
        <w:numPr>
          <w:ilvl w:val="3"/>
          <w:numId w:val="1"/>
        </w:numPr>
      </w:pPr>
      <w:r>
        <w:t>This study suggests that SUB device placement is associated with good outcomes and could be considered for the treatment of BUO in cats.</w:t>
      </w:r>
    </w:p>
    <w:sectPr w:rsidR="00FF5224">
      <w:headerReference w:type="default" r:id="rId16"/>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EC80A6" w14:textId="77777777" w:rsidR="00773362" w:rsidRDefault="00773362" w:rsidP="00773362">
      <w:pPr>
        <w:spacing w:after="0" w:line="240" w:lineRule="auto"/>
      </w:pPr>
      <w:r>
        <w:separator/>
      </w:r>
    </w:p>
  </w:endnote>
  <w:endnote w:type="continuationSeparator" w:id="0">
    <w:p w14:paraId="25EB25F5" w14:textId="77777777" w:rsidR="00773362" w:rsidRDefault="00773362" w:rsidP="007733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0124285"/>
      <w:docPartObj>
        <w:docPartGallery w:val="Page Numbers (Bottom of Page)"/>
        <w:docPartUnique/>
      </w:docPartObj>
    </w:sdtPr>
    <w:sdtEndPr>
      <w:rPr>
        <w:noProof/>
      </w:rPr>
    </w:sdtEndPr>
    <w:sdtContent>
      <w:p w14:paraId="15783AF8" w14:textId="4600B453" w:rsidR="00773362" w:rsidRDefault="0077336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C403731" w14:textId="77777777" w:rsidR="00773362" w:rsidRDefault="007733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845F72" w14:textId="77777777" w:rsidR="00773362" w:rsidRDefault="00773362" w:rsidP="00773362">
      <w:pPr>
        <w:spacing w:after="0" w:line="240" w:lineRule="auto"/>
      </w:pPr>
      <w:r>
        <w:separator/>
      </w:r>
    </w:p>
  </w:footnote>
  <w:footnote w:type="continuationSeparator" w:id="0">
    <w:p w14:paraId="0FF52817" w14:textId="77777777" w:rsidR="00773362" w:rsidRDefault="00773362" w:rsidP="007733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A13512" w14:textId="40C7CD7F" w:rsidR="00F6112F" w:rsidRPr="00F6112F" w:rsidRDefault="00F6112F" w:rsidP="00F6112F">
    <w:pPr>
      <w:rPr>
        <w:sz w:val="28"/>
        <w:szCs w:val="28"/>
      </w:rPr>
    </w:pPr>
    <w:r>
      <w:rPr>
        <w:sz w:val="28"/>
        <w:szCs w:val="28"/>
      </w:rPr>
      <w:t xml:space="preserve">JVIM </w:t>
    </w:r>
    <w:r w:rsidR="00156784">
      <w:rPr>
        <w:sz w:val="28"/>
        <w:szCs w:val="28"/>
      </w:rPr>
      <w:t xml:space="preserve">Abstracts </w:t>
    </w:r>
    <w:r w:rsidRPr="00773362">
      <w:rPr>
        <w:sz w:val="28"/>
        <w:szCs w:val="28"/>
      </w:rPr>
      <w:t>November/December 2021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CD6399"/>
    <w:multiLevelType w:val="hybridMultilevel"/>
    <w:tmpl w:val="6728C2C8"/>
    <w:lvl w:ilvl="0" w:tplc="0226DB8E">
      <w:start w:val="1"/>
      <w:numFmt w:val="lowerLetter"/>
      <w:lvlText w:val="(%1)"/>
      <w:lvlJc w:val="left"/>
      <w:pPr>
        <w:ind w:left="3599" w:hanging="360"/>
      </w:pPr>
      <w:rPr>
        <w:rFonts w:hint="default"/>
      </w:rPr>
    </w:lvl>
    <w:lvl w:ilvl="1" w:tplc="04090019" w:tentative="1">
      <w:start w:val="1"/>
      <w:numFmt w:val="lowerLetter"/>
      <w:lvlText w:val="%2."/>
      <w:lvlJc w:val="left"/>
      <w:pPr>
        <w:ind w:left="4319" w:hanging="360"/>
      </w:pPr>
    </w:lvl>
    <w:lvl w:ilvl="2" w:tplc="0409001B" w:tentative="1">
      <w:start w:val="1"/>
      <w:numFmt w:val="lowerRoman"/>
      <w:lvlText w:val="%3."/>
      <w:lvlJc w:val="right"/>
      <w:pPr>
        <w:ind w:left="5039" w:hanging="180"/>
      </w:pPr>
    </w:lvl>
    <w:lvl w:ilvl="3" w:tplc="0409000F" w:tentative="1">
      <w:start w:val="1"/>
      <w:numFmt w:val="decimal"/>
      <w:lvlText w:val="%4."/>
      <w:lvlJc w:val="left"/>
      <w:pPr>
        <w:ind w:left="5759" w:hanging="360"/>
      </w:pPr>
    </w:lvl>
    <w:lvl w:ilvl="4" w:tplc="04090019" w:tentative="1">
      <w:start w:val="1"/>
      <w:numFmt w:val="lowerLetter"/>
      <w:lvlText w:val="%5."/>
      <w:lvlJc w:val="left"/>
      <w:pPr>
        <w:ind w:left="6479" w:hanging="360"/>
      </w:pPr>
    </w:lvl>
    <w:lvl w:ilvl="5" w:tplc="0409001B" w:tentative="1">
      <w:start w:val="1"/>
      <w:numFmt w:val="lowerRoman"/>
      <w:lvlText w:val="%6."/>
      <w:lvlJc w:val="right"/>
      <w:pPr>
        <w:ind w:left="7199" w:hanging="180"/>
      </w:pPr>
    </w:lvl>
    <w:lvl w:ilvl="6" w:tplc="0409000F" w:tentative="1">
      <w:start w:val="1"/>
      <w:numFmt w:val="decimal"/>
      <w:lvlText w:val="%7."/>
      <w:lvlJc w:val="left"/>
      <w:pPr>
        <w:ind w:left="7919" w:hanging="360"/>
      </w:pPr>
    </w:lvl>
    <w:lvl w:ilvl="7" w:tplc="04090019" w:tentative="1">
      <w:start w:val="1"/>
      <w:numFmt w:val="lowerLetter"/>
      <w:lvlText w:val="%8."/>
      <w:lvlJc w:val="left"/>
      <w:pPr>
        <w:ind w:left="8639" w:hanging="360"/>
      </w:pPr>
    </w:lvl>
    <w:lvl w:ilvl="8" w:tplc="0409001B" w:tentative="1">
      <w:start w:val="1"/>
      <w:numFmt w:val="lowerRoman"/>
      <w:lvlText w:val="%9."/>
      <w:lvlJc w:val="right"/>
      <w:pPr>
        <w:ind w:left="9359" w:hanging="180"/>
      </w:pPr>
    </w:lvl>
  </w:abstractNum>
  <w:abstractNum w:abstractNumId="1" w15:restartNumberingAfterBreak="0">
    <w:nsid w:val="3F2C4567"/>
    <w:multiLevelType w:val="hybridMultilevel"/>
    <w:tmpl w:val="6C3EE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18745B0"/>
    <w:multiLevelType w:val="hybridMultilevel"/>
    <w:tmpl w:val="5032DD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E1C453D"/>
    <w:multiLevelType w:val="hybridMultilevel"/>
    <w:tmpl w:val="DAE2C5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0016"/>
    <w:rsid w:val="00156784"/>
    <w:rsid w:val="00773362"/>
    <w:rsid w:val="00C07BE0"/>
    <w:rsid w:val="00C36A47"/>
    <w:rsid w:val="00DF0016"/>
    <w:rsid w:val="00F6112F"/>
    <w:rsid w:val="00FF52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7D901"/>
  <w15:chartTrackingRefBased/>
  <w15:docId w15:val="{C74AA286-E09D-447F-859E-5B366E602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F0016"/>
    <w:pPr>
      <w:ind w:left="720"/>
      <w:contextualSpacing/>
    </w:pPr>
  </w:style>
  <w:style w:type="character" w:styleId="Hyperlink">
    <w:name w:val="Hyperlink"/>
    <w:basedOn w:val="DefaultParagraphFont"/>
    <w:uiPriority w:val="99"/>
    <w:unhideWhenUsed/>
    <w:rsid w:val="00DF0016"/>
    <w:rPr>
      <w:color w:val="0563C1" w:themeColor="hyperlink"/>
      <w:u w:val="single"/>
    </w:rPr>
  </w:style>
  <w:style w:type="character" w:styleId="UnresolvedMention">
    <w:name w:val="Unresolved Mention"/>
    <w:basedOn w:val="DefaultParagraphFont"/>
    <w:uiPriority w:val="99"/>
    <w:semiHidden/>
    <w:unhideWhenUsed/>
    <w:rsid w:val="00DF0016"/>
    <w:rPr>
      <w:color w:val="605E5C"/>
      <w:shd w:val="clear" w:color="auto" w:fill="E1DFDD"/>
    </w:rPr>
  </w:style>
  <w:style w:type="paragraph" w:styleId="Header">
    <w:name w:val="header"/>
    <w:basedOn w:val="Normal"/>
    <w:link w:val="HeaderChar"/>
    <w:uiPriority w:val="99"/>
    <w:unhideWhenUsed/>
    <w:rsid w:val="0077336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73362"/>
  </w:style>
  <w:style w:type="paragraph" w:styleId="Footer">
    <w:name w:val="footer"/>
    <w:basedOn w:val="Normal"/>
    <w:link w:val="FooterChar"/>
    <w:uiPriority w:val="99"/>
    <w:unhideWhenUsed/>
    <w:rsid w:val="0077336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733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1912199">
      <w:bodyDiv w:val="1"/>
      <w:marLeft w:val="0"/>
      <w:marRight w:val="0"/>
      <w:marTop w:val="0"/>
      <w:marBottom w:val="0"/>
      <w:divBdr>
        <w:top w:val="none" w:sz="0" w:space="0" w:color="auto"/>
        <w:left w:val="none" w:sz="0" w:space="0" w:color="auto"/>
        <w:bottom w:val="none" w:sz="0" w:space="0" w:color="auto"/>
        <w:right w:val="none" w:sz="0" w:space="0" w:color="auto"/>
      </w:divBdr>
      <w:divsChild>
        <w:div w:id="568270088">
          <w:marLeft w:val="0"/>
          <w:marRight w:val="0"/>
          <w:marTop w:val="225"/>
          <w:marBottom w:val="225"/>
          <w:divBdr>
            <w:top w:val="none" w:sz="0" w:space="0" w:color="auto"/>
            <w:left w:val="none" w:sz="0" w:space="0" w:color="auto"/>
            <w:bottom w:val="none" w:sz="0" w:space="0" w:color="auto"/>
            <w:right w:val="none" w:sz="0" w:space="0" w:color="auto"/>
          </w:divBdr>
          <w:divsChild>
            <w:div w:id="398328429">
              <w:marLeft w:val="0"/>
              <w:marRight w:val="0"/>
              <w:marTop w:val="0"/>
              <w:marBottom w:val="0"/>
              <w:divBdr>
                <w:top w:val="none" w:sz="0" w:space="0" w:color="auto"/>
                <w:left w:val="none" w:sz="0" w:space="0" w:color="auto"/>
                <w:bottom w:val="none" w:sz="0" w:space="0" w:color="auto"/>
                <w:right w:val="none" w:sz="0" w:space="0" w:color="auto"/>
              </w:divBdr>
              <w:divsChild>
                <w:div w:id="1395469035">
                  <w:marLeft w:val="0"/>
                  <w:marRight w:val="0"/>
                  <w:marTop w:val="0"/>
                  <w:marBottom w:val="0"/>
                  <w:divBdr>
                    <w:top w:val="none" w:sz="0" w:space="0" w:color="auto"/>
                    <w:left w:val="none" w:sz="0" w:space="0" w:color="auto"/>
                    <w:bottom w:val="none" w:sz="0" w:space="0" w:color="auto"/>
                    <w:right w:val="none" w:sz="0" w:space="0" w:color="auto"/>
                  </w:divBdr>
                  <w:divsChild>
                    <w:div w:id="1556433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1734985">
          <w:marLeft w:val="0"/>
          <w:marRight w:val="0"/>
          <w:marTop w:val="225"/>
          <w:marBottom w:val="225"/>
          <w:divBdr>
            <w:top w:val="none" w:sz="0" w:space="0" w:color="auto"/>
            <w:left w:val="none" w:sz="0" w:space="0" w:color="auto"/>
            <w:bottom w:val="none" w:sz="0" w:space="0" w:color="auto"/>
            <w:right w:val="none" w:sz="0" w:space="0" w:color="auto"/>
          </w:divBdr>
          <w:divsChild>
            <w:div w:id="1221402348">
              <w:marLeft w:val="0"/>
              <w:marRight w:val="0"/>
              <w:marTop w:val="0"/>
              <w:marBottom w:val="0"/>
              <w:divBdr>
                <w:top w:val="none" w:sz="0" w:space="0" w:color="auto"/>
                <w:left w:val="none" w:sz="0" w:space="0" w:color="auto"/>
                <w:bottom w:val="none" w:sz="0" w:space="0" w:color="auto"/>
                <w:right w:val="none" w:sz="0" w:space="0" w:color="auto"/>
              </w:divBdr>
            </w:div>
            <w:div w:id="1125152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doi.org/10.1111/jvim.16306"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doi.org/10.1111/jvim.16268"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doi.org/10.1111/jvim.16273" TargetMode="External"/><Relationship Id="rId5" Type="http://schemas.openxmlformats.org/officeDocument/2006/relationships/styles" Target="styles.xml"/><Relationship Id="rId15" Type="http://schemas.openxmlformats.org/officeDocument/2006/relationships/hyperlink" Target="https://doi.org/10.1111/jvim.16280" TargetMode="External"/><Relationship Id="rId10" Type="http://schemas.openxmlformats.org/officeDocument/2006/relationships/hyperlink" Target="https://doi.org/10.1111/jvim.16297"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doi.org/10.1111/jvim.163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C3C311349C71C408ECA71E0ACF1E45B" ma:contentTypeVersion="4" ma:contentTypeDescription="Create a new document." ma:contentTypeScope="" ma:versionID="161075c7e23fb86cf8afc0f871335ea3">
  <xsd:schema xmlns:xsd="http://www.w3.org/2001/XMLSchema" xmlns:xs="http://www.w3.org/2001/XMLSchema" xmlns:p="http://schemas.microsoft.com/office/2006/metadata/properties" xmlns:ns3="b22d73dd-241b-4662-8d52-c3f6baed165c" targetNamespace="http://schemas.microsoft.com/office/2006/metadata/properties" ma:root="true" ma:fieldsID="d417118734c919aaed63f3981b86b02b" ns3:_="">
    <xsd:import namespace="b22d73dd-241b-4662-8d52-c3f6baed165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2d73dd-241b-4662-8d52-c3f6baed16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9E5101F-8A11-462E-B0AF-E88DF283FBCC}">
  <ds:schemaRefs>
    <ds:schemaRef ds:uri="http://schemas.microsoft.com/office/2006/metadata/propertie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purl.org/dc/elements/1.1/"/>
    <ds:schemaRef ds:uri="b22d73dd-241b-4662-8d52-c3f6baed165c"/>
    <ds:schemaRef ds:uri="http://www.w3.org/XML/1998/namespace"/>
    <ds:schemaRef ds:uri="http://purl.org/dc/terms/"/>
  </ds:schemaRefs>
</ds:datastoreItem>
</file>

<file path=customXml/itemProps2.xml><?xml version="1.0" encoding="utf-8"?>
<ds:datastoreItem xmlns:ds="http://schemas.openxmlformats.org/officeDocument/2006/customXml" ds:itemID="{624D06B2-2080-4C15-A1F3-BF7DDEF32C5E}">
  <ds:schemaRefs>
    <ds:schemaRef ds:uri="http://schemas.microsoft.com/sharepoint/v3/contenttype/forms"/>
  </ds:schemaRefs>
</ds:datastoreItem>
</file>

<file path=customXml/itemProps3.xml><?xml version="1.0" encoding="utf-8"?>
<ds:datastoreItem xmlns:ds="http://schemas.openxmlformats.org/officeDocument/2006/customXml" ds:itemID="{A8213FD2-FCC8-4D88-8FA1-1A9678D24E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2d73dd-241b-4662-8d52-c3f6baed16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1827</Words>
  <Characters>10419</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A Wadelton</dc:creator>
  <cp:keywords/>
  <dc:description/>
  <cp:lastModifiedBy>Jamie A Wadelton</cp:lastModifiedBy>
  <cp:revision>2</cp:revision>
  <dcterms:created xsi:type="dcterms:W3CDTF">2022-01-11T13:51:00Z</dcterms:created>
  <dcterms:modified xsi:type="dcterms:W3CDTF">2022-01-11T13:51:00Z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0x0101000C3C311349C71C408ECA71E0ACF1E45B</vt:lpwstr>
  </property>
</Properties>
</file>