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D4571" w14:textId="384E7AAF" w:rsidR="00661244" w:rsidRDefault="00E06BC9" w:rsidP="00BB6CD1">
      <w:r>
        <w:rPr>
          <w:noProof/>
        </w:rPr>
        <w:drawing>
          <wp:anchor distT="0" distB="0" distL="114300" distR="114300" simplePos="0" relativeHeight="251658240" behindDoc="1" locked="0" layoutInCell="1" allowOverlap="1" wp14:anchorId="3591BF56" wp14:editId="72A031AF">
            <wp:simplePos x="0" y="0"/>
            <wp:positionH relativeFrom="column">
              <wp:posOffset>9525</wp:posOffset>
            </wp:positionH>
            <wp:positionV relativeFrom="paragraph">
              <wp:posOffset>190500</wp:posOffset>
            </wp:positionV>
            <wp:extent cx="5943600" cy="3469005"/>
            <wp:effectExtent l="0" t="0" r="0" b="0"/>
            <wp:wrapTight wrapText="bothSides">
              <wp:wrapPolygon edited="0">
                <wp:start x="0" y="0"/>
                <wp:lineTo x="0" y="21470"/>
                <wp:lineTo x="21531" y="21470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F0C5E" w14:textId="46EA5474" w:rsidR="00047763" w:rsidRDefault="00047763"/>
    <w:p w14:paraId="26B6CBF8" w14:textId="4F9ACFF8" w:rsidR="00047763" w:rsidRDefault="00E06BC9" w:rsidP="00E06BC9">
      <w:pPr>
        <w:pStyle w:val="ListParagraph"/>
        <w:numPr>
          <w:ilvl w:val="0"/>
          <w:numId w:val="1"/>
        </w:numPr>
      </w:pPr>
      <w:r>
        <w:t xml:space="preserve">To determine if right sided cardiac markers in the DH / </w:t>
      </w:r>
      <w:proofErr w:type="spellStart"/>
      <w:r>
        <w:t>subxypoid</w:t>
      </w:r>
      <w:proofErr w:type="spellEnd"/>
      <w:r>
        <w:t xml:space="preserve"> view (subjective </w:t>
      </w:r>
      <w:proofErr w:type="spellStart"/>
      <w:r>
        <w:t>CdVC</w:t>
      </w:r>
      <w:proofErr w:type="spellEnd"/>
      <w:r>
        <w:t xml:space="preserve"> distension, </w:t>
      </w:r>
      <w:proofErr w:type="spellStart"/>
      <w:r>
        <w:t>CdVC</w:t>
      </w:r>
      <w:proofErr w:type="spellEnd"/>
      <w:r>
        <w:t xml:space="preserve"> diameter &gt; 1cm, gallbladder wall edema, ascites) would predict moderate to severe PH (tricuspid regurgitation pressure gradient: 50-75 mmHg -moderate; &gt;75 mmHg severe)</w:t>
      </w:r>
    </w:p>
    <w:p w14:paraId="26E22CD7" w14:textId="77777777" w:rsidR="00E06BC9" w:rsidRDefault="00E06BC9" w:rsidP="00E06BC9">
      <w:pPr>
        <w:pStyle w:val="ListParagraph"/>
      </w:pPr>
    </w:p>
    <w:p w14:paraId="01294253" w14:textId="3AFE13E8" w:rsidR="00E06BC9" w:rsidRDefault="00E06BC9" w:rsidP="00E06BC9">
      <w:pPr>
        <w:pStyle w:val="ListParagraph"/>
        <w:numPr>
          <w:ilvl w:val="0"/>
          <w:numId w:val="1"/>
        </w:numPr>
      </w:pPr>
      <w:r>
        <w:t xml:space="preserve">Results: no difference in dogs with PH vs dogs without PH found; </w:t>
      </w:r>
      <w:r w:rsidR="00D51E0D">
        <w:t xml:space="preserve">not useful as screening test for dogs is mild, moderate, severe PH vs those without; could not discriminate who would require treatment (moderate-severe PH) vs no treatment (mild PH) </w:t>
      </w:r>
    </w:p>
    <w:p w14:paraId="3654C674" w14:textId="6D4E33F1" w:rsidR="00047763" w:rsidRDefault="00047763"/>
    <w:p w14:paraId="6C2BA2A7" w14:textId="610BD57B" w:rsidR="00047763" w:rsidRDefault="00047763"/>
    <w:p w14:paraId="1E09B06B" w14:textId="74C1BF73" w:rsidR="00047763" w:rsidRDefault="00047763"/>
    <w:p w14:paraId="47DAA307" w14:textId="1AF86B8D" w:rsidR="00047763" w:rsidRDefault="00047763">
      <w:r>
        <w:rPr>
          <w:noProof/>
        </w:rPr>
        <w:lastRenderedPageBreak/>
        <w:drawing>
          <wp:inline distT="0" distB="0" distL="0" distR="0" wp14:anchorId="586A56A7" wp14:editId="2188DFA4">
            <wp:extent cx="5943600" cy="3514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2B2F3" w14:textId="286A6720" w:rsidR="00047763" w:rsidRDefault="00D51E0D" w:rsidP="00D51E0D">
      <w:pPr>
        <w:pStyle w:val="ListParagraph"/>
        <w:numPr>
          <w:ilvl w:val="0"/>
          <w:numId w:val="2"/>
        </w:numPr>
      </w:pPr>
      <w:r>
        <w:t xml:space="preserve">PH = pulmonary </w:t>
      </w:r>
      <w:r w:rsidR="006C26C2">
        <w:t>arterial</w:t>
      </w:r>
      <w:r>
        <w:t xml:space="preserve"> pressure &gt; 30mmHg</w:t>
      </w:r>
      <w:r w:rsidR="006C26C2">
        <w:t>; can lead to vascular remodeling, R CHF, death</w:t>
      </w:r>
    </w:p>
    <w:p w14:paraId="15030BF9" w14:textId="6B0DD452" w:rsidR="006C26C2" w:rsidRDefault="006C26C2" w:rsidP="00D51E0D">
      <w:pPr>
        <w:pStyle w:val="ListParagraph"/>
        <w:numPr>
          <w:ilvl w:val="0"/>
          <w:numId w:val="2"/>
        </w:numPr>
      </w:pPr>
      <w:r>
        <w:t>PH classified into 5 categories: 1) primary PH 2) secondary to left heart disease 3) respiratory disease / hypoxia</w:t>
      </w:r>
      <w:r w:rsidR="00781CF7">
        <w:t xml:space="preserve"> (RD/H)</w:t>
      </w:r>
      <w:r>
        <w:t xml:space="preserve"> 4) chronic TE disease 5) unclear/multifactorial</w:t>
      </w:r>
    </w:p>
    <w:p w14:paraId="5EFB8CE2" w14:textId="3E723F8A" w:rsidR="006C26C2" w:rsidRDefault="006C26C2" w:rsidP="006C26C2">
      <w:pPr>
        <w:pStyle w:val="ListParagraph"/>
        <w:numPr>
          <w:ilvl w:val="1"/>
          <w:numId w:val="2"/>
        </w:numPr>
      </w:pPr>
      <w:r>
        <w:t xml:space="preserve">Dogs mostly type 2 and 3 (42%, 22% respectively) </w:t>
      </w:r>
    </w:p>
    <w:p w14:paraId="2613EAFA" w14:textId="720975F5" w:rsidR="006C26C2" w:rsidRDefault="006C26C2" w:rsidP="006C26C2">
      <w:pPr>
        <w:pStyle w:val="ListParagraph"/>
        <w:numPr>
          <w:ilvl w:val="1"/>
          <w:numId w:val="2"/>
        </w:numPr>
      </w:pPr>
      <w:r>
        <w:t xml:space="preserve">Often presumptive dx of PH due to </w:t>
      </w:r>
      <w:r w:rsidR="00781CF7">
        <w:t xml:space="preserve">RD/H </w:t>
      </w:r>
      <w:r>
        <w:t xml:space="preserve">based on exclusion of L heart </w:t>
      </w:r>
      <w:proofErr w:type="spellStart"/>
      <w:r>
        <w:t>dz</w:t>
      </w:r>
      <w:proofErr w:type="spellEnd"/>
      <w:r>
        <w:t xml:space="preserve"> w/o diagnostics to determine underlying etiology</w:t>
      </w:r>
    </w:p>
    <w:p w14:paraId="081200DF" w14:textId="2B900DF7" w:rsidR="006C26C2" w:rsidRDefault="006C26C2" w:rsidP="006C26C2">
      <w:pPr>
        <w:pStyle w:val="ListParagraph"/>
        <w:numPr>
          <w:ilvl w:val="1"/>
          <w:numId w:val="2"/>
        </w:numPr>
      </w:pPr>
      <w:r>
        <w:t>Determining if PH is due to restrictive vs obstructive lung disease may impact treatment and prognosis</w:t>
      </w:r>
    </w:p>
    <w:p w14:paraId="507485DC" w14:textId="40C3C074" w:rsidR="006C26C2" w:rsidRDefault="006C26C2" w:rsidP="00781CF7">
      <w:pPr>
        <w:pStyle w:val="ListParagraph"/>
        <w:numPr>
          <w:ilvl w:val="2"/>
          <w:numId w:val="2"/>
        </w:numPr>
      </w:pPr>
      <w:r>
        <w:t>Obstructive:</w:t>
      </w:r>
      <w:r w:rsidR="00781CF7">
        <w:t xml:space="preserve"> tracheal/MSB collapse, bronchomalacia, BCA, bronchiolar disease, emphysema</w:t>
      </w:r>
    </w:p>
    <w:p w14:paraId="5DB4E72C" w14:textId="28182643" w:rsidR="00781CF7" w:rsidRDefault="00781CF7" w:rsidP="00781CF7">
      <w:pPr>
        <w:pStyle w:val="ListParagraph"/>
        <w:numPr>
          <w:ilvl w:val="2"/>
          <w:numId w:val="2"/>
        </w:numPr>
      </w:pPr>
      <w:r>
        <w:t>Restrictive: pulmonary fibrosis, pulmonary neoplasia, pneumonia, uncharacterized parenchymal disease</w:t>
      </w:r>
    </w:p>
    <w:p w14:paraId="4180A418" w14:textId="0B0A4F2E" w:rsidR="00781CF7" w:rsidRDefault="00781CF7" w:rsidP="006C26C2">
      <w:pPr>
        <w:pStyle w:val="ListParagraph"/>
        <w:numPr>
          <w:ilvl w:val="0"/>
          <w:numId w:val="2"/>
        </w:numPr>
      </w:pPr>
      <w:r>
        <w:t>Results: dogs with RD/H had at least one clinical sign (cough, resp distress, syncope, wheezing, cyanosis, increased RR/RE, hemoptysis, exercise intolerance)</w:t>
      </w:r>
    </w:p>
    <w:p w14:paraId="7D989816" w14:textId="77777777" w:rsidR="000E6384" w:rsidRDefault="00781CF7" w:rsidP="006C26C2">
      <w:pPr>
        <w:pStyle w:val="ListParagraph"/>
        <w:numPr>
          <w:ilvl w:val="0"/>
          <w:numId w:val="2"/>
        </w:numPr>
      </w:pPr>
      <w:proofErr w:type="spellStart"/>
      <w:r>
        <w:t>Approx</w:t>
      </w:r>
      <w:proofErr w:type="spellEnd"/>
      <w:r>
        <w:t xml:space="preserve"> 50% had severe PH</w:t>
      </w:r>
    </w:p>
    <w:p w14:paraId="258C4977" w14:textId="620F75BB" w:rsidR="00781CF7" w:rsidRDefault="00781CF7" w:rsidP="006C26C2">
      <w:pPr>
        <w:pStyle w:val="ListParagraph"/>
        <w:numPr>
          <w:ilvl w:val="0"/>
          <w:numId w:val="2"/>
        </w:numPr>
      </w:pPr>
      <w:r>
        <w:t xml:space="preserve">83% had obstructive </w:t>
      </w:r>
      <w:r w:rsidR="000E6384">
        <w:t>airway disease as single pathology</w:t>
      </w:r>
    </w:p>
    <w:p w14:paraId="06247CF3" w14:textId="73C84CF6" w:rsidR="000E6384" w:rsidRDefault="000E6384" w:rsidP="006C26C2">
      <w:pPr>
        <w:pStyle w:val="ListParagraph"/>
        <w:numPr>
          <w:ilvl w:val="0"/>
          <w:numId w:val="2"/>
        </w:numPr>
      </w:pPr>
      <w:r>
        <w:t>MST 276 days; PAP &gt; 47mHg had significantly shorter survival time</w:t>
      </w:r>
    </w:p>
    <w:p w14:paraId="663D6556" w14:textId="79AE1C02" w:rsidR="000E6384" w:rsidRDefault="000E6384" w:rsidP="006C26C2">
      <w:pPr>
        <w:pStyle w:val="ListParagraph"/>
        <w:numPr>
          <w:ilvl w:val="0"/>
          <w:numId w:val="2"/>
        </w:numPr>
      </w:pPr>
      <w:r>
        <w:t>Administration of PDE-5i was independent predictor of survival (4x more likely to be alive at any time point compared to dogs who did not receive PDE-5i)</w:t>
      </w:r>
    </w:p>
    <w:p w14:paraId="20D6F69B" w14:textId="77777777" w:rsidR="00D51E0D" w:rsidRDefault="00D51E0D"/>
    <w:p w14:paraId="07BD5E54" w14:textId="06D86E32" w:rsidR="00875DBF" w:rsidRDefault="00875DBF"/>
    <w:p w14:paraId="3808380D" w14:textId="307392F7" w:rsidR="00875DBF" w:rsidRDefault="00875DBF">
      <w:r>
        <w:rPr>
          <w:noProof/>
        </w:rPr>
        <w:lastRenderedPageBreak/>
        <w:drawing>
          <wp:inline distT="0" distB="0" distL="0" distR="0" wp14:anchorId="0A612830" wp14:editId="3436AC0F">
            <wp:extent cx="5581650" cy="985137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0582" cy="99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ED90" w14:textId="3E9B15CF" w:rsidR="00875DBF" w:rsidRDefault="00875DBF">
      <w:r>
        <w:rPr>
          <w:noProof/>
        </w:rPr>
        <w:drawing>
          <wp:inline distT="0" distB="0" distL="0" distR="0" wp14:anchorId="1FBE74EC" wp14:editId="7D0B8931">
            <wp:extent cx="5943600" cy="24676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8D86" w14:textId="024BFDA6" w:rsidR="00875DBF" w:rsidRDefault="00956653" w:rsidP="00956653">
      <w:pPr>
        <w:pStyle w:val="ListParagraph"/>
        <w:numPr>
          <w:ilvl w:val="0"/>
          <w:numId w:val="3"/>
        </w:numPr>
      </w:pPr>
      <w:r>
        <w:t xml:space="preserve">Objectives: 1) determine if timing of </w:t>
      </w:r>
      <w:proofErr w:type="spellStart"/>
      <w:r>
        <w:t>choley</w:t>
      </w:r>
      <w:proofErr w:type="spellEnd"/>
      <w:r>
        <w:t xml:space="preserve"> after </w:t>
      </w:r>
      <w:r w:rsidR="00BB6CD1">
        <w:t>identification</w:t>
      </w:r>
      <w:r>
        <w:t xml:space="preserve"> of clinical signs was related to survival 2) determine if there was a survival </w:t>
      </w:r>
      <w:r w:rsidR="00BB6CD1">
        <w:t>difference</w:t>
      </w:r>
      <w:r>
        <w:t xml:space="preserve"> in dogs w and w/o signs 3) determine if concurrent HAC, hypoT4, hyperlipidemia impacted survival 4) can </w:t>
      </w:r>
      <w:proofErr w:type="spellStart"/>
      <w:r>
        <w:t>Tbili</w:t>
      </w:r>
      <w:proofErr w:type="spellEnd"/>
      <w:r>
        <w:t xml:space="preserve"> be a prognostic indicator</w:t>
      </w:r>
    </w:p>
    <w:p w14:paraId="10224677" w14:textId="1ACCAF2A" w:rsidR="00956653" w:rsidRDefault="00956653" w:rsidP="009350F4">
      <w:pPr>
        <w:pStyle w:val="ListParagraph"/>
        <w:numPr>
          <w:ilvl w:val="0"/>
          <w:numId w:val="3"/>
        </w:numPr>
      </w:pPr>
      <w:r>
        <w:t>17.6% did not exhibit signs at time of surgery</w:t>
      </w:r>
    </w:p>
    <w:p w14:paraId="3968921C" w14:textId="56229612" w:rsidR="009350F4" w:rsidRDefault="009350F4" w:rsidP="009350F4">
      <w:pPr>
        <w:pStyle w:val="ListParagraph"/>
        <w:numPr>
          <w:ilvl w:val="0"/>
          <w:numId w:val="3"/>
        </w:numPr>
      </w:pPr>
      <w:r>
        <w:t>15% in hospital mortality rate</w:t>
      </w:r>
    </w:p>
    <w:p w14:paraId="07E40FB4" w14:textId="4B54E657" w:rsidR="009350F4" w:rsidRDefault="009350F4" w:rsidP="009350F4">
      <w:pPr>
        <w:pStyle w:val="ListParagraph"/>
        <w:numPr>
          <w:ilvl w:val="0"/>
          <w:numId w:val="3"/>
        </w:numPr>
      </w:pPr>
      <w:r>
        <w:t>Factors associated with increased risk of death included</w:t>
      </w:r>
      <w:r w:rsidR="00BB6CD1">
        <w:t xml:space="preserve"> clinical signs associated with GBM,</w:t>
      </w:r>
      <w:r>
        <w:t xml:space="preserve"> owner recognition of icterus, Pomeranian breed, concurrent HAC, increas</w:t>
      </w:r>
      <w:r w:rsidR="00BB6CD1">
        <w:t>ed</w:t>
      </w:r>
      <w:r>
        <w:t xml:space="preserve"> </w:t>
      </w:r>
      <w:proofErr w:type="spellStart"/>
      <w:r>
        <w:t>Tbili</w:t>
      </w:r>
      <w:proofErr w:type="spellEnd"/>
    </w:p>
    <w:p w14:paraId="0D1C8C70" w14:textId="1315659C" w:rsidR="009350F4" w:rsidRDefault="009350F4" w:rsidP="009350F4">
      <w:pPr>
        <w:pStyle w:val="ListParagraph"/>
        <w:numPr>
          <w:ilvl w:val="0"/>
          <w:numId w:val="3"/>
        </w:numPr>
      </w:pPr>
      <w:proofErr w:type="spellStart"/>
      <w:r>
        <w:t>Tbili</w:t>
      </w:r>
      <w:proofErr w:type="spellEnd"/>
      <w:r>
        <w:t xml:space="preserve"> by itself was not a good biomarker to predict death</w:t>
      </w:r>
    </w:p>
    <w:p w14:paraId="36E7C885" w14:textId="563F247C" w:rsidR="00BB6CD1" w:rsidRDefault="00BB6CD1" w:rsidP="009350F4">
      <w:pPr>
        <w:pStyle w:val="ListParagraph"/>
        <w:numPr>
          <w:ilvl w:val="0"/>
          <w:numId w:val="3"/>
        </w:numPr>
      </w:pPr>
      <w:r>
        <w:t xml:space="preserve">Timing of recognition of symptoms to </w:t>
      </w:r>
      <w:proofErr w:type="spellStart"/>
      <w:r>
        <w:t>choley</w:t>
      </w:r>
      <w:proofErr w:type="spellEnd"/>
      <w:r>
        <w:t xml:space="preserve"> was not associated with survival</w:t>
      </w:r>
    </w:p>
    <w:p w14:paraId="5EA72888" w14:textId="77777777" w:rsidR="00956653" w:rsidRDefault="00956653"/>
    <w:p w14:paraId="4EACE16C" w14:textId="4991F17B" w:rsidR="00875DBF" w:rsidRDefault="00875DBF">
      <w:r>
        <w:rPr>
          <w:noProof/>
        </w:rPr>
        <w:lastRenderedPageBreak/>
        <w:drawing>
          <wp:inline distT="0" distB="0" distL="0" distR="0" wp14:anchorId="1636254D" wp14:editId="42CDC9A2">
            <wp:extent cx="5943600" cy="46602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39B5" w14:textId="77777777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OPs are phosphoric (H</w:t>
      </w:r>
      <w:r w:rsidRPr="002E77F1">
        <w:rPr>
          <w:rFonts w:cstheme="minorHAnsi"/>
          <w:color w:val="2E2E2E"/>
          <w:vertAlign w:val="subscript"/>
        </w:rPr>
        <w:t>3</w:t>
      </w:r>
      <w:r w:rsidRPr="002E77F1">
        <w:rPr>
          <w:rFonts w:cstheme="minorHAnsi"/>
          <w:color w:val="2E2E2E"/>
          <w:shd w:val="clear" w:color="auto" w:fill="FFFFFF"/>
        </w:rPr>
        <w:t>PO</w:t>
      </w:r>
      <w:r w:rsidRPr="002E77F1">
        <w:rPr>
          <w:rFonts w:cstheme="minorHAnsi"/>
          <w:color w:val="2E2E2E"/>
          <w:vertAlign w:val="subscript"/>
        </w:rPr>
        <w:t>4</w:t>
      </w:r>
      <w:r w:rsidRPr="002E77F1">
        <w:rPr>
          <w:rFonts w:cstheme="minorHAnsi"/>
          <w:color w:val="2E2E2E"/>
          <w:shd w:val="clear" w:color="auto" w:fill="FFFFFF"/>
        </w:rPr>
        <w:t xml:space="preserve">) or 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thiophosphoric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 xml:space="preserve"> acid (H</w:t>
      </w:r>
      <w:r w:rsidRPr="002E77F1">
        <w:rPr>
          <w:rFonts w:cstheme="minorHAnsi"/>
          <w:color w:val="2E2E2E"/>
          <w:vertAlign w:val="subscript"/>
        </w:rPr>
        <w:t>3</w:t>
      </w:r>
      <w:r w:rsidRPr="002E77F1">
        <w:rPr>
          <w:rFonts w:cstheme="minorHAnsi"/>
          <w:color w:val="2E2E2E"/>
          <w:shd w:val="clear" w:color="auto" w:fill="FFFFFF"/>
        </w:rPr>
        <w:t>PO</w:t>
      </w:r>
      <w:r w:rsidRPr="002E77F1">
        <w:rPr>
          <w:rFonts w:cstheme="minorHAnsi"/>
          <w:color w:val="2E2E2E"/>
          <w:vertAlign w:val="subscript"/>
        </w:rPr>
        <w:t>3</w:t>
      </w:r>
      <w:r w:rsidRPr="002E77F1">
        <w:rPr>
          <w:rFonts w:cstheme="minorHAnsi"/>
          <w:color w:val="2E2E2E"/>
          <w:shd w:val="clear" w:color="auto" w:fill="FFFFFF"/>
        </w:rPr>
        <w:t>S) derivatives</w:t>
      </w:r>
    </w:p>
    <w:p w14:paraId="3D6F25F7" w14:textId="77777777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C</w:t>
      </w:r>
      <w:r w:rsidRPr="002E77F1">
        <w:rPr>
          <w:rFonts w:cstheme="minorHAnsi"/>
          <w:color w:val="2E2E2E"/>
          <w:shd w:val="clear" w:color="auto" w:fill="FFFFFF"/>
        </w:rPr>
        <w:t>arbamates are mostly phosphorus-free carbamic acid (NH</w:t>
      </w:r>
      <w:r w:rsidRPr="002E77F1">
        <w:rPr>
          <w:rFonts w:cstheme="minorHAnsi"/>
          <w:color w:val="2E2E2E"/>
          <w:vertAlign w:val="subscript"/>
        </w:rPr>
        <w:t>2</w:t>
      </w:r>
      <w:r w:rsidRPr="002E77F1">
        <w:rPr>
          <w:rFonts w:cstheme="minorHAnsi"/>
          <w:color w:val="2E2E2E"/>
          <w:shd w:val="clear" w:color="auto" w:fill="FFFFFF"/>
        </w:rPr>
        <w:t>COOH) derivatives</w:t>
      </w:r>
    </w:p>
    <w:p w14:paraId="6D0E66FE" w14:textId="497E34F2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 xml:space="preserve">Both competitively bind to the anionic and 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esteric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 xml:space="preserve"> sites of acetylcholine esterase (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AChE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>) and butyrylcholine esterase (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BuChE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>)</w:t>
      </w:r>
      <w:r w:rsidRPr="002E77F1">
        <w:rPr>
          <w:rFonts w:cstheme="minorHAnsi"/>
          <w:color w:val="2E2E2E"/>
          <w:shd w:val="clear" w:color="auto" w:fill="FFFFFF"/>
        </w:rPr>
        <w:t xml:space="preserve"> </w:t>
      </w:r>
      <w:r w:rsidRPr="002E77F1">
        <w:rPr>
          <w:rFonts w:cstheme="minorHAnsi"/>
          <w:color w:val="2E2E2E"/>
          <w:shd w:val="clear" w:color="auto" w:fill="FFFFFF"/>
        </w:rPr>
        <w:sym w:font="Wingdings" w:char="F0E0"/>
      </w:r>
      <w:r w:rsidRPr="002E77F1">
        <w:rPr>
          <w:rFonts w:cstheme="minorHAnsi"/>
          <w:color w:val="2E2E2E"/>
          <w:shd w:val="clear" w:color="auto" w:fill="FFFFFF"/>
        </w:rPr>
        <w:t>inhibiting them</w:t>
      </w:r>
      <w:r w:rsidRPr="002E77F1">
        <w:rPr>
          <w:rFonts w:cstheme="minorHAnsi"/>
          <w:color w:val="2E2E2E"/>
          <w:shd w:val="clear" w:color="auto" w:fill="FFFFFF"/>
        </w:rPr>
        <w:t xml:space="preserve"> </w:t>
      </w:r>
      <w:r w:rsidRPr="002E77F1">
        <w:rPr>
          <w:rFonts w:cstheme="minorHAnsi"/>
          <w:color w:val="2E2E2E"/>
          <w:shd w:val="clear" w:color="auto" w:fill="FFFFFF"/>
        </w:rPr>
        <w:sym w:font="Wingdings" w:char="F0E0"/>
      </w:r>
      <w:r w:rsidRPr="002E77F1">
        <w:rPr>
          <w:rFonts w:cstheme="minorHAnsi"/>
          <w:color w:val="2E2E2E"/>
          <w:shd w:val="clear" w:color="auto" w:fill="FFFFFF"/>
        </w:rPr>
        <w:t xml:space="preserve"> 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 xml:space="preserve">build 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>up of Ach = overstimulation of nicotinic and muscarinic receptors</w:t>
      </w:r>
    </w:p>
    <w:p w14:paraId="09C20B33" w14:textId="566CE2AC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O</w:t>
      </w:r>
      <w:r w:rsidRPr="002E77F1">
        <w:rPr>
          <w:rFonts w:cstheme="minorHAnsi"/>
          <w:color w:val="2E2E2E"/>
          <w:shd w:val="clear" w:color="auto" w:fill="FFFFFF"/>
        </w:rPr>
        <w:t>p</w:t>
      </w:r>
      <w:r w:rsidRPr="002E77F1">
        <w:rPr>
          <w:rFonts w:cstheme="minorHAnsi"/>
          <w:color w:val="2E2E2E"/>
          <w:shd w:val="clear" w:color="auto" w:fill="FFFFFF"/>
        </w:rPr>
        <w:t>s</w:t>
      </w:r>
      <w:r w:rsidRPr="002E77F1">
        <w:rPr>
          <w:rFonts w:cstheme="minorHAnsi"/>
          <w:color w:val="2E2E2E"/>
          <w:shd w:val="clear" w:color="auto" w:fill="FFFFFF"/>
        </w:rPr>
        <w:t xml:space="preserve"> </w:t>
      </w:r>
      <w:r w:rsidRPr="002E77F1">
        <w:rPr>
          <w:rFonts w:cstheme="minorHAnsi"/>
          <w:color w:val="2E2E2E"/>
          <w:shd w:val="clear" w:color="auto" w:fill="FFFFFF"/>
        </w:rPr>
        <w:t xml:space="preserve">bind irreversibly to 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AChE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 xml:space="preserve"> through a process termed “aging”</w:t>
      </w:r>
      <w:r w:rsidRPr="002E77F1">
        <w:rPr>
          <w:rFonts w:cstheme="minorHAnsi"/>
          <w:color w:val="2E2E2E"/>
          <w:shd w:val="clear" w:color="auto" w:fill="FFFFFF"/>
        </w:rPr>
        <w:t xml:space="preserve"> (</w:t>
      </w:r>
      <w:r w:rsidRPr="002E77F1">
        <w:rPr>
          <w:rFonts w:cstheme="minorHAnsi"/>
          <w:color w:val="2E2E2E"/>
          <w:shd w:val="clear" w:color="auto" w:fill="FFFFFF"/>
        </w:rPr>
        <w:t xml:space="preserve">necessitating de-novo </w:t>
      </w:r>
      <w:proofErr w:type="spellStart"/>
      <w:r w:rsidRPr="002E77F1">
        <w:rPr>
          <w:rFonts w:cstheme="minorHAnsi"/>
          <w:color w:val="2E2E2E"/>
          <w:shd w:val="clear" w:color="auto" w:fill="FFFFFF"/>
        </w:rPr>
        <w:t>AChE</w:t>
      </w:r>
      <w:proofErr w:type="spellEnd"/>
      <w:r w:rsidRPr="002E77F1">
        <w:rPr>
          <w:rFonts w:cstheme="minorHAnsi"/>
          <w:color w:val="2E2E2E"/>
          <w:shd w:val="clear" w:color="auto" w:fill="FFFFFF"/>
        </w:rPr>
        <w:t xml:space="preserve"> synthesis</w:t>
      </w:r>
      <w:r w:rsidRPr="002E77F1">
        <w:rPr>
          <w:rFonts w:cstheme="minorHAnsi"/>
          <w:color w:val="2E2E2E"/>
          <w:shd w:val="clear" w:color="auto" w:fill="FFFFFF"/>
        </w:rPr>
        <w:t>)</w:t>
      </w:r>
    </w:p>
    <w:p w14:paraId="2A40CC75" w14:textId="5F4EB5B0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Carbamate spontaneously dissociate from binding site (T ½ = 30 – 40 min)</w:t>
      </w:r>
    </w:p>
    <w:p w14:paraId="5C297FEF" w14:textId="5C3EE013" w:rsidR="002E77F1" w:rsidRPr="002E77F1" w:rsidRDefault="002E77F1" w:rsidP="002E77F1">
      <w:pPr>
        <w:ind w:left="360"/>
        <w:rPr>
          <w:rFonts w:cstheme="minorHAnsi"/>
        </w:rPr>
      </w:pPr>
      <w:r w:rsidRPr="002E77F1">
        <w:rPr>
          <w:rFonts w:cstheme="minorHAnsi"/>
        </w:rPr>
        <w:t>Results:</w:t>
      </w:r>
    </w:p>
    <w:p w14:paraId="699D0FAE" w14:textId="40F9B477" w:rsidR="00B51633" w:rsidRPr="002E77F1" w:rsidRDefault="00B51633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The median hospitalization period was 1.8 days</w:t>
      </w:r>
    </w:p>
    <w:p w14:paraId="1A723931" w14:textId="537C1AE4" w:rsidR="002E77F1" w:rsidRPr="002E77F1" w:rsidRDefault="002E77F1" w:rsidP="00B51633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color w:val="2E2E2E"/>
          <w:shd w:val="clear" w:color="auto" w:fill="FFFFFF"/>
        </w:rPr>
        <w:t>C</w:t>
      </w:r>
      <w:r w:rsidRPr="002E77F1">
        <w:rPr>
          <w:rFonts w:cstheme="minorHAnsi"/>
          <w:color w:val="2E2E2E"/>
          <w:shd w:val="clear" w:color="auto" w:fill="FFFFFF"/>
        </w:rPr>
        <w:t>ommon historical and presenting clinical signs included muscle tremors, hypersalivation, miosis, weakness, vomiting and diarrhea</w:t>
      </w:r>
    </w:p>
    <w:p w14:paraId="51532657" w14:textId="06169F93" w:rsidR="002E77F1" w:rsidRPr="002E77F1" w:rsidRDefault="002E77F1" w:rsidP="00B51633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color w:val="2E2E2E"/>
          <w:shd w:val="clear" w:color="auto" w:fill="FFFFFF"/>
        </w:rPr>
        <w:t>P</w:t>
      </w:r>
      <w:r w:rsidRPr="002E77F1">
        <w:rPr>
          <w:rFonts w:cstheme="minorHAnsi"/>
          <w:color w:val="2E2E2E"/>
          <w:shd w:val="clear" w:color="auto" w:fill="FFFFFF"/>
        </w:rPr>
        <w:t>resence of weakness, mental dullness, anorexia, pale mucous membranes and paddling</w:t>
      </w:r>
    </w:p>
    <w:p w14:paraId="3A9911BA" w14:textId="51D0468E" w:rsidR="002E77F1" w:rsidRPr="002E77F1" w:rsidRDefault="002E77F1" w:rsidP="00B51633">
      <w:pPr>
        <w:pStyle w:val="ListParagraph"/>
        <w:numPr>
          <w:ilvl w:val="0"/>
          <w:numId w:val="4"/>
        </w:numPr>
        <w:rPr>
          <w:rFonts w:cstheme="minorHAnsi"/>
        </w:rPr>
      </w:pPr>
      <w:r w:rsidRPr="002E77F1">
        <w:rPr>
          <w:rFonts w:cstheme="minorHAnsi"/>
          <w:color w:val="2E2E2E"/>
          <w:shd w:val="clear" w:color="auto" w:fill="FFFFFF"/>
        </w:rPr>
        <w:t>Mechanical ventilation required in 20%</w:t>
      </w:r>
      <w:r>
        <w:rPr>
          <w:rFonts w:cstheme="minorHAnsi"/>
          <w:color w:val="2E2E2E"/>
          <w:shd w:val="clear" w:color="auto" w:fill="FFFFFF"/>
        </w:rPr>
        <w:t xml:space="preserve"> - the need for ventilation was associated with mortality</w:t>
      </w:r>
    </w:p>
    <w:p w14:paraId="54F7EE47" w14:textId="19D268E6" w:rsidR="002E77F1" w:rsidRPr="002E77F1" w:rsidRDefault="002E77F1" w:rsidP="00B51633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color w:val="2E2E2E"/>
          <w:shd w:val="clear" w:color="auto" w:fill="FFFFFF"/>
        </w:rPr>
        <w:t>Overall</w:t>
      </w:r>
      <w:r w:rsidRPr="002E77F1">
        <w:rPr>
          <w:rFonts w:cstheme="minorHAnsi"/>
          <w:color w:val="2E2E2E"/>
          <w:shd w:val="clear" w:color="auto" w:fill="FFFFFF"/>
        </w:rPr>
        <w:t xml:space="preserve"> mortality rate was 16.7%</w:t>
      </w:r>
    </w:p>
    <w:p w14:paraId="380EED90" w14:textId="080F2D64" w:rsidR="002E77F1" w:rsidRPr="002E77F1" w:rsidRDefault="002E77F1" w:rsidP="00B51633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color w:val="2E2E2E"/>
          <w:shd w:val="clear" w:color="auto" w:fill="FFFFFF"/>
        </w:rPr>
        <w:t>Survival rate in dogs that had gastric lavage was significantly higher</w:t>
      </w:r>
    </w:p>
    <w:p w14:paraId="494CFA1E" w14:textId="3E2F998A" w:rsidR="002E77F1" w:rsidRPr="002E77F1" w:rsidRDefault="002E77F1" w:rsidP="002E77F1">
      <w:pPr>
        <w:pStyle w:val="ListParagraph"/>
        <w:rPr>
          <w:rFonts w:cstheme="minorHAnsi"/>
        </w:rPr>
      </w:pPr>
      <w:bookmarkStart w:id="0" w:name="_GoBack"/>
      <w:bookmarkEnd w:id="0"/>
    </w:p>
    <w:sectPr w:rsidR="002E77F1" w:rsidRPr="002E7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BA6"/>
    <w:multiLevelType w:val="hybridMultilevel"/>
    <w:tmpl w:val="D9A0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8AC"/>
    <w:multiLevelType w:val="hybridMultilevel"/>
    <w:tmpl w:val="83BAD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72E7A"/>
    <w:multiLevelType w:val="hybridMultilevel"/>
    <w:tmpl w:val="346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634"/>
    <w:multiLevelType w:val="hybridMultilevel"/>
    <w:tmpl w:val="971C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63"/>
    <w:rsid w:val="00047763"/>
    <w:rsid w:val="000E6384"/>
    <w:rsid w:val="002E77F1"/>
    <w:rsid w:val="003B26D8"/>
    <w:rsid w:val="00661244"/>
    <w:rsid w:val="006C26C2"/>
    <w:rsid w:val="00781CF7"/>
    <w:rsid w:val="00875DBF"/>
    <w:rsid w:val="009350F4"/>
    <w:rsid w:val="00956653"/>
    <w:rsid w:val="00B51633"/>
    <w:rsid w:val="00BB6CD1"/>
    <w:rsid w:val="00D51E0D"/>
    <w:rsid w:val="00E0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14DE"/>
  <w15:chartTrackingRefBased/>
  <w15:docId w15:val="{D9883C95-C229-4599-B05F-E67EE7FB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BC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51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3</cp:revision>
  <dcterms:created xsi:type="dcterms:W3CDTF">2019-08-22T15:23:00Z</dcterms:created>
  <dcterms:modified xsi:type="dcterms:W3CDTF">2019-09-24T21:26:00Z</dcterms:modified>
</cp:coreProperties>
</file>