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CE0F9" w14:textId="387259ED" w:rsidR="004E2EB1" w:rsidRPr="001E4D9C" w:rsidRDefault="00C80173">
      <w:pPr>
        <w:rPr>
          <w:sz w:val="20"/>
          <w:szCs w:val="20"/>
        </w:rPr>
      </w:pPr>
      <w:r w:rsidRPr="001E4D9C">
        <w:rPr>
          <w:noProof/>
          <w:sz w:val="20"/>
          <w:szCs w:val="20"/>
        </w:rPr>
        <w:drawing>
          <wp:inline distT="0" distB="0" distL="0" distR="0" wp14:anchorId="63D3A808" wp14:editId="2867FD6F">
            <wp:extent cx="5943600" cy="4537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1A7B" w14:textId="33BA69AD" w:rsidR="00C80173" w:rsidRPr="001E4D9C" w:rsidRDefault="00C80173" w:rsidP="00C8017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Published ultrasonographic findings in dogs and cats with AKI include increased renal size, increased cortical echogenicity, the presence of perirenal fluid, medullary rim sign, </w:t>
      </w:r>
      <w:proofErr w:type="spellStart"/>
      <w:r w:rsidRPr="001E4D9C">
        <w:rPr>
          <w:sz w:val="20"/>
          <w:szCs w:val="20"/>
        </w:rPr>
        <w:t>pyelectasia</w:t>
      </w:r>
      <w:proofErr w:type="spellEnd"/>
      <w:r w:rsidRPr="001E4D9C">
        <w:rPr>
          <w:sz w:val="20"/>
          <w:szCs w:val="20"/>
        </w:rPr>
        <w:t xml:space="preserve">, increased echogenicity of </w:t>
      </w:r>
      <w:proofErr w:type="gramStart"/>
      <w:r w:rsidRPr="001E4D9C">
        <w:rPr>
          <w:sz w:val="20"/>
          <w:szCs w:val="20"/>
        </w:rPr>
        <w:t>the  perirenal</w:t>
      </w:r>
      <w:proofErr w:type="gramEnd"/>
      <w:r w:rsidRPr="001E4D9C">
        <w:rPr>
          <w:sz w:val="20"/>
          <w:szCs w:val="20"/>
        </w:rPr>
        <w:t xml:space="preserve"> fat and abnormal echogenicity of the urine in the renal pelvis</w:t>
      </w:r>
    </w:p>
    <w:p w14:paraId="1174E8C5" w14:textId="2D478E12" w:rsidR="00C80173" w:rsidRPr="001E4D9C" w:rsidRDefault="00C80173" w:rsidP="00C8017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>Goal of study: identify the ultrasonographic findings in cats with AKI and to assess whether any specific findings had a prognostic value</w:t>
      </w:r>
    </w:p>
    <w:p w14:paraId="2D221C3C" w14:textId="44CC0F65" w:rsidR="00C80173" w:rsidRPr="001E4D9C" w:rsidRDefault="00C80173" w:rsidP="00C8017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>Retrospective descriptive case series; AKI based on IRIS guidelines; no history of CKD</w:t>
      </w:r>
    </w:p>
    <w:p w14:paraId="6377706D" w14:textId="198A9773" w:rsidR="00C23FDA" w:rsidRPr="001E4D9C" w:rsidRDefault="00C23FDA" w:rsidP="00C8017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Nephromegaly was present in 68.9% (31/45) </w:t>
      </w:r>
      <w:r w:rsidR="001E4D9C" w:rsidRPr="001E4D9C">
        <w:rPr>
          <w:sz w:val="20"/>
          <w:szCs w:val="20"/>
        </w:rPr>
        <w:t xml:space="preserve">- </w:t>
      </w:r>
      <w:r w:rsidRPr="001E4D9C">
        <w:rPr>
          <w:sz w:val="20"/>
          <w:szCs w:val="20"/>
        </w:rPr>
        <w:t xml:space="preserve">35.5% had unilateral nephromegaly;  </w:t>
      </w:r>
      <w:proofErr w:type="spellStart"/>
      <w:r w:rsidRPr="001E4D9C">
        <w:rPr>
          <w:sz w:val="20"/>
          <w:szCs w:val="20"/>
        </w:rPr>
        <w:t>pyelectasia</w:t>
      </w:r>
      <w:proofErr w:type="spellEnd"/>
      <w:r w:rsidRPr="001E4D9C">
        <w:rPr>
          <w:sz w:val="20"/>
          <w:szCs w:val="20"/>
        </w:rPr>
        <w:t xml:space="preserve"> was present in 57.8% (26/45) </w:t>
      </w:r>
      <w:r w:rsidR="001E4D9C" w:rsidRPr="001E4D9C">
        <w:rPr>
          <w:sz w:val="20"/>
          <w:szCs w:val="20"/>
        </w:rPr>
        <w:t xml:space="preserve">- </w:t>
      </w:r>
      <w:r w:rsidRPr="001E4D9C">
        <w:rPr>
          <w:sz w:val="20"/>
          <w:szCs w:val="20"/>
        </w:rPr>
        <w:t>unilateral in 11.5%</w:t>
      </w:r>
      <w:r w:rsidR="001E4D9C" w:rsidRPr="001E4D9C">
        <w:rPr>
          <w:sz w:val="20"/>
          <w:szCs w:val="20"/>
        </w:rPr>
        <w:t>,</w:t>
      </w:r>
      <w:r w:rsidRPr="001E4D9C">
        <w:rPr>
          <w:sz w:val="20"/>
          <w:szCs w:val="20"/>
        </w:rPr>
        <w:t xml:space="preserve"> all cats had been on fluid therapy prior to AUS, 75% (3/4) of patients with severe </w:t>
      </w:r>
      <w:proofErr w:type="spellStart"/>
      <w:r w:rsidRPr="001E4D9C">
        <w:rPr>
          <w:sz w:val="20"/>
          <w:szCs w:val="20"/>
        </w:rPr>
        <w:t>pyelectasia</w:t>
      </w:r>
      <w:proofErr w:type="spellEnd"/>
      <w:r w:rsidRPr="001E4D9C">
        <w:rPr>
          <w:sz w:val="20"/>
          <w:szCs w:val="20"/>
        </w:rPr>
        <w:t xml:space="preserve"> were documented to have uroliths; increased cortical and medullary echogenicity was documented in 40% (18/45) and 51.1% (23/45) </w:t>
      </w:r>
      <w:r w:rsidR="001E4D9C" w:rsidRPr="001E4D9C">
        <w:rPr>
          <w:sz w:val="20"/>
          <w:szCs w:val="20"/>
        </w:rPr>
        <w:t>respectively</w:t>
      </w:r>
    </w:p>
    <w:p w14:paraId="1DEE629C" w14:textId="6EDF732A" w:rsidR="00C23FDA" w:rsidRPr="001E4D9C" w:rsidRDefault="00C23FDA" w:rsidP="00C8017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>42.2% (19/45) survived to discharge and 35.6% (16/45) were alive at 6 months (all that died were euthanized due to their disease)</w:t>
      </w:r>
    </w:p>
    <w:p w14:paraId="0D5210AA" w14:textId="7FCB2440" w:rsidR="00C23FDA" w:rsidRPr="001E4D9C" w:rsidRDefault="00C23FDA" w:rsidP="00C23FD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No single AUS finding or composite score was correlated with survival to discharge </w:t>
      </w:r>
    </w:p>
    <w:p w14:paraId="73184272" w14:textId="1A4541F1" w:rsidR="00C23FDA" w:rsidRPr="001E4D9C" w:rsidRDefault="00C23FDA" w:rsidP="00C23FD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There was a statistically significant association between the total ultrasound score and </w:t>
      </w:r>
      <w:proofErr w:type="gramStart"/>
      <w:r w:rsidRPr="001E4D9C">
        <w:rPr>
          <w:sz w:val="20"/>
          <w:szCs w:val="20"/>
        </w:rPr>
        <w:t>6 month</w:t>
      </w:r>
      <w:proofErr w:type="gramEnd"/>
      <w:r w:rsidRPr="001E4D9C">
        <w:rPr>
          <w:sz w:val="20"/>
          <w:szCs w:val="20"/>
        </w:rPr>
        <w:t xml:space="preserve"> survival time</w:t>
      </w:r>
      <w:r w:rsidR="001E4D9C">
        <w:rPr>
          <w:sz w:val="20"/>
          <w:szCs w:val="20"/>
        </w:rPr>
        <w:t xml:space="preserve"> and presence of oliguria/anuria </w:t>
      </w:r>
    </w:p>
    <w:p w14:paraId="7210767B" w14:textId="162C20AB" w:rsidR="00536CC3" w:rsidRPr="001E4D9C" w:rsidRDefault="00C23FDA" w:rsidP="00536CC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E4D9C">
        <w:rPr>
          <w:sz w:val="20"/>
          <w:szCs w:val="20"/>
        </w:rPr>
        <w:t xml:space="preserve">There was a statistically significant association between </w:t>
      </w:r>
      <w:r w:rsidR="001E4D9C">
        <w:rPr>
          <w:sz w:val="20"/>
          <w:szCs w:val="20"/>
        </w:rPr>
        <w:t>the</w:t>
      </w:r>
      <w:r w:rsidRPr="001E4D9C">
        <w:rPr>
          <w:sz w:val="20"/>
          <w:szCs w:val="20"/>
        </w:rPr>
        <w:t xml:space="preserve"> presence of retroperitoneal fluid </w:t>
      </w:r>
      <w:r w:rsidR="001E4D9C">
        <w:rPr>
          <w:sz w:val="20"/>
          <w:szCs w:val="20"/>
        </w:rPr>
        <w:t xml:space="preserve">and </w:t>
      </w:r>
      <w:r w:rsidR="001E4D9C" w:rsidRPr="001E4D9C">
        <w:rPr>
          <w:sz w:val="20"/>
          <w:szCs w:val="20"/>
        </w:rPr>
        <w:t>oliguria</w:t>
      </w:r>
      <w:r w:rsidRPr="001E4D9C">
        <w:rPr>
          <w:sz w:val="20"/>
          <w:szCs w:val="20"/>
        </w:rPr>
        <w:t>/anuria</w:t>
      </w:r>
    </w:p>
    <w:p w14:paraId="29EABA6C" w14:textId="3C56D32E" w:rsidR="00536CC3" w:rsidRDefault="00536CC3" w:rsidP="00536CC3">
      <w:pPr>
        <w:pStyle w:val="ListParagraph"/>
        <w:rPr>
          <w:sz w:val="20"/>
          <w:szCs w:val="20"/>
        </w:rPr>
      </w:pPr>
      <w:r w:rsidRPr="00536CC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4247E2AB" wp14:editId="4748A927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5495925" cy="4508500"/>
            <wp:effectExtent l="0" t="0" r="9525" b="6350"/>
            <wp:wrapTight wrapText="bothSides">
              <wp:wrapPolygon edited="0">
                <wp:start x="0" y="0"/>
                <wp:lineTo x="0" y="21539"/>
                <wp:lineTo x="21563" y="21539"/>
                <wp:lineTo x="215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012D3" w14:textId="77777777" w:rsidR="00536CC3" w:rsidRDefault="00536CC3" w:rsidP="00D63AF8">
      <w:pPr>
        <w:pStyle w:val="ListParagraph"/>
        <w:numPr>
          <w:ilvl w:val="0"/>
          <w:numId w:val="1"/>
        </w:numPr>
        <w:rPr>
          <w:sz w:val="20"/>
          <w:szCs w:val="20"/>
        </w:rPr>
      </w:pPr>
    </w:p>
    <w:p w14:paraId="600EFB26" w14:textId="77777777" w:rsidR="00536CC3" w:rsidRPr="00536CC3" w:rsidRDefault="00536CC3" w:rsidP="00536CC3">
      <w:pPr>
        <w:pStyle w:val="ListParagraph"/>
        <w:rPr>
          <w:sz w:val="20"/>
          <w:szCs w:val="20"/>
        </w:rPr>
      </w:pPr>
    </w:p>
    <w:p w14:paraId="3E39FE4F" w14:textId="4A430731" w:rsidR="00C80173" w:rsidRPr="001E4D9C" w:rsidRDefault="00536CC3" w:rsidP="001E4D9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</w:t>
      </w:r>
      <w:r w:rsidR="00D63AF8" w:rsidRPr="00536CC3">
        <w:rPr>
          <w:sz w:val="20"/>
          <w:szCs w:val="20"/>
        </w:rPr>
        <w:t>oal of study:  investigate the frequency and efficacy of feline autotransfusion</w:t>
      </w:r>
      <w:r w:rsidR="00D63AF8" w:rsidRPr="001E4D9C">
        <w:rPr>
          <w:sz w:val="20"/>
          <w:szCs w:val="20"/>
        </w:rPr>
        <w:t xml:space="preserve">, as well as describe the reasons for performance of </w:t>
      </w:r>
      <w:proofErr w:type="spellStart"/>
      <w:r w:rsidR="00D63AF8" w:rsidRPr="001E4D9C">
        <w:rPr>
          <w:sz w:val="20"/>
          <w:szCs w:val="20"/>
        </w:rPr>
        <w:t>autotranfusion</w:t>
      </w:r>
      <w:proofErr w:type="spellEnd"/>
      <w:r w:rsidR="00D63AF8" w:rsidRPr="001E4D9C">
        <w:rPr>
          <w:sz w:val="20"/>
          <w:szCs w:val="20"/>
        </w:rPr>
        <w:t xml:space="preserve"> and the methods used (not previously reported in felines)</w:t>
      </w:r>
    </w:p>
    <w:p w14:paraId="1A7A1677" w14:textId="1653A1B2" w:rsidR="00D63AF8" w:rsidRPr="00536CC3" w:rsidRDefault="00D63AF8" w:rsidP="00D63A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>Retrospective descriptive study; 8 cats received 12 autotransfusions – 6 type A, 2type B</w:t>
      </w:r>
      <w:r w:rsidR="001E4D9C">
        <w:rPr>
          <w:sz w:val="20"/>
          <w:szCs w:val="20"/>
        </w:rPr>
        <w:t xml:space="preserve"> over a </w:t>
      </w:r>
      <w:proofErr w:type="gramStart"/>
      <w:r w:rsidR="001E4D9C">
        <w:rPr>
          <w:sz w:val="20"/>
          <w:szCs w:val="20"/>
        </w:rPr>
        <w:t>6 year</w:t>
      </w:r>
      <w:proofErr w:type="gramEnd"/>
      <w:r w:rsidR="001E4D9C">
        <w:rPr>
          <w:sz w:val="20"/>
          <w:szCs w:val="20"/>
        </w:rPr>
        <w:t xml:space="preserve"> period</w:t>
      </w:r>
    </w:p>
    <w:p w14:paraId="26DF92EC" w14:textId="77777777" w:rsidR="00D63AF8" w:rsidRPr="00536CC3" w:rsidRDefault="00D63AF8" w:rsidP="00D63A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Methods of transfusion: blood was collected using a 23 G butterfly catheter and 20 ml syringe (7/12); a 23 G needle, three-way tap and 20 ml syringe (2/12); and directly into syringes from the open abdomen at the time of surgery (3/12) </w:t>
      </w:r>
    </w:p>
    <w:p w14:paraId="07B87567" w14:textId="77777777" w:rsidR="00D63AF8" w:rsidRPr="00536CC3" w:rsidRDefault="00D63AF8" w:rsidP="00D63A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>Anticoagulant acid citrate dextrose (ACD-A) was used in 5/12 of the autotransfusions - 0.14 ml of ACD used per 1 ml blood collected, as described in previous studies</w:t>
      </w:r>
    </w:p>
    <w:p w14:paraId="4FEF871C" w14:textId="77777777" w:rsidR="00D63AF8" w:rsidRPr="00536CC3" w:rsidRDefault="00D63AF8" w:rsidP="00D63A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All cases the blood was transfused through an 18 </w:t>
      </w:r>
      <w:proofErr w:type="spellStart"/>
      <w:r w:rsidRPr="00536CC3">
        <w:rPr>
          <w:sz w:val="20"/>
          <w:szCs w:val="20"/>
        </w:rPr>
        <w:t>μm</w:t>
      </w:r>
      <w:proofErr w:type="spellEnd"/>
      <w:r w:rsidRPr="00536CC3">
        <w:rPr>
          <w:sz w:val="20"/>
          <w:szCs w:val="20"/>
        </w:rPr>
        <w:t xml:space="preserve"> blood filter</w:t>
      </w:r>
    </w:p>
    <w:p w14:paraId="14E57605" w14:textId="216ED666" w:rsidR="00D63AF8" w:rsidRPr="00536CC3" w:rsidRDefault="00D63AF8" w:rsidP="00D63A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>Median volume of 50 ml was collected and administered (median volume of 16.5 ml/kg over a median of 3 h</w:t>
      </w:r>
      <w:r w:rsidR="00A57B15" w:rsidRPr="00536CC3">
        <w:rPr>
          <w:sz w:val="20"/>
          <w:szCs w:val="20"/>
        </w:rPr>
        <w:t>; 3</w:t>
      </w:r>
      <w:r w:rsidRPr="00536CC3">
        <w:rPr>
          <w:sz w:val="20"/>
          <w:szCs w:val="20"/>
        </w:rPr>
        <w:t xml:space="preserve"> autotransfusions were given in 1 h or less</w:t>
      </w:r>
      <w:r w:rsidR="001E4D9C">
        <w:rPr>
          <w:sz w:val="20"/>
          <w:szCs w:val="20"/>
        </w:rPr>
        <w:t>)</w:t>
      </w:r>
    </w:p>
    <w:p w14:paraId="59D546B5" w14:textId="3E3D557C" w:rsidR="00A57B15" w:rsidRPr="00536CC3" w:rsidRDefault="00A57B15" w:rsidP="00A57B1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>There were no documented reports of urticaria, erythema, increased rectal temperature or other signs of transfusion reaction</w:t>
      </w:r>
    </w:p>
    <w:p w14:paraId="52055248" w14:textId="09BCD898" w:rsidR="00A57B15" w:rsidRPr="00536CC3" w:rsidRDefault="00A57B15" w:rsidP="00A57B1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5/8 cats also received other blood products (FFP, canine blood, feline </w:t>
      </w:r>
      <w:proofErr w:type="spellStart"/>
      <w:r w:rsidRPr="00536CC3">
        <w:rPr>
          <w:sz w:val="20"/>
          <w:szCs w:val="20"/>
        </w:rPr>
        <w:t>pRBC</w:t>
      </w:r>
      <w:proofErr w:type="spellEnd"/>
      <w:r w:rsidRPr="00536CC3">
        <w:rPr>
          <w:sz w:val="20"/>
          <w:szCs w:val="20"/>
        </w:rPr>
        <w:t xml:space="preserve">, whole blood, </w:t>
      </w:r>
      <w:proofErr w:type="spellStart"/>
      <w:r w:rsidRPr="00536CC3">
        <w:rPr>
          <w:sz w:val="20"/>
          <w:szCs w:val="20"/>
        </w:rPr>
        <w:t>oxyglobin</w:t>
      </w:r>
      <w:proofErr w:type="spellEnd"/>
      <w:r w:rsidRPr="00536CC3">
        <w:rPr>
          <w:sz w:val="20"/>
          <w:szCs w:val="20"/>
        </w:rPr>
        <w:t>)</w:t>
      </w:r>
    </w:p>
    <w:p w14:paraId="2CCE068D" w14:textId="65F37B0D" w:rsidR="00A57B15" w:rsidRPr="00536CC3" w:rsidRDefault="00A57B15" w:rsidP="00A57B1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>Two cats had culture of the abdominal fluid used for autotransfusion – no cytological evidence of bacteria in either sample but one grew enterococcus on culture</w:t>
      </w:r>
    </w:p>
    <w:p w14:paraId="0E8BC186" w14:textId="53F073F7" w:rsidR="00A57B15" w:rsidRPr="00536CC3" w:rsidRDefault="00A57B15" w:rsidP="00A57B1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>6/8 cats survived to discharge -no delayed adverse reactions to the autotransfusions were reported in any patient</w:t>
      </w:r>
    </w:p>
    <w:p w14:paraId="666F26F8" w14:textId="39E999C1" w:rsidR="00536CC3" w:rsidRDefault="00536CC3" w:rsidP="00536CC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36CC3">
        <w:rPr>
          <w:sz w:val="20"/>
          <w:szCs w:val="20"/>
        </w:rPr>
        <w:t xml:space="preserve">Monitoring for post-transfusion hemolysis, coagulopathy and </w:t>
      </w:r>
      <w:r w:rsidR="001E4D9C" w:rsidRPr="00536CC3">
        <w:rPr>
          <w:sz w:val="20"/>
          <w:szCs w:val="20"/>
        </w:rPr>
        <w:t>hypocalcemia</w:t>
      </w:r>
      <w:r w:rsidRPr="00536CC3">
        <w:rPr>
          <w:sz w:val="20"/>
          <w:szCs w:val="20"/>
        </w:rPr>
        <w:t xml:space="preserve"> are recommended post-transfusion</w:t>
      </w:r>
    </w:p>
    <w:p w14:paraId="65C7FAEF" w14:textId="43F2A0C7" w:rsidR="000C05E8" w:rsidRDefault="000C05E8" w:rsidP="000C05E8">
      <w:pPr>
        <w:rPr>
          <w:sz w:val="20"/>
          <w:szCs w:val="20"/>
        </w:rPr>
      </w:pPr>
    </w:p>
    <w:p w14:paraId="4E0ED918" w14:textId="0E2F20D6" w:rsidR="000C05E8" w:rsidRPr="000C05E8" w:rsidRDefault="000C05E8" w:rsidP="000C05E8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10B5F86" wp14:editId="54D83811">
            <wp:extent cx="5395009" cy="4333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6042" cy="435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1487" w14:textId="77777777" w:rsidR="000C05E8" w:rsidRPr="00D802AA" w:rsidRDefault="000C05E8" w:rsidP="000C05E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Frequency and clinical manifestation of sepsis and MODS are less documented in cats</w:t>
      </w:r>
    </w:p>
    <w:p w14:paraId="1B19BA3A" w14:textId="1057E00D" w:rsidR="000C05E8" w:rsidRPr="00D802AA" w:rsidRDefault="000C05E8" w:rsidP="000C05E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Biomarkers of feline sepsis - </w:t>
      </w:r>
      <w:proofErr w:type="spellStart"/>
      <w:r w:rsidRPr="00D802AA">
        <w:rPr>
          <w:sz w:val="20"/>
          <w:szCs w:val="20"/>
        </w:rPr>
        <w:t>metarubrocytosis</w:t>
      </w:r>
      <w:proofErr w:type="spellEnd"/>
      <w:r w:rsidRPr="00D802AA">
        <w:rPr>
          <w:sz w:val="20"/>
          <w:szCs w:val="20"/>
        </w:rPr>
        <w:t>, high circulating muscle enzymes (AST, CK), high band neutrophil percentage and elevated serum amyloid A (SAA) concentrations have been investigated though selected organ dysfunctions have been rarely characterized</w:t>
      </w:r>
    </w:p>
    <w:p w14:paraId="15F0A155" w14:textId="784874BC" w:rsidR="00C80173" w:rsidRPr="00D802AA" w:rsidRDefault="000C05E8" w:rsidP="000C05E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Goal of study: investigate and characterize organ dysfunctions and MODS in feline sepsis and determine if occurrence is associated with increased mortality</w:t>
      </w:r>
    </w:p>
    <w:p w14:paraId="029CEFB1" w14:textId="77777777" w:rsidR="00FC784F" w:rsidRPr="00D802AA" w:rsidRDefault="000C05E8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Prospective study; include ¾ SIRS criteria + confirmed source of infection; numerous diagnostic tests and lab work performed on admission and </w:t>
      </w:r>
      <w:proofErr w:type="gramStart"/>
      <w:r w:rsidRPr="00D802AA">
        <w:rPr>
          <w:sz w:val="20"/>
          <w:szCs w:val="20"/>
        </w:rPr>
        <w:t>APPLE(</w:t>
      </w:r>
      <w:proofErr w:type="gramEnd"/>
      <w:r w:rsidRPr="00D802AA">
        <w:rPr>
          <w:sz w:val="20"/>
          <w:szCs w:val="20"/>
        </w:rPr>
        <w:t>fast) and APPLE(full) score</w:t>
      </w:r>
      <w:r w:rsidR="00FC784F" w:rsidRPr="00D802AA">
        <w:rPr>
          <w:sz w:val="20"/>
          <w:szCs w:val="20"/>
        </w:rPr>
        <w:t xml:space="preserve">; organ dysfunction determined based on adaptation from human and canine literature; MODS if &gt;2 organ systems dysfunctional simultaneously </w:t>
      </w:r>
    </w:p>
    <w:p w14:paraId="5E13A6E5" w14:textId="11D7FBBB" w:rsidR="00FC784F" w:rsidRPr="00D802AA" w:rsidRDefault="00FC784F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43 cats; median age of 5.2yr; major causes of sepsis were pyothorax (13), panleukopenia (11), septic peritonitis (9); other</w:t>
      </w:r>
      <w:r w:rsidR="003518D3">
        <w:rPr>
          <w:sz w:val="20"/>
          <w:szCs w:val="20"/>
        </w:rPr>
        <w:t>s</w:t>
      </w:r>
      <w:r w:rsidRPr="00D802AA">
        <w:rPr>
          <w:sz w:val="20"/>
          <w:szCs w:val="20"/>
        </w:rPr>
        <w:t xml:space="preserve"> were UT</w:t>
      </w:r>
      <w:r w:rsidR="003518D3">
        <w:rPr>
          <w:sz w:val="20"/>
          <w:szCs w:val="20"/>
        </w:rPr>
        <w:t>I</w:t>
      </w:r>
      <w:r w:rsidRPr="00D802AA">
        <w:rPr>
          <w:sz w:val="20"/>
          <w:szCs w:val="20"/>
        </w:rPr>
        <w:t xml:space="preserve"> (3), bacterial </w:t>
      </w:r>
      <w:proofErr w:type="spellStart"/>
      <w:r w:rsidRPr="00D802AA">
        <w:rPr>
          <w:sz w:val="20"/>
          <w:szCs w:val="20"/>
        </w:rPr>
        <w:t>cholangiohepatitis</w:t>
      </w:r>
      <w:proofErr w:type="spellEnd"/>
      <w:r w:rsidRPr="00D802AA">
        <w:rPr>
          <w:sz w:val="20"/>
          <w:szCs w:val="20"/>
        </w:rPr>
        <w:t xml:space="preserve"> (2), endocarditis (1), myocarditis (1), septic arthritis (1), pyelonephritis (1) and ocular abscess (1)</w:t>
      </w:r>
    </w:p>
    <w:p w14:paraId="674BC05D" w14:textId="56E8299E" w:rsidR="00FC784F" w:rsidRPr="00D802AA" w:rsidRDefault="00FC784F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26/43 survived</w:t>
      </w:r>
    </w:p>
    <w:p w14:paraId="239175D5" w14:textId="245C8F70" w:rsidR="00FC784F" w:rsidRPr="00D802AA" w:rsidRDefault="00FC784F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Lower body temp, higher </w:t>
      </w:r>
      <w:proofErr w:type="gramStart"/>
      <w:r w:rsidRPr="00D802AA">
        <w:rPr>
          <w:sz w:val="20"/>
          <w:szCs w:val="20"/>
        </w:rPr>
        <w:t>APPLE(</w:t>
      </w:r>
      <w:proofErr w:type="gramEnd"/>
      <w:r w:rsidRPr="00D802AA">
        <w:rPr>
          <w:sz w:val="20"/>
          <w:szCs w:val="20"/>
        </w:rPr>
        <w:t xml:space="preserve">fast) score, lower WBC count, increased volume of fluids given during hospitalization were significantly different for non survivors </w:t>
      </w:r>
    </w:p>
    <w:p w14:paraId="0DF7844C" w14:textId="2B9D829E" w:rsidR="00FC784F" w:rsidRPr="00D802AA" w:rsidRDefault="00FC784F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25/43 had MODS at presentation; 37/43 developed MODS</w:t>
      </w:r>
    </w:p>
    <w:p w14:paraId="5A840653" w14:textId="37E0BE7F" w:rsidR="00280457" w:rsidRPr="00D802AA" w:rsidRDefault="00280457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 xml:space="preserve">The presence of MODS, renal and cardiovascular dysfunction at presentation were significantly </w:t>
      </w:r>
      <w:r w:rsidR="00D802AA" w:rsidRPr="00D802AA">
        <w:rPr>
          <w:sz w:val="20"/>
          <w:szCs w:val="20"/>
        </w:rPr>
        <w:t xml:space="preserve">associated with </w:t>
      </w:r>
      <w:r w:rsidRPr="00D802AA">
        <w:rPr>
          <w:sz w:val="20"/>
          <w:szCs w:val="20"/>
        </w:rPr>
        <w:t>increased the risk of death</w:t>
      </w:r>
    </w:p>
    <w:p w14:paraId="43F8F277" w14:textId="3FD95A79" w:rsidR="00D802AA" w:rsidRPr="00D802AA" w:rsidRDefault="00D802AA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The</w:t>
      </w:r>
      <w:bookmarkStart w:id="0" w:name="_GoBack"/>
      <w:bookmarkEnd w:id="0"/>
      <w:r w:rsidRPr="00D802AA">
        <w:rPr>
          <w:sz w:val="20"/>
          <w:szCs w:val="20"/>
        </w:rPr>
        <w:t xml:space="preserve"> number of dysfunctional organs was associated with a higher APPLE score </w:t>
      </w:r>
    </w:p>
    <w:p w14:paraId="54A8BA1E" w14:textId="05EBD52C" w:rsidR="00280457" w:rsidRDefault="00280457" w:rsidP="00FC78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02AA">
        <w:rPr>
          <w:sz w:val="20"/>
          <w:szCs w:val="20"/>
        </w:rPr>
        <w:t>The overall number of dysfunctional organs was the strongest predictor of mortality</w:t>
      </w:r>
    </w:p>
    <w:p w14:paraId="435DA92A" w14:textId="662D226C" w:rsidR="00D802AA" w:rsidRPr="00D802AA" w:rsidRDefault="00D802AA" w:rsidP="00D802AA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C8E694A" wp14:editId="52BC13BA">
            <wp:extent cx="5943600" cy="43027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2AA" w:rsidRPr="00D8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F59C1"/>
    <w:multiLevelType w:val="hybridMultilevel"/>
    <w:tmpl w:val="247E78B4"/>
    <w:lvl w:ilvl="0" w:tplc="035C3A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73"/>
    <w:rsid w:val="000C05E8"/>
    <w:rsid w:val="001E4D9C"/>
    <w:rsid w:val="00280457"/>
    <w:rsid w:val="002B76FC"/>
    <w:rsid w:val="003518D3"/>
    <w:rsid w:val="004E2EB1"/>
    <w:rsid w:val="00536CC3"/>
    <w:rsid w:val="006614CE"/>
    <w:rsid w:val="008962B9"/>
    <w:rsid w:val="00A57B15"/>
    <w:rsid w:val="00C23FDA"/>
    <w:rsid w:val="00C80173"/>
    <w:rsid w:val="00D63AF8"/>
    <w:rsid w:val="00D802AA"/>
    <w:rsid w:val="00FC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7713B"/>
  <w15:chartTrackingRefBased/>
  <w15:docId w15:val="{0BCFB0A9-6099-41F6-B513-E804F735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2</cp:revision>
  <dcterms:created xsi:type="dcterms:W3CDTF">2019-06-20T00:06:00Z</dcterms:created>
  <dcterms:modified xsi:type="dcterms:W3CDTF">2019-06-25T17:45:00Z</dcterms:modified>
</cp:coreProperties>
</file>