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09382" w14:textId="4A8F9D24" w:rsidR="00993A5B" w:rsidRDefault="00993A5B" w:rsidP="00993A5B">
      <w:r w:rsidRPr="00993A5B">
        <w:drawing>
          <wp:inline distT="0" distB="0" distL="0" distR="0" wp14:anchorId="137D1455" wp14:editId="5AF38058">
            <wp:extent cx="5943600" cy="32937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7A40D" w14:textId="77777777" w:rsidR="00993A5B" w:rsidRDefault="00993A5B" w:rsidP="00993A5B"/>
    <w:p w14:paraId="1F562FAE" w14:textId="72279365" w:rsidR="00993A5B" w:rsidRDefault="00993A5B" w:rsidP="00993A5B">
      <w:r>
        <w:t xml:space="preserve">Introduction </w:t>
      </w:r>
    </w:p>
    <w:p w14:paraId="16D33284" w14:textId="78FD7723" w:rsidR="005907AA" w:rsidRDefault="005907AA" w:rsidP="00993A5B">
      <w:pPr>
        <w:pStyle w:val="ListParagraph"/>
        <w:numPr>
          <w:ilvl w:val="0"/>
          <w:numId w:val="1"/>
        </w:numPr>
      </w:pPr>
      <w:r>
        <w:t xml:space="preserve">Thromboses of major venous system (portal system thrombosis [PST] or PTE) are important causes of peri-op death </w:t>
      </w:r>
    </w:p>
    <w:p w14:paraId="2ED06098" w14:textId="72B6DF85" w:rsidR="005907AA" w:rsidRDefault="005907AA" w:rsidP="005907AA">
      <w:pPr>
        <w:pStyle w:val="ListParagraph"/>
        <w:numPr>
          <w:ilvl w:val="1"/>
          <w:numId w:val="1"/>
        </w:numPr>
      </w:pPr>
      <w:r>
        <w:t>Development of PTE or ARDS associated to failure to survive to hospital discharge</w:t>
      </w:r>
    </w:p>
    <w:p w14:paraId="6CA9E561" w14:textId="7591ED8D" w:rsidR="005907AA" w:rsidRDefault="005907AA" w:rsidP="005907AA">
      <w:pPr>
        <w:pStyle w:val="ListParagraph"/>
        <w:numPr>
          <w:ilvl w:val="1"/>
          <w:numId w:val="1"/>
        </w:numPr>
      </w:pPr>
      <w:r>
        <w:t>Dogs who underwent splenectomy had a peri-op mortality rate of 7.6% and most common causes were PST (22% of all death) and PTE (10% of all deaths)</w:t>
      </w:r>
    </w:p>
    <w:p w14:paraId="1B28269B" w14:textId="11A13F59" w:rsidR="00D978B2" w:rsidRDefault="00CA5616" w:rsidP="00067C7F">
      <w:pPr>
        <w:pStyle w:val="ListParagraph"/>
        <w:numPr>
          <w:ilvl w:val="0"/>
          <w:numId w:val="1"/>
        </w:numPr>
      </w:pPr>
      <w:r>
        <w:t xml:space="preserve">In people, PST occurs in 5-10% of patients </w:t>
      </w:r>
      <w:r w:rsidR="00067C7F">
        <w:t>at</w:t>
      </w:r>
      <w:r w:rsidR="003D4133">
        <w:t xml:space="preserve"> </w:t>
      </w:r>
      <w:r w:rsidR="00D978B2">
        <w:t xml:space="preserve">2-10 days post-op, peaking at 7-20 days </w:t>
      </w:r>
    </w:p>
    <w:p w14:paraId="24DB21C9" w14:textId="0444BB5A" w:rsidR="00253554" w:rsidRDefault="00253554" w:rsidP="00993A5B">
      <w:pPr>
        <w:pStyle w:val="ListParagraph"/>
        <w:numPr>
          <w:ilvl w:val="0"/>
          <w:numId w:val="1"/>
        </w:numPr>
      </w:pPr>
      <w:r>
        <w:t>Causes of PST unclear but Virchow triad involved (endothelial injury, stasis, hypercoagulability)</w:t>
      </w:r>
    </w:p>
    <w:p w14:paraId="744BCE6F" w14:textId="77777777" w:rsidR="00A003D5" w:rsidRDefault="00A003D5" w:rsidP="00A003D5">
      <w:pPr>
        <w:pStyle w:val="ListParagraph"/>
        <w:numPr>
          <w:ilvl w:val="1"/>
          <w:numId w:val="1"/>
        </w:numPr>
      </w:pPr>
      <w:r>
        <w:t xml:space="preserve">Loss of filtering function = allow particulate matter and abnormal cells to persist in circulation </w:t>
      </w:r>
      <w:r>
        <w:sym w:font="Wingdings" w:char="F0E0"/>
      </w:r>
      <w:r>
        <w:t xml:space="preserve"> endothelial damage </w:t>
      </w:r>
      <w:r>
        <w:sym w:font="Wingdings" w:char="F0E0"/>
      </w:r>
      <w:r>
        <w:t xml:space="preserve"> hypercoagulability</w:t>
      </w:r>
    </w:p>
    <w:p w14:paraId="492ECDFC" w14:textId="194A6BA1" w:rsidR="00993A5B" w:rsidRDefault="0043183D" w:rsidP="0043183D">
      <w:pPr>
        <w:pStyle w:val="ListParagraph"/>
        <w:numPr>
          <w:ilvl w:val="1"/>
          <w:numId w:val="1"/>
        </w:numPr>
      </w:pPr>
      <w:r>
        <w:t xml:space="preserve">Thrombocytosis </w:t>
      </w:r>
      <w:r>
        <w:sym w:font="Wingdings" w:char="F0E0"/>
      </w:r>
      <w:r>
        <w:t xml:space="preserve"> o</w:t>
      </w:r>
      <w:r w:rsidR="00993A5B">
        <w:t>ccur as spleen functions as a reservoir for platelets and usually removes senescent and damaged platelets from circulation</w:t>
      </w:r>
      <w:r w:rsidR="008A020D">
        <w:t>, and also reactive thrombocytosis</w:t>
      </w:r>
    </w:p>
    <w:p w14:paraId="4B316532" w14:textId="0FB3C64C" w:rsidR="00655F04" w:rsidRDefault="00655F04" w:rsidP="00655F04">
      <w:pPr>
        <w:pStyle w:val="ListParagraph"/>
        <w:numPr>
          <w:ilvl w:val="2"/>
          <w:numId w:val="1"/>
        </w:numPr>
      </w:pPr>
      <w:r>
        <w:t xml:space="preserve">Can contribute to hypercoagulability </w:t>
      </w:r>
    </w:p>
    <w:p w14:paraId="7ECB0262" w14:textId="520F44FF" w:rsidR="00B80CB0" w:rsidRDefault="00B80CB0" w:rsidP="00655F04">
      <w:pPr>
        <w:pStyle w:val="ListParagraph"/>
        <w:numPr>
          <w:ilvl w:val="2"/>
          <w:numId w:val="1"/>
        </w:numPr>
      </w:pPr>
      <w:r>
        <w:t xml:space="preserve">Mean platelet count higher in splenectomized dogs and the life span was 47% longer </w:t>
      </w:r>
      <w:r>
        <w:t>splenectomized dogs</w:t>
      </w:r>
    </w:p>
    <w:p w14:paraId="2ED6C7D9" w14:textId="6983C087" w:rsidR="00690934" w:rsidRDefault="00690934" w:rsidP="00690934">
      <w:pPr>
        <w:pStyle w:val="ListParagraph"/>
        <w:numPr>
          <w:ilvl w:val="0"/>
          <w:numId w:val="1"/>
        </w:numPr>
      </w:pPr>
      <w:r>
        <w:t>Thromboelastography is superior than routine coagulation testing</w:t>
      </w:r>
    </w:p>
    <w:p w14:paraId="02FFEE65" w14:textId="6205BD23" w:rsidR="004B1084" w:rsidRDefault="00690934" w:rsidP="004B1084">
      <w:pPr>
        <w:pStyle w:val="ListParagraph"/>
        <w:numPr>
          <w:ilvl w:val="1"/>
          <w:numId w:val="1"/>
        </w:numPr>
      </w:pPr>
      <w:r>
        <w:t>Dynamic test, able to assess speed and strength of clot formation</w:t>
      </w:r>
    </w:p>
    <w:p w14:paraId="1135D3EA" w14:textId="0B8DA9A1" w:rsidR="004B1084" w:rsidRDefault="00CE05D7" w:rsidP="004B1084">
      <w:pPr>
        <w:pStyle w:val="ListParagraph"/>
        <w:numPr>
          <w:ilvl w:val="1"/>
          <w:numId w:val="1"/>
        </w:numPr>
      </w:pPr>
      <w:r>
        <w:t xml:space="preserve">Limitations: in vitro, affected by low PCV (artefactual increase in total coagulation factor masses) </w:t>
      </w:r>
    </w:p>
    <w:p w14:paraId="7C790B45" w14:textId="6906AE05" w:rsidR="004B1084" w:rsidRDefault="004B1084" w:rsidP="00690934">
      <w:pPr>
        <w:pStyle w:val="ListParagraph"/>
        <w:numPr>
          <w:ilvl w:val="1"/>
          <w:numId w:val="1"/>
        </w:numPr>
      </w:pPr>
      <w:r>
        <w:t>Parameters used to identify hypercoagulability:</w:t>
      </w:r>
    </w:p>
    <w:p w14:paraId="404EEEAD" w14:textId="358415A1" w:rsidR="004B1084" w:rsidRDefault="004B1084" w:rsidP="004B1084">
      <w:pPr>
        <w:pStyle w:val="ListParagraph"/>
        <w:numPr>
          <w:ilvl w:val="2"/>
          <w:numId w:val="1"/>
        </w:numPr>
      </w:pPr>
      <w:r>
        <w:t>R= time until initial clot formation</w:t>
      </w:r>
    </w:p>
    <w:p w14:paraId="273E957C" w14:textId="4AA47224" w:rsidR="004B1084" w:rsidRDefault="004B1084" w:rsidP="004B1084">
      <w:pPr>
        <w:pStyle w:val="ListParagraph"/>
        <w:numPr>
          <w:ilvl w:val="2"/>
          <w:numId w:val="1"/>
        </w:numPr>
      </w:pPr>
      <w:r>
        <w:t>K= time to achieve defined level of clot formation</w:t>
      </w:r>
    </w:p>
    <w:p w14:paraId="21BBA33A" w14:textId="65B390D6" w:rsidR="004B1084" w:rsidRDefault="004B1084" w:rsidP="004B1084">
      <w:pPr>
        <w:pStyle w:val="ListParagraph"/>
        <w:numPr>
          <w:ilvl w:val="2"/>
          <w:numId w:val="1"/>
        </w:numPr>
      </w:pPr>
      <w:r>
        <w:lastRenderedPageBreak/>
        <w:t>MA= measure of fibrin clot</w:t>
      </w:r>
    </w:p>
    <w:p w14:paraId="73902C5A" w14:textId="0F33F02B" w:rsidR="00D978B2" w:rsidRDefault="004B1084" w:rsidP="004E6CFC">
      <w:pPr>
        <w:pStyle w:val="ListParagraph"/>
        <w:numPr>
          <w:ilvl w:val="2"/>
          <w:numId w:val="1"/>
        </w:numPr>
      </w:pPr>
      <w:r>
        <w:t>G= representation of clot strength and platelet function</w:t>
      </w:r>
    </w:p>
    <w:p w14:paraId="734E7523" w14:textId="23F0ABD7" w:rsidR="00993A5B" w:rsidRDefault="00993A5B" w:rsidP="00993A5B"/>
    <w:p w14:paraId="054F7472" w14:textId="334E6B92" w:rsidR="00225AFE" w:rsidRDefault="00993A5B" w:rsidP="00993A5B">
      <w:r>
        <w:t>Result</w:t>
      </w:r>
      <w:r w:rsidR="00225AFE">
        <w:t>s</w:t>
      </w:r>
    </w:p>
    <w:p w14:paraId="6281978E" w14:textId="590C1920" w:rsidR="00225AFE" w:rsidRDefault="00F32384" w:rsidP="00225AFE">
      <w:pPr>
        <w:pStyle w:val="ListParagraph"/>
        <w:numPr>
          <w:ilvl w:val="0"/>
          <w:numId w:val="1"/>
        </w:numPr>
      </w:pPr>
      <w:r>
        <w:t xml:space="preserve">They measured PCV, platelet count, TP, and </w:t>
      </w:r>
      <w:r w:rsidR="00711877">
        <w:t xml:space="preserve">kaolin-activated </w:t>
      </w:r>
      <w:r>
        <w:t xml:space="preserve">TEG ran at anesthetic induction, 2, 7 and 14 days following splenectomy </w:t>
      </w:r>
    </w:p>
    <w:p w14:paraId="402CCA59" w14:textId="47CDC771" w:rsidR="00C310A9" w:rsidRDefault="00013370" w:rsidP="00225AFE">
      <w:pPr>
        <w:pStyle w:val="ListParagraph"/>
        <w:numPr>
          <w:ilvl w:val="0"/>
          <w:numId w:val="1"/>
        </w:numPr>
      </w:pPr>
      <w:r>
        <w:t xml:space="preserve">Total of 34 dogs enrolled: 50% of dogs had hemoperitoneum at time of sx </w:t>
      </w:r>
    </w:p>
    <w:p w14:paraId="3C69159D" w14:textId="41A326CC" w:rsidR="00013370" w:rsidRDefault="00013370" w:rsidP="00013370">
      <w:pPr>
        <w:pStyle w:val="ListParagraph"/>
        <w:numPr>
          <w:ilvl w:val="1"/>
          <w:numId w:val="1"/>
        </w:numPr>
      </w:pPr>
      <w:r>
        <w:t>33/43 had histopath – 55% malignant, 45% benign</w:t>
      </w:r>
    </w:p>
    <w:p w14:paraId="2B143468" w14:textId="4745D3E6" w:rsidR="00013370" w:rsidRDefault="0011048A" w:rsidP="0011048A">
      <w:pPr>
        <w:pStyle w:val="ListParagraph"/>
        <w:numPr>
          <w:ilvl w:val="0"/>
          <w:numId w:val="1"/>
        </w:numPr>
      </w:pPr>
      <w:r>
        <w:t>Platelet count:</w:t>
      </w:r>
    </w:p>
    <w:p w14:paraId="5CDEEF7A" w14:textId="7CB956DC" w:rsidR="0011048A" w:rsidRDefault="0011048A" w:rsidP="0011048A">
      <w:pPr>
        <w:pStyle w:val="ListParagraph"/>
        <w:numPr>
          <w:ilvl w:val="1"/>
          <w:numId w:val="1"/>
        </w:numPr>
      </w:pPr>
      <w:r>
        <w:t>Significant thrombocytosis seen post-op</w:t>
      </w:r>
      <w:r w:rsidR="00287110">
        <w:t xml:space="preserve"> (day 7*)</w:t>
      </w:r>
    </w:p>
    <w:p w14:paraId="2B1D5E54" w14:textId="3A5D2E93" w:rsidR="0011048A" w:rsidRDefault="0011048A" w:rsidP="0011048A">
      <w:pPr>
        <w:pStyle w:val="ListParagraph"/>
        <w:numPr>
          <w:ilvl w:val="1"/>
          <w:numId w:val="1"/>
        </w:numPr>
      </w:pPr>
      <w:r>
        <w:t xml:space="preserve">K-time </w:t>
      </w:r>
      <w:r w:rsidR="00232789">
        <w:t xml:space="preserve">significantly </w:t>
      </w:r>
      <w:r>
        <w:t xml:space="preserve">decreased post-op </w:t>
      </w:r>
      <w:r w:rsidR="00232789">
        <w:t>at day 2, 7</w:t>
      </w:r>
      <w:r w:rsidR="00287110">
        <w:t>*</w:t>
      </w:r>
      <w:r w:rsidR="00232789">
        <w:t>, and 14</w:t>
      </w:r>
    </w:p>
    <w:p w14:paraId="7E584F78" w14:textId="35A51875" w:rsidR="0011048A" w:rsidRDefault="00D56832" w:rsidP="0011048A">
      <w:pPr>
        <w:pStyle w:val="ListParagraph"/>
        <w:numPr>
          <w:ilvl w:val="0"/>
          <w:numId w:val="1"/>
        </w:numPr>
      </w:pPr>
      <w:r>
        <w:t>Platelet counts were negatively correlated with K values and positively correlated w/ alpha, MA and G values</w:t>
      </w:r>
    </w:p>
    <w:p w14:paraId="19A81267" w14:textId="221ACCB4" w:rsidR="00E06AF3" w:rsidRDefault="00E06AF3" w:rsidP="0011048A">
      <w:pPr>
        <w:pStyle w:val="ListParagraph"/>
        <w:numPr>
          <w:ilvl w:val="0"/>
          <w:numId w:val="1"/>
        </w:numPr>
      </w:pPr>
      <w:r>
        <w:t xml:space="preserve">Dogs with hemoperitoneum </w:t>
      </w:r>
      <w:r w:rsidR="00574772">
        <w:t xml:space="preserve">in general </w:t>
      </w:r>
      <w:r>
        <w:t>had higher MA and G on day 7 compared to those withou</w:t>
      </w:r>
      <w:r w:rsidR="00574772">
        <w:t xml:space="preserve">t, especially those with a malignant splenic mass </w:t>
      </w:r>
    </w:p>
    <w:p w14:paraId="2C829DD3" w14:textId="77777777" w:rsidR="00225AFE" w:rsidRDefault="00225AFE" w:rsidP="00993A5B"/>
    <w:p w14:paraId="62FD0EC6" w14:textId="01942CAD" w:rsidR="00993A5B" w:rsidRDefault="00225AFE" w:rsidP="00993A5B">
      <w:r>
        <w:t>D</w:t>
      </w:r>
      <w:r w:rsidR="00993A5B">
        <w:t>iscussion</w:t>
      </w:r>
    </w:p>
    <w:p w14:paraId="45F92777" w14:textId="5776897D" w:rsidR="00A124DE" w:rsidRDefault="00A124DE" w:rsidP="00F04757">
      <w:pPr>
        <w:pStyle w:val="ListParagraph"/>
        <w:numPr>
          <w:ilvl w:val="0"/>
          <w:numId w:val="1"/>
        </w:numPr>
      </w:pPr>
      <w:r>
        <w:t xml:space="preserve">Thrombocytosis and TEG evidence of hypercoagulability common in the first 2 weeks following splenectomy </w:t>
      </w:r>
    </w:p>
    <w:p w14:paraId="798553E1" w14:textId="25196A98" w:rsidR="00A124DE" w:rsidRDefault="00A124DE" w:rsidP="00F04757">
      <w:pPr>
        <w:pStyle w:val="ListParagraph"/>
        <w:numPr>
          <w:ilvl w:val="0"/>
          <w:numId w:val="1"/>
        </w:numPr>
      </w:pPr>
      <w:r>
        <w:t>65% at pre-op thrombocytopenia, 94% had low to normal at day 2, then thrombocytosis seen in &gt;80% of dogs at day 7</w:t>
      </w:r>
    </w:p>
    <w:p w14:paraId="36098294" w14:textId="09D3A2E5" w:rsidR="00A77761" w:rsidRDefault="00A77761" w:rsidP="00A77761">
      <w:pPr>
        <w:pStyle w:val="ListParagraph"/>
        <w:numPr>
          <w:ilvl w:val="0"/>
          <w:numId w:val="1"/>
        </w:numPr>
      </w:pPr>
      <w:r>
        <w:t>Hy</w:t>
      </w:r>
      <w:r>
        <w:t>percoagulability likely driven</w:t>
      </w:r>
      <w:r>
        <w:t xml:space="preserve"> by multitude of factors </w:t>
      </w:r>
    </w:p>
    <w:p w14:paraId="4C34D9A9" w14:textId="000EA8DD" w:rsidR="00A77761" w:rsidRDefault="00A77761" w:rsidP="00A77761">
      <w:pPr>
        <w:pStyle w:val="ListParagraph"/>
        <w:numPr>
          <w:ilvl w:val="1"/>
          <w:numId w:val="1"/>
        </w:numPr>
      </w:pPr>
      <w:r>
        <w:t xml:space="preserve">Such as </w:t>
      </w:r>
      <w:r w:rsidR="00507F41">
        <w:t xml:space="preserve">size of splenic mass, benign vs malignant, </w:t>
      </w:r>
      <w:r>
        <w:t>administration of blood products, blood loss,</w:t>
      </w:r>
      <w:r w:rsidR="00160230">
        <w:t xml:space="preserve"> signlament, comorbidities, presence of intra-abdominal hemorrhage </w:t>
      </w:r>
    </w:p>
    <w:p w14:paraId="493061C6" w14:textId="0BC41FC8" w:rsidR="00600CAC" w:rsidRDefault="00827D25" w:rsidP="00A77761">
      <w:pPr>
        <w:pStyle w:val="ListParagraph"/>
        <w:numPr>
          <w:ilvl w:val="1"/>
          <w:numId w:val="1"/>
        </w:numPr>
      </w:pPr>
      <w:r>
        <w:t>Thrombocytosis relatively uncommon in day 0 and 2 but TEG showed hypercoagulability</w:t>
      </w:r>
      <w:r w:rsidR="00A77761">
        <w:t xml:space="preserve"> despite that</w:t>
      </w:r>
    </w:p>
    <w:p w14:paraId="7E03E0AB" w14:textId="72F6862F" w:rsidR="00A77761" w:rsidRDefault="00A77761" w:rsidP="00A77761">
      <w:pPr>
        <w:pStyle w:val="ListParagraph"/>
        <w:numPr>
          <w:ilvl w:val="1"/>
          <w:numId w:val="1"/>
        </w:numPr>
      </w:pPr>
      <w:r>
        <w:t xml:space="preserve">PCV was not significantly different </w:t>
      </w:r>
      <w:r w:rsidR="000232D4">
        <w:t xml:space="preserve">therefore can’t attribute all to anemia </w:t>
      </w:r>
    </w:p>
    <w:p w14:paraId="30C9131F" w14:textId="29DE1DF7" w:rsidR="00F04757" w:rsidRDefault="00BF595C" w:rsidP="00F04757">
      <w:pPr>
        <w:pStyle w:val="ListParagraph"/>
        <w:numPr>
          <w:ilvl w:val="0"/>
          <w:numId w:val="1"/>
        </w:numPr>
      </w:pPr>
      <w:r>
        <w:t>Limitations:</w:t>
      </w:r>
    </w:p>
    <w:p w14:paraId="5E910517" w14:textId="0F58C1DC" w:rsidR="00D97FE8" w:rsidRDefault="00D97FE8" w:rsidP="00BF595C">
      <w:pPr>
        <w:pStyle w:val="ListParagraph"/>
        <w:numPr>
          <w:ilvl w:val="1"/>
          <w:numId w:val="1"/>
        </w:numPr>
      </w:pPr>
      <w:r>
        <w:t xml:space="preserve">Did not control all clinical variables </w:t>
      </w:r>
    </w:p>
    <w:p w14:paraId="7D64DA8A" w14:textId="5CE42157" w:rsidR="00BF595C" w:rsidRDefault="00BF595C" w:rsidP="00BF595C">
      <w:pPr>
        <w:pStyle w:val="ListParagraph"/>
        <w:numPr>
          <w:ilvl w:val="1"/>
          <w:numId w:val="1"/>
        </w:numPr>
      </w:pPr>
      <w:r>
        <w:t xml:space="preserve">No limitations on treatment </w:t>
      </w:r>
      <w:r w:rsidR="00225AFE">
        <w:t>administered</w:t>
      </w:r>
      <w:r>
        <w:t xml:space="preserve"> peri-operatively </w:t>
      </w:r>
      <w:r w:rsidR="00691155">
        <w:t>(e.g. thromboprophylaxis, blood transfusion, sedative and anesthetic protocols)</w:t>
      </w:r>
    </w:p>
    <w:p w14:paraId="36DFFAD2" w14:textId="75779331" w:rsidR="00691155" w:rsidRDefault="00691155" w:rsidP="00BF595C">
      <w:pPr>
        <w:pStyle w:val="ListParagraph"/>
        <w:numPr>
          <w:ilvl w:val="1"/>
          <w:numId w:val="1"/>
        </w:numPr>
      </w:pPr>
      <w:r>
        <w:t>A lot of missing data</w:t>
      </w:r>
    </w:p>
    <w:p w14:paraId="02C107CC" w14:textId="1AC18A8B" w:rsidR="00691155" w:rsidRDefault="00D74016" w:rsidP="00BF595C">
      <w:pPr>
        <w:pStyle w:val="ListParagraph"/>
        <w:numPr>
          <w:ilvl w:val="1"/>
          <w:numId w:val="1"/>
        </w:numPr>
      </w:pPr>
      <w:r>
        <w:t xml:space="preserve">Time between sample collection and running sample was not standardized </w:t>
      </w:r>
    </w:p>
    <w:p w14:paraId="0DECA568" w14:textId="57F185C8" w:rsidR="00AD22A7" w:rsidRDefault="00AD22A7" w:rsidP="00BF595C">
      <w:pPr>
        <w:pStyle w:val="ListParagraph"/>
        <w:numPr>
          <w:ilvl w:val="1"/>
          <w:numId w:val="1"/>
        </w:numPr>
      </w:pPr>
      <w:r>
        <w:t xml:space="preserve">Lack of histopathological diagnosis in all splenic masses </w:t>
      </w:r>
      <w:bookmarkStart w:id="0" w:name="_GoBack"/>
      <w:bookmarkEnd w:id="0"/>
    </w:p>
    <w:sectPr w:rsidR="00AD22A7" w:rsidSect="006E25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C6BCD"/>
    <w:multiLevelType w:val="hybridMultilevel"/>
    <w:tmpl w:val="2822F8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D85FAC"/>
    <w:multiLevelType w:val="hybridMultilevel"/>
    <w:tmpl w:val="E5A69F4A"/>
    <w:lvl w:ilvl="0" w:tplc="DDBAB84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A5B"/>
    <w:rsid w:val="00013370"/>
    <w:rsid w:val="000232D4"/>
    <w:rsid w:val="00067C7F"/>
    <w:rsid w:val="0011048A"/>
    <w:rsid w:val="00160230"/>
    <w:rsid w:val="00225AFE"/>
    <w:rsid w:val="00232789"/>
    <w:rsid w:val="00253554"/>
    <w:rsid w:val="00287110"/>
    <w:rsid w:val="003B6EEC"/>
    <w:rsid w:val="003C6B05"/>
    <w:rsid w:val="003D4133"/>
    <w:rsid w:val="00431058"/>
    <w:rsid w:val="0043183D"/>
    <w:rsid w:val="004B1084"/>
    <w:rsid w:val="004E6CFC"/>
    <w:rsid w:val="00507F41"/>
    <w:rsid w:val="00574772"/>
    <w:rsid w:val="005907AA"/>
    <w:rsid w:val="00600CAC"/>
    <w:rsid w:val="0064698B"/>
    <w:rsid w:val="00655F04"/>
    <w:rsid w:val="00690934"/>
    <w:rsid w:val="00691155"/>
    <w:rsid w:val="006E2547"/>
    <w:rsid w:val="00711877"/>
    <w:rsid w:val="00730D0E"/>
    <w:rsid w:val="00764929"/>
    <w:rsid w:val="00827D25"/>
    <w:rsid w:val="008A020D"/>
    <w:rsid w:val="008A370D"/>
    <w:rsid w:val="0095657E"/>
    <w:rsid w:val="00993A5B"/>
    <w:rsid w:val="00A003D5"/>
    <w:rsid w:val="00A124DE"/>
    <w:rsid w:val="00A773BD"/>
    <w:rsid w:val="00A77761"/>
    <w:rsid w:val="00A9338C"/>
    <w:rsid w:val="00AD22A7"/>
    <w:rsid w:val="00B80CB0"/>
    <w:rsid w:val="00BF595C"/>
    <w:rsid w:val="00C310A9"/>
    <w:rsid w:val="00CA5616"/>
    <w:rsid w:val="00CB3FA2"/>
    <w:rsid w:val="00CC1896"/>
    <w:rsid w:val="00CD2D72"/>
    <w:rsid w:val="00CE05D7"/>
    <w:rsid w:val="00CE47AC"/>
    <w:rsid w:val="00D41EB7"/>
    <w:rsid w:val="00D56832"/>
    <w:rsid w:val="00D74016"/>
    <w:rsid w:val="00D978B2"/>
    <w:rsid w:val="00D97FE8"/>
    <w:rsid w:val="00E01507"/>
    <w:rsid w:val="00E06AF3"/>
    <w:rsid w:val="00F04757"/>
    <w:rsid w:val="00F32384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D7D24B"/>
  <w15:chartTrackingRefBased/>
  <w15:docId w15:val="{90CA2291-8F62-C64D-94B1-1FD9C24DB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3A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Carissa Tong</dc:creator>
  <cp:keywords/>
  <dc:description/>
  <cp:lastModifiedBy>Carissa Tong</cp:lastModifiedBy>
  <cp:revision>52</cp:revision>
  <dcterms:created xsi:type="dcterms:W3CDTF">2020-02-06T16:10:00Z</dcterms:created>
  <dcterms:modified xsi:type="dcterms:W3CDTF">2020-02-06T18:39:00Z</dcterms:modified>
</cp:coreProperties>
</file>