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A421D" w14:textId="2E322A92" w:rsidR="000A03BE" w:rsidRDefault="000A0D79">
      <w:r>
        <w:t>Lit Review December 2020</w:t>
      </w:r>
    </w:p>
    <w:p w14:paraId="21017398" w14:textId="4FBC56AC" w:rsidR="00946CDE" w:rsidRDefault="00946CDE"/>
    <w:p w14:paraId="0755F721" w14:textId="2AB51C6C" w:rsidR="00946CDE" w:rsidRDefault="00946CDE">
      <w:r>
        <w:t>Oct 2019</w:t>
      </w:r>
    </w:p>
    <w:p w14:paraId="1E32C0DB" w14:textId="123651CB" w:rsidR="00946CDE" w:rsidRDefault="00562C43">
      <w:r>
        <w:rPr>
          <w:noProof/>
        </w:rPr>
        <w:drawing>
          <wp:inline distT="0" distB="0" distL="0" distR="0" wp14:anchorId="48EC9BCF" wp14:editId="342CB4FC">
            <wp:extent cx="5943600" cy="3568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568065"/>
                    </a:xfrm>
                    <a:prstGeom prst="rect">
                      <a:avLst/>
                    </a:prstGeom>
                  </pic:spPr>
                </pic:pic>
              </a:graphicData>
            </a:graphic>
          </wp:inline>
        </w:drawing>
      </w:r>
    </w:p>
    <w:p w14:paraId="435E2B70" w14:textId="1901F98B" w:rsidR="00946CDE" w:rsidRDefault="00C27055">
      <w:r>
        <w:t xml:space="preserve">Intro: Most IMHA </w:t>
      </w:r>
      <w:r w:rsidR="00454112">
        <w:t xml:space="preserve">cases are primary, and most of the diagnostics are costly to look for secondary causes, this study is to evaluate the utility of thoracic x-ray and abdominal ultrasound in IMHA cases based on abnormalities found. </w:t>
      </w:r>
    </w:p>
    <w:p w14:paraId="7BCEF83F" w14:textId="28AA49C8" w:rsidR="00454112" w:rsidRDefault="00454112">
      <w:r>
        <w:t>Materials and methods: Medical records from 2005-2015 for animals with regenerative anemia, diagnosis of IMHA based on conventional criteria, CBC/chem/</w:t>
      </w:r>
      <w:proofErr w:type="spellStart"/>
      <w:r>
        <w:t>ua</w:t>
      </w:r>
      <w:proofErr w:type="spellEnd"/>
      <w:r>
        <w:t xml:space="preserve"> and imaging was performed. Imaging was reviewed by a radiologist that was blinded to the diagnosis. </w:t>
      </w:r>
      <w:r w:rsidR="00640DA6">
        <w:t xml:space="preserve">Survey to assess if the imaging was useful in case management. </w:t>
      </w:r>
    </w:p>
    <w:p w14:paraId="3BCD6E6C" w14:textId="304C17C3" w:rsidR="00454112" w:rsidRDefault="00454112">
      <w:r>
        <w:t>Results: 187 dogs met the diagnostic criteria, 64 dogs met all the cr</w:t>
      </w:r>
      <w:r w:rsidR="00640DA6">
        <w:t xml:space="preserve">iteria, 100% had spherocytes, 75% had </w:t>
      </w:r>
      <w:proofErr w:type="spellStart"/>
      <w:r w:rsidR="00640DA6">
        <w:t>nRBCs</w:t>
      </w:r>
      <w:proofErr w:type="spellEnd"/>
      <w:r w:rsidR="00640DA6">
        <w:t xml:space="preserve">, 78% had macro and or micro agglutination and 36% had positive Coombs test. 68% had normal thoracic x-rays in 20% of cases the TXR were useful in case management. AUS 25% </w:t>
      </w:r>
      <w:proofErr w:type="spellStart"/>
      <w:r w:rsidR="00640DA6">
        <w:t>wnl</w:t>
      </w:r>
      <w:proofErr w:type="spellEnd"/>
      <w:r w:rsidR="00640DA6">
        <w:t xml:space="preserve">, 37% were important to case management. </w:t>
      </w:r>
    </w:p>
    <w:p w14:paraId="72385673" w14:textId="32135CC7" w:rsidR="00640DA6" w:rsidRDefault="00640DA6">
      <w:r>
        <w:t xml:space="preserve">Discussion: </w:t>
      </w:r>
      <w:r w:rsidR="00D90C1E">
        <w:t xml:space="preserve">76% of TXR and 50% of AUS when interpreted with clinical case information were not helpful in case management. Gall bladder wall edema was more common than expected. The abnormalities found on either imaging modality were not necessarily associated with the IMHA diagnosis. The overall utility of imaging to determine abnormalities was not high.  The decision to recommend these tests should be evaluated on a case by case basis. </w:t>
      </w:r>
      <w:bookmarkStart w:id="0" w:name="_GoBack"/>
      <w:bookmarkEnd w:id="0"/>
    </w:p>
    <w:p w14:paraId="7B256BF0" w14:textId="3E0B3EE1" w:rsidR="00946CDE" w:rsidRDefault="00562C43">
      <w:r>
        <w:rPr>
          <w:noProof/>
        </w:rPr>
        <w:lastRenderedPageBreak/>
        <w:drawing>
          <wp:inline distT="0" distB="0" distL="0" distR="0" wp14:anchorId="50CCFBBE" wp14:editId="4F6DB024">
            <wp:extent cx="5943600" cy="36233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623310"/>
                    </a:xfrm>
                    <a:prstGeom prst="rect">
                      <a:avLst/>
                    </a:prstGeom>
                  </pic:spPr>
                </pic:pic>
              </a:graphicData>
            </a:graphic>
          </wp:inline>
        </w:drawing>
      </w:r>
    </w:p>
    <w:p w14:paraId="51593AA3" w14:textId="25CBAF94" w:rsidR="00F31AE9" w:rsidRDefault="00F31AE9">
      <w:r>
        <w:t>Intro: Importance of looking at the clinicopathologic changes on point of care blood work during hospitalization to monitor disease progression in parvo positive puppies</w:t>
      </w:r>
    </w:p>
    <w:p w14:paraId="121B93B7" w14:textId="10D9CBE9" w:rsidR="00F31AE9" w:rsidRDefault="00F31AE9">
      <w:r>
        <w:t>Materials and methods: Medical records from 2003-2015, dogs included had a positive SNAP parvo test, were hospitalized and the dog survived to discharge, data were recorded for PCV/TS, VBG. BG, lactate, BUN and azo. This was recorded initially and then every 12 hours for 72 hours, 204 dogs total</w:t>
      </w:r>
    </w:p>
    <w:p w14:paraId="0E7055A1" w14:textId="475A997D" w:rsidR="00F31AE9" w:rsidRDefault="00F31AE9">
      <w:pPr>
        <w:rPr>
          <w:color w:val="000000"/>
          <w:shd w:val="clear" w:color="auto" w:fill="FFFFFF"/>
        </w:rPr>
      </w:pPr>
      <w:r>
        <w:t xml:space="preserve">Results: </w:t>
      </w:r>
      <w:r>
        <w:rPr>
          <w:color w:val="000000"/>
          <w:shd w:val="clear" w:color="auto" w:fill="FFFFFF"/>
        </w:rPr>
        <w:t xml:space="preserve">Common persistent abnormalities identified on EP and VBG results include hypoproteinemia, acidosis, hyponatremia, hypochloremia, hyperkalemia, and </w:t>
      </w:r>
      <w:proofErr w:type="spellStart"/>
      <w:r>
        <w:rPr>
          <w:color w:val="000000"/>
          <w:shd w:val="clear" w:color="auto" w:fill="FFFFFF"/>
        </w:rPr>
        <w:t>hyperbicarbonatemia</w:t>
      </w:r>
      <w:proofErr w:type="spellEnd"/>
      <w:r>
        <w:rPr>
          <w:color w:val="000000"/>
          <w:shd w:val="clear" w:color="auto" w:fill="FFFFFF"/>
        </w:rPr>
        <w:t>.</w:t>
      </w:r>
      <w:r w:rsidR="000B3B04">
        <w:rPr>
          <w:color w:val="000000"/>
          <w:shd w:val="clear" w:color="auto" w:fill="FFFFFF"/>
        </w:rPr>
        <w:t xml:space="preserve"> Decreased ionized calcium at 24 and 48 hours was associated with longer hospitalization. Mild hyperkalemia at 12, 24 and 36 hours was associated with a shorter length of hospitalization. </w:t>
      </w:r>
    </w:p>
    <w:p w14:paraId="79BF3E2D" w14:textId="40F103A8" w:rsidR="00A64A30" w:rsidRDefault="00A64A30">
      <w:r>
        <w:rPr>
          <w:color w:val="000000"/>
          <w:shd w:val="clear" w:color="auto" w:fill="FFFFFF"/>
        </w:rPr>
        <w:t xml:space="preserve">Discussion: typical </w:t>
      </w:r>
      <w:proofErr w:type="gramStart"/>
      <w:r>
        <w:rPr>
          <w:color w:val="000000"/>
          <w:shd w:val="clear" w:color="auto" w:fill="FFFFFF"/>
        </w:rPr>
        <w:t>age related</w:t>
      </w:r>
      <w:proofErr w:type="gramEnd"/>
      <w:r>
        <w:rPr>
          <w:color w:val="000000"/>
          <w:shd w:val="clear" w:color="auto" w:fill="FFFFFF"/>
        </w:rPr>
        <w:t xml:space="preserve"> changes in puppies were noted on the blood work such as lower PCV/TS for dogs under 1 year of age, lower Na/Cl, higher </w:t>
      </w:r>
      <w:proofErr w:type="spellStart"/>
      <w:r>
        <w:rPr>
          <w:color w:val="000000"/>
          <w:shd w:val="clear" w:color="auto" w:fill="FFFFFF"/>
        </w:rPr>
        <w:t>iCa</w:t>
      </w:r>
      <w:proofErr w:type="spellEnd"/>
      <w:r>
        <w:rPr>
          <w:color w:val="000000"/>
          <w:shd w:val="clear" w:color="auto" w:fill="FFFFFF"/>
        </w:rPr>
        <w:t>/K for puppies under 12 weeks</w:t>
      </w:r>
      <w:r w:rsidR="006D58D0">
        <w:rPr>
          <w:color w:val="000000"/>
          <w:shd w:val="clear" w:color="auto" w:fill="FFFFFF"/>
        </w:rPr>
        <w:t xml:space="preserve">. Mild hypercalcemia at presentation was associated with and a shorter hospitalization and was likely due to dehydration and the following readings were likely more accurate. Hyperkalemia was likely due to decreased renal excretion due to dehydration and or hypovolemia as well as GI losses, decreased intake and acidemia.  </w:t>
      </w:r>
    </w:p>
    <w:p w14:paraId="4CD1C3B0" w14:textId="264D1B91" w:rsidR="00FE4F22" w:rsidRDefault="00FE4F22"/>
    <w:p w14:paraId="77276157" w14:textId="2A1E4992" w:rsidR="00FE4F22" w:rsidRDefault="00FE4F22">
      <w:r>
        <w:rPr>
          <w:noProof/>
        </w:rPr>
        <w:lastRenderedPageBreak/>
        <w:drawing>
          <wp:inline distT="0" distB="0" distL="0" distR="0" wp14:anchorId="4F0427C9" wp14:editId="30F30A5D">
            <wp:extent cx="5943600" cy="24885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488565"/>
                    </a:xfrm>
                    <a:prstGeom prst="rect">
                      <a:avLst/>
                    </a:prstGeom>
                  </pic:spPr>
                </pic:pic>
              </a:graphicData>
            </a:graphic>
          </wp:inline>
        </w:drawing>
      </w:r>
    </w:p>
    <w:p w14:paraId="66F93D54" w14:textId="3613BE87" w:rsidR="00EF1AC8" w:rsidRDefault="00EF1AC8">
      <w:r>
        <w:rPr>
          <w:noProof/>
        </w:rPr>
        <w:drawing>
          <wp:inline distT="0" distB="0" distL="0" distR="0" wp14:anchorId="2E811437" wp14:editId="38E14F5E">
            <wp:extent cx="5943600" cy="2750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750185"/>
                    </a:xfrm>
                    <a:prstGeom prst="rect">
                      <a:avLst/>
                    </a:prstGeom>
                  </pic:spPr>
                </pic:pic>
              </a:graphicData>
            </a:graphic>
          </wp:inline>
        </w:drawing>
      </w:r>
    </w:p>
    <w:p w14:paraId="1C35C141" w14:textId="36AE8D8F" w:rsidR="00EF1AC8" w:rsidRDefault="00EF1AC8">
      <w:r>
        <w:t xml:space="preserve">Intro: UO- 54% </w:t>
      </w:r>
      <w:proofErr w:type="gramStart"/>
      <w:r>
        <w:t>are</w:t>
      </w:r>
      <w:proofErr w:type="gramEnd"/>
      <w:r>
        <w:t xml:space="preserve"> idiopathic, 20% urethral plugs, 20% urolithiasis, &lt;5% strictures or neoplasia</w:t>
      </w:r>
    </w:p>
    <w:p w14:paraId="61797A91" w14:textId="20C24523" w:rsidR="00EF1AC8" w:rsidRDefault="00EF1AC8">
      <w:r>
        <w:t>Discussion of the major findings in literature from 2007-2019</w:t>
      </w:r>
    </w:p>
    <w:p w14:paraId="57E3237C" w14:textId="4C1CE365" w:rsidR="00EF1AC8" w:rsidRDefault="00EF1AC8">
      <w:r>
        <w:t>In hospital vs outpatient: Seitz, 107 client owned cats, 11% inpatient cat re-obstructed and 31% of outpatient, odds were greater that the outpatient group would re-obstruct in 30 days</w:t>
      </w:r>
    </w:p>
    <w:p w14:paraId="0B4C6AC4" w14:textId="13ABC929" w:rsidR="00F6633B" w:rsidRDefault="00F6633B">
      <w:r>
        <w:t>Winner: inpatient</w:t>
      </w:r>
    </w:p>
    <w:p w14:paraId="4050E427" w14:textId="41253BA5" w:rsidR="00F6633B" w:rsidRDefault="00F6633B">
      <w:proofErr w:type="gramStart"/>
      <w:r>
        <w:t>Non traditional</w:t>
      </w:r>
      <w:proofErr w:type="gramEnd"/>
      <w:r>
        <w:t xml:space="preserve"> approach without urinary catheter: Cooper, 15 client owned cats, were given sedatives, decompressive </w:t>
      </w:r>
      <w:proofErr w:type="spellStart"/>
      <w:r>
        <w:t>cysto</w:t>
      </w:r>
      <w:proofErr w:type="spellEnd"/>
      <w:r>
        <w:t xml:space="preserve">, kept in a quiet room and SQ fluids, 11/15 were able to urinate in 72 hours, however 3 developed </w:t>
      </w:r>
      <w:proofErr w:type="spellStart"/>
      <w:r>
        <w:t>uroabdomen</w:t>
      </w:r>
      <w:proofErr w:type="spellEnd"/>
      <w:r>
        <w:t xml:space="preserve">. </w:t>
      </w:r>
    </w:p>
    <w:p w14:paraId="4C6DF225" w14:textId="6C603A4D" w:rsidR="00F6633B" w:rsidRDefault="00F6633B">
      <w:r>
        <w:t>Winner: traditional approach</w:t>
      </w:r>
    </w:p>
    <w:p w14:paraId="42A98CE4" w14:textId="2544F8FC" w:rsidR="00F6633B" w:rsidRDefault="00F6633B">
      <w:r>
        <w:lastRenderedPageBreak/>
        <w:t xml:space="preserve">Type of crystalloid used: LRs vs Saline- saline group had lower pH, HCO3 and BE than the LRS group, another study showed that metabolic disturbances resolved more quickly with the use of Norm R vs saline, neither </w:t>
      </w:r>
      <w:proofErr w:type="gramStart"/>
      <w:r>
        <w:t>had an effect on</w:t>
      </w:r>
      <w:proofErr w:type="gramEnd"/>
      <w:r>
        <w:t xml:space="preserve"> potassium levels </w:t>
      </w:r>
    </w:p>
    <w:p w14:paraId="62109790" w14:textId="1A224A02" w:rsidR="00F6633B" w:rsidRDefault="00F6633B">
      <w:r>
        <w:t>Winner: Norm R/LRS</w:t>
      </w:r>
    </w:p>
    <w:p w14:paraId="307DFC47" w14:textId="569E6408" w:rsidR="00F6633B" w:rsidRDefault="00F6633B">
      <w:r>
        <w:t xml:space="preserve">Fluid overload: FO was defined as respiratory distress from pleural effusion or pulmonary edema, </w:t>
      </w:r>
      <w:r w:rsidR="00B913E3">
        <w:t>Risk factors were fluid bolus at presentation, development of a heart murmur or gallop sound, No effect on mortality rate</w:t>
      </w:r>
    </w:p>
    <w:p w14:paraId="157072A8" w14:textId="5BB61626" w:rsidR="00B913E3" w:rsidRDefault="009F6788">
      <w:r>
        <w:t xml:space="preserve">Decompressive </w:t>
      </w:r>
      <w:proofErr w:type="spellStart"/>
      <w:r>
        <w:t>cysto</w:t>
      </w:r>
      <w:proofErr w:type="spellEnd"/>
      <w:r>
        <w:t xml:space="preserve">: 47 cats, 56% had abdominal effusion on x-ray after </w:t>
      </w:r>
      <w:proofErr w:type="spellStart"/>
      <w:r>
        <w:t>cysto</w:t>
      </w:r>
      <w:proofErr w:type="spellEnd"/>
      <w:r>
        <w:t xml:space="preserve">, none definitively diagnosed with urinary bladder rupture. DECYST trial showed no major complications after </w:t>
      </w:r>
      <w:proofErr w:type="spellStart"/>
      <w:r>
        <w:t>cysto</w:t>
      </w:r>
      <w:proofErr w:type="spellEnd"/>
      <w:r>
        <w:t xml:space="preserve"> and no major change in length of hospitalization or outcome</w:t>
      </w:r>
    </w:p>
    <w:p w14:paraId="737C940E" w14:textId="11CFE0C9" w:rsidR="009F6788" w:rsidRDefault="009F6788">
      <w:r>
        <w:t>Winner: unknown</w:t>
      </w:r>
    </w:p>
    <w:p w14:paraId="6EEF2D53" w14:textId="071A3612" w:rsidR="009F6788" w:rsidRDefault="009F6788">
      <w:r>
        <w:t>Anesthetic protocol and coccygeal block: ketamine and diazepam vs propofol, time to standing was shorter with propofol, but no other major differences, not many studies looking at the best protocol. Not enough information regarding the block to determine its usefulness.</w:t>
      </w:r>
    </w:p>
    <w:p w14:paraId="1399012C" w14:textId="2F030D69" w:rsidR="00FB6BD8" w:rsidRDefault="00FB6BD8">
      <w:r>
        <w:t xml:space="preserve">Urinary bladder lavage: flush and no flush groups were matched with age, body weight, neuter status, previous blocking history and crystalluria. No impact on in hospital UO recurrence rates, duration of catheterization or hospitalization. </w:t>
      </w:r>
    </w:p>
    <w:p w14:paraId="75BE5BD1" w14:textId="03C5091A" w:rsidR="00FB6BD8" w:rsidRDefault="00FB6BD8">
      <w:r>
        <w:t>Intravesical treatments: glycosaminoglycans- no change in pain or re-blocking rates in cats that received a glycosaminoglycan bladder infusion. Alkalinized lidocaine infusion- no change in re-obstruction rates.</w:t>
      </w:r>
    </w:p>
    <w:p w14:paraId="38FAEE08" w14:textId="611516DE" w:rsidR="00FB6BD8" w:rsidRDefault="00FB6BD8">
      <w:r>
        <w:t>Post obstructive diuresis: POD = &gt;2 ml/kg/</w:t>
      </w:r>
      <w:proofErr w:type="spellStart"/>
      <w:r>
        <w:t>hr</w:t>
      </w:r>
      <w:proofErr w:type="spellEnd"/>
      <w:r>
        <w:t xml:space="preserve">, incidence of 46%, another study showed that fluid rate significantly </w:t>
      </w:r>
      <w:r w:rsidR="005F1788">
        <w:t xml:space="preserve">impacted the incidence of POD. POD was also seen more in cats that presented with acidemia. </w:t>
      </w:r>
    </w:p>
    <w:p w14:paraId="011B2363" w14:textId="1E95544C" w:rsidR="005F1788" w:rsidRDefault="005F1788">
      <w:r>
        <w:t xml:space="preserve">Indwelling urinary catheter: lower rate of </w:t>
      </w:r>
      <w:proofErr w:type="spellStart"/>
      <w:r>
        <w:t>reblocking</w:t>
      </w:r>
      <w:proofErr w:type="spellEnd"/>
      <w:r>
        <w:t xml:space="preserve"> with a 3.5 </w:t>
      </w:r>
      <w:proofErr w:type="spellStart"/>
      <w:r>
        <w:t>fr</w:t>
      </w:r>
      <w:proofErr w:type="spellEnd"/>
      <w:r>
        <w:t xml:space="preserve"> vs 5 </w:t>
      </w:r>
      <w:proofErr w:type="spellStart"/>
      <w:r>
        <w:t>fr</w:t>
      </w:r>
      <w:proofErr w:type="spellEnd"/>
      <w:r>
        <w:t xml:space="preserve"> catheter at 24 hours, one study showed no association between length of indwelling catheter and </w:t>
      </w:r>
      <w:proofErr w:type="spellStart"/>
      <w:r>
        <w:t>reUO</w:t>
      </w:r>
      <w:proofErr w:type="spellEnd"/>
      <w:r>
        <w:t xml:space="preserve"> and another showed one where longer indwelling catheter was associated with decreased incidence of </w:t>
      </w:r>
      <w:proofErr w:type="spellStart"/>
      <w:r>
        <w:t>reUO</w:t>
      </w:r>
      <w:proofErr w:type="spellEnd"/>
      <w:r>
        <w:t xml:space="preserve">. </w:t>
      </w:r>
    </w:p>
    <w:p w14:paraId="61CFBAC8" w14:textId="67A469CE" w:rsidR="005F1788" w:rsidRDefault="005F1788">
      <w:r>
        <w:t xml:space="preserve">Catheter associated bacterial infections: greater than 3 days of indwelling catheter was associated with bacteriuria. In </w:t>
      </w:r>
      <w:r w:rsidR="00C27055">
        <w:t xml:space="preserve">two </w:t>
      </w:r>
      <w:r>
        <w:t>stud</w:t>
      </w:r>
      <w:r w:rsidR="00C27055">
        <w:t>ies</w:t>
      </w:r>
      <w:r>
        <w:t xml:space="preserve"> there were 0 positive cultures from samples obtained at admission and 13% positive </w:t>
      </w:r>
      <w:r w:rsidR="00C27055">
        <w:t xml:space="preserve">after 24 </w:t>
      </w:r>
      <w:proofErr w:type="spellStart"/>
      <w:r w:rsidR="00C27055">
        <w:t>hrs</w:t>
      </w:r>
      <w:proofErr w:type="spellEnd"/>
      <w:r w:rsidR="00C27055">
        <w:t xml:space="preserve"> and 33% in 48 hours. Most commonly with E. coli, strep, staph and </w:t>
      </w:r>
      <w:proofErr w:type="spellStart"/>
      <w:r w:rsidR="00C27055">
        <w:t>pasteurella</w:t>
      </w:r>
      <w:proofErr w:type="spellEnd"/>
      <w:r w:rsidR="00C27055">
        <w:t xml:space="preserve">. Current guidelines do not recommend antimicrobial therapy since this is likely transient. </w:t>
      </w:r>
    </w:p>
    <w:p w14:paraId="297BFCFF" w14:textId="51DC91AD" w:rsidR="00C27055" w:rsidRDefault="00C27055">
      <w:r>
        <w:t xml:space="preserve">Prazosin: prazosin better than phenoxybenzamine, not better than placebo in </w:t>
      </w:r>
      <w:proofErr w:type="spellStart"/>
      <w:r>
        <w:t>reUO</w:t>
      </w:r>
      <w:proofErr w:type="spellEnd"/>
      <w:r>
        <w:t xml:space="preserve"> rates prior to discharge, 1 month and 6 months. One study showed a shorter length of hospitalization when used. </w:t>
      </w:r>
    </w:p>
    <w:p w14:paraId="15CD74BD" w14:textId="6E052A1E" w:rsidR="00C27055" w:rsidRDefault="00C27055">
      <w:r>
        <w:t xml:space="preserve">NSAIDS: no sig difference between groups of </w:t>
      </w:r>
      <w:proofErr w:type="gramStart"/>
      <w:r>
        <w:t>demeanor</w:t>
      </w:r>
      <w:proofErr w:type="gramEnd"/>
      <w:r>
        <w:t xml:space="preserve">, food intake or painful behavior in cats that received meloxicam and did not </w:t>
      </w:r>
    </w:p>
    <w:p w14:paraId="7FDC09C5" w14:textId="77777777" w:rsidR="009F6788" w:rsidRDefault="009F6788"/>
    <w:p w14:paraId="5AE48ED1" w14:textId="77777777" w:rsidR="009F6788" w:rsidRDefault="009F6788"/>
    <w:p w14:paraId="19020DBF" w14:textId="77777777" w:rsidR="00EF1AC8" w:rsidRDefault="00EF1AC8"/>
    <w:sectPr w:rsidR="00EF1A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D79"/>
    <w:rsid w:val="000A03BE"/>
    <w:rsid w:val="000A0D79"/>
    <w:rsid w:val="000B3B04"/>
    <w:rsid w:val="00454112"/>
    <w:rsid w:val="00562C43"/>
    <w:rsid w:val="005F1788"/>
    <w:rsid w:val="00640DA6"/>
    <w:rsid w:val="006D58D0"/>
    <w:rsid w:val="009365D6"/>
    <w:rsid w:val="00946CDE"/>
    <w:rsid w:val="009F6788"/>
    <w:rsid w:val="00A64A30"/>
    <w:rsid w:val="00B913E3"/>
    <w:rsid w:val="00C27055"/>
    <w:rsid w:val="00D74CE4"/>
    <w:rsid w:val="00D90C1E"/>
    <w:rsid w:val="00EA44E3"/>
    <w:rsid w:val="00EF1AC8"/>
    <w:rsid w:val="00F31AE9"/>
    <w:rsid w:val="00F6633B"/>
    <w:rsid w:val="00FB6BD8"/>
    <w:rsid w:val="00FE4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C5F30"/>
  <w15:chartTrackingRefBased/>
  <w15:docId w15:val="{D0D06BB6-A97A-4D27-9708-29218001E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971</TotalTime>
  <Pages>4</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Samantha Davis</cp:lastModifiedBy>
  <cp:revision>8</cp:revision>
  <dcterms:created xsi:type="dcterms:W3CDTF">2020-12-09T23:26:00Z</dcterms:created>
  <dcterms:modified xsi:type="dcterms:W3CDTF">2021-01-06T04:01:00Z</dcterms:modified>
</cp:coreProperties>
</file>