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The Veterinary Journal 2019</w:t>
      </w:r>
    </w:p>
    <w:p>
      <w:pPr>
        <w:pStyle w:val="Heading2"/>
      </w:pPr>
      <w:r>
        <w:t xml:space="preserve">Vet J 2019; Vol 243-254</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An open-label randomised clinical trial to compare the efficacy of dietary caloric restriction and physical activity for weight loss in overweight pet dogs.</w:t>
      </w:r>
    </w:p>
    <w:p/>
    <w:p>
      <w:pPr>
        <w:pStyle w:val="Normal"/>
      </w:pPr>
      <w:r>
        <w:rPr>
          <w:color w:val="323232"/>
        </w:rPr>
        <w:t xml:space="preserve">M Chapman, G R T Woods, C Ladha, C Westgarth, and A J German.</w:t>
      </w:r>
    </w:p>
    <w:p/>
    <w:p>
      <w:pPr>
        <w:pStyle w:val="Normal"/>
      </w:pPr>
      <w:r>
        <w:rPr>
          <w:color w:val="323232"/>
        </w:rPr>
        <w:t xml:space="preserve">Canine obesity is usually managed with a combination of dietary caloric restriction and increasing physical activity, but no previous study has compared both of these strategies in a prospective randomised controlled trial. Thirteen overweight dogs (body condition score 6-9/9) were randomised to one of two interventions: dietary caloric restriction or physical activity. The dietary caloric restriction intervention comprised feeding a therapeutic weight loss diet, while the physical activity intervention comprised increasing the dog's current physical activity pattern by at least a third. The primary outcome measure was change in body weight, while secondary outcome measures included change in neck, thorax and abdominal circumference and change in physical activity measured by triaxial accelerometer. Bodyweight decreased significantly with the dietary caloric restriction (median -10% of starting body weight [SBW], 5 to -12%; P=0.028) but not with the physical activity intervention (-2% SBW, +3% to -6%; P=0.107). Abdominal circumference (dietary caloric restriction: median -12.0%; physical activity: median -7.8%, P=0.016) and thoracic circumference (dietary caloric restriction: median -7.5%, P=0.031; physical activity: median -3.6%, P=0.031) changed significantly in both groups. There was no change in activity levels within the dietary caloric restriction group, but vigorous activity increased significantly in the physical activity group (P=0.016). Dietary caloric restriction was more effective than physical activity for controlled weight loss in overweight pet dogs. Although advising owners to increase their dog's activity by a third led to a modest increase in measured vigorous physical activity, this was insufficient to promote weight loss on its own.</w:t>
      </w:r>
    </w:p>
    <w:p/>
    <w:p>
      <w:pPr>
        <w:pStyle w:val="Normal"/>
      </w:pPr>
      <w:r>
        <w:rPr>
          <w:color w:val="323232"/>
        </w:rPr>
        <w:t xml:space="preserve">Vet J, 2019 vol. 243 pp. 65-73.</w:t>
      </w:r>
    </w:p>
    <w:p>
      <w:r>
        <w:rPr>
          <w:rStyle w:val="Hyperlink"/>
        </w:rPr>
        <w:fldChar w:fldCharType="begin"/>
      </w:r>
      <w:r>
        <w:rPr>
          <w:rStyle w:val="Hyperlink"/>
        </w:rPr>
        <w:instrText xml:space="preserve"> HYPERLINK "http://eutils.ncbi.nlm.nih.gov/entrez/eutils/elink.fcgi?dbfrom=pubmed&amp;id=30606441&amp;retmode=ref&amp;cmd=prlinks"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http://eutils.ncbi.nlm.nih.gov/entrez/eutils/elink.fcgi?dbfrom=pubmed&amp;id=30606441&amp;retmode=ref&amp;cmd=prlinks</w:t>
      </w:r>
      <w:r>
        <w:rPr>
          <w:rStyle w:val="Hyperlink"/>
        </w:rPr>
        <w:fldChar w:fldCharType="end"/>
      </w:r>
    </w:p>
    <w:p>
      <w:pPr>
        <w:pStyle w:val="Normal"/>
      </w:pPr>
      <w:r>
        <w:rPr>
          <w:color w:val="323232"/>
        </w:rPr>
        <w:t xml:space="preserve">————————</w:t>
      </w:r>
    </w:p>
    <w:p>
      <w:pPr>
        <w:pStyle w:val="Heading4"/>
      </w:pPr>
      <w:r>
        <w:t xml:space="preserve">Disseminated canine mold infections.</w:t>
      </w:r>
    </w:p>
    <w:p/>
    <w:p>
      <w:pPr>
        <w:pStyle w:val="Normal"/>
      </w:pPr>
      <w:r>
        <w:rPr>
          <w:color w:val="323232"/>
        </w:rPr>
        <w:t xml:space="preserve">Daniel Elad.</w:t>
      </w:r>
    </w:p>
    <w:p/>
    <w:p>
      <w:pPr>
        <w:pStyle w:val="Normal"/>
      </w:pPr>
      <w:r>
        <w:rPr>
          <w:color w:val="323232"/>
        </w:rPr>
        <w:t xml:space="preserve">Disseminated canine mold infections are reviewed. Case inclusion criteria were dogs as hosts, two or more non-adjacent organs affected and identification of the etiological agent at least to the genus level. Of the 157 cases identified, 59.3% were caused by Aspergillus spp. of which 36.3% belonged to the section Terrei. German Shepherd breed dogs constituted 67.8% of the cases, 89.7% of which were caused by fungi of the section Terrei. Female dogs constituted 72.7% of the cases. The average age was 4.3years (range 1-13years). Pathogenesis, especially virulence factors facilitating the hematogenous dissemination, are discussed. Clinical signs reported most frequently included weight loss, lethargy, discospondylitis, osteomyelitis, urinary tract infections, ophthalmitis, head tilt and gait difficulties. Of 50 dogs with data on temperature, 25 had a fever of 40°C (104°F) or above. The most common hematologic and biochemical test result aberrations included increased neutrophil counts and serum protein concentration, azotemia and decreased urine specific gravity. The diagnostic value of fungal antigen detection, antibody titers and imaging are discussed. An attempt to treat was made in 59 (37.6%). Failure and relapses (sometimes after years) were common, but there was some success observed in eight cases. Identification of the gene/s predisposing dogs to disseminated mycoses, increased awareness, improved diagnostic methods and less expensive drugs should contribute to the reduction of disseminated mold infections in dogs in the future.</w:t>
      </w:r>
    </w:p>
    <w:p/>
    <w:p>
      <w:pPr>
        <w:pStyle w:val="Normal"/>
      </w:pPr>
      <w:r>
        <w:rPr>
          <w:color w:val="323232"/>
        </w:rPr>
        <w:t xml:space="preserve">Vet J, 2019 vol. 243 pp. 82-90.</w:t>
      </w:r>
    </w:p>
    <w:p>
      <w:r>
        <w:rPr>
          <w:rStyle w:val="Hyperlink"/>
        </w:rPr>
        <w:fldChar w:fldCharType="begin"/>
      </w:r>
      <w:r>
        <w:rPr>
          <w:rStyle w:val="Hyperlink"/>
        </w:rPr>
        <w:instrText xml:space="preserve"> HYPERLINK "http://eutils.ncbi.nlm.nih.gov/entrez/eutils/elink.fcgi?dbfrom=pubmed&amp;id=30606445&amp;retmode=ref&amp;cmd=prlinks"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http://eutils.ncbi.nlm.nih.gov/entrez/eutils/elink.fcgi?dbfrom=pubmed&amp;id=30606445&amp;retmode=ref&amp;cmd=prlinks</w:t>
      </w:r>
      <w:r>
        <w:rPr>
          <w:rStyle w:val="Hyperlink"/>
        </w:rPr>
        <w:fldChar w:fldCharType="end"/>
      </w:r>
    </w:p>
    <w:p>
      <w:pPr>
        <w:pStyle w:val="Normal"/>
      </w:pPr>
      <w:r>
        <w:rPr>
          <w:color w:val="323232"/>
        </w:rPr>
        <w:t xml:space="preserve">————————</w:t>
      </w:r>
    </w:p>
    <w:p>
      <w:pPr>
        <w:pStyle w:val="Heading4"/>
      </w:pPr>
      <w:r>
        <w:t xml:space="preserve">Effects of oral versus parenteral cobalamin supplementation on methylmalonic acid and homocysteine concentrations in dogs with chronic enteropathies and low cobalamin concentrations.</w:t>
      </w:r>
    </w:p>
    <w:p/>
    <w:p>
      <w:pPr>
        <w:pStyle w:val="Normal"/>
      </w:pPr>
      <w:r>
        <w:rPr>
          <w:color w:val="323232"/>
        </w:rPr>
        <w:t xml:space="preserve">L Toresson, J M Steiner, E Spodsberg, G Olmedal, J S Suchodolski, J A Lidbury, and T Spillmann.</w:t>
      </w:r>
    </w:p>
    <w:p/>
    <w:p>
      <w:pPr>
        <w:pStyle w:val="Normal"/>
      </w:pPr>
      <w:r>
        <w:rPr>
          <w:color w:val="323232"/>
        </w:rPr>
        <w:t xml:space="preserve">The objective of this study was to compare the effects of parenteral (PE) versus oral (PO) cobalamin supplementation on serum methylmalonic acid (MMA) and homocysteine (HCY) concentrations in dogs with hypocobalaminaemia. Thirty-six dogs with serum cobalamin concentrations below 285ng/ L (reference interval (RI): 244-959ng/ L) were treated with PO (0.25-1.0mg daily) or PE cobalamin (0.25-1.2mg/ injection) using a block-randomized schedule. Serum MMA and HCY concentrations were analysed at day 0, 28 and 90 after start of supplementation. There was no significant difference between the PO and PE group regarding serum MMA or HCY concentrations at any time point. Median (range, P comparing baseline and 28 days, P comparing 28days and 90 days) serum MMA concentrations (nmol/ L; RI 415-1193) were 932 (566-2468) in the PO and 943 (508-1900) in the PE group at baseline, respectively, 705 (386-1465, P&lt;0.0001) and 696 (377-932, P&lt;0.0001) after 28 days, and 739 (450-1221, P=0.58) and 690 (349-1145, P=0.76) after 90 days. Serum HCY concentrations (median (range), P comparing baseline and 28 days, P comparing 28days and 90 days, μmol/L; RI 5.9-31.9) in the PO and PE groups were 12.2 (3.3-62.2) and 8.4 (3.7-34.8) at baseline, 12.5 (5.0-45.0, P=0.61) and 8.0 (3.8-18.3, P=0.28) after 28 days, and 17.7 (7.3-60.0 P=0.07) and 12.4 (6.3-33.1, P=0.0007) after 90 days, respectively. Oral and parenteral cobalamin supplementation had the same effect on serum MMA concentrations in this group of dogs.</w:t>
      </w:r>
    </w:p>
    <w:p/>
    <w:p>
      <w:pPr>
        <w:pStyle w:val="Normal"/>
      </w:pPr>
      <w:r>
        <w:rPr>
          <w:color w:val="323232"/>
        </w:rPr>
        <w:t xml:space="preserve">Vet J, 2019 vol. 243 pp. 8-14.</w:t>
      </w:r>
    </w:p>
    <w:p>
      <w:r>
        <w:rPr>
          <w:rStyle w:val="Hyperlink"/>
        </w:rPr>
        <w:fldChar w:fldCharType="begin"/>
      </w:r>
      <w:r>
        <w:rPr>
          <w:rStyle w:val="Hyperlink"/>
        </w:rPr>
        <w:instrText xml:space="preserve"> HYPERLINK "http://eutils.ncbi.nlm.nih.gov/entrez/eutils/elink.fcgi?dbfrom=pubmed&amp;id=30606444&amp;retmode=ref&amp;cmd=prlinks"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http://eutils.ncbi.nlm.nih.gov/entrez/eutils/elink.fcgi?dbfrom=pubmed&amp;id=30606444&amp;retmode=ref&amp;cmd=prlinks</w:t>
      </w:r>
      <w:r>
        <w:rPr>
          <w:rStyle w:val="Hyperlink"/>
        </w:rPr>
        <w:fldChar w:fldCharType="end"/>
      </w:r>
    </w:p>
    <w:p>
      <w:pPr>
        <w:pStyle w:val="Normal"/>
      </w:pPr>
      <w:r>
        <w:rPr>
          <w:color w:val="323232"/>
        </w:rPr>
        <w:t xml:space="preserve">————————</w:t>
      </w:r>
    </w:p>
    <w:p>
      <w:pPr>
        <w:pStyle w:val="Heading4"/>
      </w:pPr>
      <w:r>
        <w:t xml:space="preserve">Holter monitoring demonstrates that ventricular arrhythmias are common in cats with decompensated and compensated hypertrophic cardiomyopathy.</w:t>
      </w:r>
    </w:p>
    <w:p/>
    <w:p>
      <w:pPr>
        <w:pStyle w:val="Normal"/>
      </w:pPr>
      <w:r>
        <w:rPr>
          <w:color w:val="323232"/>
        </w:rPr>
        <w:t xml:space="preserve">U Bartoszuk, B W Keene, M Baron Toaldo, N Pereira, N Summerfield, J Novo Matos, and T M Glaus.</w:t>
      </w:r>
    </w:p>
    <w:p/>
    <w:p>
      <w:pPr>
        <w:pStyle w:val="Normal"/>
      </w:pPr>
      <w:r>
        <w:rPr>
          <w:color w:val="323232"/>
        </w:rPr>
        <w:t xml:space="preserve">Arrhythmias can complicate cardiac disease in cats and are a potential cause of sudden death. The aim of this study was to evaluate the presence and nature of cardiac arrhythmias, and the potential correlation between plasma serum troponin I (cTnI) concentrations and the presence or severity of arrhythmias in cats with decompensated (dHCM) and compensated hypertrophic cardiomyopathy (cHCM). Forty one client-owned cats were studied: 16 with cHCM, 15 with dHCM and 10 healthy control cats. Physical examination, echocardiography, cTnI and 24-h Holter recordings were obtained in all cats and thoracic radiographs in cats with dHCM. Cats in both HCM groups were followed for 1 year after their initial Holter examination. The median (range) number of ventricular premature complexes (VPCs) over 24h was 867 (1-35,160) in cats with dHCM, 431 (0-18,919) in cats with cHCM and 2 (0-13) in healthy control cats. The median number of episodes of ventricular tachycardia (VTach) was 0 (0-1497) in dHCM and 0.5 (0-91) in cats with cHCM. The number of VPCs, VTach episodes and heart rate was not different between the HCM groups. Plasma serum troponin I was highest in the cats with dHCM, but there was no correlation between cTnI concentration and the number of arrhythmias. Thirteen of 31 cats with HCM died, but an association with the presence and complexity of ventricular arrhythmias was not observed. Compared to healthy cats, ventricular arrhythmias were common in cats with cHCM and dHCM, but neither presence nor complexity of arrhythmias could be linked to prognosis.</w:t>
      </w:r>
    </w:p>
    <w:p/>
    <w:p>
      <w:pPr>
        <w:pStyle w:val="Normal"/>
      </w:pPr>
      <w:r>
        <w:rPr>
          <w:color w:val="323232"/>
        </w:rPr>
        <w:t xml:space="preserve">Vet J, 2019 vol. 243 pp. 21-25.</w:t>
      </w:r>
    </w:p>
    <w:p>
      <w:r>
        <w:rPr>
          <w:rStyle w:val="Hyperlink"/>
        </w:rPr>
        <w:fldChar w:fldCharType="begin"/>
      </w:r>
      <w:r>
        <w:rPr>
          <w:rStyle w:val="Hyperlink"/>
        </w:rPr>
        <w:instrText xml:space="preserve"> HYPERLINK "http://eutils.ncbi.nlm.nih.gov/entrez/eutils/elink.fcgi?dbfrom=pubmed&amp;id=30606435&amp;retmode=ref&amp;cmd=prlinks"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http://eutils.ncbi.nlm.nih.gov/entrez/eutils/elink.fcgi?dbfrom=pubmed&amp;id=30606435&amp;retmode=ref&amp;cmd=prlinks</w:t>
      </w:r>
      <w:r>
        <w:rPr>
          <w:rStyle w:val="Hyperlink"/>
        </w:rPr>
        <w:fldChar w:fldCharType="end"/>
      </w:r>
    </w:p>
    <w:p>
      <w:pPr>
        <w:pStyle w:val="Normal"/>
      </w:pPr>
      <w:r>
        <w:rPr>
          <w:color w:val="323232"/>
        </w:rPr>
        <w:t xml:space="preserve">————————</w:t>
      </w:r>
    </w:p>
    <w:p>
      <w:pPr>
        <w:pStyle w:val="Heading4"/>
      </w:pPr>
      <w:r>
        <w:t xml:space="preserve">Interstitial lung diseases in dogs and cats part I: The idiopathic interstitial pneumonias.</w:t>
      </w:r>
    </w:p>
    <w:p/>
    <w:p>
      <w:pPr>
        <w:pStyle w:val="Normal"/>
      </w:pPr>
      <w:r>
        <w:rPr>
          <w:color w:val="323232"/>
        </w:rPr>
        <w:t xml:space="preserve">Carol Reinero.</w:t>
      </w:r>
    </w:p>
    <w:p/>
    <w:p>
      <w:pPr>
        <w:pStyle w:val="Normal"/>
      </w:pPr>
      <w:r>
        <w:rPr>
          <w:color w:val="323232"/>
        </w:rPr>
        <w:t xml:space="preserve">Interstitial lung diseases (ILDs), also called diffuse parenchymal lung diseases, are a large heterogenous group of non-infectious, non-neoplastic disorders characterized by varied patterns of inflammation and fibrosis (Travis et al., 2002). In humans, accurate classification of interstitial lung diseases (ILDs) requires multidisciplinary collaboration between clinicians, radiologists and pathologists. The same is likely to be true for canine and feline ILDs; however, this collaborative approach is rarely taken, leading to a paucity of knowledge of ILDs in small animal species. A proposed classification scheme of canine and feline ILDs, modified from a human classification scheme, consists of three major groups: idiopathic interstitial pneumonias (IIPs), ILDs secondary to known causes, and miscellaneous ILDs (Travis et al., 2002). The focus of this review is on the IIPs in dogs and cats. A framework of what is known about the major IIPs in humans will be used to draw parallels when relevant to the canine and feline species. Differences will also be highlighted. When available from the veterinary literature, clinical presentation, diagnostic results, treatment and/or prognosis will be reported. The review underscores that to advance in our knowledge of veterinary IIPs and other ILDs, clinicopathologic features, advanced imaging and histopathology must be carefully integrated and larger groups of animals studied.</w:t>
      </w:r>
    </w:p>
    <w:p/>
    <w:p>
      <w:pPr>
        <w:pStyle w:val="Normal"/>
      </w:pPr>
      <w:r>
        <w:rPr>
          <w:color w:val="323232"/>
        </w:rPr>
        <w:t xml:space="preserve">Vet J, 2019 vol. 243 pp. 48-54.</w:t>
      </w:r>
    </w:p>
    <w:p>
      <w:r>
        <w:rPr>
          <w:rStyle w:val="Hyperlink"/>
        </w:rPr>
        <w:fldChar w:fldCharType="begin"/>
      </w:r>
      <w:r>
        <w:rPr>
          <w:rStyle w:val="Hyperlink"/>
        </w:rPr>
        <w:instrText xml:space="preserve"> HYPERLINK "http://eutils.ncbi.nlm.nih.gov/entrez/eutils/elink.fcgi?dbfrom=pubmed&amp;id=30606439&amp;retmode=ref&amp;cmd=prlinks"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http://eutils.ncbi.nlm.nih.gov/entrez/eutils/elink.fcgi?dbfrom=pubmed&amp;id=30606439&amp;retmode=ref&amp;cmd=prlinks</w:t>
      </w:r>
      <w:r>
        <w:rPr>
          <w:rStyle w:val="Hyperlink"/>
        </w:rPr>
        <w:fldChar w:fldCharType="end"/>
      </w:r>
    </w:p>
    <w:p>
      <w:pPr>
        <w:pStyle w:val="Normal"/>
      </w:pPr>
      <w:r>
        <w:rPr>
          <w:color w:val="323232"/>
        </w:rPr>
        <w:t xml:space="preserve">————————</w:t>
      </w:r>
    </w:p>
    <w:p>
      <w:pPr>
        <w:pStyle w:val="Heading4"/>
      </w:pPr>
      <w:r>
        <w:t xml:space="preserve">Interstitial lung diseases in dogs and cats part II: Known cause and other discrete forms.</w:t>
      </w:r>
    </w:p>
    <w:p/>
    <w:p>
      <w:pPr>
        <w:pStyle w:val="Normal"/>
      </w:pPr>
      <w:r>
        <w:rPr>
          <w:color w:val="323232"/>
        </w:rPr>
        <w:t xml:space="preserve">Carol Reinero.</w:t>
      </w:r>
    </w:p>
    <w:p/>
    <w:p>
      <w:pPr>
        <w:pStyle w:val="Normal"/>
      </w:pPr>
      <w:r>
        <w:rPr>
          <w:color w:val="323232"/>
        </w:rPr>
        <w:t xml:space="preserve">In addition to idiopathic interstitial pneumonias, interstitial lung diseases (ILDs) can occur secondary to known causes or be classified as discrete syndromes. Also known as diffuse parenchymal lung diseases, the ILDs represent a heterogenous group of non-infectious, non-neoplastic disorders characterized by varied patterns of inflammation and fibrosis. Characteristically associated with the true interstitium (i.e. the anatomic space lined by alveolar epithelial cells and capillary endothelial cells and the loose-binding connective tissue), it is important to understand ILDs are associated with pathology of the distal lung parenchyma and thus lesions can be bronchiolocentric or resemble alveolar filling disorders. Injury to the distal lung can occur via inhalation or hematogenous routes. This review will build on a proposed classification scheme adapted from human medicine to describe known cause and discrete forms of ILDs in dogs and cats.</w:t>
      </w:r>
    </w:p>
    <w:p/>
    <w:p>
      <w:pPr>
        <w:pStyle w:val="Normal"/>
      </w:pPr>
      <w:r>
        <w:rPr>
          <w:color w:val="323232"/>
        </w:rPr>
        <w:t xml:space="preserve">Vet J, 2019 vol. 243 pp. 55-64.</w:t>
      </w:r>
    </w:p>
    <w:p>
      <w:r>
        <w:rPr>
          <w:rStyle w:val="Hyperlink"/>
        </w:rPr>
        <w:fldChar w:fldCharType="begin"/>
      </w:r>
      <w:r>
        <w:rPr>
          <w:rStyle w:val="Hyperlink"/>
        </w:rPr>
        <w:instrText xml:space="preserve"> HYPERLINK "http://eutils.ncbi.nlm.nih.gov/entrez/eutils/elink.fcgi?dbfrom=pubmed&amp;id=30606440&amp;retmode=ref&amp;cmd=prlinks"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http://eutils.ncbi.nlm.nih.gov/entrez/eutils/elink.fcgi?dbfrom=pubmed&amp;id=30606440&amp;retmode=ref&amp;cmd=prlinks</w:t>
      </w:r>
      <w:r>
        <w:rPr>
          <w:rStyle w:val="Hyperlink"/>
        </w:rPr>
        <w:fldChar w:fldCharType="end"/>
      </w:r>
    </w:p>
    <w:p>
      <w:pPr>
        <w:pStyle w:val="Normal"/>
      </w:pPr>
      <w:r>
        <w:rPr>
          <w:color w:val="323232"/>
        </w:rPr>
        <w:t xml:space="preserve">————————</w:t>
      </w:r>
    </w:p>
    <w:p>
      <w:pPr>
        <w:pStyle w:val="Heading4"/>
      </w:pPr>
      <w:r>
        <w:t xml:space="preserve">Quantitative sensory testing in dogs with painful disease: A window to pain mechanisms?.</w:t>
      </w:r>
    </w:p>
    <w:p/>
    <w:p>
      <w:pPr>
        <w:pStyle w:val="Normal"/>
      </w:pPr>
      <w:r>
        <w:rPr>
          <w:color w:val="323232"/>
        </w:rPr>
        <w:t xml:space="preserve">James Hunt, David Knazovicky, B Duncan X Lascelles, and Jo Murrell.</w:t>
      </w:r>
    </w:p>
    <w:p/>
    <w:p>
      <w:pPr>
        <w:pStyle w:val="Normal"/>
      </w:pPr>
      <w:r>
        <w:rPr>
          <w:color w:val="323232"/>
        </w:rPr>
        <w:t xml:space="preserve">Evaluation of the response to externally applied physical stimuli, such as pressure, heat, or cold is termed quantitative sensory testing (QST). QST may be used to identify and quantify alterations (gain or loss) in function of the sensory systems which detect and mediate these phenomena in both man and animals, and potentially discriminate peripheral and central sensitisation. It has been postulated that evaluation of QST parameters may predict response to analgesics, ultimately increasing the individualisation of treatment for pain. However, while there do appear to be correlations between QST measures and responses to analgesics in man, there is currently insufficient evidence to recommend QST to direct clinical treatments. The use of psychophysical testing, such as QST, in non-verbal subjects presents additional challenges, and requires familiarity with species and individual responses. This narrative review describes the investigations into QST in clinical populations of dogs to date, and discusses the potential benefits and limitations of such testing.</w:t>
      </w:r>
    </w:p>
    <w:p/>
    <w:p>
      <w:pPr>
        <w:pStyle w:val="Normal"/>
      </w:pPr>
      <w:r>
        <w:rPr>
          <w:color w:val="323232"/>
        </w:rPr>
        <w:t xml:space="preserve">Vet J, 2019 vol. 243 pp. 33-41.</w:t>
      </w:r>
    </w:p>
    <w:p>
      <w:r>
        <w:rPr>
          <w:rStyle w:val="Hyperlink"/>
        </w:rPr>
        <w:fldChar w:fldCharType="begin"/>
      </w:r>
      <w:r>
        <w:rPr>
          <w:rStyle w:val="Hyperlink"/>
        </w:rPr>
        <w:instrText xml:space="preserve"> HYPERLINK "http://eutils.ncbi.nlm.nih.gov/entrez/eutils/elink.fcgi?dbfrom=pubmed&amp;id=30606437&amp;retmode=ref&amp;cmd=prlinks"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http://eutils.ncbi.nlm.nih.gov/entrez/eutils/elink.fcgi?dbfrom=pubmed&amp;id=30606437&amp;retmode=ref&amp;cmd=prlinks</w:t>
      </w:r>
      <w:r>
        <w:rPr>
          <w:rStyle w:val="Hyperlink"/>
        </w:rPr>
        <w:fldChar w:fldCharType="end"/>
      </w:r>
    </w:p>
    <w:p>
      <w:pPr>
        <w:pStyle w:val="Normal"/>
      </w:pPr>
      <w:r>
        <w:rPr>
          <w:color w:val="323232"/>
        </w:rPr>
        <w:t xml:space="preserve">————————</w:t>
      </w:r>
    </w:p>
    <w:p>
      <w:pPr>
        <w:pStyle w:val="Heading4"/>
      </w:pPr>
      <w:r>
        <w:t xml:space="preserve">Serum cobalamin and folate as prognostic factors in canine exocrine pancreatic insufficiency: An observational cohort study of 299 dogs.</w:t>
      </w:r>
    </w:p>
    <w:p/>
    <w:p>
      <w:pPr>
        <w:pStyle w:val="Normal"/>
      </w:pPr>
      <w:r>
        <w:rPr>
          <w:color w:val="323232"/>
        </w:rPr>
        <w:t xml:space="preserve">N Soetart, D Rochel, A Drut, and L Jaillardon.</w:t>
      </w:r>
    </w:p>
    <w:p/>
    <w:p>
      <w:pPr>
        <w:pStyle w:val="Normal"/>
      </w:pPr>
      <w:r>
        <w:rPr>
          <w:color w:val="323232"/>
        </w:rPr>
        <w:t xml:space="preserve">Exocrine pancreatic insufficiency (EPI) in dogs is a gastrointestinal condition leading to a severe impairment of nutrient absorption. The disease is frequently associated with vitamin disturbances especially regarding cobalamin and folate. Dogs with EPI need daily expensive supportive treatment. The aim of the present study was to identify prognostic factors for EPI in dogs, through a long-term survival study of 299 dogs, taking into account epidemiological, clinical, biological and therapeutic data, with particular emphasis on serum cobalamin and folate concentration. The prevalence of low serum cobalamin (cobalamin&lt;350ng</w:t>
      </w:r>
      <w:r>
        <w:rPr>
          <w:i w:val="1"/>
          <w:color w:val="323232"/>
        </w:rPr>
        <w:t xml:space="preserve">L) and high serum folate (folate&gt;12μg</w:t>
      </w:r>
      <w:r>
        <w:rPr>
          <w:color w:val="323232"/>
        </w:rPr>
        <w:t xml:space="preserve">L) concentrations were 67% (200/299) and 55% (164/299), respectively. Dogs with hypocobalaminemia at diagnosis were significantly older than those with serum cobalamin concentration within the reference interval (P&lt;0.001). Hypocobalaminemia at diagnosis (P=0.04), male sex (P=0.01), decreased appetite at diagnosis (P=0.008) and not receiving enzyme replacement therapy (P=0.003) were significant and independent risk factors for decreased survival in EPI. In contrast, hyperfolatemia was associated with improved prognosis (P=0.02). These results confirm the importance of measuring serum cobalamin and folate concentrations at the time EPI is diagnosed, as hypocobalaminemia is negatively associated with prognosis, particularly in the absence of a high serum folate concentration.</w:t>
      </w:r>
    </w:p>
    <w:p/>
    <w:p>
      <w:pPr>
        <w:pStyle w:val="Normal"/>
      </w:pPr>
      <w:r>
        <w:rPr>
          <w:color w:val="323232"/>
        </w:rPr>
        <w:t xml:space="preserve">Vet J, 2019 vol. 243 pp. 15-20.</w:t>
      </w:r>
    </w:p>
    <w:p>
      <w:r>
        <w:rPr>
          <w:rStyle w:val="Hyperlink"/>
        </w:rPr>
        <w:fldChar w:fldCharType="begin"/>
      </w:r>
      <w:r>
        <w:rPr>
          <w:rStyle w:val="Hyperlink"/>
        </w:rPr>
        <w:instrText xml:space="preserve"> HYPERLINK "http://eutils.ncbi.nlm.nih.gov/entrez/eutils/elink.fcgi?dbfrom=pubmed&amp;id=30606434&amp;retmode=ref&amp;cmd=prlinks"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http://eutils.ncbi.nlm.nih.gov/entrez/eutils/elink.fcgi?dbfrom=pubmed&amp;id=30606434&amp;retmode=ref&amp;cmd=prlinks</w:t>
      </w:r>
      <w:r>
        <w:rPr>
          <w:rStyle w:val="Hyperlink"/>
        </w:rPr>
        <w:fldChar w:fldCharType="end"/>
      </w:r>
    </w:p>
    <w:p>
      <w:pPr>
        <w:pStyle w:val="Normal"/>
      </w:pPr>
      <w:r>
        <w:rPr>
          <w:color w:val="323232"/>
        </w:rPr>
        <w:t xml:space="preserve">————————</w:t>
      </w:r>
    </w:p>
    <w:p>
      <w:pPr>
        <w:pStyle w:val="Heading4"/>
      </w:pPr>
      <w:r>
        <w:t xml:space="preserve">Urinary heat shock protein-72: A novel marker of acute kidney injury and chronic kidney disease in cats.</w:t>
      </w:r>
    </w:p>
    <w:p/>
    <w:p>
      <w:pPr>
        <w:pStyle w:val="Normal"/>
      </w:pPr>
      <w:r>
        <w:rPr>
          <w:color w:val="323232"/>
        </w:rPr>
        <w:t xml:space="preserve">H Chen, Y Avital, Y Bruchim, I Aroch, and G Segev.</w:t>
      </w:r>
    </w:p>
    <w:p/>
    <w:p>
      <w:pPr>
        <w:pStyle w:val="Normal"/>
      </w:pPr>
      <w:r>
        <w:rPr>
          <w:color w:val="323232"/>
        </w:rPr>
        <w:t xml:space="preserve">Acute kidney injury (AKI) in cats is associated with high mortality, partially attributed to late recognition of the disease when using currently available markers. Feline chronic kidney disease (CKD) has a variable progression rate. This study aimed to evaluate the sensitivity and specificity of urinary heat shock protein-72 to urinary creatinine ratio (uHSP72:uCr) as a diagnostic and prognostic marker in feline AKI, and as a prognostic indicator in feline CKD. The study included 63 cats, divided into five groups: healthy controls (n=10), urethral obstruction (UO; n=7), CKD (n=15), AKI (16 cats) and acute decompensating CKD (ACKD; n=15). Median uHSP72:uCr (ng/ mg) of healthy, UO, CKD, AKI and ACKD cats were 0.44 (range, 0.13-1.1), 1.96 (range, 0.64-11.9), 4.2ng/ mg (range, 0.57-22.16), 3.2 (range, 0.42-10.91) and 7.0 (range, 1.2-20.96), respectively, and differed (P&lt;0.001) among groups. uHSP72:uCr was significantly lower in the controls vs. the CKD, AKI and ACKD groups. Receiver operator characteristic analysis of uHSP72:uCr, including the AKI and control groups, showed an area under the curve of 0.93 (95% confidence interval, 0.84-1.00), indicating an excellent predictive performance for diagnosing AKI. A 0.54ng/ mg cutoff point corresponded to 94% sensitivity and 70% specificity for diagnosing AKI. The median survival time of cats with CKD with low uHSP72:uCr was longer (P=0.036) than in those with high uHSP72:uCr (561 vs. 112 days, respectively). uHSP72:uCr is a highly sensitive, moderately specific marker of AKI in cats, and is associated with the survival of cats with CKD.</w:t>
      </w:r>
    </w:p>
    <w:p/>
    <w:p>
      <w:pPr>
        <w:pStyle w:val="Normal"/>
      </w:pPr>
      <w:r>
        <w:rPr>
          <w:color w:val="323232"/>
        </w:rPr>
        <w:t xml:space="preserve">Vet J, 2019 vol. 243 pp. 77-81.</w:t>
      </w:r>
    </w:p>
    <w:p>
      <w:r>
        <w:rPr>
          <w:rStyle w:val="Hyperlink"/>
        </w:rPr>
        <w:fldChar w:fldCharType="begin"/>
      </w:r>
      <w:r>
        <w:rPr>
          <w:rStyle w:val="Hyperlink"/>
        </w:rPr>
        <w:instrText xml:space="preserve"> HYPERLINK "http://eutils.ncbi.nlm.nih.gov/entrez/eutils/elink.fcgi?dbfrom=pubmed&amp;id=30606443&amp;retmode=ref&amp;cmd=prlinks"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http://eutils.ncbi.nlm.nih.gov/entrez/eutils/elink.fcgi?dbfrom=pubmed&amp;id=30606443&amp;retmode=ref&amp;cmd=prlinks</w:t>
      </w:r>
      <w:r>
        <w:rPr>
          <w:rStyle w:val="Hyperlink"/>
        </w:rPr>
        <w:fldChar w:fldCharType="end"/>
      </w:r>
    </w:p>
    <w:p>
      <w:pPr>
        <w:pStyle w:val="Normal"/>
      </w:pPr>
      <w:r>
        <w:rPr>
          <w:color w:val="323232"/>
        </w:rPr>
        <w:t xml:space="preserve">————————</w:t>
      </w:r>
    </w:p>
    <w:p>
      <w:pPr>
        <w:pStyle w:val="Heading4"/>
      </w:pPr>
      <w:r>
        <w:t xml:space="preserve">Associations between increased body condition score, bodyweight, age and breed with urethral obstruction in male castrated cats.</w:t>
      </w:r>
    </w:p>
    <w:p/>
    <w:p>
      <w:pPr>
        <w:pStyle w:val="Normal"/>
      </w:pPr>
      <w:r>
        <w:rPr>
          <w:color w:val="323232"/>
        </w:rPr>
        <w:t xml:space="preserve">A Jukes, M Lui, J M Morton, R Marshall, N Yeow, and M Gunew.</w:t>
      </w:r>
    </w:p>
    <w:p/>
    <w:p>
      <w:pPr>
        <w:pStyle w:val="Normal"/>
      </w:pPr>
      <w:r>
        <w:rPr>
          <w:color w:val="323232"/>
        </w:rPr>
        <w:t xml:space="preserve">Identifying potential risk factors for urethral obstruction in male cats may help in disease prevention. The aims of this study were to assess whether breed, pedigree status, age, bodyweight and body condition score (BCS) are risk factors for urethral obstruction in castrated male cats using a primary care population. Within this, a specific question was whether any increase in rate of urethral obstruction in male cats due to excess body condition is because of higher bodyweight. A retrospective hospital-based matched case-control study was performed using 195 cases of urethral obstruction in castrated male cats and 195 control consultations for cats presenting to a feline-only first opinion veterinary practice in Brisbane, Australia. The incidence rate of urethral obstruction did not vary significantly with bodyweight but increased with BCS (incidence rate ratio 1.6; 95% CI 1.2-2.1; P&lt;0.001). The effect of BCS was not due to high BCS cats having higher bodyweights. The incidence was lower in Burmese cats compared to Domestic shorthair cats (incidence rate ratio 0.1; 95% CI 0.0-0.4; P=0.001), and higher in non-pedigree cats compared to pedigree cats (incidence rate ratio 2.8; 95% CI 1.7-4.6; P&lt;0.001). Incidence rate ratios increased with age to 2 to 4years (the ages with highest incidences) then progressively declined with each additional year of age. Further research is needed to define why there is a positive association between BCS and rate of urethral obstruction. In the interim, clinicians should encourage owners of castrated male pet cats to ensure their cat's BCS is not high.</w:t>
      </w:r>
    </w:p>
    <w:p/>
    <w:p>
      <w:pPr>
        <w:pStyle w:val="Normal"/>
      </w:pPr>
      <w:r>
        <w:rPr>
          <w:color w:val="323232"/>
        </w:rPr>
        <w:t xml:space="preserve">Vet J, 2019 vol. 244 pp. 7-12.</w:t>
      </w:r>
    </w:p>
    <w:p>
      <w:r>
        <w:rPr>
          <w:rStyle w:val="Hyperlink"/>
        </w:rPr>
        <w:fldChar w:fldCharType="begin"/>
      </w:r>
      <w:r>
        <w:rPr>
          <w:rStyle w:val="Hyperlink"/>
        </w:rPr>
        <w:instrText xml:space="preserve"> HYPERLINK "http://eutils.ncbi.nlm.nih.gov/entrez/eutils/elink.fcgi?dbfrom=pubmed&amp;id=30825898&amp;retmode=ref&amp;cmd=prlinks"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http://eutils.ncbi.nlm.nih.gov/entrez/eutils/elink.fcgi?dbfrom=pubmed&amp;id=30825898&amp;retmode=ref&amp;cmd=prlinks</w:t>
      </w:r>
      <w:r>
        <w:rPr>
          <w:rStyle w:val="Hyperlink"/>
        </w:rPr>
        <w:fldChar w:fldCharType="end"/>
      </w:r>
    </w:p>
    <w:p>
      <w:pPr>
        <w:pStyle w:val="Normal"/>
      </w:pPr>
      <w:r>
        <w:rPr>
          <w:color w:val="323232"/>
        </w:rPr>
        <w:t xml:space="preserve">————————</w:t>
      </w:r>
    </w:p>
    <w:p>
      <w:pPr>
        <w:pStyle w:val="Heading4"/>
      </w:pPr>
      <w:r>
        <w:t xml:space="preserve">Clinical comparison of two techniques of brachial plexus block for forelimb surgery in dogs.</w:t>
      </w:r>
    </w:p>
    <w:p/>
    <w:p>
      <w:pPr>
        <w:pStyle w:val="Normal"/>
      </w:pPr>
      <w:r>
        <w:rPr>
          <w:color w:val="323232"/>
        </w:rPr>
        <w:t xml:space="preserve">L Benigni, P Lafuente, and J Viscasillas.</w:t>
      </w:r>
    </w:p>
    <w:p/>
    <w:p>
      <w:pPr>
        <w:pStyle w:val="Normal"/>
      </w:pPr>
      <w:r>
        <w:rPr>
          <w:color w:val="323232"/>
        </w:rPr>
        <w:t xml:space="preserve">The objective of this study was to compare two different local anaesthesia techniques for intraoperative analgesia in dogs undergoing surgical procedures distal to the mid humeral diaphysis. Thirty-two dogs were divided into two groups: the US group received an ultrasound-guided brachial plexus block at the level of the first rib and the N group received a neurostimulation-guided paravertebral brachial plexus block. Ropivacaine 0.75% at 1.5mg/ kg was injected in each case. Dogs were monitored during the surgical procedure, and rescue analgesia was administered whenever the heart rate, respiratory rate or blood pressure increased more than 20% from the basal values. Success rate was defined as no need for rescue analgesia during surgery and complete blockade of the operated leg evaluated just after anaesthesia recovery. Complications were also recorded. Data was analysed using Fisher exact and Mann/Whitney tests. Success rate was observed in 14/16 (87%) dogs and in 12/16 (75%) dogs in the US and N groups, respectively (P=0.65). Complications recorded were hypotension in three cases (US group, n=1; N group, n=2) and Horner's syndrome in three cases (US group, n=1; N group, n=2; P=0.65). Both techniques were found to provide good level of analgesia that allowed performing the orthopaedic procedures from the mid humeral diaphysis and distal in the limb, without the need for further analgesia.</w:t>
      </w:r>
    </w:p>
    <w:p/>
    <w:p>
      <w:pPr>
        <w:pStyle w:val="Normal"/>
      </w:pPr>
      <w:r>
        <w:rPr>
          <w:color w:val="323232"/>
        </w:rPr>
        <w:t xml:space="preserve">Vet J, 2019 vol. 244 pp. 23-27.</w:t>
      </w:r>
    </w:p>
    <w:p>
      <w:r>
        <w:rPr>
          <w:rStyle w:val="Hyperlink"/>
        </w:rPr>
        <w:fldChar w:fldCharType="begin"/>
      </w:r>
      <w:r>
        <w:rPr>
          <w:rStyle w:val="Hyperlink"/>
        </w:rPr>
        <w:instrText xml:space="preserve"> HYPERLINK "http://eutils.ncbi.nlm.nih.gov/entrez/eutils/elink.fcgi?dbfrom=pubmed&amp;id=30825890&amp;retmode=ref&amp;cmd=prlinks"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http://eutils.ncbi.nlm.nih.gov/entrez/eutils/elink.fcgi?dbfrom=pubmed&amp;id=30825890&amp;retmode=ref&amp;cmd=prlinks</w:t>
      </w:r>
      <w:r>
        <w:rPr>
          <w:rStyle w:val="Hyperlink"/>
        </w:rPr>
        <w:fldChar w:fldCharType="end"/>
      </w:r>
    </w:p>
    <w:p>
      <w:pPr>
        <w:pStyle w:val="Normal"/>
      </w:pPr>
      <w:r>
        <w:rPr>
          <w:color w:val="323232"/>
        </w:rPr>
        <w:t xml:space="preserve">————————</w:t>
      </w:r>
    </w:p>
    <w:p>
      <w:pPr>
        <w:pStyle w:val="Heading4"/>
      </w:pPr>
      <w:r>
        <w:t xml:space="preserve">Clinical presentation, diagnostic findings, prognostic factors, treatment and outcome in dogs with meningoencephalomyelitis of unknown origin: A review.</w:t>
      </w:r>
    </w:p>
    <w:p/>
    <w:p>
      <w:pPr>
        <w:pStyle w:val="Normal"/>
      </w:pPr>
      <w:r>
        <w:rPr>
          <w:color w:val="323232"/>
        </w:rPr>
        <w:t xml:space="preserve">I Cornelis, L Van Ham, I Gielen, S De Decker, and S F M Bhatti.</w:t>
      </w:r>
    </w:p>
    <w:p/>
    <w:p>
      <w:pPr>
        <w:pStyle w:val="Normal"/>
      </w:pPr>
      <w:r>
        <w:rPr>
          <w:color w:val="323232"/>
        </w:rPr>
        <w:t xml:space="preserve">Meningoencephalomyelitis of unknown origin (MUO) encompasses a group of idiopathic, most likely immune mediated, inflammatory central nervous system diseases that cause clinical, diagnostic and treatment challenges to veterinary neurologists. Clinical criteria for obtaining this presumptive diagnosis are currently available, and multiple treatment protocols have previously been investigated in small (prospective or retrospective) case series. As this group of diseases is considered fatal if left untreated, the identification of clinically usable prognostic indices could be of great value. This review provides an overview of recent developments in the clinical presentation, diagnostic findings, possible prognostic factors, treatment and outcome in dogs diagnosed with MUO.</w:t>
      </w:r>
    </w:p>
    <w:p/>
    <w:p>
      <w:pPr>
        <w:pStyle w:val="Normal"/>
      </w:pPr>
      <w:r>
        <w:rPr>
          <w:color w:val="323232"/>
        </w:rPr>
        <w:t xml:space="preserve">Vet J, 2019 vol. 244 pp. 37-44.</w:t>
      </w:r>
    </w:p>
    <w:p>
      <w:r>
        <w:rPr>
          <w:rStyle w:val="Hyperlink"/>
        </w:rPr>
        <w:fldChar w:fldCharType="begin"/>
      </w:r>
      <w:r>
        <w:rPr>
          <w:rStyle w:val="Hyperlink"/>
        </w:rPr>
        <w:instrText xml:space="preserve"> HYPERLINK "http://eutils.ncbi.nlm.nih.gov/entrez/eutils/elink.fcgi?dbfrom=pubmed&amp;id=30825893&amp;retmode=ref&amp;cmd=prlinks"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http://eutils.ncbi.nlm.nih.gov/entrez/eutils/elink.fcgi?dbfrom=pubmed&amp;id=30825893&amp;retmode=ref&amp;cmd=prlinks</w:t>
      </w:r>
      <w:r>
        <w:rPr>
          <w:rStyle w:val="Hyperlink"/>
        </w:rPr>
        <w:fldChar w:fldCharType="end"/>
      </w:r>
    </w:p>
    <w:p>
      <w:pPr>
        <w:pStyle w:val="Normal"/>
      </w:pPr>
      <w:r>
        <w:rPr>
          <w:color w:val="323232"/>
        </w:rPr>
        <w:t xml:space="preserve">————————</w:t>
      </w:r>
    </w:p>
    <w:p>
      <w:pPr>
        <w:pStyle w:val="Heading4"/>
      </w:pPr>
      <w:r>
        <w:t xml:space="preserve">Heart-fatty acid binding protein in dogs with degenerative valvular disease and dilated cardiomyopathy.</w:t>
      </w:r>
    </w:p>
    <w:p/>
    <w:p>
      <w:pPr>
        <w:pStyle w:val="Normal"/>
      </w:pPr>
      <w:r>
        <w:rPr>
          <w:color w:val="323232"/>
        </w:rPr>
        <w:t xml:space="preserve">C Lam, D Casamian-Sorrosal, G Monteith, and S Fonfara.</w:t>
      </w:r>
    </w:p>
    <w:p/>
    <w:p>
      <w:pPr>
        <w:pStyle w:val="Normal"/>
      </w:pPr>
      <w:r>
        <w:rPr>
          <w:color w:val="323232"/>
        </w:rPr>
        <w:t xml:space="preserve">The study objective was to investigate heart-fatty acid binding protein (HFABP) concentrations in dogs with degenerative valvular disease (MVD) and dilated cardiomyopathy (DCM), and its potential as a prognostic factor. Plasma HFABP, N-terminal pro brain natriuretic peptide (NTproBNP) and serum cardiac troponin I (cTnI) levels were measured in 21 control dogs, 23 dogs with MVD and 13 dogs with DCM, with repeated sampling at 1 and 3 months after initial presentation. All dogs were followed up after 6 and 12 months to verify survival. Heart-fatty acid binding protein concentrations were significantly higher in dogs with MVD and DCM than controls at initial presentation, and after 1 month in dogs with MVD. For dogs with DCM, a significant reduction in HFABP levels over time was observed. Comparing ACVIM stages, highest HFABP concentrations were detected in ACVIM stage C dogs compared to stage B, with the lowest levels seen in controls, and a reduction over time in stage C dogs was present. Similarly, cTnI concentrations were higher in DCM and stage C in comparison to control dogs and reduced over time, while NTproBNP concentrations were only higher in diseased dogs at 1 month. Heart-fatty acid binding protein and cTnI levels at initial presentation and ACVIM disease stage were independent predictors of survival in a univariate analysis. The elevation of HFABP in dogs with MVD and DCM in comparison to controls, its association with disease severity, and its potential in predicting reduced survival, suggest that HFABP might be useful as marker for canine MVD and DCM.</w:t>
      </w:r>
    </w:p>
    <w:p/>
    <w:p>
      <w:pPr>
        <w:pStyle w:val="Normal"/>
      </w:pPr>
      <w:r>
        <w:rPr>
          <w:color w:val="323232"/>
        </w:rPr>
        <w:t xml:space="preserve">Vet J, 2019 vol. 244 pp. 16-22.</w:t>
      </w:r>
    </w:p>
    <w:p>
      <w:r>
        <w:rPr>
          <w:rStyle w:val="Hyperlink"/>
        </w:rPr>
        <w:fldChar w:fldCharType="begin"/>
      </w:r>
      <w:r>
        <w:rPr>
          <w:rStyle w:val="Hyperlink"/>
        </w:rPr>
        <w:instrText xml:space="preserve"> HYPERLINK "http://eutils.ncbi.nlm.nih.gov/entrez/eutils/elink.fcgi?dbfrom=pubmed&amp;id=30825889&amp;retmode=ref&amp;cmd=prlinks"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http://eutils.ncbi.nlm.nih.gov/entrez/eutils/elink.fcgi?dbfrom=pubmed&amp;id=30825889&amp;retmode=ref&amp;cmd=prlinks</w:t>
      </w:r>
      <w:r>
        <w:rPr>
          <w:rStyle w:val="Hyperlink"/>
        </w:rPr>
        <w:fldChar w:fldCharType="end"/>
      </w:r>
    </w:p>
    <w:p>
      <w:pPr>
        <w:pStyle w:val="Normal"/>
      </w:pPr>
      <w:r>
        <w:rPr>
          <w:color w:val="323232"/>
        </w:rPr>
        <w:t xml:space="preserve">————————</w:t>
      </w:r>
    </w:p>
    <w:p>
      <w:pPr>
        <w:pStyle w:val="Heading4"/>
      </w:pPr>
      <w:r>
        <w:t xml:space="preserve">Myxomatous mitral valve disease in the miniature poodle: A retrospective study.</w:t>
      </w:r>
    </w:p>
    <w:p/>
    <w:p>
      <w:pPr>
        <w:pStyle w:val="Normal"/>
      </w:pPr>
      <w:r>
        <w:rPr>
          <w:color w:val="323232"/>
        </w:rPr>
        <w:t xml:space="preserve">K M Meurs, D Adin, K O'Donnell, B W Keene, C E Atkins, T DeFrancesco, and S Tou.</w:t>
      </w:r>
    </w:p>
    <w:p/>
    <w:p>
      <w:pPr>
        <w:pStyle w:val="Normal"/>
      </w:pPr>
      <w:r>
        <w:rPr>
          <w:color w:val="323232"/>
        </w:rPr>
        <w:t xml:space="preserve">Myxomatous mitral valve disease (MMVD) is the most common cardiovascular disease in the dog. The natural history of the disease is wide ranging and includes patients without clinical signs as well as those with significant clinical consequences from cardiac arrhythmias, pulmonary hypertension and/or congestive heart failure. The factors that determine which dogs remain asymptomatic and which develop clinical disease are not known. Disease characteristics could be breed or family related; some breeds of dogs, particularly the Cavalier King Charles spaniels, develop MMVD at an early age. The purpose of this study was to retrospectively characterize MMVD in the miniature poodle, a commonly affected breed in which MMVD has not been well characterized. Thirty-two miniature poodles met the inclusion criteria. Mean age was 11±three years. Clinical signs included exercise intolerance, syncope and coughing. Eighteen dogs were classified as ACVIM Stage B1, 12 as stage B2, and two as stage C. Mean vertebral heart scale (VHS) was 10.2 (±standard deviation of 0.9); 15 of 28 dogs had a VHS &lt;10.3. One dog had radiographic evidence of congestive heart failure. Mean diastolic left ventricle dimension normalized to body weight was 1.6 (±0.4) and mean systolic was 0.8 (±0.3). Mitral valve prolapse was subjectively classified as mild or moderate in 19 dogs and severe in two. In the miniature poodles reported here, MMVD appears to be a fairly late onset disease and often is a mild phenotype.</w:t>
      </w:r>
    </w:p>
    <w:p/>
    <w:p>
      <w:pPr>
        <w:pStyle w:val="Normal"/>
      </w:pPr>
      <w:r>
        <w:rPr>
          <w:color w:val="323232"/>
        </w:rPr>
        <w:t xml:space="preserve">Vet J, 2019 vol. 244 pp. 94-97.</w:t>
      </w:r>
    </w:p>
    <w:p>
      <w:r>
        <w:rPr>
          <w:rStyle w:val="Hyperlink"/>
        </w:rPr>
        <w:fldChar w:fldCharType="begin"/>
      </w:r>
      <w:r>
        <w:rPr>
          <w:rStyle w:val="Hyperlink"/>
        </w:rPr>
        <w:instrText xml:space="preserve"> HYPERLINK "http://eutils.ncbi.nlm.nih.gov/entrez/eutils/elink.fcgi?dbfrom=pubmed&amp;id=30825902&amp;retmode=ref&amp;cmd=prlinks"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http://eutils.ncbi.nlm.nih.gov/entrez/eutils/elink.fcgi?dbfrom=pubmed&amp;id=30825902&amp;retmode=ref&amp;cmd=prlinks</w:t>
      </w:r>
      <w:r>
        <w:rPr>
          <w:rStyle w:val="Hyperlink"/>
        </w:rPr>
        <w:fldChar w:fldCharType="end"/>
      </w:r>
    </w:p>
    <w:p>
      <w:pPr>
        <w:pStyle w:val="Normal"/>
      </w:pPr>
      <w:r>
        <w:rPr>
          <w:color w:val="323232"/>
        </w:rPr>
        <w:t xml:space="preserve">————————</w:t>
      </w:r>
    </w:p>
    <w:p>
      <w:pPr>
        <w:pStyle w:val="Heading4"/>
      </w:pPr>
      <w:r>
        <w:t xml:space="preserve">Reactive seizures in cats: A retrospective study of 64 cases.</w:t>
      </w:r>
    </w:p>
    <w:p/>
    <w:p>
      <w:pPr>
        <w:pStyle w:val="Normal"/>
      </w:pPr>
      <w:r>
        <w:rPr>
          <w:color w:val="323232"/>
        </w:rPr>
        <w:t xml:space="preserve">M Kwiatkowska, S Hoppe, A Pomianowski, and A Tipold.</w:t>
      </w:r>
    </w:p>
    <w:p/>
    <w:p>
      <w:pPr>
        <w:pStyle w:val="Normal"/>
      </w:pPr>
      <w:r>
        <w:rPr>
          <w:color w:val="323232"/>
        </w:rPr>
        <w:t xml:space="preserve">Epileptic seizures are a common indication for neurological evaluation. This retrospective study reviewed 789 cats referred for epileptic seizure evaluation to the Department of Small Animal Medicine and Surgery of the University of Veterinary Medicine in Hannover, between 1998 and 2017. The aim of this study was to determine common causes for reactive seizures (RS) in cats. Reactive seizures were diagnosed in 62 (7.9%) of 789 feline patients. The most common cause of RS was presumptive or confirmed intoxication (n=34/62; 54.8%). Toxins included permethrin (n=5/62; 8.1%), fipronil (n=1/62; 1.6%), and pesticide (n=1/62; 1.6%). Other common causes were hepatic and renal encephalopathy (n=6/62; 9.7% each), hypertension (n=5/62; 8.1%), hyperthyroidism (n=3/62; 4.8%), hypoglycaemia (n=3/62; 4.8%), and hyperglycaemia (n=1/62; 1.6%). Most commonly, cats with RS presented with generalised tonic-clonic seizures (n=25/62; 40.3%). A single status epilepticus was observed in 9.7% (n=6/62) and 4.8% (n=3/62) presented only with cluster seizures. Focal seizures were the only presenting sign in 3.2% (n=2/62) of cases, however in 4.8% (n=3/62) they were accompanied by tonic-clonic seizures. The mean age of all cats presented for RS was 10.8 years. In the intoxication group, the mean age was 2.9 years. Intoxication (confirmed or presumptive) was the most common cause of RS identified. Clinicians should suspect intoxication when other causes of RS are excluded; when there are appropriate historical findings; when the cat is frequently unobserved by the owner; when symptomatic treatment leads to cessation of epileptic seizures; and when seizures do not recur after treatment has been discontinued.</w:t>
      </w:r>
    </w:p>
    <w:p/>
    <w:p>
      <w:pPr>
        <w:pStyle w:val="Normal"/>
      </w:pPr>
      <w:r>
        <w:rPr>
          <w:color w:val="323232"/>
        </w:rPr>
        <w:t xml:space="preserve">Vet J, 2019 vol. 244 pp. 1-6.</w:t>
      </w:r>
    </w:p>
    <w:p>
      <w:r>
        <w:rPr>
          <w:rStyle w:val="Hyperlink"/>
        </w:rPr>
        <w:fldChar w:fldCharType="begin"/>
      </w:r>
      <w:r>
        <w:rPr>
          <w:rStyle w:val="Hyperlink"/>
        </w:rPr>
        <w:instrText xml:space="preserve"> HYPERLINK "http://eutils.ncbi.nlm.nih.gov/entrez/eutils/elink.fcgi?dbfrom=pubmed&amp;id=30825884&amp;retmode=ref&amp;cmd=prlinks"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http://eutils.ncbi.nlm.nih.gov/entrez/eutils/elink.fcgi?dbfrom=pubmed&amp;id=30825884&amp;retmode=ref&amp;cmd=prlinks</w:t>
      </w:r>
      <w:r>
        <w:rPr>
          <w:rStyle w:val="Hyperlink"/>
        </w:rPr>
        <w:fldChar w:fldCharType="end"/>
      </w:r>
    </w:p>
    <w:p>
      <w:pPr>
        <w:pStyle w:val="Normal"/>
      </w:pPr>
      <w:r>
        <w:rPr>
          <w:color w:val="323232"/>
        </w:rPr>
        <w:t xml:space="preserve">————————</w:t>
      </w:r>
    </w:p>
    <w:p>
      <w:pPr>
        <w:pStyle w:val="Heading4"/>
      </w:pPr>
      <w:r>
        <w:t xml:space="preserve">Acute pancreatitis and acute kidney injury in dogs.</w:t>
      </w:r>
    </w:p>
    <w:p/>
    <w:p>
      <w:pPr>
        <w:pStyle w:val="Normal"/>
      </w:pPr>
      <w:r>
        <w:rPr>
          <w:color w:val="323232"/>
        </w:rPr>
        <w:t xml:space="preserve">E Gori, I Lippi, G Guidi, F Perondi, A Pierini, and V Marchetti.</w:t>
      </w:r>
    </w:p>
    <w:p/>
    <w:p>
      <w:pPr>
        <w:pStyle w:val="Normal"/>
      </w:pPr>
      <w:r>
        <w:rPr>
          <w:color w:val="323232"/>
        </w:rPr>
        <w:t xml:space="preserve">Acute pancreatitis and acute kidney injury are well-documented comorbidities in human medicine. Dogs that develop acute kidney injury during hospitalization have significantly higher mortality rates than those that do not. The aim of this study was to evaluate the prevalence of acute kidney injury in dogs with acute pancreatitis and the prognostic value of various clinicopathological parameters. Cases of acute pancreatitis presented between January 2012 and June 2016 were identified. The diagnosis of acute pancreatitis was based on two or more of the following clinical signs: abdominal pain, diarrhea, vomiting or anorexia/hyporexia, no other abdominal extra-pancreatic diseases at abdominal ultrasound, and abnormal SNAP cPL test. Diagnosis of acute kidney injury was based on the guidelines of the International Renal Interest Society. Dogs were classified into survivors and non-survivors. Serum creatinine, urea, amylase, total calcium, total cholesterol, C-reactive protein, WBC and band neutrophils were evaluated at admission. Clinical severity index was calculated at admission. Clinical and clinicopathological data were compared between survivors and non-survivors. Sixty-five dogs with acute pancreatitis were assessed. Clinical severity index≥6.5 were associated with poor outcome (P=0.0011). Serum urea and creatinine concentrations at admission were significantly lower in survivors than non-survivors (P&lt;0.0001 and P=0.0002, respectively). Acute kidney injury was diagnosed in 17/65 dogs (26.2%) and was associated with poor outcome (P&lt;0.0001). Oligo-anuria was associated with poor outcome (P=0.0294). Increased clinical severity index and azotemia in dogs with acute pancreatitis were associated with an increased risk of mortality. Acute kidney injury may be a comorbidity of canine acute pancreatitis. The presence of oligo-anuria is associated with poor outcome.</w:t>
      </w:r>
    </w:p>
    <w:p/>
    <w:p>
      <w:pPr>
        <w:pStyle w:val="Normal"/>
      </w:pPr>
      <w:r>
        <w:rPr>
          <w:color w:val="323232"/>
        </w:rPr>
        <w:t xml:space="preserve">Vet J, 2019 vol. 245 pp. 77-81.</w:t>
      </w:r>
    </w:p>
    <w:p>
      <w:r>
        <w:rPr>
          <w:rStyle w:val="Hyperlink"/>
        </w:rPr>
        <w:fldChar w:fldCharType="begin"/>
      </w:r>
      <w:r>
        <w:rPr>
          <w:rStyle w:val="Hyperlink"/>
        </w:rPr>
        <w:instrText xml:space="preserve"> HYPERLINK "http://eutils.ncbi.nlm.nih.gov/entrez/eutils/elink.fcgi?dbfrom=pubmed&amp;id=30819430&amp;retmode=ref&amp;cmd=prlinks"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http://eutils.ncbi.nlm.nih.gov/entrez/eutils/elink.fcgi?dbfrom=pubmed&amp;id=30819430&amp;retmode=ref&amp;cmd=prlinks</w:t>
      </w:r>
      <w:r>
        <w:rPr>
          <w:rStyle w:val="Hyperlink"/>
        </w:rPr>
        <w:fldChar w:fldCharType="end"/>
      </w:r>
    </w:p>
    <w:p>
      <w:pPr>
        <w:pStyle w:val="Normal"/>
      </w:pPr>
      <w:r>
        <w:rPr>
          <w:color w:val="323232"/>
        </w:rPr>
        <w:t xml:space="preserve">————————</w:t>
      </w:r>
    </w:p>
    <w:p>
      <w:pPr>
        <w:pStyle w:val="Heading4"/>
      </w:pPr>
      <w:r>
        <w:t xml:space="preserve">Dilated cardiomyopathy in 151 Irish Wolfhounds: Characteristic clinical findings, life expectancy and causes of death.</w:t>
      </w:r>
    </w:p>
    <w:p/>
    <w:p>
      <w:pPr>
        <w:pStyle w:val="Normal"/>
      </w:pPr>
      <w:r>
        <w:rPr>
          <w:color w:val="323232"/>
        </w:rPr>
        <w:t xml:space="preserve">C Vollmar, A Vollmar, B W Keene, P R Fox, S Reese, and B Kohn.</w:t>
      </w:r>
    </w:p>
    <w:p/>
    <w:p>
      <w:pPr>
        <w:pStyle w:val="Normal"/>
      </w:pPr>
      <w:r>
        <w:rPr>
          <w:color w:val="323232"/>
        </w:rPr>
        <w:t xml:space="preserve">Dilated cardiomyopathy (DCM) is an important cause of morbidity in Irish Wolfhounds (IW), a breed also predisposed to neoplastic and orthopedic diseases that shorten life expectancy. The objective of this study was to investigate survival and causes of death in IW with DCM and to characterise the clinical findings of DCM over time. Data from cardiovascular examinations performed in 1591 IW, including echocardiography and electrocardiography, were retrospectively evaluated. IW with DCM on medical therapy with long term longitudinal follow-up were included in this study (n=151; 95 males, 56 females). Based on their clinical status at initial diagnosis, IW were classified into one of three groups: preclinical DCM with sinus rhythm (PC-DCM-SR, n=35), preclinical DCM with atrial fibrillation (PC-DCM-AF, n=87), and congestive heart failure with DCM and AF (CHF-DCM-AF, n=29). Survival data were analyzed using cumulative incidence functions, Kaplan-Meier and Cox regression. CHF was predominantly characterized by chylous pleural and mild pericardial effusions. Causes of death were cardiac (CD) in 73/151 and non-cardiac (non-CD) in 62/151; 16 dogs remained alive at study end. The majority of deaths in both preclinical DCM groups were non-CD (PC-DCM-AF=51.9% non-CD, 48.1% CD; PC-DCM-SR, 65.5% non-CD, 34.5% CD). In the CHF-DCM-AF group most dogs (89.6%) experienced a CD. Median survival of the CHF-DCM-AF group (7.3 months) was significantly shorter than in the PC-DCM-AF group (21.9 months) or PC-DCM-SR group (29.1 months, P=0.001). CHF-DCM-AF in IW was associated with reduced life expectancy and CD, while most IW with preclinical DCM died from non-cardiac causes.</w:t>
      </w:r>
    </w:p>
    <w:p/>
    <w:p>
      <w:pPr>
        <w:pStyle w:val="Normal"/>
      </w:pPr>
      <w:r>
        <w:rPr>
          <w:color w:val="323232"/>
        </w:rPr>
        <w:t xml:space="preserve">Vet J, 2019 vol. 245 pp. 15-21.</w:t>
      </w:r>
    </w:p>
    <w:p>
      <w:r>
        <w:rPr>
          <w:rStyle w:val="Hyperlink"/>
        </w:rPr>
        <w:fldChar w:fldCharType="begin"/>
      </w:r>
      <w:r>
        <w:rPr>
          <w:rStyle w:val="Hyperlink"/>
        </w:rPr>
        <w:instrText xml:space="preserve"> HYPERLINK "http://eutils.ncbi.nlm.nih.gov/entrez/eutils/elink.fcgi?dbfrom=pubmed&amp;id=30819421&amp;retmode=ref&amp;cmd=prlinks"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http://eutils.ncbi.nlm.nih.gov/entrez/eutils/elink.fcgi?dbfrom=pubmed&amp;id=30819421&amp;retmode=ref&amp;cmd=prlinks</w:t>
      </w:r>
      <w:r>
        <w:rPr>
          <w:rStyle w:val="Hyperlink"/>
        </w:rPr>
        <w:fldChar w:fldCharType="end"/>
      </w:r>
    </w:p>
    <w:p>
      <w:pPr>
        <w:pStyle w:val="Normal"/>
      </w:pPr>
      <w:r>
        <w:rPr>
          <w:color w:val="323232"/>
        </w:rPr>
        <w:t xml:space="preserve">————————</w:t>
      </w:r>
    </w:p>
    <w:p>
      <w:pPr>
        <w:pStyle w:val="Heading4"/>
      </w:pPr>
      <w:r>
        <w:t xml:space="preserve">Effect of two treatments on changes in serum acute phase protein concentrations in dogs with clinical leishmaniosis.</w:t>
      </w:r>
    </w:p>
    <w:p/>
    <w:p>
      <w:pPr>
        <w:pStyle w:val="Normal"/>
      </w:pPr>
      <w:r>
        <w:rPr>
          <w:color w:val="323232"/>
        </w:rPr>
        <w:t xml:space="preserve">M A Daza González, C Fragío Arnold, M Fermín Rodríguez, R Checa, A Montoya, M Portero Fuentes, C Rupérez Noguer, S Martínez Subiela, J J Cerón, and G Miró.</w:t>
      </w:r>
    </w:p>
    <w:p/>
    <w:p>
      <w:pPr>
        <w:pStyle w:val="Normal"/>
      </w:pPr>
      <w:r>
        <w:rPr>
          <w:color w:val="323232"/>
        </w:rPr>
        <w:t xml:space="preserve">The objective of this study was to compare changes in serum concentrations of acute phase proteins (APPs) and paraoxanase (PON-1) in response to two treatments in dogs with leishmaniosis (CanL). For this purpose, 20 dogs with CanL were assigned to two treatment groups: antimonial plus allopurinol (Group G, n=12) and miltefosine plus allopurinol (Group M, n=8). Serum concentrations of PON-1 and APPs including C-reactive protein, haptoglobin (Hp), ferritin (Ft) and albumin were monitored over a period of 3 months after treatment. At the beginning of the study (day 0), most of the dogs had APP abnormalities. None of the variables differed significantly between groups in the first or subsequent visits. There was a significantly higher reduction in serum Ft in Group G than in Group M from day 0 to day 30 (P=0.0085), and also from day 0 to day 90 (P=0.0214). There was a higher increase in serum PON-1 in Group G than in than Group M from day 0 to day 30 (P=0.0039), and also from day 0 to day 90 (P=0.0404). This is the first report of APPs in dogs with natural clinical leishmaniosis treated with miltefosine. There was faster resolution of serum APP concentrations in dogs treated with antimonials (P&lt;0.05).</w:t>
      </w:r>
    </w:p>
    <w:p/>
    <w:p>
      <w:pPr>
        <w:pStyle w:val="Normal"/>
      </w:pPr>
      <w:r>
        <w:rPr>
          <w:color w:val="323232"/>
        </w:rPr>
        <w:t xml:space="preserve">Vet J, 2019 vol. 245 pp. 22-28.</w:t>
      </w:r>
    </w:p>
    <w:p>
      <w:r>
        <w:rPr>
          <w:rStyle w:val="Hyperlink"/>
        </w:rPr>
        <w:fldChar w:fldCharType="begin"/>
      </w:r>
      <w:r>
        <w:rPr>
          <w:rStyle w:val="Hyperlink"/>
        </w:rPr>
        <w:instrText xml:space="preserve"> HYPERLINK "http://eutils.ncbi.nlm.nih.gov/entrez/eutils/elink.fcgi?dbfrom=pubmed&amp;id=30819422&amp;retmode=ref&amp;cmd=prlinks"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http://eutils.ncbi.nlm.nih.gov/entrez/eutils/elink.fcgi?dbfrom=pubmed&amp;id=30819422&amp;retmode=ref&amp;cmd=prlinks</w:t>
      </w:r>
      <w:r>
        <w:rPr>
          <w:rStyle w:val="Hyperlink"/>
        </w:rPr>
        <w:fldChar w:fldCharType="end"/>
      </w:r>
    </w:p>
    <w:p>
      <w:pPr>
        <w:pStyle w:val="Normal"/>
      </w:pPr>
      <w:r>
        <w:rPr>
          <w:color w:val="323232"/>
        </w:rPr>
        <w:t xml:space="preserve">————————</w:t>
      </w:r>
    </w:p>
    <w:p>
      <w:pPr>
        <w:pStyle w:val="Heading4"/>
      </w:pPr>
      <w:r>
        <w:t xml:space="preserve">Effects of high-dose alacepril on left atrial pressure and central aortic pressure in awake dogs with mitral valve regurgitation.</w:t>
      </w:r>
    </w:p>
    <w:p/>
    <w:p>
      <w:pPr>
        <w:pStyle w:val="Normal"/>
      </w:pPr>
      <w:r>
        <w:rPr>
          <w:color w:val="323232"/>
        </w:rPr>
        <w:t xml:space="preserve">Seijirow Goya, Tomoki Wada, Kazumi Shimada, Daiki Hirao, and Ryou Tanaka.</w:t>
      </w:r>
    </w:p>
    <w:p/>
    <w:p>
      <w:pPr>
        <w:pStyle w:val="Normal"/>
      </w:pPr>
      <w:r>
        <w:rPr>
          <w:color w:val="323232"/>
        </w:rPr>
        <w:t xml:space="preserve">The purpose of this study was to clarify how alacepril in amounts greater than those recommended on the product labeling approved by drug regulatory agencies affects left atrial pressure (LAP) and central aortic pressure in dogs with experimentally induced mitral valve regurgitation (MR). Six healthy Beagle dogs were surgically induced for MR and received alacepril at either 1.5mg/ kg/ 12-h (3.0mg/ kg/ day) or 3.0mg/ kg/ 12-h (6.0mg</w:t>
      </w:r>
      <w:r>
        <w:rPr>
          <w:i w:val="1"/>
          <w:color w:val="323232"/>
        </w:rPr>
        <w:t xml:space="preserve">kg</w:t>
      </w:r>
      <w:r>
        <w:rPr>
          <w:color w:val="323232"/>
        </w:rPr>
        <w:t xml:space="preserve">day) per one administration for seven days. After a four-week washout period, another dosage was administrated as a crossover study. Dogs were randomised to receive 3.0mg/ kg/ day or 6.0mg/ kg/ day first. LAP and central systolic (SAP), mean (MAP), and diastolic (DAP) aortic pressure were measured for 24-h before and during the administration of alacepril. The earliest decreases in SAP, MAP, and DAP with 6.0mg/ kg/ day were observed on days 4, 4, and 5, respectively. With 3.0mg/ kg/ day, the earliest decrease in DAP was observed on day 7. The maximum LAP was decreased on days 5 and 7 with 6.0mg</w:t>
      </w:r>
      <w:r>
        <w:rPr>
          <w:i w:val="1"/>
          <w:color w:val="323232"/>
        </w:rPr>
        <w:t xml:space="preserve">kg</w:t>
      </w:r>
      <w:r>
        <w:rPr>
          <w:color w:val="323232"/>
        </w:rPr>
        <w:t xml:space="preserve">day. The mean LAP was decreased on day 7 with 6.0mg</w:t>
      </w:r>
      <w:r>
        <w:rPr>
          <w:i w:val="1"/>
          <w:color w:val="323232"/>
        </w:rPr>
        <w:t xml:space="preserve">kg</w:t>
      </w:r>
      <w:r>
        <w:rPr>
          <w:color w:val="323232"/>
        </w:rPr>
        <w:t xml:space="preserve">day. In conclusion, the administration of alacepril at 6.0mg</w:t>
      </w:r>
      <w:r>
        <w:rPr>
          <w:i w:val="1"/>
          <w:color w:val="323232"/>
        </w:rPr>
        <w:t xml:space="preserve">kg</w:t>
      </w:r>
      <w:r>
        <w:rPr>
          <w:color w:val="323232"/>
        </w:rPr>
        <w:t xml:space="preserve">day reduced the LAP and central aortic pressure within several days.</w:t>
      </w:r>
    </w:p>
    <w:p/>
    <w:p>
      <w:pPr>
        <w:pStyle w:val="Normal"/>
      </w:pPr>
      <w:r>
        <w:rPr>
          <w:color w:val="323232"/>
        </w:rPr>
        <w:t xml:space="preserve">Vet J, 2019 vol. 245 pp. 7-11.</w:t>
      </w:r>
    </w:p>
    <w:p>
      <w:r>
        <w:rPr>
          <w:rStyle w:val="Hyperlink"/>
        </w:rPr>
        <w:fldChar w:fldCharType="begin"/>
      </w:r>
      <w:r>
        <w:rPr>
          <w:rStyle w:val="Hyperlink"/>
        </w:rPr>
        <w:instrText xml:space="preserve"> HYPERLINK "http://eutils.ncbi.nlm.nih.gov/entrez/eutils/elink.fcgi?dbfrom=pubmed&amp;id=30819428&amp;retmode=ref&amp;cmd=prlinks"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http://eutils.ncbi.nlm.nih.gov/entrez/eutils/elink.fcgi?dbfrom=pubmed&amp;id=30819428&amp;retmode=ref&amp;cmd=prlinks</w:t>
      </w:r>
      <w:r>
        <w:rPr>
          <w:rStyle w:val="Hyperlink"/>
        </w:rPr>
        <w:fldChar w:fldCharType="end"/>
      </w:r>
    </w:p>
    <w:p>
      <w:pPr>
        <w:pStyle w:val="Normal"/>
      </w:pPr>
      <w:r>
        <w:rPr>
          <w:color w:val="323232"/>
        </w:rPr>
        <w:t xml:space="preserve">————————</w:t>
      </w:r>
    </w:p>
    <w:p>
      <w:pPr>
        <w:pStyle w:val="Heading4"/>
      </w:pPr>
      <w:r>
        <w:t xml:space="preserve">Testing for food-specific antibodies in saliva and blood of food allergic and healthy dogs.</w:t>
      </w:r>
    </w:p>
    <w:p/>
    <w:p>
      <w:pPr>
        <w:pStyle w:val="Normal"/>
      </w:pPr>
      <w:r>
        <w:rPr>
          <w:color w:val="323232"/>
        </w:rPr>
        <w:t xml:space="preserve">L Udraite Vovk, A Watson, W J Dodds, C J Klinger, J Classen, and R S Mueller.</w:t>
      </w:r>
    </w:p>
    <w:p/>
    <w:p>
      <w:pPr>
        <w:pStyle w:val="Normal"/>
      </w:pPr>
      <w:r>
        <w:rPr>
          <w:color w:val="323232"/>
        </w:rPr>
        <w:t xml:space="preserve">An elimination diet (ED) followed by re-challenge has been the reference standard to diagnose adverse food reactions (AFR) in dogs, but can be challenging to conduct. This study investigated the accuracy of a saliva-based test for food-specific IgA and IgM and an ELISA serum test for food-specific IgE. Three groups of dogs were tested. Group 1 (n=11) included dogs with previously diagnosed and controlled AFR; group 2 (n=15) comprised dogs with allergic dermatitis at the beginning of their ED; and group 3 (n=16) was composed of clinically healthy research dogs. Saliva samples were collected from all groups and blood samples from group 1 and group 3. The results of clinical re-challenges with individual food components were compared with the test results. Specificity, sensitivity, positive and negative predictive values and likelihood ratios were determined. Forty-one dogs completed the study; one dog was lost to follow up. There was a total of 163 re-challenges. Sensitivity, positive predictive value and likelihood ratio, specificity, negative predictive value and likelihood ratios were unsatisfactory for both tests in most instances, except for IgM testing in group 2, which had moderate specificity. There was no clear difference in the number of positive reactions between the allergic dogs and healthy dogs from a research population. Based on these results, the saliva test for food specific IgA and IgM and the ELISA serum test for food specific IgE were not reliable to diagnose adverse food reactions in dogs. Until more data are available, elimination diets remain the reference standard in the diagnosis of this disease.</w:t>
      </w:r>
    </w:p>
    <w:p/>
    <w:p>
      <w:pPr>
        <w:pStyle w:val="Normal"/>
      </w:pPr>
      <w:r>
        <w:rPr>
          <w:color w:val="323232"/>
        </w:rPr>
        <w:t xml:space="preserve">Vet J, 2019 vol. 245 pp. 1-6.</w:t>
      </w:r>
    </w:p>
    <w:p>
      <w:r>
        <w:rPr>
          <w:rStyle w:val="Hyperlink"/>
        </w:rPr>
        <w:fldChar w:fldCharType="begin"/>
      </w:r>
      <w:r>
        <w:rPr>
          <w:rStyle w:val="Hyperlink"/>
        </w:rPr>
        <w:instrText xml:space="preserve"> HYPERLINK "http://eutils.ncbi.nlm.nih.gov/entrez/eutils/elink.fcgi?dbfrom=pubmed&amp;id=30819419&amp;retmode=ref&amp;cmd=prlinks"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http://eutils.ncbi.nlm.nih.gov/entrez/eutils/elink.fcgi?dbfrom=pubmed&amp;id=30819419&amp;retmode=ref&amp;cmd=prlinks</w:t>
      </w:r>
      <w:r>
        <w:rPr>
          <w:rStyle w:val="Hyperlink"/>
        </w:rPr>
        <w:fldChar w:fldCharType="end"/>
      </w:r>
    </w:p>
    <w:p>
      <w:pPr>
        <w:pStyle w:val="Normal"/>
      </w:pPr>
      <w:r>
        <w:rPr>
          <w:color w:val="323232"/>
        </w:rPr>
        <w:t xml:space="preserve">————————</w:t>
      </w:r>
    </w:p>
    <w:p>
      <w:pPr>
        <w:pStyle w:val="Heading4"/>
      </w:pPr>
      <w:r>
        <w:t xml:space="preserve">An update on the treatment of canine monocytic ehrlichiosis (Ehrlichia canis).</w:t>
      </w:r>
    </w:p>
    <w:p/>
    <w:p>
      <w:pPr>
        <w:pStyle w:val="Normal"/>
      </w:pPr>
      <w:r>
        <w:rPr>
          <w:color w:val="323232"/>
        </w:rPr>
        <w:t xml:space="preserve">Mathios E Mylonakis, Shimon Harrus, and Edward B Breitschwerdt.</w:t>
      </w:r>
    </w:p>
    <w:p/>
    <w:p>
      <w:pPr>
        <w:pStyle w:val="Normal"/>
      </w:pPr>
      <w:r>
        <w:rPr>
          <w:color w:val="323232"/>
        </w:rPr>
        <w:t xml:space="preserve">Canine monocytic ehrlichiosis (CME), caused by Ehrlichia canis, a gram-negative, obligate intracellular bacterium, is a tick-borne disease of worldwide distribution. Experimentally, the course of E. canis infection can be sequentially divided into acute, subclinical and chronic phases, although distinction of these phases is challenging in the clinical setting. Spontaneous clinical recovery of acutely infected dogs is common; however, dogs at this stage require medical treatment in order to hasten their clinical recovery, and to prevent clinical exacerbation or death. An unpredictable proportion of subclinically infected dogs will eventually develop the chronic, severe form of ehrlichiosis, characterized by aplastic pancytopenia and high mortality. The aims of antimicrobial treatment in CME include the achievement of clinical remission, resolution of the clinicopathologic abnormalities, and eradication of the infection, although the latter is not always feasible or diagnostically confirmable. Treatment of dogs with aplastic pancytopenia should be undertaken with the clear understanding that medical management will require long-term care, will be expensive, and may eventually prove ineffective. This manuscript reviews the current state of knowledge regarding treatment of ehrlichiosis, caused by E. canis infection in dogs, provides expert opinion guidelines for the management of the CME-associated aplastic pancytopenia, and outlines methods for evaluation of treatment outcomes.</w:t>
      </w:r>
    </w:p>
    <w:p/>
    <w:p>
      <w:pPr>
        <w:pStyle w:val="Normal"/>
      </w:pPr>
      <w:r>
        <w:rPr>
          <w:color w:val="323232"/>
        </w:rPr>
        <w:t xml:space="preserve">Vet J, 2019 vol. 246 pp. 45-53.</w:t>
      </w:r>
    </w:p>
    <w:p>
      <w:r>
        <w:rPr>
          <w:rStyle w:val="Hyperlink"/>
        </w:rPr>
        <w:fldChar w:fldCharType="begin"/>
      </w:r>
      <w:r>
        <w:rPr>
          <w:rStyle w:val="Hyperlink"/>
        </w:rPr>
        <w:instrText xml:space="preserve"> HYPERLINK "http://eutils.ncbi.nlm.nih.gov/entrez/eutils/elink.fcgi?dbfrom=pubmed&amp;id=30902188&amp;retmode=ref&amp;cmd=prlinks"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http://eutils.ncbi.nlm.nih.gov/entrez/eutils/elink.fcgi?dbfrom=pubmed&amp;id=30902188&amp;retmode=ref&amp;cmd=prlinks</w:t>
      </w:r>
      <w:r>
        <w:rPr>
          <w:rStyle w:val="Hyperlink"/>
        </w:rPr>
        <w:fldChar w:fldCharType="end"/>
      </w:r>
    </w:p>
    <w:p>
      <w:pPr>
        <w:pStyle w:val="Normal"/>
      </w:pPr>
      <w:r>
        <w:rPr>
          <w:color w:val="323232"/>
        </w:rPr>
        <w:t xml:space="preserve">————————</w:t>
      </w:r>
    </w:p>
    <w:p>
      <w:pPr>
        <w:pStyle w:val="Heading4"/>
      </w:pPr>
      <w:r>
        <w:t xml:space="preserve">CT-based anatomical features of large airway and heart volume in dogs of different body size.</w:t>
      </w:r>
    </w:p>
    <w:p/>
    <w:p>
      <w:pPr>
        <w:pStyle w:val="Normal"/>
      </w:pPr>
      <w:r>
        <w:rPr>
          <w:color w:val="323232"/>
        </w:rPr>
        <w:t xml:space="preserve">T Uehara, K Orito, and Y Fujii.</w:t>
      </w:r>
    </w:p>
    <w:p/>
    <w:p>
      <w:pPr>
        <w:pStyle w:val="Normal"/>
      </w:pPr>
      <w:r>
        <w:rPr>
          <w:color w:val="323232"/>
        </w:rPr>
        <w:t xml:space="preserve">Differences in the prevalence and clinical signs of cardiopulmonary diseases in dogs of different body sizes have been reported. It was hypothesized that the anatomical features of the heart and large airways varies by body size in dogs and might influence clinical manifestations of cardiopulmonary disease. The purpose of this study was to compare various anatomical features of the thoracic organs (heart, trachea, etc.) in dogs according to body size using computed tomography (CT) images. Dogs without clinically significant heart and lung disease (n=226) that underwent CT were divided into three groups on the basis of bodyweight: small (&lt;7kg), medium (7-20kg), and large (&gt;20kg). The following parameters were calculated from CT images using OsiriX and compared among groups: relative heart volume (heart volume/ thoracic volume), relative distance from mainstem bronchi to vertebra (distance from mainstem bronchi to vertebra/ heart length), longitudinal/ transverse diameter ratio of trachea, and angle of bronchus. Small dogs had larger hearts relative to their thorax, a shorter distance from the heart to the vertebra, and laterally-elongated oval-shaped tracheas, compared to medium and/or large dogs. These differences in anatomical features according to body size may potentially contribute to different clinical manifestations when the heart is enlarged.</w:t>
      </w:r>
    </w:p>
    <w:p/>
    <w:p>
      <w:pPr>
        <w:pStyle w:val="Normal"/>
      </w:pPr>
      <w:r>
        <w:rPr>
          <w:color w:val="323232"/>
        </w:rPr>
        <w:t xml:space="preserve">Vet J, 2019 vol. 246 pp. 21-26.</w:t>
      </w:r>
    </w:p>
    <w:p>
      <w:r>
        <w:rPr>
          <w:rStyle w:val="Hyperlink"/>
        </w:rPr>
        <w:fldChar w:fldCharType="begin"/>
      </w:r>
      <w:r>
        <w:rPr>
          <w:rStyle w:val="Hyperlink"/>
        </w:rPr>
        <w:instrText xml:space="preserve"> HYPERLINK "http://eutils.ncbi.nlm.nih.gov/entrez/eutils/elink.fcgi?dbfrom=pubmed&amp;id=30902185&amp;retmode=ref&amp;cmd=prlinks"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http://eutils.ncbi.nlm.nih.gov/entrez/eutils/elink.fcgi?dbfrom=pubmed&amp;id=30902185&amp;retmode=ref&amp;cmd=prlinks</w:t>
      </w:r>
      <w:r>
        <w:rPr>
          <w:rStyle w:val="Hyperlink"/>
        </w:rPr>
        <w:fldChar w:fldCharType="end"/>
      </w:r>
    </w:p>
    <w:p>
      <w:pPr>
        <w:pStyle w:val="Normal"/>
      </w:pPr>
      <w:r>
        <w:rPr>
          <w:color w:val="323232"/>
        </w:rPr>
        <w:t xml:space="preserve">————————</w:t>
      </w:r>
    </w:p>
    <w:p>
      <w:pPr>
        <w:pStyle w:val="Heading4"/>
      </w:pPr>
      <w:r>
        <w:t xml:space="preserve">International Society for Companion Animal Infectious Diseases (ISCAID) guidelines for the diagnosis and management of bacterial urinary tract infections in dogs and cats.</w:t>
      </w:r>
    </w:p>
    <w:p/>
    <w:p>
      <w:pPr>
        <w:pStyle w:val="Normal"/>
      </w:pPr>
      <w:r>
        <w:rPr>
          <w:color w:val="323232"/>
        </w:rPr>
        <w:t xml:space="preserve">J Scott Weese, Joseph Blondeau, Dawn Boothe, Luca G Guardabassi, Nigel Gumley, Mark Papich, Lisbeth Rem Jessen, Michael Lappin, Shelley Rankin, Jodi L Westropp, and Jane Sykes.</w:t>
      </w:r>
    </w:p>
    <w:p/>
    <w:p>
      <w:pPr>
        <w:pStyle w:val="Normal"/>
      </w:pPr>
      <w:r>
        <w:rPr>
          <w:color w:val="323232"/>
        </w:rPr>
        <w:t xml:space="preserve">The Veterinary Journal, 247 (2019) 8-25. doi:10.1016/j.tvjl.2019.02.008</w:t>
      </w:r>
    </w:p>
    <w:p/>
    <w:p>
      <w:pPr>
        <w:pStyle w:val="Normal"/>
      </w:pPr>
      <w:r>
        <w:rPr>
          <w:color w:val="323232"/>
        </w:rPr>
        <w:t xml:space="preserve">The Veterinary Journal, 2019 vol. 247 pp. 8-25.</w:t>
      </w:r>
    </w:p>
    <w:p>
      <w:r>
        <w:rPr>
          <w:rStyle w:val="Hyperlink"/>
        </w:rPr>
        <w:fldChar w:fldCharType="begin"/>
      </w:r>
      <w:r>
        <w:rPr>
          <w:rStyle w:val="Hyperlink"/>
        </w:rPr>
        <w:instrText xml:space="preserve"> HYPERLINK "http://eutils.ncbi.nlm.nih.gov/entrez/eutils/elink.fcgi?dbfrom=pubmed&amp;id=30971357&amp;retmode=ref&amp;cmd=prlinks"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http://eutils.ncbi.nlm.nih.gov/entrez/eutils/elink.fcgi?dbfrom=pubmed&amp;id=30971357&amp;retmode=ref&amp;cmd=prlinks</w:t>
      </w:r>
      <w:r>
        <w:rPr>
          <w:rStyle w:val="Hyperlink"/>
        </w:rPr>
        <w:fldChar w:fldCharType="end"/>
      </w:r>
    </w:p>
    <w:p>
      <w:pPr>
        <w:pStyle w:val="Normal"/>
      </w:pPr>
      <w:r>
        <w:rPr>
          <w:color w:val="323232"/>
        </w:rPr>
        <w:t xml:space="preserve">————————</w:t>
      </w:r>
    </w:p>
    <w:p>
      <w:pPr>
        <w:pStyle w:val="Heading4"/>
      </w:pPr>
      <w:r>
        <w:t xml:space="preserve">Pre-test probability of urinary tract infection in dogs with clinical signs of lower urinary tract disease.</w:t>
      </w:r>
    </w:p>
    <w:p/>
    <w:p>
      <w:pPr>
        <w:pStyle w:val="Normal"/>
      </w:pPr>
      <w:r>
        <w:rPr>
          <w:color w:val="323232"/>
        </w:rPr>
        <w:t xml:space="preserve">T M Sørensen, M Holmslykke, M Nordlund, V Siersma, and L R Jessen.</w:t>
      </w:r>
    </w:p>
    <w:p/>
    <w:p>
      <w:pPr>
        <w:pStyle w:val="Normal"/>
      </w:pPr>
      <w:r>
        <w:rPr>
          <w:color w:val="323232"/>
        </w:rPr>
        <w:t xml:space="preserve">Clinical signs of lower urinary tract disease in dogs are characteristic but non-specific for infection. It has been hypothesized that age, sex and neuter status influences the prevalence of urinary tract infection (UTI), but the predictive value of the combined clinical presentation has not been explored in dogs. The aim of the study was to assess clinical predictors (sex</w:t>
      </w:r>
      <w:r>
        <w:rPr>
          <w:i w:val="1"/>
          <w:color w:val="323232"/>
        </w:rPr>
        <w:t xml:space="preserve">neuter status, age, dysuria</w:t>
      </w:r>
      <w:r>
        <w:rPr>
          <w:color w:val="323232"/>
        </w:rPr>
        <w:t xml:space="preserve">stranguria, pollakiuria, macroscopic hematuria, malodorous urine and history of recurrent UTI) for bacterial cystitis, and to develop a clinical decision rule. Data was retrieved from medical records (retrospective cases) or from standardized recording sheets (prospective cases). Bacterial cystitis was defined as significant bacteriuria on quantitative bacterial culture in dogs with compatible clinical signs of urinary tract disease. Dogs of any breed, sex and age were included. A total of 1727 microbiology records were screened and 424 samples were included in the analysis. Bacterial cystitis was confirmed in 46% of the cases. Four variables predicted bacterial cystitis: sex/neuter status, age, pollakiuria and hematuria. A score was designated to each variable and a clinical rule was constructed. This rule attained an AUC of 0.75 and had sensitivity of 83% and specificity of 55% at its optimal cut-off (score ≥2.0). A score cut-off of ≥3.0 had a positive predictive value of 70%. Several factors predicted bacterial cystitis, but the clinical rule had only modest predictive value. Other variables or point-of-care test results should be included in future research to optimize overall precision.</w:t>
      </w:r>
    </w:p>
    <w:p/>
    <w:p>
      <w:pPr>
        <w:pStyle w:val="Normal"/>
      </w:pPr>
      <w:r>
        <w:rPr>
          <w:color w:val="323232"/>
        </w:rPr>
        <w:t xml:space="preserve">Vet J, 2019 vol. 247 pp. 65-70.</w:t>
      </w:r>
    </w:p>
    <w:p>
      <w:r>
        <w:rPr>
          <w:rStyle w:val="Hyperlink"/>
        </w:rPr>
        <w:fldChar w:fldCharType="begin"/>
      </w:r>
      <w:r>
        <w:rPr>
          <w:rStyle w:val="Hyperlink"/>
        </w:rPr>
        <w:instrText xml:space="preserve"> HYPERLINK "http://eutils.ncbi.nlm.nih.gov/entrez/eutils/elink.fcgi?dbfrom=pubmed&amp;id=30971354&amp;retmode=ref&amp;cmd=prlinks"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http://eutils.ncbi.nlm.nih.gov/entrez/eutils/elink.fcgi?dbfrom=pubmed&amp;id=30971354&amp;retmode=ref&amp;cmd=prlinks</w:t>
      </w:r>
      <w:r>
        <w:rPr>
          <w:rStyle w:val="Hyperlink"/>
        </w:rPr>
        <w:fldChar w:fldCharType="end"/>
      </w:r>
    </w:p>
    <w:p>
      <w:pPr>
        <w:pStyle w:val="Normal"/>
      </w:pPr>
      <w:r>
        <w:rPr>
          <w:color w:val="323232"/>
        </w:rPr>
        <w:t xml:space="preserve">————————</w:t>
      </w:r>
    </w:p>
    <w:p>
      <w:pPr>
        <w:pStyle w:val="Heading4"/>
      </w:pPr>
      <w:r>
        <w:t xml:space="preserve">Prevalence and prognostic value of c-kit and TP53 mutations in canine mast cell tumours.</w:t>
      </w:r>
    </w:p>
    <w:p/>
    <w:p>
      <w:pPr>
        <w:pStyle w:val="Normal"/>
      </w:pPr>
      <w:r>
        <w:rPr>
          <w:color w:val="323232"/>
        </w:rPr>
        <w:t xml:space="preserve">Miluse Vozdova, Svatava Kubickova, Petr Fictum, Jan Fröhlich, Frantisek Jelinek, and Jiri Rubes.</w:t>
      </w:r>
    </w:p>
    <w:p/>
    <w:p>
      <w:pPr>
        <w:pStyle w:val="Normal"/>
      </w:pPr>
      <w:r>
        <w:rPr>
          <w:color w:val="323232"/>
        </w:rPr>
        <w:t xml:space="preserve">Cutaneous mast cell tumours (MCT) are among the most frequent malignancies in dogs. Their clinical behaviour is highly variable and, with the exception of mutations in the c-kit gene, little is known about their genetic aetiology. The mutational status of the c-kit exons 8, 9 and 11, and exons 5-8 of the TP53 gene was analysed to find markers for molecular stratification of MCTs and predictors of clinical outcome. Mutations in the c-kit gene were detected in 19.5% (n</w:t>
      </w:r>
      <w:r>
        <w:rPr>
          <w:color w:val="323232"/>
        </w:rPr>
        <w:t xml:space="preserve"> </w:t>
      </w:r>
      <w:r>
        <w:rPr>
          <w:color w:val="323232"/>
        </w:rPr>
        <w:t xml:space="preserve">=</w:t>
      </w:r>
      <w:r>
        <w:rPr>
          <w:color w:val="323232"/>
        </w:rPr>
        <w:t xml:space="preserve"> </w:t>
      </w:r>
      <w:r>
        <w:rPr>
          <w:color w:val="323232"/>
        </w:rPr>
        <w:t xml:space="preserve">8/41) samples and their presence was significantly associated with the high histopathological grade (P</w:t>
      </w:r>
      <w:r>
        <w:rPr>
          <w:color w:val="323232"/>
        </w:rPr>
        <w:t xml:space="preserve"> </w:t>
      </w:r>
      <w:r>
        <w:rPr>
          <w:color w:val="323232"/>
        </w:rPr>
        <w:t xml:space="preserve">=</w:t>
      </w:r>
      <w:r>
        <w:rPr>
          <w:color w:val="323232"/>
        </w:rPr>
        <w:t xml:space="preserve"> </w:t>
      </w:r>
      <w:r>
        <w:rPr>
          <w:color w:val="323232"/>
        </w:rPr>
        <w:t xml:space="preserve">0.038). Mutations in the DNA binding domain of the TP53 gene were found in 14.6% (n</w:t>
      </w:r>
      <w:r>
        <w:rPr>
          <w:color w:val="323232"/>
        </w:rPr>
        <w:t xml:space="preserve"> </w:t>
      </w:r>
      <w:r>
        <w:rPr>
          <w:color w:val="323232"/>
        </w:rPr>
        <w:t xml:space="preserve">=</w:t>
      </w:r>
      <w:r>
        <w:rPr>
          <w:color w:val="323232"/>
        </w:rPr>
        <w:t xml:space="preserve"> </w:t>
      </w:r>
      <w:r>
        <w:rPr>
          <w:color w:val="323232"/>
        </w:rPr>
        <w:t xml:space="preserve">6/41) of the analysed MCTs, and their frequency was similar in low and high grade MCTs (P</w:t>
      </w:r>
      <w:r>
        <w:rPr>
          <w:color w:val="323232"/>
        </w:rPr>
        <w:t xml:space="preserve"> </w:t>
      </w:r>
      <w:r>
        <w:rPr>
          <w:color w:val="323232"/>
        </w:rPr>
        <w:t xml:space="preserve">&gt;</w:t>
      </w:r>
      <w:r>
        <w:rPr>
          <w:color w:val="323232"/>
        </w:rPr>
        <w:t xml:space="preserve"> </w:t>
      </w:r>
      <w:r>
        <w:rPr>
          <w:color w:val="323232"/>
        </w:rPr>
        <w:t xml:space="preserve">0.05). TP53 mutations were not useful prognostic factors in this sample of canine cutaneous MCTs.</w:t>
      </w:r>
    </w:p>
    <w:p/>
    <w:p>
      <w:pPr>
        <w:pStyle w:val="Normal"/>
      </w:pPr>
      <w:r>
        <w:rPr>
          <w:color w:val="323232"/>
        </w:rPr>
        <w:t xml:space="preserve">Vet J, 2019 vol. 247 pp. 71-74.</w:t>
      </w:r>
    </w:p>
    <w:p>
      <w:r>
        <w:rPr>
          <w:rStyle w:val="Hyperlink"/>
        </w:rPr>
        <w:fldChar w:fldCharType="begin"/>
      </w:r>
      <w:r>
        <w:rPr>
          <w:rStyle w:val="Hyperlink"/>
        </w:rPr>
        <w:instrText xml:space="preserve"> HYPERLINK "http://eutils.ncbi.nlm.nih.gov/entrez/eutils/elink.fcgi?dbfrom=pubmed&amp;id=30971355&amp;retmode=ref&amp;cmd=prlinks"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http://eutils.ncbi.nlm.nih.gov/entrez/eutils/elink.fcgi?dbfrom=pubmed&amp;id=30971355&amp;retmode=ref&amp;cmd=prlinks</w:t>
      </w:r>
      <w:r>
        <w:rPr>
          <w:rStyle w:val="Hyperlink"/>
        </w:rPr>
        <w:fldChar w:fldCharType="end"/>
      </w:r>
    </w:p>
    <w:p>
      <w:pPr>
        <w:pStyle w:val="Normal"/>
      </w:pPr>
      <w:r>
        <w:rPr>
          <w:color w:val="323232"/>
        </w:rPr>
        <w:t xml:space="preserve">————————</w:t>
      </w:r>
    </w:p>
    <w:p>
      <w:pPr>
        <w:pStyle w:val="Heading4"/>
      </w:pPr>
      <w:r>
        <w:t xml:space="preserve">Context-sensitive recovery of neuromuscular function from vecuronium in dogs: Effects of dose and dosing protocol.</w:t>
      </w:r>
    </w:p>
    <w:p/>
    <w:p>
      <w:pPr>
        <w:pStyle w:val="Normal"/>
      </w:pPr>
      <w:r>
        <w:rPr>
          <w:color w:val="323232"/>
        </w:rPr>
        <w:t xml:space="preserve">A M Lorenzutti, M P Zarazaga, D M Sakai, P Nejamkin, V Rosetti, V Duran, and M Martin-Flores.</w:t>
      </w:r>
    </w:p>
    <w:p/>
    <w:p>
      <w:pPr>
        <w:pStyle w:val="Normal"/>
      </w:pPr>
      <w:r>
        <w:rPr>
          <w:color w:val="323232"/>
        </w:rPr>
        <w:t xml:space="preserve">Recovery of neuromuscular function is a gradual phenomenon whereby function progresses from absent to normal. The speed of spontaneous recovery can be used to predict the time when neuromuscular function is expected to be restored. However, the speed of recovery might be affected by the dose of the neuromuscular blocker administered, and by the dosing regimen of that dose. The effects of both factors on the speed of spontaneous recovery from vecuronium were evaluated. Seven dogs were anesthetized three times and the train-of-four (TOF) ratio was measured with acceleromyography. Vecuronium was administered at 0.1</w:t>
      </w:r>
      <w:r>
        <w:rPr>
          <w:color w:val="323232"/>
        </w:rPr>
        <w:t xml:space="preserve"> </w:t>
      </w:r>
      <w:r>
        <w:rPr>
          <w:color w:val="323232"/>
        </w:rPr>
        <w:t xml:space="preserve">mg</w:t>
      </w:r>
      <w:r>
        <w:rPr>
          <w:i w:val="1"/>
          <w:color w:val="323232"/>
        </w:rPr>
        <w:t xml:space="preserve">kg, 0.2</w:t>
      </w:r>
      <w:r>
        <w:rPr>
          <w:color w:val="323232"/>
        </w:rPr>
        <w:t xml:space="preserve"> </w:t>
      </w:r>
      <w:r>
        <w:rPr>
          <w:i w:val="1"/>
          <w:color w:val="323232"/>
        </w:rPr>
        <w:t xml:space="preserve">mg</w:t>
      </w:r>
      <w:r>
        <w:rPr>
          <w:color w:val="323232"/>
        </w:rPr>
        <w:t xml:space="preserve">kg, or 0.1</w:t>
      </w:r>
      <w:r>
        <w:rPr>
          <w:color w:val="323232"/>
        </w:rPr>
        <w:t xml:space="preserve"> </w:t>
      </w:r>
      <w:r>
        <w:rPr>
          <w:color w:val="323232"/>
        </w:rPr>
        <w:t xml:space="preserve">mg</w:t>
      </w:r>
      <w:r>
        <w:rPr>
          <w:i w:val="1"/>
          <w:color w:val="323232"/>
        </w:rPr>
        <w:t xml:space="preserve">kg followed by two doses of 0.05</w:t>
      </w:r>
      <w:r>
        <w:rPr>
          <w:color w:val="323232"/>
        </w:rPr>
        <w:t xml:space="preserve"> </w:t>
      </w:r>
      <w:r>
        <w:rPr>
          <w:i w:val="1"/>
          <w:color w:val="323232"/>
        </w:rPr>
        <w:t xml:space="preserve">mg</w:t>
      </w:r>
      <w:r>
        <w:rPr>
          <w:color w:val="323232"/>
        </w:rPr>
        <w:t xml:space="preserve">kg was administered each time. In the divided-dose treatment group, aliquots were administered on return of the first twitch (T1) of the TOF from the previous dose. The duration of surgical block, from injection to return of T1, was longest for the divided-dose protocol, intermediate for 0.2</w:t>
      </w:r>
      <w:r>
        <w:rPr>
          <w:color w:val="323232"/>
        </w:rPr>
        <w:t xml:space="preserve"> </w:t>
      </w:r>
      <w:r>
        <w:rPr>
          <w:color w:val="323232"/>
        </w:rPr>
        <w:t xml:space="preserve">mg</w:t>
      </w:r>
      <w:r>
        <w:rPr>
          <w:i w:val="1"/>
          <w:color w:val="323232"/>
        </w:rPr>
        <w:t xml:space="preserve">kg single bolus, and shortest for 0.1</w:t>
      </w:r>
      <w:r>
        <w:rPr>
          <w:color w:val="323232"/>
        </w:rPr>
        <w:t xml:space="preserve"> </w:t>
      </w:r>
      <w:r>
        <w:rPr>
          <w:i w:val="1"/>
          <w:color w:val="323232"/>
        </w:rPr>
        <w:t xml:space="preserve">mg</w:t>
      </w:r>
      <w:r>
        <w:rPr>
          <w:color w:val="323232"/>
        </w:rPr>
        <w:t xml:space="preserve">kg (P</w:t>
      </w:r>
      <w:r>
        <w:rPr>
          <w:color w:val="323232"/>
        </w:rPr>
        <w:t xml:space="preserve"> </w:t>
      </w:r>
      <w:r>
        <w:rPr>
          <w:color w:val="323232"/>
        </w:rPr>
        <w:t xml:space="preserve">&lt;</w:t>
      </w:r>
      <w:r>
        <w:rPr>
          <w:color w:val="323232"/>
        </w:rPr>
        <w:t xml:space="preserve"> </w:t>
      </w:r>
      <w:r>
        <w:rPr>
          <w:color w:val="323232"/>
        </w:rPr>
        <w:t xml:space="preserve"> 0.0001). The recovery period, from return of T1 to a TOF ratio ≥0.9, was longer for 0.2</w:t>
      </w:r>
      <w:r>
        <w:rPr>
          <w:color w:val="323232"/>
        </w:rPr>
        <w:t xml:space="preserve"> </w:t>
      </w:r>
      <w:r>
        <w:rPr>
          <w:color w:val="323232"/>
        </w:rPr>
        <w:t xml:space="preserve">mg/kg administered as a single bolus than for the other two groups (P</w:t>
      </w:r>
      <w:r>
        <w:rPr>
          <w:color w:val="323232"/>
        </w:rPr>
        <w:t xml:space="preserve"> </w:t>
      </w:r>
      <w:r>
        <w:rPr>
          <w:color w:val="323232"/>
        </w:rPr>
        <w:t xml:space="preserve">=</w:t>
      </w:r>
      <w:r>
        <w:rPr>
          <w:color w:val="323232"/>
        </w:rPr>
        <w:t xml:space="preserve"> </w:t>
      </w:r>
      <w:r>
        <w:rPr>
          <w:color w:val="323232"/>
        </w:rPr>
        <w:t xml:space="preserve">0.007). Doubling the dose of a single bolus of vecuronium extended the time of surgical block and prolonged the duration of the recovery period. However, dividing that dose into smaller aliquots extended the period of surgical block while shortening the recovery period. Hence, the spontaneous reappearance of T1 should not be used in isolation to predict the time to complete recovery of neuromuscular function.</w:t>
      </w:r>
    </w:p>
    <w:p/>
    <w:p>
      <w:pPr>
        <w:pStyle w:val="Normal"/>
      </w:pPr>
      <w:r>
        <w:rPr>
          <w:color w:val="323232"/>
        </w:rPr>
        <w:t xml:space="preserve">Vet J, 2019 vol. 248 pp. 14-17.</w:t>
      </w:r>
    </w:p>
    <w:p>
      <w:r>
        <w:rPr>
          <w:rStyle w:val="Hyperlink"/>
        </w:rPr>
        <w:fldChar w:fldCharType="begin"/>
      </w:r>
      <w:r>
        <w:rPr>
          <w:rStyle w:val="Hyperlink"/>
        </w:rPr>
        <w:instrText xml:space="preserve"> HYPERLINK "http://eutils.ncbi.nlm.nih.gov/entrez/eutils/elink.fcgi?dbfrom=pubmed&amp;id=31113556&amp;retmode=ref&amp;cmd=prlinks"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http://eutils.ncbi.nlm.nih.gov/entrez/eutils/elink.fcgi?dbfrom=pubmed&amp;id=31113556&amp;retmode=ref&amp;cmd=prlinks</w:t>
      </w:r>
      <w:r>
        <w:rPr>
          <w:rStyle w:val="Hyperlink"/>
        </w:rPr>
        <w:fldChar w:fldCharType="end"/>
      </w:r>
    </w:p>
    <w:p>
      <w:pPr>
        <w:pStyle w:val="Normal"/>
      </w:pPr>
      <w:r>
        <w:rPr>
          <w:color w:val="323232"/>
        </w:rPr>
        <w:t xml:space="preserve">————————</w:t>
      </w:r>
    </w:p>
    <w:p>
      <w:pPr>
        <w:pStyle w:val="Heading4"/>
      </w:pPr>
      <w:r>
        <w:t xml:space="preserve">Epidemiology of massive hepatocellular carcinoma in dogs: A 4-year retrospective study.</w:t>
      </w:r>
    </w:p>
    <w:p/>
    <w:p>
      <w:pPr>
        <w:pStyle w:val="Normal"/>
      </w:pPr>
      <w:r>
        <w:rPr>
          <w:color w:val="323232"/>
        </w:rPr>
        <w:t xml:space="preserve">R Leela-Arporn, H Ohta, N Nagata, K Sasaoka, M Tamura, A Dermlim, K Nisa, K Morishita, N Sasaki, K Nakamura, S Takagi, K Hosoya, and M Takiguchi.</w:t>
      </w:r>
    </w:p>
    <w:p/>
    <w:p>
      <w:pPr>
        <w:pStyle w:val="Normal"/>
      </w:pPr>
      <w:r>
        <w:rPr>
          <w:color w:val="323232"/>
        </w:rPr>
        <w:t xml:space="preserve">Hepatocellular carcinoma (HCC) is the most common primary liver tumour in dogs. However, the clinical features and risk factors of HCC have not been confirmed. The objective of this study was to investigate the clinical features and risk factors for canine HCC. Medical records of 44 dogs diagnosed with HCC at Hokkaido University Veterinary Teaching Hospital between 2013 and 2017 were retrospectively reviewed. All dogs evaluated at the teaching hospital during the study period were used as the reference population for breed, age, sex predispositions or possible related factors for HCC, including concurrent disorders. Clinical characteristics of HCC were determined using propensity score matching analysis. The prevalence of HCC diagnosis was 0.96%. Multivariate analysis revealed that dogs diagnosed with HCC were significantly older (odds ratio [OR], 1.20; 95% confidence intervals [CI], 1.07-1.33) than the reference population. Welsh Corgis (OR, 3.68; 95% CI, 1.56-8.67) and Beagles (OR, 4.33; 95% CI, 1.58-11.90) were significantly predisposed to HCC. Twenty-seven of 44 dogs with HCC had at least one concurrent disorder. The most common concurrent disorder was hyperadrenocorticism (n</w:t>
      </w:r>
      <w:r>
        <w:rPr>
          <w:color w:val="323232"/>
        </w:rPr>
        <w:t xml:space="preserve"> </w:t>
      </w:r>
      <w:r>
        <w:rPr>
          <w:color w:val="323232"/>
        </w:rPr>
        <w:t xml:space="preserve">=</w:t>
      </w:r>
      <w:r>
        <w:rPr>
          <w:color w:val="323232"/>
        </w:rPr>
        <w:t xml:space="preserve"> </w:t>
      </w:r>
      <w:r>
        <w:rPr>
          <w:color w:val="323232"/>
        </w:rPr>
        <w:t xml:space="preserve">10), and the adjusted odds of hyperadrenocorticism in dogs with HCC were 4.13 higher than those of the reference population (95% CI, 1.95-8.76). Propensity score matching analysis revealed that thrombocytosis (n</w:t>
      </w:r>
      <w:r>
        <w:rPr>
          <w:color w:val="323232"/>
        </w:rPr>
        <w:t xml:space="preserve"> </w:t>
      </w:r>
      <w:r>
        <w:rPr>
          <w:color w:val="323232"/>
        </w:rPr>
        <w:t xml:space="preserve">=</w:t>
      </w:r>
      <w:r>
        <w:rPr>
          <w:color w:val="323232"/>
        </w:rPr>
        <w:t xml:space="preserve"> </w:t>
      </w:r>
      <w:r>
        <w:rPr>
          <w:color w:val="323232"/>
        </w:rPr>
        <w:t xml:space="preserve">30/43), increased alanine aminotransferase (n</w:t>
      </w:r>
      <w:r>
        <w:rPr>
          <w:color w:val="323232"/>
        </w:rPr>
        <w:t xml:space="preserve"> </w:t>
      </w:r>
      <w:r>
        <w:rPr>
          <w:color w:val="323232"/>
        </w:rPr>
        <w:t xml:space="preserve">=</w:t>
      </w:r>
      <w:r>
        <w:rPr>
          <w:color w:val="323232"/>
        </w:rPr>
        <w:t xml:space="preserve"> </w:t>
      </w:r>
      <w:r>
        <w:rPr>
          <w:color w:val="323232"/>
        </w:rPr>
        <w:t xml:space="preserve">41/44), increased alkaline phosphatase (n</w:t>
      </w:r>
      <w:r>
        <w:rPr>
          <w:color w:val="323232"/>
        </w:rPr>
        <w:t xml:space="preserve"> </w:t>
      </w:r>
      <w:r>
        <w:rPr>
          <w:color w:val="323232"/>
        </w:rPr>
        <w:t xml:space="preserve">=</w:t>
      </w:r>
      <w:r>
        <w:rPr>
          <w:color w:val="323232"/>
        </w:rPr>
        <w:t xml:space="preserve"> </w:t>
      </w:r>
      <w:r>
        <w:rPr>
          <w:color w:val="323232"/>
        </w:rPr>
        <w:t xml:space="preserve">42/44), and hypercalcemia (n</w:t>
      </w:r>
      <w:r>
        <w:rPr>
          <w:color w:val="323232"/>
        </w:rPr>
        <w:t xml:space="preserve"> </w:t>
      </w:r>
      <w:r>
        <w:rPr>
          <w:color w:val="323232"/>
        </w:rPr>
        <w:t xml:space="preserve">=</w:t>
      </w:r>
      <w:r>
        <w:rPr>
          <w:color w:val="323232"/>
        </w:rPr>
        <w:t xml:space="preserve"> </w:t>
      </w:r>
      <w:r>
        <w:rPr>
          <w:color w:val="323232"/>
        </w:rPr>
        <w:t xml:space="preserve">13/32) were significantly associated with HCC diagnosis. The results of this study suggest that Welsh Corgis and Beagles are breeds with a predisposition for HCC and that hyperadrenocorticism might be a potential risk factor.</w:t>
      </w:r>
    </w:p>
    <w:p/>
    <w:p>
      <w:pPr>
        <w:pStyle w:val="Normal"/>
      </w:pPr>
      <w:r>
        <w:rPr>
          <w:color w:val="323232"/>
        </w:rPr>
        <w:t xml:space="preserve">Vet J, 2019 vol. 248 pp. 74-78.</w:t>
      </w:r>
    </w:p>
    <w:p>
      <w:r>
        <w:rPr>
          <w:rStyle w:val="Hyperlink"/>
        </w:rPr>
        <w:fldChar w:fldCharType="begin"/>
      </w:r>
      <w:r>
        <w:rPr>
          <w:rStyle w:val="Hyperlink"/>
        </w:rPr>
        <w:instrText xml:space="preserve"> HYPERLINK "http://eutils.ncbi.nlm.nih.gov/entrez/eutils/elink.fcgi?dbfrom=pubmed&amp;id=31113567&amp;retmode=ref&amp;cmd=prlinks"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http://eutils.ncbi.nlm.nih.gov/entrez/eutils/elink.fcgi?dbfrom=pubmed&amp;id=31113567&amp;retmode=ref&amp;cmd=prlinks</w:t>
      </w:r>
      <w:r>
        <w:rPr>
          <w:rStyle w:val="Hyperlink"/>
        </w:rPr>
        <w:fldChar w:fldCharType="end"/>
      </w:r>
    </w:p>
    <w:p>
      <w:pPr>
        <w:pStyle w:val="Normal"/>
      </w:pPr>
      <w:r>
        <w:rPr>
          <w:color w:val="323232"/>
        </w:rPr>
        <w:t xml:space="preserve">————————</w:t>
      </w:r>
    </w:p>
    <w:p>
      <w:pPr>
        <w:pStyle w:val="Heading4"/>
      </w:pPr>
      <w:r>
        <w:t xml:space="preserve">Platelet indices as biomarkers for characterization and determination of severity in canine chronic enteropathy.</w:t>
      </w:r>
    </w:p>
    <w:p/>
    <w:p>
      <w:pPr>
        <w:pStyle w:val="Normal"/>
      </w:pPr>
      <w:r>
        <w:rPr>
          <w:color w:val="323232"/>
        </w:rPr>
        <w:t xml:space="preserve">S O Mehain, J M Haines, and P M Lee.</w:t>
      </w:r>
    </w:p>
    <w:p/>
    <w:p>
      <w:pPr>
        <w:pStyle w:val="Normal"/>
      </w:pPr>
      <w:r>
        <w:rPr>
          <w:color w:val="323232"/>
        </w:rPr>
        <w:t xml:space="preserve">Human studies have shown an association between certain platelet indices and active inflammatory bowel disease when compared to healthy controls. The objectives of this retrospective study were to determine if any platelet indices differ between dogs with chronic enteropathies and healthy age- and sex-matched control dogs and are predictive of the severity of chronic enteropathy based on canine chronic enteropathy clinical activity index (CCECAI) scores. Medical records for 22 chronic enteropathy-positive dogs and 22 healthy control dogs were reviewed for historical and physical examination findings, platelet indices, and histologic diagnoses of chronic enteropathy. Platelet indices were compared between the groups, and an association between platelet indices and CCECAI scores in dogs with chronic enteropathy was investigated. Chronic diarrhea and weight loss were common clinical signs associated with chronic enteropathy. Lymphoplasmacytic enteritis was the most common histologic diagnosis. Only one platelet index, platelet component distribution width (P</w:t>
      </w:r>
      <w:r>
        <w:rPr>
          <w:color w:val="323232"/>
        </w:rPr>
        <w:t xml:space="preserve"> </w:t>
      </w:r>
      <w:r>
        <w:rPr>
          <w:color w:val="323232"/>
        </w:rPr>
        <w:t xml:space="preserve">=</w:t>
      </w:r>
      <w:r>
        <w:rPr>
          <w:color w:val="323232"/>
        </w:rPr>
        <w:t xml:space="preserve"> </w:t>
      </w:r>
      <w:r>
        <w:rPr>
          <w:color w:val="323232"/>
        </w:rPr>
        <w:t xml:space="preserve"> 0.045), was found to be significantly different between the groups. For predicting severity of disease, determined by CCECAI score, statistically significant differences in indices associated with higher scores were platelet count (P</w:t>
      </w:r>
      <w:r>
        <w:rPr>
          <w:color w:val="323232"/>
        </w:rPr>
        <w:t xml:space="preserve"> </w:t>
      </w:r>
      <w:r>
        <w:rPr>
          <w:color w:val="323232"/>
        </w:rPr>
        <w:t xml:space="preserve">=</w:t>
      </w:r>
      <w:r>
        <w:rPr>
          <w:color w:val="323232"/>
        </w:rPr>
        <w:t xml:space="preserve"> </w:t>
      </w:r>
      <w:r>
        <w:rPr>
          <w:color w:val="323232"/>
        </w:rPr>
        <w:t xml:space="preserve">0.024) and platelet dry mass distribution width (P</w:t>
      </w:r>
      <w:r>
        <w:rPr>
          <w:color w:val="323232"/>
        </w:rPr>
        <w:t xml:space="preserve"> </w:t>
      </w:r>
      <w:r>
        <w:rPr>
          <w:color w:val="323232"/>
        </w:rPr>
        <w:t xml:space="preserve">=</w:t>
      </w:r>
      <w:r>
        <w:rPr>
          <w:color w:val="323232"/>
        </w:rPr>
        <w:t xml:space="preserve"> </w:t>
      </w:r>
      <w:r>
        <w:rPr>
          <w:color w:val="323232"/>
        </w:rPr>
        <w:t xml:space="preserve"> 0.036). Only platelet component distribution width showed potential in characterizing dogs with chronic enteropathy compared to normal dogs. Elevated platelet count and decreased platelet dry mass distribution width had a significant effect on total CCECAI scores. These findings suggest further investigation into the utility of platelet indices as predictors of disease presence and severity in dogs with chronic enteropathy is warranted.</w:t>
      </w:r>
    </w:p>
    <w:p/>
    <w:p>
      <w:pPr>
        <w:pStyle w:val="Normal"/>
      </w:pPr>
      <w:r>
        <w:rPr>
          <w:color w:val="323232"/>
        </w:rPr>
        <w:t xml:space="preserve">Vet J, 2019 vol. 248 pp. 37-41.</w:t>
      </w:r>
    </w:p>
    <w:p>
      <w:r>
        <w:rPr>
          <w:rStyle w:val="Hyperlink"/>
        </w:rPr>
        <w:fldChar w:fldCharType="begin"/>
      </w:r>
      <w:r>
        <w:rPr>
          <w:rStyle w:val="Hyperlink"/>
        </w:rPr>
        <w:instrText xml:space="preserve"> HYPERLINK "http://eutils.ncbi.nlm.nih.gov/entrez/eutils/elink.fcgi?dbfrom=pubmed&amp;id=31113560&amp;retmode=ref&amp;cmd=prlinks"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http://eutils.ncbi.nlm.nih.gov/entrez/eutils/elink.fcgi?dbfrom=pubmed&amp;id=31113560&amp;retmode=ref&amp;cmd=prlinks</w:t>
      </w:r>
      <w:r>
        <w:rPr>
          <w:rStyle w:val="Hyperlink"/>
        </w:rPr>
        <w:fldChar w:fldCharType="end"/>
      </w:r>
    </w:p>
    <w:p>
      <w:pPr>
        <w:pStyle w:val="Normal"/>
      </w:pPr>
      <w:r>
        <w:rPr>
          <w:color w:val="323232"/>
        </w:rPr>
        <w:t xml:space="preserve">————————</w:t>
      </w:r>
    </w:p>
    <w:p>
      <w:pPr>
        <w:pStyle w:val="Heading4"/>
      </w:pPr>
      <w:r>
        <w:t xml:space="preserve">Duodenal expression of antimicrobial peptides in dogs with idiopathic inflammatory bowel disease and intestinal lymphoma.</w:t>
      </w:r>
    </w:p>
    <w:p/>
    <w:p>
      <w:pPr>
        <w:pStyle w:val="Normal"/>
      </w:pPr>
      <w:r>
        <w:rPr>
          <w:color w:val="323232"/>
        </w:rPr>
        <w:t xml:space="preserve">M Nakazawa, S Maeda, M Omori, K Kaji, N Yokoyama, T Nakagawa, J K Chambers, K Uchida, K Ohno, T Yonezawa, and N Matsuki.</w:t>
      </w:r>
    </w:p>
    <w:p/>
    <w:p>
      <w:pPr>
        <w:pStyle w:val="Normal"/>
      </w:pPr>
      <w:r>
        <w:rPr>
          <w:color w:val="323232"/>
        </w:rPr>
        <w:t xml:space="preserve">Although antimicrobial peptides (AMPs) play an integral role in the regulation of intestinal microbiota and homeostasis, their expression in canine gastrointestinal diseases, including idiopathic inflammatory bowel disease (IBD) and intestinal lymphoma, remains unknown. The objective of this study was to investigate the intestinal expression of AMPs in dogs with IBD or intestinal lymphoma. IBD was diagnosed in 44 dogs, small cell intestinal lymphoma in 25 dogs, and large cell intestinal lymphoma in 19 dogs. Twenty healthy beagles were used as normal controls. Duodenal mRNA expression of six representative AMPs - lactoferrin, lysozyme, cathelicidin, secretory leukocyte peptidase inhibitor (SLPI), bactericidal/permeability increasing protein (BPI), and canine beta defensin (CBD103) - was quantified by real-time reverse transcription polymerase chain reaction. The relative expression of BPI, lactoferrin, and SLPI was significantly higher in dogs with IBD and intestinal lymphomas than in healthy controls. Interestingly, the expression patterns of AMPs differed between dogs with IBD and those with intestinal lymphomas, especially small cell lymphoma. Increased expression of BPI differentiated IBD from dogs with small cell intestinal lymphoma, with a sensitivity of 93.2%, a specificity of 100%, and an area under the curve of 0.955. These results suggest that the expression patterns of AMP aid in the diagnosis of canine IBD and intestinal lymphoma, although it remains uncertain whether the altered AMP expression is the cause or effect of mucosal inflammation.</w:t>
      </w:r>
    </w:p>
    <w:p/>
    <w:p>
      <w:pPr>
        <w:pStyle w:val="Normal"/>
      </w:pPr>
      <w:r>
        <w:rPr>
          <w:color w:val="323232"/>
        </w:rPr>
        <w:t xml:space="preserve">Vet J, 2019 vol. 249 pp. 47-52.</w:t>
      </w:r>
    </w:p>
    <w:p>
      <w:r>
        <w:rPr>
          <w:rStyle w:val="Hyperlink"/>
        </w:rPr>
        <w:fldChar w:fldCharType="begin"/>
      </w:r>
      <w:r>
        <w:rPr>
          <w:rStyle w:val="Hyperlink"/>
        </w:rPr>
        <w:instrText xml:space="preserve"> HYPERLINK "http://eutils.ncbi.nlm.nih.gov/entrez/eutils/elink.fcgi?dbfrom=pubmed&amp;id=31239164&amp;retmode=ref&amp;cmd=prlinks"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http://eutils.ncbi.nlm.nih.gov/entrez/eutils/elink.fcgi?dbfrom=pubmed&amp;id=31239164&amp;retmode=ref&amp;cmd=prlinks</w:t>
      </w:r>
      <w:r>
        <w:rPr>
          <w:rStyle w:val="Hyperlink"/>
        </w:rPr>
        <w:fldChar w:fldCharType="end"/>
      </w:r>
    </w:p>
    <w:p>
      <w:pPr>
        <w:pStyle w:val="Normal"/>
      </w:pPr>
      <w:r>
        <w:rPr>
          <w:color w:val="323232"/>
        </w:rPr>
        <w:t xml:space="preserve">————————</w:t>
      </w:r>
    </w:p>
    <w:p>
      <w:pPr>
        <w:pStyle w:val="Heading4"/>
      </w:pPr>
      <w:r>
        <w:t xml:space="preserve">Epileptic seizure frequency and semiology in dogs with idiopathic epilepsy after initiation of imepitoin or phenobarbital monotherapy.</w:t>
      </w:r>
    </w:p>
    <w:p/>
    <w:p>
      <w:pPr>
        <w:pStyle w:val="Normal"/>
      </w:pPr>
      <w:r>
        <w:rPr>
          <w:color w:val="323232"/>
        </w:rPr>
        <w:t xml:space="preserve">F Stabile, J van Dijk, C R Barnett, and L De Risio.</w:t>
      </w:r>
    </w:p>
    <w:p/>
    <w:p>
      <w:pPr>
        <w:pStyle w:val="Normal"/>
      </w:pPr>
      <w:r>
        <w:rPr>
          <w:color w:val="323232"/>
        </w:rPr>
        <w:t xml:space="preserve">The aim of this study was to evaluate changes in epileptic seizures (ES) frequency and semiology in antiepileptic-medication (AEM)-naïve dogs with idiopathic epilepsy (DIE) after initiation of imepitoin (IMP) or phenobarbital (PB) monotherapy. In this observational prospective cohort study, inclusion criteria were as follows: diagnosis of idiopathic epilepsy (based on clinical, laboratory and magnetic resonance imaging investigations) in AEM-naïve dogs and presence of a detailed ES-diary. Exclusion criteria were: occurrence of cluster seizures (CS) or status epilepticus (SE) prior to treatment initiation and concurrent disease and/ or treatments. Thirty-one DIE commenced IMP at 10-20 mg/ kg/ 12h and 30 dogs commenced PB at 2.50-3.30mg/ kg/ 12h. AEM dosage was increased over time (up to IMP 30mg</w:t>
      </w:r>
      <w:r>
        <w:rPr>
          <w:i w:val="1"/>
          <w:color w:val="323232"/>
        </w:rPr>
        <w:t xml:space="preserve">kg/12h and PB 5.20mg</w:t>
      </w:r>
      <w:r>
        <w:rPr>
          <w:color w:val="323232"/>
        </w:rPr>
        <w:t xml:space="preserve">kg</w:t>
      </w:r>
      <w:r>
        <w:rPr>
          <w:i w:val="1"/>
          <w:color w:val="323232"/>
        </w:rPr>
        <w:t xml:space="preserve">12h). All dogs experienced generalised-tonic-clonic ES. In the IMP-group, pre-treatment median ES-frequency was 1.50ES</w:t>
      </w:r>
      <w:r>
        <w:rPr>
          <w:color w:val="323232"/>
        </w:rPr>
        <w:t xml:space="preserve"> month (range, 1-4ES/ month); post-treatment median ES-frequency was 0.95ES/ m (range, 1ES/ 6m-3ES/ m); n=21/31 (67.70%) dogs developed CS 1-18 months after initiation of treatment; n=7/31 (22.60%) dogs experienced unacceptable adverse events in the first month of treatment which required switching to an alternative AEM; and n=3/31(9.70%) dogs did not develop CS with a 3year follow-up. In the PB-group, pre-treatment median ES-frequency was 2.46ES</w:t>
      </w:r>
      <w:r>
        <w:rPr>
          <w:i w:val="1"/>
          <w:color w:val="323232"/>
        </w:rPr>
        <w:t xml:space="preserve">month (range, 1-7ES</w:t>
      </w:r>
      <w:r>
        <w:rPr>
          <w:color w:val="323232"/>
        </w:rPr>
        <w:t xml:space="preserve"> month); post-treatment median ES-frequency was 0.36ES</w:t>
      </w:r>
      <w:r>
        <w:rPr>
          <w:i w:val="1"/>
          <w:color w:val="323232"/>
        </w:rPr>
        <w:t xml:space="preserve">month (range, 0ES</w:t>
      </w:r>
      <w:r>
        <w:rPr>
          <w:color w:val="323232"/>
        </w:rPr>
        <w:t xml:space="preserve"> 3years-1ES/month); n=11/30 (36.70%) dogs developed CS between 12-25 months after initiation of treatment. Nineteen of 30 (63.30%) dogs did not develop CS with a 3-year follow-up; three of these 19 dogs were ES free. In this study, AEM-naïve DIE receiving imepitoin-monotherapy developed CS significantly more frequently and earlier in the course of the disease, and developed aggression and required earlier discontinuation of monotherapy than AEM-naïve DIE receiving phenobarbital-monotherapy.</w:t>
      </w:r>
    </w:p>
    <w:p/>
    <w:p>
      <w:pPr>
        <w:pStyle w:val="Normal"/>
      </w:pPr>
      <w:r>
        <w:rPr>
          <w:color w:val="323232"/>
        </w:rPr>
        <w:t xml:space="preserve">Vet J, 2019 vol. 249 pp. 53-57.</w:t>
      </w:r>
    </w:p>
    <w:p>
      <w:r>
        <w:rPr>
          <w:rStyle w:val="Hyperlink"/>
        </w:rPr>
        <w:fldChar w:fldCharType="begin"/>
      </w:r>
      <w:r>
        <w:rPr>
          <w:rStyle w:val="Hyperlink"/>
        </w:rPr>
        <w:instrText xml:space="preserve"> HYPERLINK "http://eutils.ncbi.nlm.nih.gov/entrez/eutils/elink.fcgi?dbfrom=pubmed&amp;id=31239165&amp;retmode=ref&amp;cmd=prlinks"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http://eutils.ncbi.nlm.nih.gov/entrez/eutils/elink.fcgi?dbfrom=pubmed&amp;id=31239165&amp;retmode=ref&amp;cmd=prlinks</w:t>
      </w:r>
      <w:r>
        <w:rPr>
          <w:rStyle w:val="Hyperlink"/>
        </w:rPr>
        <w:fldChar w:fldCharType="end"/>
      </w:r>
    </w:p>
    <w:p>
      <w:pPr>
        <w:pStyle w:val="Normal"/>
      </w:pPr>
      <w:r>
        <w:rPr>
          <w:color w:val="323232"/>
        </w:rPr>
        <w:t xml:space="preserve">————————</w:t>
      </w:r>
    </w:p>
    <w:p>
      <w:pPr>
        <w:pStyle w:val="Heading4"/>
      </w:pPr>
      <w:r>
        <w:t xml:space="preserve">Methods and basic concepts for microbiota assessment.</w:t>
      </w:r>
    </w:p>
    <w:p/>
    <w:p>
      <w:pPr>
        <w:pStyle w:val="Normal"/>
      </w:pPr>
      <w:r>
        <w:rPr>
          <w:color w:val="323232"/>
        </w:rPr>
        <w:t xml:space="preserve">Marcio Costa and J Scott Weese.</w:t>
      </w:r>
    </w:p>
    <w:p/>
    <w:p>
      <w:pPr>
        <w:pStyle w:val="Normal"/>
      </w:pPr>
      <w:r>
        <w:rPr>
          <w:color w:val="323232"/>
        </w:rPr>
        <w:t xml:space="preserve">There has been a marked increase in interest regarding complex microbial populations in recent years. The methodology used for microbial assessment has drastically changed over the last two decades and continues to advance at a rapid pace. Culture-based studies have been superseded by those based upon molecular methods, which have been largely used to discover new species and to better characterize complex communities, mainly driven by the advances in DNA sequencing, termed 'next generation sequencing'. These methodologies have allowed for a better understanding of the relationship between hosts and their microbiotas, which have important roles in health maintenance and in the pathophysiology of wide ranging conditions such as obesity, diabetes, allergic diseases and even behavioural changes. While most widely used in humans, these approaches are now commonly used in veterinary research, with increasing interest in direct clinical applications. As these methods provide novel insights that will constitute the basis for the development of new therapeutic and prevention strategies, and as commercial efforts to offer microbiota assessment as a clinical tool expand, it is essential for researchers and clinical veterinarians to understand and have the tools to be able to interpret research performed in this new fascinating field. The objective of this review is to describe some of the most common methods for characterization of microbial communities and to provide an overview of the basic concepts necessary for good interpretation of the research performed in this field.</w:t>
      </w:r>
    </w:p>
    <w:p/>
    <w:p>
      <w:pPr>
        <w:pStyle w:val="Normal"/>
      </w:pPr>
      <w:r>
        <w:rPr>
          <w:color w:val="323232"/>
        </w:rPr>
        <w:t xml:space="preserve">Vet J, 2019 vol. 249 pp. 10-15.</w:t>
      </w:r>
    </w:p>
    <w:p>
      <w:r>
        <w:rPr>
          <w:rStyle w:val="Hyperlink"/>
        </w:rPr>
        <w:fldChar w:fldCharType="begin"/>
      </w:r>
      <w:r>
        <w:rPr>
          <w:rStyle w:val="Hyperlink"/>
        </w:rPr>
        <w:instrText xml:space="preserve"> HYPERLINK "http://eutils.ncbi.nlm.nih.gov/entrez/eutils/elink.fcgi?dbfrom=pubmed&amp;id=31239159&amp;retmode=ref&amp;cmd=prlinks"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http://eutils.ncbi.nlm.nih.gov/entrez/eutils/elink.fcgi?dbfrom=pubmed&amp;id=31239159&amp;retmode=ref&amp;cmd=prlinks</w:t>
      </w:r>
      <w:r>
        <w:rPr>
          <w:rStyle w:val="Hyperlink"/>
        </w:rPr>
        <w:fldChar w:fldCharType="end"/>
      </w:r>
    </w:p>
    <w:p>
      <w:pPr>
        <w:pStyle w:val="Normal"/>
      </w:pPr>
      <w:r>
        <w:rPr>
          <w:color w:val="323232"/>
        </w:rPr>
        <w:t xml:space="preserve">————————</w:t>
      </w:r>
    </w:p>
    <w:p>
      <w:pPr>
        <w:pStyle w:val="Heading4"/>
      </w:pPr>
      <w:r>
        <w:t xml:space="preserve">Urinary peptidome analyses for the diagnosis of chronic kidney disease in dogs.</w:t>
      </w:r>
    </w:p>
    <w:p/>
    <w:p>
      <w:pPr>
        <w:pStyle w:val="Normal"/>
      </w:pPr>
      <w:r>
        <w:rPr>
          <w:color w:val="323232"/>
        </w:rPr>
        <w:t xml:space="preserve">L Pelander, V Brunchault, B Buffin-Meyer, J Klein, B Breuil, P Zürbig, P Magalhães, W Mullen, J Elliott, H Syme, J P Schanstra, J Häggström, and I Ljungvall.</w:t>
      </w:r>
    </w:p>
    <w:p/>
    <w:p>
      <w:pPr>
        <w:pStyle w:val="Normal"/>
      </w:pPr>
      <w:r>
        <w:rPr>
          <w:color w:val="323232"/>
        </w:rPr>
        <w:t xml:space="preserve">Chronic kidney disease (CKD) is clinically important in canine medicine. Current diagnostic tools lack sensitivity for detection of subclinical CKD. The aim of the present study was to evaluate urinary peptidome analysis for diagnosis of CKD in dogs. Capillary electrophoresis coupled to mass spectrometry analysis demonstrated presence of approximately 5400 peptides in dog urine. Comparison of urinary peptide abundance of dogs with and without CKD led to the identification of 133 differentially excreted peptides (adjusted P for each peptide &lt;0.05). Sequence information was obtained for 35 of these peptides. This 35 peptide subset and the total group of 133 peptides were used to construct two predictive models of CKD which were subsequently validated by researchers masked to results in an independent cohort of 20 dogs. Both models diagnosed CKD with an area under the receiver operating characteristic (ROC) curve of 0.88 (95% confidence intervals [CI], 0.72-1.0). Most differentially excreted peptides represented fragments of collagen I, indicating possible association with fibrotic processes in CKD (similar to the equivalent human urinary peptide CKD model, CKD273). This first study of the urinary peptidome in dogs identified peptides that were associated with presence of CKD. Future studies are needed to validate the utility of this model for diagnosis and prediction of progression of canine CKD in a clinical setting.</w:t>
      </w:r>
    </w:p>
    <w:p/>
    <w:p>
      <w:pPr>
        <w:pStyle w:val="Normal"/>
      </w:pPr>
      <w:r>
        <w:rPr>
          <w:color w:val="323232"/>
        </w:rPr>
        <w:t xml:space="preserve">Vet J, 2019 vol. 249 pp. 73-79.</w:t>
      </w:r>
    </w:p>
    <w:p>
      <w:r>
        <w:rPr>
          <w:rStyle w:val="Hyperlink"/>
        </w:rPr>
        <w:fldChar w:fldCharType="begin"/>
      </w:r>
      <w:r>
        <w:rPr>
          <w:rStyle w:val="Hyperlink"/>
        </w:rPr>
        <w:instrText xml:space="preserve"> HYPERLINK "http://eutils.ncbi.nlm.nih.gov/entrez/eutils/elink.fcgi?dbfrom=pubmed&amp;id=31239169&amp;retmode=ref&amp;cmd=prlinks"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http://eutils.ncbi.nlm.nih.gov/entrez/eutils/elink.fcgi?dbfrom=pubmed&amp;id=31239169&amp;retmode=ref&amp;cmd=prlinks</w:t>
      </w:r>
      <w:r>
        <w:rPr>
          <w:rStyle w:val="Hyperlink"/>
        </w:rPr>
        <w:fldChar w:fldCharType="end"/>
      </w:r>
    </w:p>
    <w:p>
      <w:pPr>
        <w:pStyle w:val="Normal"/>
      </w:pPr>
      <w:r>
        <w:rPr>
          <w:color w:val="323232"/>
        </w:rPr>
        <w:t xml:space="preserve">————————</w:t>
      </w:r>
    </w:p>
    <w:p>
      <w:pPr>
        <w:pStyle w:val="Heading4"/>
      </w:pPr>
      <w:r>
        <w:t xml:space="preserve">Canine papillomavirus types 1 and 2 in classical papillomas: High abundance, different morphological associations and frequent co-infections.</w:t>
      </w:r>
    </w:p>
    <w:p/>
    <w:p>
      <w:pPr>
        <w:pStyle w:val="Normal"/>
      </w:pPr>
      <w:r>
        <w:rPr>
          <w:color w:val="323232"/>
        </w:rPr>
        <w:t xml:space="preserve">C E Lange, S H Jennings, A Diallo, and J Lyons.</w:t>
      </w:r>
    </w:p>
    <w:p/>
    <w:p>
      <w:pPr>
        <w:pStyle w:val="Normal"/>
      </w:pPr>
      <w:r>
        <w:rPr>
          <w:color w:val="323232"/>
        </w:rPr>
        <w:t xml:space="preserve">Canine papillomatosis is mainly attributed to papillomavirus infections. Papillomavirus DNA is also frequently identified in healthy skin, and evidence of high papillomavirus diversity complicates this simplistic view of causality. The aim of this study was to determine how frequently canine papillomas contain papillomavirus DNA and express viral protein, and how these factors correlate to the histology and anatomic location. Fifty-three archived, formalin-fixed samples of canine papillomas and eight samples of other proliferative skin lesions from dogs were included. Samples were re-evaluated histologically, tested for papillomavirus L1-antigen using immunohistochemistry, and for papillomavirus DNA with PCR assays and molecular sequencing. Most papillomas from haired skin contained papillomavirus DNA (96%) and antigen (92%). Of oral papillomas, 88% were positive for both papillomavirus DNA and antigen. Approximately 50% of non-papilloma proliferations and papillomas from eyelid/ conjunctiva specimens contained viral DNA, but antigen was present in only 12% of eyelid/ conjunctiva papillomas and in none of the non-papilloma proliferations. The presence of viral antigen was highly correlated with histological indicators of viral infection, including intranuclear inclusions, koilocytes, cytoplasmatic vacuolation and dysplasia. The viruses found were mainly CPV1 and CPV2. CPV1 dominated in oral infections, while CPV2 dominated in cutaneous endophytic papillomas. Co-infections with CPV1 and CPV2 accounted for about 20% of all detected infections. These results support a role for papillomaviruses in canine cutaneous and oral, exophytic and endophytic papillomas and support previously raised doubts about their role in squamous papillomas from eyelid/conjunctiva specimens.</w:t>
      </w:r>
    </w:p>
    <w:p/>
    <w:p>
      <w:pPr>
        <w:pStyle w:val="Normal"/>
      </w:pPr>
      <w:r>
        <w:rPr>
          <w:color w:val="323232"/>
        </w:rPr>
        <w:t xml:space="preserve">Vet J, 2019 vol. 250 pp. 1-5.</w:t>
      </w:r>
    </w:p>
    <w:p>
      <w:r>
        <w:rPr>
          <w:rStyle w:val="Hyperlink"/>
        </w:rPr>
        <w:fldChar w:fldCharType="begin"/>
      </w:r>
      <w:r>
        <w:rPr>
          <w:rStyle w:val="Hyperlink"/>
        </w:rPr>
        <w:instrText xml:space="preserve"> HYPERLINK "http://eutils.ncbi.nlm.nih.gov/entrez/eutils/elink.fcgi?dbfrom=pubmed&amp;id=31383413&amp;retmode=ref&amp;cmd=prlinks"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http://eutils.ncbi.nlm.nih.gov/entrez/eutils/elink.fcgi?dbfrom=pubmed&amp;id=31383413&amp;retmode=ref&amp;cmd=prlinks</w:t>
      </w:r>
      <w:r>
        <w:rPr>
          <w:rStyle w:val="Hyperlink"/>
        </w:rPr>
        <w:fldChar w:fldCharType="end"/>
      </w:r>
    </w:p>
    <w:p>
      <w:pPr>
        <w:pStyle w:val="Normal"/>
      </w:pPr>
      <w:r>
        <w:rPr>
          <w:color w:val="323232"/>
        </w:rPr>
        <w:t xml:space="preserve">————————</w:t>
      </w:r>
    </w:p>
    <w:p>
      <w:pPr>
        <w:pStyle w:val="Heading4"/>
      </w:pPr>
      <w:r>
        <w:t xml:space="preserve">Pregabalin for the treatment of syringomyelia-associated neuropathic pain in dogs: A randomised, placebo-controlled, double-masked clinical trial.</w:t>
      </w:r>
    </w:p>
    <w:p/>
    <w:p>
      <w:pPr>
        <w:pStyle w:val="Normal"/>
      </w:pPr>
      <w:r>
        <w:rPr>
          <w:color w:val="323232"/>
        </w:rPr>
        <w:t xml:space="preserve">S Sanchis-Mora, Y M Chang, S M Abeyesinghe, A Fisher, N Upton, H A Volk, and L Pelligand.</w:t>
      </w:r>
    </w:p>
    <w:p/>
    <w:p>
      <w:pPr>
        <w:pStyle w:val="Normal"/>
      </w:pPr>
      <w:r>
        <w:rPr>
          <w:color w:val="323232"/>
        </w:rPr>
        <w:t xml:space="preserve">Pregabalin is the first-line treatment for neuropathic pain (NeP) in humans. Dogs with Chiari-like malformation and syringomyelia (CM/ SM) associated with NeP could benefit from pregabalin. The aim of this study was to evaluate the efficacy of pregabalin for NeP in dogs with CM</w:t>
      </w:r>
      <w:r>
        <w:rPr>
          <w:i w:val="1"/>
          <w:color w:val="323232"/>
        </w:rPr>
        <w:t xml:space="preserve">SM. Eight dogs with symptomatic CM</w:t>
      </w:r>
      <w:r>
        <w:rPr>
          <w:color w:val="323232"/>
        </w:rPr>
        <w:t xml:space="preserve"> SM were included in a double-masked, randomised, crossover placebo-controlled clinical trial. All dogs received anti-inflammatory drugs as base-line treatment during placebo or pregabalin phase of 14±4 days each. Analgesic efficacy was assessed with a daily numerical rating scale (NRS) recorded by dog owners (0-10, 10=worst pain) and quantitative sensory testing at baseline, placebo and pregabalin phases. Blood samples were collected to report pregabalin exposure and to assess renal function. Daily NRS scores recorded by dog owners in the pregabalin group were lower than in the placebo group (P=0.006). Mechanical thresholds were higher with pregabalin compared to baseline or placebo (P=0.037, P&lt;0.001). Cold latency at 15°C was prolonged on the neck and humeri with pregabalin compared to baseline (P&lt;0.001 for both) or placebo (P=0.02, P=0.0001). Cold latency at 0°C was longer on pregabalin compared to baseline and placebo (P=0.001, P=0.004). There was no pregabalin accumulation between first and last dose. This study demonstrates the efficacy of pregabalin for the treatment of NeP due to CM/SM on daily pain scores recorded by dog owners. Pregabalin significantly reduced mechanical hyperalgesia, cold hyperalgesia (0°C) and allodynia (15°C) compared to placebo. Pregabalin was non-cumulative and well tolerated with occasional mild sedation.</w:t>
      </w:r>
    </w:p>
    <w:p/>
    <w:p>
      <w:pPr>
        <w:pStyle w:val="Normal"/>
      </w:pPr>
      <w:r>
        <w:rPr>
          <w:color w:val="323232"/>
        </w:rPr>
        <w:t xml:space="preserve">Vet J, 2019 vol. 250 pp. 55-62.</w:t>
      </w:r>
    </w:p>
    <w:p>
      <w:r>
        <w:rPr>
          <w:rStyle w:val="Hyperlink"/>
        </w:rPr>
        <w:fldChar w:fldCharType="begin"/>
      </w:r>
      <w:r>
        <w:rPr>
          <w:rStyle w:val="Hyperlink"/>
        </w:rPr>
        <w:instrText xml:space="preserve"> HYPERLINK "http://eutils.ncbi.nlm.nih.gov/entrez/eutils/elink.fcgi?dbfrom=pubmed&amp;id=31383420&amp;retmode=ref&amp;cmd=prlinks"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http://eutils.ncbi.nlm.nih.gov/entrez/eutils/elink.fcgi?dbfrom=pubmed&amp;id=31383420&amp;retmode=ref&amp;cmd=prlinks</w:t>
      </w:r>
      <w:r>
        <w:rPr>
          <w:rStyle w:val="Hyperlink"/>
        </w:rPr>
        <w:fldChar w:fldCharType="end"/>
      </w:r>
    </w:p>
    <w:p>
      <w:pPr>
        <w:pStyle w:val="Normal"/>
      </w:pPr>
      <w:r>
        <w:rPr>
          <w:color w:val="323232"/>
        </w:rPr>
        <w:t xml:space="preserve">————————</w:t>
      </w:r>
    </w:p>
    <w:p>
      <w:pPr>
        <w:pStyle w:val="Heading4"/>
      </w:pPr>
      <w:r>
        <w:t xml:space="preserve">The utility of point-of-care ultrasound right-sided cardiac markers as a screening test for moderate to severe pulmonary hypertension in dogs.</w:t>
      </w:r>
    </w:p>
    <w:p/>
    <w:p>
      <w:pPr>
        <w:pStyle w:val="Normal"/>
      </w:pPr>
      <w:r>
        <w:rPr>
          <w:color w:val="323232"/>
        </w:rPr>
        <w:t xml:space="preserve">A I Vientós-Plotts, K E Wiggen, G R Lisciandro, and C R Reinero.</w:t>
      </w:r>
    </w:p>
    <w:p/>
    <w:p>
      <w:pPr>
        <w:pStyle w:val="Normal"/>
      </w:pPr>
      <w:r>
        <w:rPr>
          <w:color w:val="323232"/>
        </w:rPr>
        <w:t xml:space="preserve">Dogs with respiratory disease can develop pulmonary hypertension (PH), a comorbid condition that can impact therapy and prognosis. Without confirmation using the criterion standard of echocardiography, this complication may be missed. Point-of-care ultrasound (POCUS) is a simple, non-invasive screening test that may suggest PH. It was hypothesized that in dogs POCUS right-sided cardiac markers (R-SCM) at the subxiphoid view would predict moderate to severe PH confirmed by echocardiography. Forty-three client-owned dogs that underwent respiratory evaluation with POCUS and echocardiography were included. POCUS R-SCM evaluated in the subxiphoid view included subjective caudal vena cava distention (CVCsx), CVCsx &gt;1cm, gallbladder wall edema and ascites. PH was defined by tricuspid regurgitation pressure gradient (TRPG) as mild (30-49.9mmHg), moderate (50-74.9mmHg) or severe (&gt;75mmHg). POCUS subxiphoid views were blindly evaluated post hoc and compared to echocardiography. Chi square test and one-way ANOVA were used to evaluate correlations between POCUS R-SCM and echocardiographic diagnosis of moderate to severe PH. Twenty-six dogs with PH, and 17 dogs without PH, were enrolled. There was no significant difference in the presence or absence of any R-SCM between dogs with and without PH. When dogs with no PH and mild PH were grouped and compared to dogs with moderate to severe PH (i.e., dogs for which treatment for PH would be recommended), no significant differences in R-SCM were noted. POCUS R-SCM using the CVCsx view was not a sensitive screening test to identify dogs with PH in this study population.</w:t>
      </w:r>
    </w:p>
    <w:p/>
    <w:p>
      <w:pPr>
        <w:pStyle w:val="Normal"/>
      </w:pPr>
      <w:r>
        <w:rPr>
          <w:color w:val="323232"/>
        </w:rPr>
        <w:t xml:space="preserve">Vet J, 2019 vol. 250 pp. 6-13.</w:t>
      </w:r>
    </w:p>
    <w:p>
      <w:r>
        <w:rPr>
          <w:rStyle w:val="Hyperlink"/>
        </w:rPr>
        <w:fldChar w:fldCharType="begin"/>
      </w:r>
      <w:r>
        <w:rPr>
          <w:rStyle w:val="Hyperlink"/>
        </w:rPr>
        <w:instrText xml:space="preserve"> HYPERLINK "http://eutils.ncbi.nlm.nih.gov/entrez/eutils/elink.fcgi?dbfrom=pubmed&amp;id=31383421&amp;retmode=ref&amp;cmd=prlinks"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http://eutils.ncbi.nlm.nih.gov/entrez/eutils/elink.fcgi?dbfrom=pubmed&amp;id=31383421&amp;retmode=ref&amp;cmd=prlinks</w:t>
      </w:r>
      <w:r>
        <w:rPr>
          <w:rStyle w:val="Hyperlink"/>
        </w:rPr>
        <w:fldChar w:fldCharType="end"/>
      </w:r>
    </w:p>
    <w:p>
      <w:pPr>
        <w:pStyle w:val="Normal"/>
      </w:pPr>
      <w:r>
        <w:rPr>
          <w:color w:val="323232"/>
        </w:rPr>
        <w:t xml:space="preserve">————————</w:t>
      </w:r>
    </w:p>
    <w:p>
      <w:pPr>
        <w:pStyle w:val="Heading4"/>
      </w:pPr>
      <w:r>
        <w:t xml:space="preserve">Urine 5-hydroxyindoleacetic acid in Cavalier King Charles spaniels with preclinical myxomatous mitral valve disease.</w:t>
      </w:r>
    </w:p>
    <w:p/>
    <w:p>
      <w:pPr>
        <w:pStyle w:val="Normal"/>
      </w:pPr>
      <w:r>
        <w:rPr>
          <w:color w:val="323232"/>
        </w:rPr>
        <w:t xml:space="preserve">L B Christiansen, S E Cremer, A Helander, Tine Madsen, M J Reimann, J E Møller, K Höglund, I Ljungvall, J Häggström, and L H Olsen.</w:t>
      </w:r>
    </w:p>
    <w:p/>
    <w:p>
      <w:pPr>
        <w:pStyle w:val="Normal"/>
      </w:pPr>
      <w:r>
        <w:rPr>
          <w:color w:val="323232"/>
        </w:rPr>
        <w:t xml:space="preserve">Higher concentrations of circulating serotonin have been reported in Cavalier King Charles spaniels (CKCS) compared to other dog breeds. The CKCS is also a breed highly predisposed to myxomatous mitral valve disease (MMVD). The aim of this study was to determine urine concentrations of 5-hydroxyindoleacetic acid (5-HIAA), the major metabolite and excretion product of serotonin, in a population of CKCS with preclinical MMVD, and to evaluate whether urine 5-HIAA concentrations were associated with MMVD severity, dog characteristics, setting for urine sampling, platelet count, and serotonin concentration in serum and platelet-poor plasma (PPP). The study population consisted of 40 privately-owned CKCS (23 females; 17 males) with and without preclinical MMVD as follows: American College of Veterinary Internal Medicine (ACVIM) group A (n</w:t>
      </w:r>
      <w:r>
        <w:rPr>
          <w:color w:val="323232"/>
        </w:rPr>
        <w:t xml:space="preserve"> </w:t>
      </w:r>
      <w:r>
        <w:rPr>
          <w:color w:val="323232"/>
        </w:rPr>
        <w:t xml:space="preserve">=</w:t>
      </w:r>
      <w:r>
        <w:rPr>
          <w:color w:val="323232"/>
        </w:rPr>
        <w:t xml:space="preserve"> </w:t>
      </w:r>
      <w:r>
        <w:rPr>
          <w:color w:val="323232"/>
        </w:rPr>
        <w:t xml:space="preserve">11), ACVIM group B1 (n</w:t>
      </w:r>
      <w:r>
        <w:rPr>
          <w:color w:val="323232"/>
        </w:rPr>
        <w:t xml:space="preserve"> </w:t>
      </w:r>
      <w:r>
        <w:rPr>
          <w:color w:val="323232"/>
        </w:rPr>
        <w:t xml:space="preserve">=</w:t>
      </w:r>
      <w:r>
        <w:rPr>
          <w:color w:val="323232"/>
        </w:rPr>
        <w:t xml:space="preserve"> </w:t>
      </w:r>
      <w:r>
        <w:rPr>
          <w:color w:val="323232"/>
        </w:rPr>
        <w:t xml:space="preserve">21) and ACVIM group B2 (n</w:t>
      </w:r>
      <w:r>
        <w:rPr>
          <w:color w:val="323232"/>
        </w:rPr>
        <w:t xml:space="preserve"> </w:t>
      </w:r>
      <w:r>
        <w:rPr>
          <w:color w:val="323232"/>
        </w:rPr>
        <w:t xml:space="preserve">=</w:t>
      </w:r>
      <w:r>
        <w:rPr>
          <w:color w:val="323232"/>
        </w:rPr>
        <w:t xml:space="preserve"> </w:t>
      </w:r>
      <w:r>
        <w:rPr>
          <w:color w:val="323232"/>
        </w:rPr>
        <w:t xml:space="preserve">8). Urine 5-HIAA concentrations were not significantly associated with preclinical MMVD disease, platelet count or circulating concentrations of serotonin (in serum and PPP; P</w:t>
      </w:r>
      <w:r>
        <w:rPr>
          <w:color w:val="323232"/>
        </w:rPr>
        <w:t xml:space="preserve"> </w:t>
      </w:r>
      <w:r>
        <w:rPr>
          <w:color w:val="323232"/>
        </w:rPr>
        <w:t xml:space="preserve">&gt;</w:t>
      </w:r>
      <w:r>
        <w:rPr>
          <w:color w:val="323232"/>
        </w:rPr>
        <w:t xml:space="preserve"> </w:t>
      </w:r>
      <w:r>
        <w:rPr>
          <w:color w:val="323232"/>
        </w:rPr>
        <w:t xml:space="preserve">0.05). Females had higher 5-HIAA concentrations than males in morning urine collected at home (females, 3.1 [2.9-3.7]</w:t>
      </w:r>
      <w:r>
        <w:rPr>
          <w:color w:val="323232"/>
        </w:rPr>
        <w:t xml:space="preserve"> </w:t>
      </w:r>
      <w:r>
        <w:rPr>
          <w:color w:val="323232"/>
        </w:rPr>
        <w:t xml:space="preserve">μmol/ mmol creatinine [median and quartiles]; males, 1.7 [1.2-2.2]</w:t>
      </w:r>
      <w:r>
        <w:rPr>
          <w:color w:val="323232"/>
        </w:rPr>
        <w:t xml:space="preserve"> </w:t>
      </w:r>
      <w:r>
        <w:rPr>
          <w:color w:val="323232"/>
        </w:rPr>
        <w:t xml:space="preserve">μmol/ mmol creatinine; P</w:t>
      </w:r>
      <w:r>
        <w:rPr>
          <w:color w:val="323232"/>
        </w:rPr>
        <w:t xml:space="preserve"> </w:t>
      </w:r>
      <w:r>
        <w:rPr>
          <w:color w:val="323232"/>
        </w:rPr>
        <w:t xml:space="preserve">=</w:t>
      </w:r>
      <w:r>
        <w:rPr>
          <w:color w:val="323232"/>
        </w:rPr>
        <w:t xml:space="preserve"> </w:t>
      </w:r>
      <w:r>
        <w:rPr>
          <w:color w:val="323232"/>
        </w:rPr>
        <w:t xml:space="preserve">0.0002) and urine collected at the clinic (females, 3.5 [3.1-3.9]</w:t>
      </w:r>
      <w:r>
        <w:rPr>
          <w:color w:val="323232"/>
        </w:rPr>
        <w:t xml:space="preserve"> </w:t>
      </w:r>
      <w:r>
        <w:rPr>
          <w:color w:val="323232"/>
        </w:rPr>
        <w:t xml:space="preserve">μmol/ mmol creatinine; males, 1.6 [1.3-2.1]</w:t>
      </w:r>
      <w:r>
        <w:rPr>
          <w:color w:val="323232"/>
        </w:rPr>
        <w:t xml:space="preserve"> </w:t>
      </w:r>
      <w:r>
        <w:rPr>
          <w:color w:val="323232"/>
        </w:rPr>
        <w:t xml:space="preserve">μmol/ mmol creatinine; P</w:t>
      </w:r>
      <w:r>
        <w:rPr>
          <w:color w:val="323232"/>
        </w:rPr>
        <w:t xml:space="preserve"> </w:t>
      </w:r>
      <w:r>
        <w:rPr>
          <w:color w:val="323232"/>
        </w:rPr>
        <w:t xml:space="preserve">&lt;</w:t>
      </w:r>
      <w:r>
        <w:rPr>
          <w:color w:val="323232"/>
        </w:rPr>
        <w:t xml:space="preserve"> </w:t>
      </w:r>
      <w:r>
        <w:rPr>
          <w:color w:val="323232"/>
        </w:rPr>
        <w:t xml:space="preserve">0.0001). Five-HIAA concentrations in urine collected at home and at the clinic were significantly associated (P</w:t>
      </w:r>
      <w:r>
        <w:rPr>
          <w:color w:val="323232"/>
        </w:rPr>
        <w:t xml:space="preserve"> </w:t>
      </w:r>
      <w:r>
        <w:rPr>
          <w:color w:val="323232"/>
        </w:rPr>
        <w:t xml:space="preserve">=</w:t>
      </w:r>
      <w:r>
        <w:rPr>
          <w:color w:val="323232"/>
        </w:rPr>
        <w:t xml:space="preserve"> </w:t>
      </w:r>
      <w:r>
        <w:rPr>
          <w:color w:val="323232"/>
        </w:rPr>
        <w:t xml:space="preserve">0.0004; r</w:t>
      </w:r>
      <w:r>
        <w:rPr>
          <w:color w:val="323232"/>
        </w:rPr>
        <w:t xml:space="preserve"> </w:t>
      </w:r>
      <w:r>
        <w:rPr>
          <w:color w:val="323232"/>
        </w:rPr>
        <w:t xml:space="preserve">=</w:t>
      </w:r>
      <w:r>
        <w:rPr>
          <w:color w:val="323232"/>
        </w:rPr>
        <w:t xml:space="preserve"> </w:t>
      </w:r>
      <w:r>
        <w:rPr>
          <w:color w:val="323232"/>
        </w:rPr>
        <w:t xml:space="preserve">0.73), and higher concentrations were found in urine collected at the clinic (P</w:t>
      </w:r>
      <w:r>
        <w:rPr>
          <w:color w:val="323232"/>
        </w:rPr>
        <w:t xml:space="preserve"> </w:t>
      </w:r>
      <w:r>
        <w:rPr>
          <w:color w:val="323232"/>
        </w:rPr>
        <w:t xml:space="preserve">=</w:t>
      </w:r>
      <w:r>
        <w:rPr>
          <w:color w:val="323232"/>
        </w:rPr>
        <w:t xml:space="preserve"> </w:t>
      </w:r>
      <w:r>
        <w:rPr>
          <w:color w:val="323232"/>
        </w:rPr>
        <w:t xml:space="preserve">0.013). Urine 5-HIAA concentration was influenced by sex and setting of urine sampling. Urine 5-HIAA concentration was not associated with MMVD severity or circulating concentrations of serotonin in CKCS with preclinical disease.</w:t>
      </w:r>
    </w:p>
    <w:p/>
    <w:p>
      <w:pPr>
        <w:pStyle w:val="Normal"/>
      </w:pPr>
      <w:r>
        <w:rPr>
          <w:color w:val="323232"/>
        </w:rPr>
        <w:t xml:space="preserve">Vet J, 2019 vol. 250 pp. 36-43.</w:t>
      </w:r>
    </w:p>
    <w:p>
      <w:r>
        <w:rPr>
          <w:rStyle w:val="Hyperlink"/>
        </w:rPr>
        <w:fldChar w:fldCharType="begin"/>
      </w:r>
      <w:r>
        <w:rPr>
          <w:rStyle w:val="Hyperlink"/>
        </w:rPr>
        <w:instrText xml:space="preserve"> HYPERLINK "http://eutils.ncbi.nlm.nih.gov/entrez/eutils/elink.fcgi?dbfrom=pubmed&amp;id=31383418&amp;retmode=ref&amp;cmd=prlinks"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http://eutils.ncbi.nlm.nih.gov/entrez/eutils/elink.fcgi?dbfrom=pubmed&amp;id=31383418&amp;retmode=ref&amp;cmd=prlinks</w:t>
      </w:r>
      <w:r>
        <w:rPr>
          <w:rStyle w:val="Hyperlink"/>
        </w:rPr>
        <w:fldChar w:fldCharType="end"/>
      </w:r>
    </w:p>
    <w:p>
      <w:pPr>
        <w:pStyle w:val="Normal"/>
      </w:pPr>
      <w:r>
        <w:rPr>
          <w:color w:val="323232"/>
        </w:rPr>
        <w:t xml:space="preserve">————————</w:t>
      </w:r>
    </w:p>
    <w:p>
      <w:pPr>
        <w:pStyle w:val="Heading4"/>
      </w:pPr>
      <w:r>
        <w:t xml:space="preserve">Aerodigestive disorders in dogs evaluated for cough using respiratory fluoroscopy and videofluoroscopic swallow studies.</w:t>
      </w:r>
    </w:p>
    <w:p/>
    <w:p>
      <w:pPr>
        <w:pStyle w:val="Normal"/>
      </w:pPr>
      <w:r>
        <w:rPr>
          <w:color w:val="323232"/>
        </w:rPr>
        <w:t xml:space="preserve">M E Grobman, I Masseau, and C R Reinero.</w:t>
      </w:r>
    </w:p>
    <w:p/>
    <w:p>
      <w:pPr>
        <w:pStyle w:val="Normal"/>
      </w:pPr>
      <w:r>
        <w:rPr>
          <w:color w:val="323232"/>
        </w:rPr>
        <w:t xml:space="preserve">Aerodigestive diseases, hybrid disorders representing a pathologic link between respiratory and alimentary tracts, may manifest with respiratory signs without gastrointestinal signs. These are underdiagnosed in dogs due to poor clinical recognition and diagnostic limitations. We hypothesize that a subset of dogs presenting for cough without gastrointestinal signs would have occult aerodigestive disorders identified using videofluoroscopic swallow study (VFSS). Data were retrospectively obtained from 31 client-owned dogs presenting for cough, with thoracic radiographs, and a VFSS between April 2015 and December 2017. Exclusion criteria were cough of cardiac origin or gastrointestinal signs within 6 months. Swallow study parameters included pharyngeal</w:t>
      </w:r>
      <w:r>
        <w:rPr>
          <w:i w:val="1"/>
          <w:color w:val="323232"/>
        </w:rPr>
        <w:t xml:space="preserve">esophageal motility, laryngeal obstruction</w:t>
      </w:r>
      <w:r>
        <w:rPr>
          <w:color w:val="323232"/>
        </w:rPr>
        <w:t xml:space="preserve">defects, penetration-aspiration, reflux, excessive aerophagia, megaesophagus (ME), lower-esophageal sphincter achalasia-like syndrome (LES-AS), and sliding hiatal hernia (HH). The median (interquartile range) duration of cough was 4 (2-8) months. Thoracic radiographs were unremarkable in 11 dogs, with aspiration pneumonia suspected in seven. In 25/31 dogs (81%), VFSS abnormalities were detected and some dogs had more than one defect: pharyngeal (n=10) or esophageal hypomotility (n=10), reflux (n=9), penetration-aspiration (n=8), excessive aerophagia (n=6), laryngeal obstruction (n=3), ME (n=3), HH (n=2), and LES-AS (n=1). A respiratory disorder causing cough was identified in 17 dogs with VFSS abnormalities (laryngeal obstruction/ defect and airway disease including chronic or eosinophilic bronchitis, tracheal/ mainstem bronchial collapse, bronchiectasis, and bronchomalacia). An alimentary disorder identified on VFSS in absence of a discrete respiratory disorder causing cough was diagnosed in eight dogs. In conclusion, canine aerodigestive disorders can manifest as cough without alimentary signs. VFSS is a useful diagnostic to determine the contribution of esophageal/gastrointestinal pathology in dogs with cough.</w:t>
      </w:r>
    </w:p>
    <w:p/>
    <w:p>
      <w:pPr>
        <w:pStyle w:val="Normal"/>
      </w:pPr>
      <w:r>
        <w:rPr>
          <w:color w:val="323232"/>
        </w:rPr>
        <w:t xml:space="preserve">Vet J, 2019 vol. 251 p. 105344.</w:t>
      </w:r>
    </w:p>
    <w:p>
      <w:r>
        <w:rPr>
          <w:rStyle w:val="Hyperlink"/>
        </w:rPr>
        <w:fldChar w:fldCharType="begin"/>
      </w:r>
      <w:r>
        <w:rPr>
          <w:rStyle w:val="Hyperlink"/>
        </w:rPr>
        <w:instrText xml:space="preserve"> HYPERLINK "http://eutils.ncbi.nlm.nih.gov/entrez/eutils/elink.fcgi?dbfrom=pubmed&amp;id=31492390&amp;retmode=ref&amp;cmd=prlinks"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http://eutils.ncbi.nlm.nih.gov/entrez/eutils/elink.fcgi?dbfrom=pubmed&amp;id=31492390&amp;retmode=ref&amp;cmd=prlinks</w:t>
      </w:r>
      <w:r>
        <w:rPr>
          <w:rStyle w:val="Hyperlink"/>
        </w:rPr>
        <w:fldChar w:fldCharType="end"/>
      </w:r>
    </w:p>
    <w:p>
      <w:pPr>
        <w:pStyle w:val="Normal"/>
      </w:pPr>
      <w:r>
        <w:rPr>
          <w:color w:val="323232"/>
        </w:rPr>
        <w:t xml:space="preserve">————————</w:t>
      </w:r>
    </w:p>
    <w:p>
      <w:pPr>
        <w:pStyle w:val="Heading4"/>
      </w:pPr>
      <w:r>
        <w:t xml:space="preserve">Clinical manifestations, laboratory findings, treatment and outcome of acute organophosphate or carbamate intoxication in 102 dogs: A retrospective study.</w:t>
      </w:r>
    </w:p>
    <w:p/>
    <w:p>
      <w:pPr>
        <w:pStyle w:val="Normal"/>
      </w:pPr>
      <w:r>
        <w:rPr>
          <w:color w:val="323232"/>
        </w:rPr>
        <w:t xml:space="preserve">S Klainbart, M Grabernik, E Kelmer, O Chai, O Cuneah, G Segev, and I Aroch.</w:t>
      </w:r>
    </w:p>
    <w:p/>
    <w:p>
      <w:pPr>
        <w:pStyle w:val="Normal"/>
      </w:pPr>
      <w:r>
        <w:rPr>
          <w:color w:val="323232"/>
        </w:rPr>
        <w:t xml:space="preserve">Organophosphates (OP) and carbamates are commonly used insecticides and important intoxication sources of humans and animals. Nevertheless, large scale studies of these intoxications in dogs are unavailable. The medical records of dogs presented to a veterinary hospital were reviewed retrospectively. The study included 102 dogs definitely diagnosed with acute OP or carbamate intoxication. The most common presenting clinical signs included muscle tremor, hypersalivation, miosis, weakness, vomiting and diarrhea. Hypersalivation, muscle tremor and tachypnea were significantly (P</w:t>
      </w:r>
      <w:r>
        <w:rPr>
          <w:color w:val="323232"/>
        </w:rPr>
        <w:t xml:space="preserve"> </w:t>
      </w:r>
      <w:r>
        <w:rPr>
          <w:color w:val="323232"/>
        </w:rPr>
        <w:t xml:space="preserve">&lt;</w:t>
      </w:r>
      <w:r>
        <w:rPr>
          <w:color w:val="323232"/>
        </w:rPr>
        <w:t xml:space="preserve"> </w:t>
      </w:r>
      <w:r>
        <w:rPr>
          <w:color w:val="323232"/>
        </w:rPr>
        <w:t xml:space="preserve">0.05) associated with survival to discharge; while weakness, mental dullness, anorexia, pale mucous membranes and paddling were significantly associated with death. Common laboratory abnormalities included decreased butyrylcholine esterase activity, acidemia, increased total plasma protein, leukocytosis, hypochloridemia, hyperbilirubinemia, increased creatinine and alanine transaminase (ALT), aspartate transaminase (AST) and creatine kinase activities, and prolonged activated partial thromboplastin time (aPTT). Compared to the survivors, the non-survivors showed significantly: higher frequencies of thrombocytopenia, hypocarbemia, prolonged prothrombin time (PT), hypernatremia, hyperkalemia, hypocholesterolemia, hypoproteinemia, hypertriglyceridemia, increased ALT activity and increased urea concentration; lower median concentrations of venous blood bicarbonate, serum chloride and total CO2; and higher medians of PT, serum total bilirubin and urea concentrations, and ALT and AST activities. Intoxicated dogs were commonly treated with diphenhydramine, atropine-sulfate, antibiotics, diazepam and pralidoxime, while some (19.2%) required general anesthesia and mechanical ventilation. The survival rate of dogs treated by gastric lavage was higher (P</w:t>
      </w:r>
      <w:r>
        <w:rPr>
          <w:color w:val="323232"/>
        </w:rPr>
        <w:t xml:space="preserve"> </w:t>
      </w:r>
      <w:r>
        <w:rPr>
          <w:color w:val="323232"/>
        </w:rPr>
        <w:t xml:space="preserve">=</w:t>
      </w:r>
      <w:r>
        <w:rPr>
          <w:color w:val="323232"/>
        </w:rPr>
        <w:t xml:space="preserve"> </w:t>
      </w:r>
      <w:r>
        <w:rPr>
          <w:color w:val="323232"/>
        </w:rPr>
        <w:t xml:space="preserve">0.041) compared to that of the remaining dogs. Development of respiratory failure and mechanical ventilation requirement were significantly associated (P</w:t>
      </w:r>
      <w:r>
        <w:rPr>
          <w:color w:val="323232"/>
        </w:rPr>
        <w:t xml:space="preserve"> </w:t>
      </w:r>
      <w:r>
        <w:rPr>
          <w:color w:val="323232"/>
        </w:rPr>
        <w:t xml:space="preserve">&lt;</w:t>
      </w:r>
      <w:r>
        <w:rPr>
          <w:color w:val="323232"/>
        </w:rPr>
        <w:t xml:space="preserve"> </w:t>
      </w:r>
      <w:r>
        <w:rPr>
          <w:color w:val="323232"/>
        </w:rPr>
        <w:t xml:space="preserve">0.001) with death. The mortality rate was 17%.</w:t>
      </w:r>
    </w:p>
    <w:p/>
    <w:p>
      <w:pPr>
        <w:pStyle w:val="Normal"/>
      </w:pPr>
      <w:r>
        <w:rPr>
          <w:color w:val="323232"/>
        </w:rPr>
        <w:t xml:space="preserve">Vet J, 2019 vol. 251 p. 105349.</w:t>
      </w:r>
    </w:p>
    <w:p>
      <w:r>
        <w:rPr>
          <w:rStyle w:val="Hyperlink"/>
        </w:rPr>
        <w:fldChar w:fldCharType="begin"/>
      </w:r>
      <w:r>
        <w:rPr>
          <w:rStyle w:val="Hyperlink"/>
        </w:rPr>
        <w:instrText xml:space="preserve"> HYPERLINK "http://eutils.ncbi.nlm.nih.gov/entrez/eutils/elink.fcgi?dbfrom=pubmed&amp;id=31492383&amp;retmode=ref&amp;cmd=prlinks"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http://eutils.ncbi.nlm.nih.gov/entrez/eutils/elink.fcgi?dbfrom=pubmed&amp;id=31492383&amp;retmode=ref&amp;cmd=prlinks</w:t>
      </w:r>
      <w:r>
        <w:rPr>
          <w:rStyle w:val="Hyperlink"/>
        </w:rPr>
        <w:fldChar w:fldCharType="end"/>
      </w:r>
    </w:p>
    <w:p>
      <w:pPr>
        <w:pStyle w:val="Normal"/>
      </w:pPr>
      <w:r>
        <w:rPr>
          <w:color w:val="323232"/>
        </w:rPr>
        <w:t xml:space="preserve">————————</w:t>
      </w:r>
    </w:p>
    <w:p>
      <w:pPr>
        <w:pStyle w:val="Heading4"/>
      </w:pPr>
      <w:r>
        <w:t xml:space="preserve">Effect of clinical signs, endocrinopathies, timing of surgery, hyperlipidemia, and hyperbilirubinemia on outcome in dogs with gallbladder mucocele.</w:t>
      </w:r>
    </w:p>
    <w:p/>
    <w:p>
      <w:pPr>
        <w:pStyle w:val="Normal"/>
      </w:pPr>
      <w:r>
        <w:rPr>
          <w:color w:val="323232"/>
        </w:rPr>
        <w:t xml:space="preserve">J A Jaffey, M Pavlick, C R Webster, G E Moore, K A McDaniel, S L Blois, E M Brand, C F Reich, L Motschenbacher, E T Hostnik, D Su, J A Lidbury, O Raab, S V Carr, K E Mabry, W Fox-Alvarez, S Townsend, S Palermo, Y Nakazono, K Ohno, E VanEerde, H Fieten, A H Hulsman, K Cooley-Lock, M Dunning, C Kisielewicz, A Zoia, M Caldin, A Conti-Patara, L Ross, C Mansfield, O Lynn, M A Claus, P J Watson, A Swallow, D A Yool, K Gommeren, M Knops, V Ceplecha, H de Rooster, R Lobetti, O Dossin, F Jolivet, L G Papazoglou, M C F Pappalardo, F Manczur, Z Dudás-Györki, E J O'Neill, C Martinez, A Gal, R L Owen, E Gunn, K Brown, L K Harder, C Griebsch, K P Anfinsen, T K Gron, V Marchetti, R M Heilmann, P Pazzi, and A E DeClue.</w:t>
      </w:r>
    </w:p>
    <w:p/>
    <w:p>
      <w:pPr>
        <w:pStyle w:val="Normal"/>
      </w:pPr>
      <w:r>
        <w:rPr>
          <w:color w:val="323232"/>
        </w:rPr>
        <w:t xml:space="preserve">Gallbladder mucocele (GBM) is a common extra-hepatic biliary syndrome in dogs with death rates ranging from 7 to 45%. Therefore, the aim of this study was to identify the association of survival with variables that could be utilized to improve clinical decisions. A total of 1194 dogs with a gross and histopathological diagnosis of GBM were included from 41 veterinary referral hospitals in this retrospective study. Dogs with GBM that demonstrated abnormal clinical signs had significantly greater odds of death than subclinical dogs in a univariable analysis (OR, 4.2; 95% CI, 2.14-8.23; P&lt;0.001). The multivariable model indicated that categorical variables including owner recognition of jaundice (OR, 2.12; 95% CI, 1.19-3.77; P=0.011), concurrent hyperadrenocorticism (OR 1.94; 95% CI, 1.08-3.47; P=0.026), and Pomeranian breed (OR, 2.46; 95% CI 1.10-5.50; P=0.029) were associated with increased odds of death, and vomiting was associated with decreased odds of death (OR, 0.48; 95% CI, 0.30-0.72; P=0.001). Continuous variables in the multivariable model, total serum/ plasma bilirubin concentration (OR, 1.03; 95% CI, 1.01-1.04; P&lt;0.001) and age (OR, 1.17; 95% CI, 1.08-1.26; P&lt;0.001), were associated with increased odds of death. The clinical utility of total serum/ plasma bilirubin concentration as a biomarker to predict death was poor with a sensitivity of 0.61 (95% CI, 0.54-0.69) and a specificity of 0.63 (95% CI, 0.59-0.66). This study identified several prognostic variables in dogs with GBM including total serum/plasma bilirubin concentration, age, clinical signs, concurrent hyperadrenocorticism, and the Pomeranian breed. The presence of hypothyroidism or diabetes mellitus did not impact outcome in this study.</w:t>
      </w:r>
    </w:p>
    <w:p/>
    <w:p>
      <w:pPr>
        <w:pStyle w:val="Normal"/>
      </w:pPr>
      <w:r>
        <w:rPr>
          <w:color w:val="323232"/>
        </w:rPr>
        <w:t xml:space="preserve">Vet J, 2019 vol. 251 p. 105350.</w:t>
      </w:r>
    </w:p>
    <w:p>
      <w:r>
        <w:rPr>
          <w:rStyle w:val="Hyperlink"/>
        </w:rPr>
        <w:fldChar w:fldCharType="begin"/>
      </w:r>
      <w:r>
        <w:rPr>
          <w:rStyle w:val="Hyperlink"/>
        </w:rPr>
        <w:instrText xml:space="preserve"> HYPERLINK "http://eutils.ncbi.nlm.nih.gov/entrez/eutils/elink.fcgi?dbfrom=pubmed&amp;id=31492387&amp;retmode=ref&amp;cmd=prlinks"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http://eutils.ncbi.nlm.nih.gov/entrez/eutils/elink.fcgi?dbfrom=pubmed&amp;id=31492387&amp;retmode=ref&amp;cmd=prlinks</w:t>
      </w:r>
      <w:r>
        <w:rPr>
          <w:rStyle w:val="Hyperlink"/>
        </w:rPr>
        <w:fldChar w:fldCharType="end"/>
      </w:r>
    </w:p>
    <w:p>
      <w:pPr>
        <w:pStyle w:val="Normal"/>
      </w:pPr>
      <w:r>
        <w:rPr>
          <w:color w:val="323232"/>
        </w:rPr>
        <w:t xml:space="preserve">————————</w:t>
      </w:r>
    </w:p>
    <w:p>
      <w:pPr>
        <w:pStyle w:val="Heading4"/>
      </w:pPr>
      <w:r>
        <w:t xml:space="preserve">Intranasal dexmedetomidine in healthy beagles: An echocardiographic and pharmacokinetic/pharmacodynamic study.</w:t>
      </w:r>
    </w:p>
    <w:p/>
    <w:p>
      <w:pPr>
        <w:pStyle w:val="Normal"/>
      </w:pPr>
      <w:r>
        <w:rPr>
          <w:color w:val="323232"/>
        </w:rPr>
        <w:t xml:space="preserve">B Santangelo, M Harel, I Fourel, F Micieli, M Cataldi, E Segard-Weisse, and K Portier.</w:t>
      </w:r>
    </w:p>
    <w:p/>
    <w:p>
      <w:pPr>
        <w:pStyle w:val="Normal"/>
      </w:pPr>
      <w:r>
        <w:rPr>
          <w:color w:val="323232"/>
        </w:rPr>
        <w:t xml:space="preserve">The aim of this study was to compare the sedative and cardiovascular effects of dexmedetomidine (DEX) administrated via intranasal (IN) and intramuscular (IM) routes. This masked, randomised, crossover study used six male beagle dogs, receiving 0.02</w:t>
      </w:r>
      <w:r>
        <w:rPr>
          <w:color w:val="323232"/>
        </w:rPr>
        <w:t xml:space="preserve"> </w:t>
      </w:r>
      <w:r>
        <w:rPr>
          <w:color w:val="323232"/>
        </w:rPr>
        <w:t xml:space="preserve">mg/kg dexmedetomidine either IN (DEX-IN) or IM (DEX-IM), and an equal volume of saline by the alternative route. Dexmedetomidine plasma concentration was measured before (TB) and at time points (T) 2, 5, 10, 15, 30, 45, 60, 90 and 120</w:t>
      </w:r>
      <w:r>
        <w:rPr>
          <w:color w:val="323232"/>
        </w:rPr>
        <w:t xml:space="preserve"> </w:t>
      </w:r>
      <w:r>
        <w:rPr>
          <w:color w:val="323232"/>
        </w:rPr>
        <w:t xml:space="preserve">min after drug administration (T0). Physiological variables, sedation scores and sedation times were recorded until recovery. Echocardiography was performed at TB and between T20-T40. Repeated data over time were analysed using a Scheirer-Ray-Hare test. Other data were compared using a Wilcoxon or Student's t test. Times from T0 to sternal position and from lateral to sternal position were longer for DEX-IN than DEX-IM (P</w:t>
      </w:r>
      <w:r>
        <w:rPr>
          <w:color w:val="323232"/>
        </w:rPr>
        <w:t xml:space="preserve"> </w:t>
      </w:r>
      <w:r>
        <w:rPr>
          <w:color w:val="323232"/>
        </w:rPr>
        <w:t xml:space="preserve">=</w:t>
      </w:r>
      <w:r>
        <w:rPr>
          <w:color w:val="323232"/>
        </w:rPr>
        <w:t xml:space="preserve"> </w:t>
      </w:r>
      <w:r>
        <w:rPr>
          <w:color w:val="323232"/>
        </w:rPr>
        <w:t xml:space="preserve">0.018 and P</w:t>
      </w:r>
      <w:r>
        <w:rPr>
          <w:color w:val="323232"/>
        </w:rPr>
        <w:t xml:space="preserve"> </w:t>
      </w:r>
      <w:r>
        <w:rPr>
          <w:color w:val="323232"/>
        </w:rPr>
        <w:t xml:space="preserve">=</w:t>
      </w:r>
      <w:r>
        <w:rPr>
          <w:color w:val="323232"/>
        </w:rPr>
        <w:t xml:space="preserve"> </w:t>
      </w:r>
      <w:r>
        <w:rPr>
          <w:color w:val="323232"/>
        </w:rPr>
        <w:t xml:space="preserve">0.009, respectively). Time from sternal to standing position was shorter for DEX-IN than DEX-IM (P</w:t>
      </w:r>
      <w:r>
        <w:rPr>
          <w:color w:val="323232"/>
        </w:rPr>
        <w:t xml:space="preserve"> </w:t>
      </w:r>
      <w:r>
        <w:rPr>
          <w:color w:val="323232"/>
        </w:rPr>
        <w:t xml:space="preserve">=</w:t>
      </w:r>
      <w:r>
        <w:rPr>
          <w:color w:val="323232"/>
        </w:rPr>
        <w:t xml:space="preserve"> </w:t>
      </w:r>
      <w:r>
        <w:rPr>
          <w:color w:val="323232"/>
        </w:rPr>
        <w:t xml:space="preserve">0.03). Dexmedetomidine plasma concentrations were significantly lower for DEX-IN than DEX-IM from T10 to T120. Heart rate was significantly lower for DEX-IM than DEX-IN from T5 to T20. Echocardiography showed a decrease in systolic function and calculated cardiac output in DEX-IM as compared to baseline. The DEX concentration-sedation curve for DEX-IN as compared to DEX-IM was leftward shifted, whereas the IN and IM DEX concentration-variation-in-heart-rate curves overlapped. Although reaching lower plasma concentrations, IN dexmedetomidine produced similar sedation to IM dexmedetomidine without affecting cardiovascular function.</w:t>
      </w:r>
    </w:p>
    <w:p/>
    <w:p>
      <w:pPr>
        <w:pStyle w:val="Normal"/>
      </w:pPr>
      <w:r>
        <w:rPr>
          <w:color w:val="323232"/>
        </w:rPr>
        <w:t xml:space="preserve">Vet J, 2019 vol. 251 p. 105346.</w:t>
      </w:r>
    </w:p>
    <w:p>
      <w:r>
        <w:rPr>
          <w:rStyle w:val="Hyperlink"/>
        </w:rPr>
        <w:fldChar w:fldCharType="begin"/>
      </w:r>
      <w:r>
        <w:rPr>
          <w:rStyle w:val="Hyperlink"/>
        </w:rPr>
        <w:instrText xml:space="preserve"> HYPERLINK "http://eutils.ncbi.nlm.nih.gov/entrez/eutils/elink.fcgi?dbfrom=pubmed&amp;id=31492384&amp;retmode=ref&amp;cmd=prlinks"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http://eutils.ncbi.nlm.nih.gov/entrez/eutils/elink.fcgi?dbfrom=pubmed&amp;id=31492384&amp;retmode=ref&amp;cmd=prlinks</w:t>
      </w:r>
      <w:r>
        <w:rPr>
          <w:rStyle w:val="Hyperlink"/>
        </w:rPr>
        <w:fldChar w:fldCharType="end"/>
      </w:r>
    </w:p>
    <w:p>
      <w:pPr>
        <w:pStyle w:val="Normal"/>
      </w:pPr>
      <w:r>
        <w:rPr>
          <w:color w:val="323232"/>
        </w:rPr>
        <w:t xml:space="preserve">————————</w:t>
      </w:r>
    </w:p>
    <w:p>
      <w:pPr>
        <w:pStyle w:val="Heading4"/>
      </w:pPr>
      <w:r>
        <w:t xml:space="preserve">Pulmonary hypertension secondary to respiratory disease and/or hypoxia in dogs: Clinical features, diagnostic testing and survival.</w:t>
      </w:r>
    </w:p>
    <w:p/>
    <w:p>
      <w:pPr>
        <w:pStyle w:val="Normal"/>
      </w:pPr>
      <w:r>
        <w:rPr>
          <w:color w:val="323232"/>
        </w:rPr>
        <w:t xml:space="preserve">J A Jaffey, K Wiggen, S B Leach, I Masseau, R E Girens, and C R Reinero.</w:t>
      </w:r>
    </w:p>
    <w:p/>
    <w:p>
      <w:pPr>
        <w:pStyle w:val="Normal"/>
      </w:pPr>
      <w:r>
        <w:rPr>
          <w:color w:val="323232"/>
        </w:rPr>
        <w:t xml:space="preserve">Pulmonary hypertension (PH) is associated with substantial morbidity and if untreated, mortality. The human classification of PH is based on pathological, hemodynamic characteristics, and therapeutic approaches. Despite being a leading cause of PH, little is known about dogs with respiratory disease and</w:t>
      </w:r>
      <w:r>
        <w:rPr>
          <w:i w:val="1"/>
          <w:color w:val="323232"/>
        </w:rPr>
        <w:t xml:space="preserve">or hypoxia (RD</w:t>
      </w:r>
      <w:r>
        <w:rPr>
          <w:color w:val="323232"/>
        </w:rPr>
        <w:t xml:space="preserve">H)-associated PH. Therefore, our objectives were to retrospectively describe clinical features, diagnostic evaluations, final diagnoses and identify prognostic variables in dogs with RD</w:t>
      </w:r>
      <w:r>
        <w:rPr>
          <w:i w:val="1"/>
          <w:color w:val="323232"/>
        </w:rPr>
        <w:t xml:space="preserve">H and PH. In 47 dogs identified with RD</w:t>
      </w:r>
      <w:r>
        <w:rPr>
          <w:color w:val="323232"/>
        </w:rPr>
        <w:t xml:space="preserve">H and PH, chronic airway obstructive disorders, bronchiectasis, bronchiolar disease, emphysema, pulmonary fibrosis, neoplasia and other parenchymal disorders were identified using thoracic radiography, computed tomography, fluoroscopy, tracheobronchoscopy, bronchoalveolar lavage, and histopathology. PH was diagnosed using transthoracic echocardiography. Overall median survival was 276.0 days (SE, 95% CI; 216, 0-699 days). Dogs with an estimated systolic pulmonary arterial pressure (sPAP) ≥47mmHg (n=21; 9 days; 95% CI, 0-85 days) had significantly shorter survival times than those &lt;47mmHg (n=16; P=0.001). Estimated sPAP at a cutoff of ≥47mmHg was a fair predictor of non-survival with sensitivity of 0.78 (95% CI, 0.52-0.94) and specificity of 0.63 (95% CI, 0.38-0.84). Phosphodiesterase-5 (PDE5) inhibitor administration was the sole independent predictor of survival in a multivariable analysis (hazard ratio: 4.0, P=0.02). Canine PH is present in a diverse spectrum of respiratory diseases, most commonly obstructive disorders. Similar to people, severity of PH is prognostic in dogs with RD/H and PDE5 inhibition could be a viable therapy to improve outcome.</w:t>
      </w:r>
    </w:p>
    <w:p/>
    <w:p>
      <w:pPr>
        <w:pStyle w:val="Normal"/>
      </w:pPr>
      <w:r>
        <w:rPr>
          <w:color w:val="323232"/>
        </w:rPr>
        <w:t xml:space="preserve">Vet J, 2019 vol. 251 p. 105347.</w:t>
      </w:r>
    </w:p>
    <w:p>
      <w:r>
        <w:rPr>
          <w:rStyle w:val="Hyperlink"/>
        </w:rPr>
        <w:fldChar w:fldCharType="begin"/>
      </w:r>
      <w:r>
        <w:rPr>
          <w:rStyle w:val="Hyperlink"/>
        </w:rPr>
        <w:instrText xml:space="preserve"> HYPERLINK "http://eutils.ncbi.nlm.nih.gov/entrez/eutils/elink.fcgi?dbfrom=pubmed&amp;id=31492386&amp;retmode=ref&amp;cmd=prlinks"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http://eutils.ncbi.nlm.nih.gov/entrez/eutils/elink.fcgi?dbfrom=pubmed&amp;id=31492386&amp;retmode=ref&amp;cmd=prlinks</w:t>
      </w:r>
      <w:r>
        <w:rPr>
          <w:rStyle w:val="Hyperlink"/>
        </w:rPr>
        <w:fldChar w:fldCharType="end"/>
      </w:r>
    </w:p>
    <w:p>
      <w:pPr>
        <w:pStyle w:val="Normal"/>
      </w:pPr>
      <w:r>
        <w:rPr>
          <w:color w:val="323232"/>
        </w:rPr>
        <w:t xml:space="preserve">————————</w:t>
      </w:r>
    </w:p>
    <w:p>
      <w:pPr>
        <w:pStyle w:val="Heading4"/>
      </w:pPr>
      <w:r>
        <w:t xml:space="preserve">A randomised controlled comparison of aspiration and non-aspiration fine-needle techniques for obtaining ultrasound-guided cytological samples from canine livers.</w:t>
      </w:r>
    </w:p>
    <w:p/>
    <w:p>
      <w:pPr>
        <w:pStyle w:val="Normal"/>
      </w:pPr>
      <w:r>
        <w:rPr>
          <w:color w:val="323232"/>
        </w:rPr>
        <w:t xml:space="preserve">K L Fleming, E J Howells, E J Villiers, and T W Maddox.</w:t>
      </w:r>
    </w:p>
    <w:p/>
    <w:p>
      <w:pPr>
        <w:pStyle w:val="Normal"/>
      </w:pPr>
      <w:r>
        <w:rPr>
          <w:color w:val="323232"/>
        </w:rPr>
        <w:t xml:space="preserve">Ultrasound-guided fine-needle sampling to obtain cytological samples is a well-established technique. However, the application of suction during sampling is controversial. Evidence from the human literature and one previous veterinary study suggest that non-aspiration may be superior for a number of organs. This prospective study compared the quality and diagnostic value of cytological samples from canine livers obtained by fine-needle aspiration (FNA) and non-aspiration (FN-NA) techniques. A total of 119 dogs that required ultrasound-guided FNA of the liver as part of their clinical investigation were recruited and randomly assigned to either FNA (n=54) or FN-NA (n=65) sampling groups. Specimens were reviewed by external cytopathologists masked to the technique used. Cytological reports were reviewed for their overall diagnostic value, cellularity, cell preservation and haemodilution. Overall, 88.2% (95% confidence intervals [CI], 82.4-94.0) of samples were diagnostic. There was a significant difference, as demonstrated by Chi-squared statistical analysis, in the prevalence of diagnostic samples between the FNA (81.5%; 95% CI, 71.1-91.8) and FN-NA groups (93.9%; 95% CI, 88.0-99.7; P=0.037). Non-diagnostic samples were significantly associated with lower cellularity, poorer cell preservation and more severe haemodilution (P&lt;0.001 for each). However, there were no significant differences in the frequency of these specific variables between the FNA and FN-NA groups. In this study, fine-needle non-aspiration was superior to an aspiration technique for sampling the canine liver, as it resulted in higher rates of diagnostic cytology samples, with greater cellularity, less haemodilution and better cytological preservation.</w:t>
      </w:r>
    </w:p>
    <w:p/>
    <w:p>
      <w:pPr>
        <w:pStyle w:val="Normal"/>
      </w:pPr>
      <w:r>
        <w:rPr>
          <w:color w:val="323232"/>
        </w:rPr>
        <w:t xml:space="preserve">Vet J, 2019 vol. 252 p. 105372.</w:t>
      </w:r>
    </w:p>
    <w:p>
      <w:r>
        <w:rPr>
          <w:rStyle w:val="Hyperlink"/>
        </w:rPr>
        <w:fldChar w:fldCharType="begin"/>
      </w:r>
      <w:r>
        <w:rPr>
          <w:rStyle w:val="Hyperlink"/>
        </w:rPr>
        <w:instrText xml:space="preserve"> HYPERLINK "http://eutils.ncbi.nlm.nih.gov/entrez/eutils/elink.fcgi?dbfrom=pubmed&amp;id=31554588&amp;retmode=ref&amp;cmd=prlinks"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http://eutils.ncbi.nlm.nih.gov/entrez/eutils/elink.fcgi?dbfrom=pubmed&amp;id=31554588&amp;retmode=ref&amp;cmd=prlinks</w:t>
      </w:r>
      <w:r>
        <w:rPr>
          <w:rStyle w:val="Hyperlink"/>
        </w:rPr>
        <w:fldChar w:fldCharType="end"/>
      </w:r>
    </w:p>
    <w:p>
      <w:pPr>
        <w:pStyle w:val="Normal"/>
      </w:pPr>
      <w:r>
        <w:rPr>
          <w:color w:val="323232"/>
        </w:rPr>
        <w:t xml:space="preserve">————————</w:t>
      </w:r>
    </w:p>
    <w:p>
      <w:pPr>
        <w:pStyle w:val="Heading4"/>
      </w:pPr>
      <w:r>
        <w:t xml:space="preserve">Diagnosis of spontaneous hyperadrenocorticism in dogs. Part 1: Pathophysiology, aetiology, clinical and clinicopathological features.</w:t>
      </w:r>
    </w:p>
    <w:p/>
    <w:p>
      <w:pPr>
        <w:pStyle w:val="Normal"/>
      </w:pPr>
      <w:r>
        <w:rPr>
          <w:color w:val="323232"/>
        </w:rPr>
        <w:t xml:space="preserve">Michael Bennaim, Robert E Shiel, and Carmel T Mooney.</w:t>
      </w:r>
    </w:p>
    <w:p/>
    <w:p>
      <w:pPr>
        <w:pStyle w:val="Normal"/>
      </w:pPr>
      <w:r>
        <w:rPr>
          <w:color w:val="323232"/>
        </w:rPr>
        <w:t xml:space="preserve">Hyperadrenocorticism is a relatively common endocrine disorder in dogs. It occurs as a result of a functional pituitary or adrenal tumour, although other causes have been rarely reported. Canine hyperadrenocorticism has been extensively described but diagnosing this disease remains challenging. Few studies have investigated the clinical and clinicopathological features helpful in differentiating dogs with hyperadrenocorticism from dogs in which the disease is suspected but eventually excluded. Ultimately the diagnosis is based on a combination of multiple pieces of information emanating from the signalment, history, clinical findings, and a variety of diagnostic tests. The first part of this review aims to critically appraise the available data on epidemiology, clinical and laboratory features of naturally occurring canine hyperadrenocorticism.</w:t>
      </w:r>
    </w:p>
    <w:p/>
    <w:p>
      <w:pPr>
        <w:pStyle w:val="Normal"/>
      </w:pPr>
      <w:r>
        <w:rPr>
          <w:color w:val="323232"/>
        </w:rPr>
        <w:t xml:space="preserve">Vet J, 2019 vol. 252 p. 105342.</w:t>
      </w:r>
    </w:p>
    <w:p>
      <w:r>
        <w:rPr>
          <w:rStyle w:val="Hyperlink"/>
        </w:rPr>
        <w:fldChar w:fldCharType="begin"/>
      </w:r>
      <w:r>
        <w:rPr>
          <w:rStyle w:val="Hyperlink"/>
        </w:rPr>
        <w:instrText xml:space="preserve"> HYPERLINK "http://eutils.ncbi.nlm.nih.gov/entrez/eutils/elink.fcgi?dbfrom=pubmed&amp;id=31554593&amp;retmode=ref&amp;cmd=prlinks"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http://eutils.ncbi.nlm.nih.gov/entrez/eutils/elink.fcgi?dbfrom=pubmed&amp;id=31554593&amp;retmode=ref&amp;cmd=prlinks</w:t>
      </w:r>
      <w:r>
        <w:rPr>
          <w:rStyle w:val="Hyperlink"/>
        </w:rPr>
        <w:fldChar w:fldCharType="end"/>
      </w:r>
    </w:p>
    <w:p>
      <w:pPr>
        <w:pStyle w:val="Normal"/>
      </w:pPr>
      <w:r>
        <w:rPr>
          <w:color w:val="323232"/>
        </w:rPr>
        <w:t xml:space="preserve">————————</w:t>
      </w:r>
    </w:p>
    <w:p>
      <w:pPr>
        <w:pStyle w:val="Heading4"/>
      </w:pPr>
      <w:r>
        <w:t xml:space="preserve">Diagnosis of spontaneous hyperadrenocorticism in dogs. Part 2: Adrenal function testing and differentiating tests.</w:t>
      </w:r>
    </w:p>
    <w:p/>
    <w:p>
      <w:pPr>
        <w:pStyle w:val="Normal"/>
      </w:pPr>
      <w:r>
        <w:rPr>
          <w:color w:val="323232"/>
        </w:rPr>
        <w:t xml:space="preserve">Michael Bennaim, Robert E Shiel, and Carmel T Mooney.</w:t>
      </w:r>
    </w:p>
    <w:p/>
    <w:p>
      <w:pPr>
        <w:pStyle w:val="Normal"/>
      </w:pPr>
      <w:r>
        <w:rPr>
          <w:color w:val="323232"/>
        </w:rPr>
        <w:t xml:space="preserve">Hyperadrenocorticism is a relatively common endocrine disorder in dogs that has been extensively described. However, its diagnosis remains challenging because there is no true reference standard test, and a myriad factors can affect the diagnostic performance of the commonly used adrenal function tests. Ultimately, the diagnosis is based on a combination of signalment, history and clinical findings, and a variety of diagnostic test results. The second part of this review aims to appraise available data on diagnostic performance of adrenal function tests in naturally occurring canine hyperadrenocorticism.</w:t>
      </w:r>
    </w:p>
    <w:p/>
    <w:p>
      <w:pPr>
        <w:pStyle w:val="Normal"/>
      </w:pPr>
      <w:r>
        <w:rPr>
          <w:color w:val="323232"/>
        </w:rPr>
        <w:t xml:space="preserve">Vet J, 2019 vol. 252 p. 105343.</w:t>
      </w:r>
    </w:p>
    <w:p>
      <w:r>
        <w:rPr>
          <w:rStyle w:val="Hyperlink"/>
        </w:rPr>
        <w:fldChar w:fldCharType="begin"/>
      </w:r>
      <w:r>
        <w:rPr>
          <w:rStyle w:val="Hyperlink"/>
        </w:rPr>
        <w:instrText xml:space="preserve"> HYPERLINK "http://eutils.ncbi.nlm.nih.gov/entrez/eutils/elink.fcgi?dbfrom=pubmed&amp;id=31554584&amp;retmode=ref&amp;cmd=prlinks"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http://eutils.ncbi.nlm.nih.gov/entrez/eutils/elink.fcgi?dbfrom=pubmed&amp;id=31554584&amp;retmode=ref&amp;cmd=prlinks</w:t>
      </w:r>
      <w:r>
        <w:rPr>
          <w:rStyle w:val="Hyperlink"/>
        </w:rPr>
        <w:fldChar w:fldCharType="end"/>
      </w:r>
    </w:p>
    <w:p>
      <w:pPr>
        <w:pStyle w:val="Normal"/>
      </w:pPr>
      <w:r>
        <w:rPr>
          <w:color w:val="323232"/>
        </w:rPr>
        <w:t xml:space="preserve">————————</w:t>
      </w:r>
    </w:p>
    <w:p>
      <w:pPr>
        <w:pStyle w:val="Heading4"/>
      </w:pPr>
      <w:r>
        <w:t xml:space="preserve">Retrospective evaluation of prazosin and diazepam after thoracolumbar hemilaminectomy in dogs.</w:t>
      </w:r>
    </w:p>
    <w:p/>
    <w:p>
      <w:pPr>
        <w:pStyle w:val="Normal"/>
      </w:pPr>
      <w:r>
        <w:rPr>
          <w:color w:val="323232"/>
        </w:rPr>
        <w:t xml:space="preserve">K H Barnes, K S Aulakh, and C Liu.</w:t>
      </w:r>
    </w:p>
    <w:p/>
    <w:p>
      <w:pPr>
        <w:pStyle w:val="Normal"/>
      </w:pPr>
      <w:r>
        <w:rPr>
          <w:color w:val="323232"/>
        </w:rPr>
        <w:t xml:space="preserve">Management of urinary retention after spinal cord injury in dogs is often needed and can include use of medications to relax the urethral sphincter. This was a retrospective study evaluating two such medications, prazosin and diazepam, and whether dogs treated with these medications had different lengths of hospitalization, urinary continence levels, or development of bacteriuria compared to dogs not receiving these medications after thoracolumbar hemilaminectomy for intervertebral disc herniation (IVDH). Electronic medical records were searched for dogs that underwent CT or MRI followed by a hemilaminectomy between the 3rd thoracic and 3rd lumbar vertebra for treatment of IVDH. Dogs were grouped based on whether or not they received a medication to aid in urethral sphincter relaxation (either prazosin, diazepam, or both medications). The total length of hospitalization, urinary continence at the time of discharge, and presence of bacteriuria were recorded from the medical file. Medical records from 71 dogs were included in the analysis. There were no significant associations between administration of prazosin and/or diazepam and length of hospitalization or urinary continence scores at the time of discharge from the hospital (P</w:t>
      </w:r>
      <w:r>
        <w:rPr>
          <w:color w:val="323232"/>
        </w:rPr>
        <w:t xml:space="preserve"> </w:t>
      </w:r>
      <w:r>
        <w:rPr>
          <w:color w:val="323232"/>
        </w:rPr>
        <w:t xml:space="preserve">&gt;</w:t>
      </w:r>
      <w:r>
        <w:rPr>
          <w:color w:val="323232"/>
        </w:rPr>
        <w:t xml:space="preserve"> </w:t>
      </w:r>
      <w:r>
        <w:rPr>
          <w:color w:val="323232"/>
        </w:rPr>
        <w:t xml:space="preserve">0.05).</w:t>
      </w:r>
    </w:p>
    <w:p/>
    <w:p>
      <w:pPr>
        <w:pStyle w:val="Normal"/>
      </w:pPr>
      <w:r>
        <w:rPr>
          <w:color w:val="323232"/>
        </w:rPr>
        <w:t xml:space="preserve">Vet J, 2019 vol. 253 p. 105377.</w:t>
      </w:r>
    </w:p>
    <w:p>
      <w:r>
        <w:rPr>
          <w:rStyle w:val="Hyperlink"/>
        </w:rPr>
        <w:fldChar w:fldCharType="begin"/>
      </w:r>
      <w:r>
        <w:rPr>
          <w:rStyle w:val="Hyperlink"/>
        </w:rPr>
        <w:instrText xml:space="preserve"> HYPERLINK "http://eutils.ncbi.nlm.nih.gov/entrez/eutils/elink.fcgi?dbfrom=pubmed&amp;id=31685135&amp;retmode=ref&amp;cmd=prlinks"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http://eutils.ncbi.nlm.nih.gov/entrez/eutils/elink.fcgi?dbfrom=pubmed&amp;id=31685135&amp;retmode=ref&amp;cmd=prlinks</w:t>
      </w:r>
      <w:r>
        <w:rPr>
          <w:rStyle w:val="Hyperlink"/>
        </w:rPr>
        <w:fldChar w:fldCharType="end"/>
      </w:r>
    </w:p>
    <w:p>
      <w:pPr>
        <w:pStyle w:val="Normal"/>
      </w:pPr>
      <w:r>
        <w:rPr>
          <w:color w:val="323232"/>
        </w:rPr>
        <w:t xml:space="preserve">————————</w:t>
      </w:r>
    </w:p>
    <w:p>
      <w:pPr>
        <w:pStyle w:val="Normal"/>
      </w:pPr>
      <w:r>
        <w:rPr>
          <w:b w:val="1"/>
          <w:color w:val="323232"/>
        </w:rPr>
        <w:t xml:space="preserve">Add volume 254</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