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The Veterinary Journal 2018</w:t>
      </w:r>
    </w:p>
    <w:p>
      <w:pPr>
        <w:pStyle w:val="Heading2"/>
      </w:pPr>
      <w:r>
        <w:t xml:space="preserve">Vet J 2018; Vol 231-242</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Comparison of efficacy of oral and parenteral cobalamin supplementation in normalising low cobalamin concentrations in dogs: A randomised controlled study.</w:t>
      </w:r>
    </w:p>
    <w:p/>
    <w:p>
      <w:pPr>
        <w:pStyle w:val="Normal"/>
      </w:pPr>
      <w:r>
        <w:rPr>
          <w:color w:val="323232"/>
        </w:rPr>
        <w:t xml:space="preserve">L Toresson, J M Steiner, P Razdan, E Spodsberg, G Olmedal, J S Suchodolski, and T Spillmann.</w:t>
      </w:r>
    </w:p>
    <w:p/>
    <w:p>
      <w:pPr>
        <w:pStyle w:val="Normal"/>
      </w:pPr>
      <w:r>
        <w:rPr>
          <w:color w:val="323232"/>
        </w:rPr>
        <w:t xml:space="preserve">The aim of this study was to compare the efficacies of parenteral and oral cobalamin supplementation protocols in dogs with chronic enteropathies and low cobalamin concentrations. It was hypothesised that both treatments would increase serum cobalamin concentrations significantly. Fifty-three dogs with chronic enteropathies and serum cobalamin concentrations&lt;285ng</w:t>
      </w:r>
      <w:r>
        <w:rPr>
          <w:i w:val="1"/>
          <w:color w:val="323232"/>
        </w:rPr>
        <w:t xml:space="preserve">L (reference interval 244-959ng</w:t>
      </w:r>
      <w:r>
        <w:rPr>
          <w:color w:val="323232"/>
        </w:rPr>
        <w:t xml:space="preserve">L) were enrolled. Dogs were randomised to treatment with either daily oral cobalamin tablets (0.25-1.0mg cyanocobalamin daily according to body weight) or parenteral cobalamin (0.4-1.2mg hydroxycobalamin according to body weight). Serum cobalamin concentrations were analysed 28±5days and 90±15days after initiation of supplementation. After 28 days, all dogs had serum cobalamin concentrations within the reference interval or above. In the parenteral group (n=26), median (range) cobalamin concentrations were 228 (150-285) ng</w:t>
      </w:r>
      <w:r>
        <w:rPr>
          <w:i w:val="1"/>
          <w:color w:val="323232"/>
        </w:rPr>
        <w:t xml:space="preserve">L at inclusion, 2107 (725-10,009) ng</w:t>
      </w:r>
      <w:r>
        <w:rPr>
          <w:color w:val="323232"/>
        </w:rPr>
        <w:t xml:space="preserve">L after 28days and 877 (188-1267) ng</w:t>
      </w:r>
      <w:r>
        <w:rPr>
          <w:i w:val="1"/>
          <w:color w:val="323232"/>
        </w:rPr>
        <w:t xml:space="preserve">L after 90 days. In the oral group (n=27), median (range) serum cobalamin concentrations were 245 (150-285) ng</w:t>
      </w:r>
      <w:r>
        <w:rPr>
          <w:color w:val="323232"/>
        </w:rPr>
        <w:t xml:space="preserve">L at inclusion, 975 (564-2385) ng</w:t>
      </w:r>
      <w:r>
        <w:rPr>
          <w:i w:val="1"/>
          <w:color w:val="323232"/>
        </w:rPr>
        <w:t xml:space="preserve">L after 28days and 1244 (738-4999) ng</w:t>
      </w:r>
      <w:r>
        <w:rPr>
          <w:color w:val="323232"/>
        </w:rPr>
        <w:t xml:space="preserve">L after 90 days. In both groups, there were significant differences in serum cobalamin concentrations between baseline and 28 days, and between 28days and 90days (P&lt;0.001). In conclusion, both parenteral and oral cobalamin supplementation effectively increase serum cobalamin concentrations in dogs with chronic enteropathies and low cobalamin concentrations.</w:t>
      </w:r>
    </w:p>
    <w:p/>
    <w:p>
      <w:pPr>
        <w:pStyle w:val="Normal"/>
      </w:pPr>
      <w:r>
        <w:rPr>
          <w:color w:val="323232"/>
        </w:rPr>
        <w:t xml:space="preserve">Vet J, 2018 vol. 232 pp. 27-32.</w:t>
      </w:r>
    </w:p>
    <w:p>
      <w:r>
        <w:rPr>
          <w:rStyle w:val="Hyperlink"/>
        </w:rPr>
        <w:fldChar w:fldCharType="begin"/>
      </w:r>
      <w:r>
        <w:rPr>
          <w:rStyle w:val="Hyperlink"/>
        </w:rPr>
        <w:instrText xml:space="preserve"> HYPERLINK "http://eutils.ncbi.nlm.nih.gov/entrez/eutils/elink.fcgi?dbfrom=pubmed&amp;id=29428088&amp;retmode=ref&amp;cmd=prlinks"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http://eutils.ncbi.nlm.nih.gov/entrez/eutils/elink.fcgi?dbfrom=pubmed&amp;id=29428088&amp;retmode=ref&amp;cmd=prlinks</w:t>
      </w:r>
      <w:r>
        <w:rPr>
          <w:rStyle w:val="Hyperlink"/>
        </w:rPr>
        <w:fldChar w:fldCharType="end"/>
      </w:r>
    </w:p>
    <w:p>
      <w:pPr>
        <w:pStyle w:val="Normal"/>
      </w:pPr>
      <w:r>
        <w:rPr>
          <w:color w:val="323232"/>
        </w:rPr>
        <w:t xml:space="preserve">————————</w:t>
      </w:r>
    </w:p>
    <w:p>
      <w:pPr>
        <w:pStyle w:val="Heading4"/>
      </w:pPr>
      <w:r>
        <w:t xml:space="preserve">Detection of specific bacterial agents by quantitative PCR assays in the bronchoalveolar lavage fluid of dogs with eosinophilic bronchopneumopathy vs. dogs with chronic bronchitis and healthy dogs.</w:t>
      </w:r>
    </w:p>
    <w:p/>
    <w:p>
      <w:pPr>
        <w:pStyle w:val="Normal"/>
      </w:pPr>
      <w:r>
        <w:rPr>
          <w:color w:val="323232"/>
        </w:rPr>
        <w:t xml:space="preserve">A M Canonne, I Peters, E Roels, L Desquilbet, and C Clercx.</w:t>
      </w:r>
    </w:p>
    <w:p/>
    <w:p>
      <w:pPr>
        <w:pStyle w:val="Normal"/>
      </w:pPr>
      <w:r>
        <w:rPr>
          <w:color w:val="323232"/>
        </w:rPr>
        <w:t xml:space="preserve">In humans, Mycoplasma pneumoniae and Bordetella pertussis infections are suggested to trigger or exacerbate asthma. Whether Mycoplasma or Bordetella are associated with chronic inflammatory bronchial diseases in dogs has not been investigated. The aim of this study was to assess detection rates of Mycoplasma canis (M. canis), M. cynos and Bordetella bronchiseptica (Bb), in dogs with eosinophilic bronchopneumopathy (EBP) and chronic bronchitis (CB), compared with healthy dogs. Specific quantitative PCR (qPCR) analysis for M. canis, M. cynos and Bb were retrospectively performed on bronchoalveolar lavage fluid (BALF) collected from 24 dogs with EBP, 21 dogs with CB and 15 healthy dogs. Possible associations between qPCR results and age, BALF cytology or clinical severity scores (CSS) in dogs with EBP were investigated. There was no difference in M. canis, M. cynos and Bb detection rates in dogs with EBP (n=6, n=2 and n=6, respectively) and dogs with CB (n=2, n=2 and n=2, respectively) compared with control dogs (n=4, n=2 and n=2, respectively). In dogs with EBP, the proportion that were qPCR-positive for Bb was higher in dogs with higher CSS (P=0.014) and BALF from Bb-positive dogs had higher percentage of neutrophils (P&lt;0.001). Among dogs that were qPCR-positive for Bb, moderate to high loads were only detected in dogs with EBP. M. canis and M. cynos detection was not associated with EBP or CB; higher Bb loads were only present in dogs with EBP and high CSS. A possible cause and effect relationship between Bb infection or load and EBP remains unclear and requires further investigation.</w:t>
      </w:r>
    </w:p>
    <w:p/>
    <w:p>
      <w:pPr>
        <w:pStyle w:val="Normal"/>
      </w:pPr>
      <w:r>
        <w:rPr>
          <w:color w:val="323232"/>
        </w:rPr>
        <w:t xml:space="preserve">Vet J, 2018 vol. 232 pp. 52-56.</w:t>
      </w:r>
    </w:p>
    <w:p>
      <w:r>
        <w:rPr>
          <w:rStyle w:val="Hyperlink"/>
        </w:rPr>
        <w:fldChar w:fldCharType="begin"/>
      </w:r>
      <w:r>
        <w:rPr>
          <w:rStyle w:val="Hyperlink"/>
        </w:rPr>
        <w:instrText xml:space="preserve"> HYPERLINK "http://eutils.ncbi.nlm.nih.gov/entrez/eutils/elink.fcgi?dbfrom=pubmed&amp;id=29428092&amp;retmode=ref&amp;cmd=prlinks"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http://eutils.ncbi.nlm.nih.gov/entrez/eutils/elink.fcgi?dbfrom=pubmed&amp;id=29428092&amp;retmode=ref&amp;cmd=prlinks</w:t>
      </w:r>
      <w:r>
        <w:rPr>
          <w:rStyle w:val="Hyperlink"/>
        </w:rPr>
        <w:fldChar w:fldCharType="end"/>
      </w:r>
    </w:p>
    <w:p>
      <w:pPr>
        <w:pStyle w:val="Normal"/>
      </w:pPr>
      <w:r>
        <w:rPr>
          <w:color w:val="323232"/>
        </w:rPr>
        <w:t xml:space="preserve">————————</w:t>
      </w:r>
    </w:p>
    <w:p>
      <w:pPr>
        <w:pStyle w:val="Heading4"/>
      </w:pPr>
      <w:r>
        <w:t xml:space="preserve">Effects of pre-analytical variables on flow cytometric diagnosis of canine lymphoma: A retrospective study (2009-2015).</w:t>
      </w:r>
    </w:p>
    <w:p/>
    <w:p>
      <w:pPr>
        <w:pStyle w:val="Normal"/>
      </w:pPr>
      <w:r>
        <w:rPr>
          <w:color w:val="323232"/>
        </w:rPr>
        <w:t xml:space="preserve">S Comazzi, M Cozzi, S Bernardi, D R Zanella, L Aresu, D Stefanello, L Marconato, and V Martini.</w:t>
      </w:r>
    </w:p>
    <w:p/>
    <w:p>
      <w:pPr>
        <w:pStyle w:val="Normal"/>
      </w:pPr>
      <w:r>
        <w:rPr>
          <w:color w:val="323232"/>
        </w:rPr>
        <w:t xml:space="preserve">Flow cytometry (FC) is increasingly being used for immunophenotyping and staging of canine lymphoma. The aim of this retrospective study was to assess pre-analytical variables that might influence the diagnostic utility of FC of lymph node (LN) fine needle aspirate (FNA) specimens from dogs with lymphoproliferative diseases. The study included 987 cases with LN FNA specimens sent for immunophenotyping that were submitted to a diagnostic laboratory in Italy from 2009 to 2015. Cases were grouped into 'diagnostic' and 'non-diagnostic'. Pre-analytical factors analysed by univariate and multivariate analyses were animal-related factors (breed, age, sex, size), operator-related factors (year, season, shipping method, submitting veterinarian) and sample-related factors (type of sample material, cellular concentration, cytological smears, artefacts). The submitting veterinarian, sample material, sample cellularity and artefacts affected the likelihood of having a diagnostic sample. The availability of specimens from different sites and of cytological smears increased the odds of obtaining a diagnostic result. Major artefacts affecting diagnostic utility included poor cellularity and the presence of dead cells. Flow cytometry on LN FNA samples yielded conclusive results in more than 90% of cases with adequate sample quality and sampling conditions.</w:t>
      </w:r>
    </w:p>
    <w:p/>
    <w:p>
      <w:pPr>
        <w:pStyle w:val="Normal"/>
      </w:pPr>
      <w:r>
        <w:rPr>
          <w:color w:val="323232"/>
        </w:rPr>
        <w:t xml:space="preserve">Vet J, 2018 vol. 232 pp. 65-69.</w:t>
      </w:r>
    </w:p>
    <w:p>
      <w:r>
        <w:rPr>
          <w:rStyle w:val="Hyperlink"/>
        </w:rPr>
        <w:fldChar w:fldCharType="begin"/>
      </w:r>
      <w:r>
        <w:rPr>
          <w:rStyle w:val="Hyperlink"/>
        </w:rPr>
        <w:instrText xml:space="preserve"> HYPERLINK "http://eutils.ncbi.nlm.nih.gov/entrez/eutils/elink.fcgi?dbfrom=pubmed&amp;id=29428095&amp;retmode=ref&amp;cmd=prlinks"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http://eutils.ncbi.nlm.nih.gov/entrez/eutils/elink.fcgi?dbfrom=pubmed&amp;id=29428095&amp;retmode=ref&amp;cmd=prlinks</w:t>
      </w:r>
      <w:r>
        <w:rPr>
          <w:rStyle w:val="Hyperlink"/>
        </w:rPr>
        <w:fldChar w:fldCharType="end"/>
      </w:r>
    </w:p>
    <w:p>
      <w:pPr>
        <w:pStyle w:val="Normal"/>
      </w:pPr>
      <w:r>
        <w:rPr>
          <w:color w:val="323232"/>
        </w:rPr>
        <w:t xml:space="preserve">————————</w:t>
      </w:r>
    </w:p>
    <w:p>
      <w:pPr>
        <w:pStyle w:val="Heading4"/>
      </w:pPr>
      <w:r>
        <w:t xml:space="preserve">Evaluation of genes associated with human myxomatous mitral valve disease in dogs with familial myxomatous mitral valve degeneration.</w:t>
      </w:r>
    </w:p>
    <w:p/>
    <w:p>
      <w:pPr>
        <w:pStyle w:val="Normal"/>
      </w:pPr>
      <w:r>
        <w:rPr>
          <w:color w:val="323232"/>
        </w:rPr>
        <w:t xml:space="preserve">K M Meurs, S G Friedenberg, B Williams, B W Keene, C E Atkins, D Adin, B Aona, T DeFrancesco, S Tou, and T Mackay.</w:t>
      </w:r>
    </w:p>
    <w:p/>
    <w:p>
      <w:pPr>
        <w:pStyle w:val="Normal"/>
      </w:pPr>
      <w:r>
        <w:rPr>
          <w:color w:val="323232"/>
        </w:rPr>
        <w:t xml:space="preserve">Myxomatous mitral valve disease (MMVD) is the most common heart disease in the dog. It is believed to be heritable in Cavalier King Charles spaniels (CKCS) and Dachshunds. Myxomatous mitral valve disease is a familial disease in human beings as well and genetic mutations have been associated with its development. We hypothesized that a genetic mutation associated with the development of the human form of MMVD was associated with the development of canine MMVD. DNA was isolated from blood samples from 10 CKCS and 10 Dachshunds diagnosed with MMVD, and whole genome sequences from each animal were obtained. Variant calling from whole genome sequencing data was performed using a standardized bioinformatics pipeline for all samples. After filtering, the canine genes orthologous to the human genes known to be associated with MMVD were identified and variants were assessed for likely pathogenic implications. No variant was found in any of the genes evaluated that was present in least eight of 10 affected CKCS or Dachshunds. Although mitral valve disease in the CKCS and Dachshund is a familial disease, we did not identify genetic cause in the genes responsible for the human disease in the dogs studied here.</w:t>
      </w:r>
    </w:p>
    <w:p/>
    <w:p>
      <w:pPr>
        <w:pStyle w:val="Normal"/>
      </w:pPr>
      <w:r>
        <w:rPr>
          <w:color w:val="323232"/>
        </w:rPr>
        <w:t xml:space="preserve">Vet J, 2018 vol. 232 pp. 16-19.</w:t>
      </w:r>
    </w:p>
    <w:p>
      <w:r>
        <w:rPr>
          <w:rStyle w:val="Hyperlink"/>
        </w:rPr>
        <w:fldChar w:fldCharType="begin"/>
      </w:r>
      <w:r>
        <w:rPr>
          <w:rStyle w:val="Hyperlink"/>
        </w:rPr>
        <w:instrText xml:space="preserve"> HYPERLINK "http://eutils.ncbi.nlm.nih.gov/entrez/eutils/elink.fcgi?dbfrom=pubmed&amp;id=29428085&amp;retmode=ref&amp;cmd=prlinks"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http://eutils.ncbi.nlm.nih.gov/entrez/eutils/elink.fcgi?dbfrom=pubmed&amp;id=29428085&amp;retmode=ref&amp;cmd=prlinks</w:t>
      </w:r>
      <w:r>
        <w:rPr>
          <w:rStyle w:val="Hyperlink"/>
        </w:rPr>
        <w:fldChar w:fldCharType="end"/>
      </w:r>
    </w:p>
    <w:p>
      <w:pPr>
        <w:pStyle w:val="Normal"/>
      </w:pPr>
      <w:r>
        <w:rPr>
          <w:color w:val="323232"/>
        </w:rPr>
        <w:t xml:space="preserve">————————</w:t>
      </w:r>
    </w:p>
    <w:p>
      <w:pPr>
        <w:pStyle w:val="Heading4"/>
      </w:pPr>
      <w:r>
        <w:t xml:space="preserve">New viruses associated with canine gastroenteritis.</w:t>
      </w:r>
    </w:p>
    <w:p/>
    <w:p>
      <w:pPr>
        <w:pStyle w:val="Normal"/>
      </w:pPr>
      <w:r>
        <w:rPr>
          <w:color w:val="323232"/>
        </w:rPr>
        <w:t xml:space="preserve">S L Caddy.</w:t>
      </w:r>
    </w:p>
    <w:p/>
    <w:p>
      <w:pPr>
        <w:pStyle w:val="Normal"/>
      </w:pPr>
      <w:r>
        <w:rPr>
          <w:color w:val="323232"/>
        </w:rPr>
        <w:t xml:space="preserve">A number of novel viruses have been associated with canine gastroenteritis in recent years, from viral families as diverse as Caliciviridae and Picornaviridae to Parvoviridae and Circoviridae. The ability of many of these viruses to cause disease is uncertain, but epidemiological studies are continually adding to our knowledge of these potential pathogens. This review presents a summary of the latest research and current understanding of novel viruses associated with canine gastroenteritis.</w:t>
      </w:r>
    </w:p>
    <w:p/>
    <w:p>
      <w:pPr>
        <w:pStyle w:val="Normal"/>
      </w:pPr>
      <w:r>
        <w:rPr>
          <w:color w:val="323232"/>
        </w:rPr>
        <w:t xml:space="preserve">Vet J, 2018 vol. 232 pp. 57-64.</w:t>
      </w:r>
    </w:p>
    <w:p>
      <w:r>
        <w:rPr>
          <w:rStyle w:val="Hyperlink"/>
        </w:rPr>
        <w:fldChar w:fldCharType="begin"/>
      </w:r>
      <w:r>
        <w:rPr>
          <w:rStyle w:val="Hyperlink"/>
        </w:rPr>
        <w:instrText xml:space="preserve"> HYPERLINK "http://eutils.ncbi.nlm.nih.gov/entrez/eutils/elink.fcgi?dbfrom=pubmed&amp;id=29428093&amp;retmode=ref&amp;cmd=prlinks"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http://eutils.ncbi.nlm.nih.gov/entrez/eutils/elink.fcgi?dbfrom=pubmed&amp;id=29428093&amp;retmode=ref&amp;cmd=prlinks</w:t>
      </w:r>
      <w:r>
        <w:rPr>
          <w:rStyle w:val="Hyperlink"/>
        </w:rPr>
        <w:fldChar w:fldCharType="end"/>
      </w:r>
    </w:p>
    <w:p>
      <w:pPr>
        <w:pStyle w:val="Normal"/>
      </w:pPr>
      <w:r>
        <w:rPr>
          <w:color w:val="323232"/>
        </w:rPr>
        <w:t xml:space="preserve">————————</w:t>
      </w:r>
    </w:p>
    <w:p>
      <w:pPr>
        <w:pStyle w:val="Heading4"/>
      </w:pPr>
      <w:r>
        <w:t xml:space="preserve">Plasma indoxyl sulfate concentration predicts progression of chronic kidney disease in dogs and cats.</w:t>
      </w:r>
    </w:p>
    <w:p/>
    <w:p>
      <w:pPr>
        <w:pStyle w:val="Normal"/>
      </w:pPr>
      <w:r>
        <w:rPr>
          <w:color w:val="323232"/>
        </w:rPr>
        <w:t xml:space="preserve">C N Chen, C C Chou, P S J Tsai, and Y J Lee.</w:t>
      </w:r>
    </w:p>
    <w:p/>
    <w:p>
      <w:pPr>
        <w:pStyle w:val="Normal"/>
      </w:pPr>
      <w:r>
        <w:rPr>
          <w:color w:val="323232"/>
        </w:rPr>
        <w:t xml:space="preserve">Indoxyl sulfate is a protein-bound uremic toxin that increases as the severity of impaired renal function increases in humans, laboratory animals, dogs and cats. An elevation of indoxyl sulfate is related to prognosis among people with chronic kidney disease. However, whether indoxyl sulfate is able to predict the progression of chronic kidney disease in dogs and cats has not been previously studied. In the present study, 58 cats and 36 dogs with chronic kidney disease were enrolled. Plasma indoxyl sulfate was measured by high performance liquid chromatography. Renal progression was defined as an increase by one International Renal Interest Society (IRIS) stage and/ or a rise in serum creatinine concentration of 0.5mg/ dL during the same stage within a 3-month period. Compared with the non-progression groups, across different stages of renal failure, the baseline plasma indoxyl sulfate concentration was increased in the renal progression group (P&lt;0.05), especially for IRIS stages 2 and 3 animals. The area under the receiver operator characteristic curves of indoxyl sulfate, when predicting renal progression, was above 0.75 for both dogs and cats. Indoxyl sulfate concentrations were also correlated with the increase of blood urea nitrogen, serum creatinine, and phosphate and the decrease of hematocrit among cats; while in dogs, concentrations were only correlated with the increase of phosphate concentrations. Indoxyl sulfate served as a biomarker of progression risk in dogs and cats with chronic kidney disease.</w:t>
      </w:r>
    </w:p>
    <w:p/>
    <w:p>
      <w:pPr>
        <w:pStyle w:val="Normal"/>
      </w:pPr>
      <w:r>
        <w:rPr>
          <w:color w:val="323232"/>
        </w:rPr>
        <w:t xml:space="preserve">Vet J, 2018 vol. 232 pp. 33-39.</w:t>
      </w:r>
    </w:p>
    <w:p>
      <w:r>
        <w:rPr>
          <w:rStyle w:val="Hyperlink"/>
        </w:rPr>
        <w:fldChar w:fldCharType="begin"/>
      </w:r>
      <w:r>
        <w:rPr>
          <w:rStyle w:val="Hyperlink"/>
        </w:rPr>
        <w:instrText xml:space="preserve"> HYPERLINK "http://eutils.ncbi.nlm.nih.gov/entrez/eutils/elink.fcgi?dbfrom=pubmed&amp;id=29428089&amp;retmode=ref&amp;cmd=prlinks"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http://eutils.ncbi.nlm.nih.gov/entrez/eutils/elink.fcgi?dbfrom=pubmed&amp;id=29428089&amp;retmode=ref&amp;cmd=prlinks</w:t>
      </w:r>
      <w:r>
        <w:rPr>
          <w:rStyle w:val="Hyperlink"/>
        </w:rPr>
        <w:fldChar w:fldCharType="end"/>
      </w:r>
    </w:p>
    <w:p>
      <w:pPr>
        <w:pStyle w:val="Normal"/>
      </w:pPr>
      <w:r>
        <w:rPr>
          <w:color w:val="323232"/>
        </w:rPr>
        <w:t xml:space="preserve">————————</w:t>
      </w:r>
    </w:p>
    <w:p>
      <w:pPr>
        <w:pStyle w:val="Heading4"/>
      </w:pPr>
      <w:r>
        <w:t xml:space="preserve">Sensitivity and specificity of an in-clinic point-of-care PCR test for the diagnosis of canine leishmaniasis.</w:t>
      </w:r>
    </w:p>
    <w:p/>
    <w:p>
      <w:pPr>
        <w:pStyle w:val="Normal"/>
      </w:pPr>
      <w:r>
        <w:rPr>
          <w:color w:val="323232"/>
        </w:rPr>
        <w:t xml:space="preserve">R Selder, K Weber, M Bergmann, K Geisweid, and K Hartmann.</w:t>
      </w:r>
    </w:p>
    <w:p/>
    <w:p>
      <w:pPr>
        <w:pStyle w:val="Normal"/>
      </w:pPr>
      <w:r>
        <w:rPr>
          <w:color w:val="323232"/>
        </w:rPr>
        <w:t xml:space="preserve">Canine leishmaniasis is an important infectious disease worldwide. Although commonly used, antibody tests are often falsely negative, and in such cases direct detection of the pathogen, such as PCR, is necessary. However, PCR is only performed in specialized laboratories and not available in all localities. The aim of this study was to compare the sensitivity and specificity of an in-clinic point-of-care (ICPOC) PCR for the diagnosis of canine Leishmania spp. infection to those of a well characterized reference real-time PCR. In this study, 515 samples from 251 dogs (201 EDTA blood samples, 244 conjunctival swabs, 19 lymph node aspirates, and 51 bone marrow aspirates) were collected prospectively and analysed for the presence of Leishmania DNA using an ICPOC test. The results were compared to those of a reference real-time PCR for identification of Leishmania kinetoplast minicircle DNA. Sensitivity and specificity with 95% confidence interval (CI 95%) were determined. Specificity was 100% for all samples examined. Sensitivity was 57.1% (CI 95%, 34.0-78.2) in bone marrow aspirates, 58.8% (CI 95%, 32.9-81.6) in lymph node aspirates, 46.9% (CI 95%, 32.5-61.7) in conjunctival swabs, and 10.0% (CI 95%, 3.3-21.8) in blood. The ICPOC PCR was easy to perform and was reliable in the case of positive test results. A negative result, however, did not exclude infection and therefore requires further diagnostics.</w:t>
      </w:r>
    </w:p>
    <w:p/>
    <w:p>
      <w:pPr>
        <w:pStyle w:val="Normal"/>
      </w:pPr>
      <w:r>
        <w:rPr>
          <w:color w:val="323232"/>
        </w:rPr>
        <w:t xml:space="preserve">Vet J, 2018 vol. 232 pp. 46-51.</w:t>
      </w:r>
    </w:p>
    <w:p>
      <w:r>
        <w:rPr>
          <w:rStyle w:val="Hyperlink"/>
        </w:rPr>
        <w:fldChar w:fldCharType="begin"/>
      </w:r>
      <w:r>
        <w:rPr>
          <w:rStyle w:val="Hyperlink"/>
        </w:rPr>
        <w:instrText xml:space="preserve"> HYPERLINK "http://eutils.ncbi.nlm.nih.gov/entrez/eutils/elink.fcgi?dbfrom=pubmed&amp;id=29428091&amp;retmode=ref&amp;cmd=prlinks"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http://eutils.ncbi.nlm.nih.gov/entrez/eutils/elink.fcgi?dbfrom=pubmed&amp;id=29428091&amp;retmode=ref&amp;cmd=prlinks</w:t>
      </w:r>
      <w:r>
        <w:rPr>
          <w:rStyle w:val="Hyperlink"/>
        </w:rPr>
        <w:fldChar w:fldCharType="end"/>
      </w:r>
    </w:p>
    <w:p>
      <w:pPr>
        <w:pStyle w:val="Normal"/>
      </w:pPr>
      <w:r>
        <w:rPr>
          <w:color w:val="323232"/>
        </w:rPr>
        <w:t xml:space="preserve">————————</w:t>
      </w:r>
    </w:p>
    <w:p>
      <w:pPr>
        <w:pStyle w:val="Heading4"/>
      </w:pPr>
      <w:r>
        <w:t xml:space="preserve">Clinical comparison of the effects of isoflurane or propofol anaesthesia on mean arterial blood pressure and ventilation in dogs undergoing orthopaedic surgery receiving epidural anaesthesia.</w:t>
      </w:r>
    </w:p>
    <w:p/>
    <w:p>
      <w:pPr>
        <w:pStyle w:val="Normal"/>
      </w:pPr>
      <w:r>
        <w:rPr>
          <w:color w:val="323232"/>
        </w:rPr>
        <w:t xml:space="preserve">R Bustamante, D Aguado, R Cediel, I A Gómez de Segura, and S Canfrán.</w:t>
      </w:r>
    </w:p>
    <w:p/>
    <w:p>
      <w:pPr>
        <w:pStyle w:val="Normal"/>
      </w:pPr>
      <w:r>
        <w:rPr>
          <w:color w:val="323232"/>
        </w:rPr>
        <w:t xml:space="preserve">The aim of this study was to compare the effects on mean arterial pressure (MAP) and ventilation of propofol total IV anaesthesia (TIVA) and isoflurane as anaesthetic maintenance in healthy dogs undergoing orthopaedic surgery, with epidural anaesthesia. Dogs were premedicated IM with dexmedetomidine (4μg</w:t>
      </w:r>
      <w:r>
        <w:rPr>
          <w:i w:val="1"/>
          <w:color w:val="323232"/>
        </w:rPr>
        <w:t xml:space="preserve">kg) and methadone (0.3mg</w:t>
      </w:r>
      <w:r>
        <w:rPr>
          <w:color w:val="323232"/>
        </w:rPr>
        <w:t xml:space="preserve">kg), induced with IV propofol (0.65-5mg</w:t>
      </w:r>
      <w:r>
        <w:rPr>
          <w:i w:val="1"/>
          <w:color w:val="323232"/>
        </w:rPr>
        <w:t xml:space="preserve">kg) and randomly assigned to be maintained with isoflurane (group I) or propofol (group P). Isoflurane end-tidal concentration (EtISO) and propofol infusion rate were adjusted during the surgery to maintain a suitable anaesthetic depth. All dogs received bupivacaine (1mg</w:t>
      </w:r>
      <w:r>
        <w:rPr>
          <w:color w:val="323232"/>
        </w:rPr>
        <w:t xml:space="preserve">kg) and morphine (0.1mg</w:t>
      </w:r>
      <w:r>
        <w:rPr>
          <w:i w:val="1"/>
          <w:color w:val="323232"/>
        </w:rPr>
        <w:t xml:space="preserve">kg) in the lumbosacral epidural space (total volume 0.2mL</w:t>
      </w:r>
      <w:r>
        <w:rPr>
          <w:color w:val="323232"/>
        </w:rPr>
        <w:t xml:space="preserve">kg). MAP was recorded every 5min during the procedure. Statistical analysis was performed using parametric (Student's t test) and nonparametric (Mann-Whitney U-test, chi-square) tests, as appropriate. Anaesthetic maintenance in groups I and P was accomplished by providing a mean EtISO of 1.12±0.15% and a mean propofol infusion rate of 15.0±4.7mg</w:t>
      </w:r>
      <w:r>
        <w:rPr>
          <w:i w:val="1"/>
          <w:color w:val="323232"/>
        </w:rPr>
        <w:t xml:space="preserve">kg</w:t>
      </w:r>
      <w:r>
        <w:rPr>
          <w:color w:val="323232"/>
        </w:rPr>
        <w:t xml:space="preserve">h, respectively. MAP was significantly higher in group P than in group I (92±17mmHg versus 78±10mmHg; P=0.021). Eleven dogs in group P and two dogs in group I reached an EtCO2&gt;7.3kPa, requiring mechanical ventilation (P=0.001). In combination with epidural anaesthesia, propofol TIVA improved MAP and is a suitable alternative to isoflurane in orthopaedic surgery of the hind limb in healthy dogs. Nevertheless, since it was associated with increased respiratory depression, mechanical ventilation should be available.</w:t>
      </w:r>
    </w:p>
    <w:p/>
    <w:p>
      <w:pPr>
        <w:pStyle w:val="Normal"/>
      </w:pPr>
      <w:r>
        <w:rPr>
          <w:color w:val="323232"/>
        </w:rPr>
        <w:t xml:space="preserve">Vet J, 2018 vol. 233 pp. 49-54.</w:t>
      </w:r>
    </w:p>
    <w:p>
      <w:r>
        <w:rPr>
          <w:rStyle w:val="Hyperlink"/>
        </w:rPr>
        <w:fldChar w:fldCharType="begin"/>
      </w:r>
      <w:r>
        <w:rPr>
          <w:rStyle w:val="Hyperlink"/>
        </w:rPr>
        <w:instrText xml:space="preserve"> HYPERLINK "http://eutils.ncbi.nlm.nih.gov/entrez/eutils/elink.fcgi?dbfrom=pubmed&amp;id=29486879&amp;retmode=ref&amp;cmd=prlinks"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http://eutils.ncbi.nlm.nih.gov/entrez/eutils/elink.fcgi?dbfrom=pubmed&amp;id=29486879&amp;retmode=ref&amp;cmd=prlinks</w:t>
      </w:r>
      <w:r>
        <w:rPr>
          <w:rStyle w:val="Hyperlink"/>
        </w:rPr>
        <w:fldChar w:fldCharType="end"/>
      </w:r>
    </w:p>
    <w:p>
      <w:pPr>
        <w:pStyle w:val="Normal"/>
      </w:pPr>
      <w:r>
        <w:rPr>
          <w:color w:val="323232"/>
        </w:rPr>
        <w:t xml:space="preserve">————————</w:t>
      </w:r>
    </w:p>
    <w:p>
      <w:pPr>
        <w:pStyle w:val="Heading4"/>
      </w:pPr>
      <w:r>
        <w:t xml:space="preserve">Effect of kibble and raw meat diets on peripheral blood mononuclear cell gene expression profile in dogs.</w:t>
      </w:r>
    </w:p>
    <w:p/>
    <w:p>
      <w:pPr>
        <w:pStyle w:val="Normal"/>
      </w:pPr>
      <w:r>
        <w:rPr>
          <w:color w:val="323232"/>
        </w:rPr>
        <w:t xml:space="preserve">R C Anderson, K M Armstrong, W Young, P Maclean, D G Thomas, and E N Bermingham.</w:t>
      </w:r>
    </w:p>
    <w:p/>
    <w:p>
      <w:pPr>
        <w:pStyle w:val="Normal"/>
      </w:pPr>
      <w:r>
        <w:rPr>
          <w:color w:val="323232"/>
        </w:rPr>
        <w:t xml:space="preserve">Peripheral blood mononuclear cell (PBMC) gene expression microarray profiling is a minimally invasive tool used in human diet intervention studies. In this study, PBMC gene expression was determined in dogs fed kibble or raw red meat diets for 9 weeks to test the hypothesis that diet influences canine immune cell gene expression profiles. The two diets were associated with differences in PBMC gene expression profiles, which corresponded with changes in plasma IgA concentrations. Analysis of PBMC gene expression profiles might provide useful insights into the long term effects of diet on health outcomes in dogs.</w:t>
      </w:r>
    </w:p>
    <w:p/>
    <w:p>
      <w:pPr>
        <w:pStyle w:val="Normal"/>
      </w:pPr>
      <w:r>
        <w:rPr>
          <w:color w:val="323232"/>
        </w:rPr>
        <w:t xml:space="preserve">Vet J, 2018 vol. 234 pp. 7-10.</w:t>
      </w:r>
    </w:p>
    <w:p>
      <w:r>
        <w:rPr>
          <w:rStyle w:val="Hyperlink"/>
        </w:rPr>
        <w:fldChar w:fldCharType="begin"/>
      </w:r>
      <w:r>
        <w:rPr>
          <w:rStyle w:val="Hyperlink"/>
        </w:rPr>
        <w:instrText xml:space="preserve"> HYPERLINK "http://eutils.ncbi.nlm.nih.gov/entrez/eutils/elink.fcgi?dbfrom=pubmed&amp;id=29680397&amp;retmode=ref&amp;cmd=prlinks"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http://eutils.ncbi.nlm.nih.gov/entrez/eutils/elink.fcgi?dbfrom=pubmed&amp;id=29680397&amp;retmode=ref&amp;cmd=prlinks</w:t>
      </w:r>
      <w:r>
        <w:rPr>
          <w:rStyle w:val="Hyperlink"/>
        </w:rPr>
        <w:fldChar w:fldCharType="end"/>
      </w:r>
    </w:p>
    <w:p>
      <w:pPr>
        <w:pStyle w:val="Normal"/>
      </w:pPr>
      <w:r>
        <w:rPr>
          <w:color w:val="323232"/>
        </w:rPr>
        <w:t xml:space="preserve">————————</w:t>
      </w:r>
    </w:p>
    <w:p>
      <w:pPr>
        <w:pStyle w:val="Heading4"/>
      </w:pPr>
      <w:r>
        <w:t xml:space="preserve">Respiratory rate of clinically healthy cats measured in veterinary consultation rooms.</w:t>
      </w:r>
    </w:p>
    <w:p/>
    <w:p>
      <w:pPr>
        <w:pStyle w:val="Normal"/>
      </w:pPr>
      <w:r>
        <w:rPr>
          <w:color w:val="323232"/>
        </w:rPr>
        <w:t xml:space="preserve">E Dijkstra, E Teske, and V Szatmári.</w:t>
      </w:r>
    </w:p>
    <w:p/>
    <w:p>
      <w:pPr>
        <w:pStyle w:val="Normal"/>
      </w:pPr>
      <w:r>
        <w:rPr>
          <w:color w:val="323232"/>
        </w:rPr>
        <w:t xml:space="preserve">Respiratory rate is commonly recorded during physical examinations. However, reference intervals are only available for resting and sleeping respiratory rates in cats at home. This observational study aimed to establish reference intervals for the respiratory rate in clinically healthy adult cats at primary-care veterinary clinics. Respiratory rates were recorded from 131 cats, in 6 primary-care veterinary clinics, by observation under four circumstances: by the investigator in the consultation room prior to and during a physical examination, by the owner at home when the cat was resting or sleeping, and by the investigator when watching a video-film of the cat recorded by the owner at home. The respiratory rate of the 88 clinically healthy adult (≥12 months) cats in the consultation room ranged 28-176 breaths/ min (median 64) with a calculated reference interval of 32-135 breaths/ min. Based on video-recordings, the resting (n=32) and sleeping (n=38) respiratory rates of the same cats were determined: median 27 (range 16-60) breaths/ min and median 20 (range 9-28)breaths/min, respectively, which were lower than the respiratory rates recorded in the consultation room (both P&lt;0.0001). We conclude that the reference intervals proposed for cats in textbooks reflect the resting respiratory rate at home. These values are inappropriate for using in the veterinary consultation room, because based on such reference intervals, many cats would erroneously be categorized as having tachypnea. Since the resting and sleeping respiratory rates at home show less variation, owners should be encouraged to film their pets before they visit their veterinarian.</w:t>
      </w:r>
    </w:p>
    <w:p/>
    <w:p>
      <w:pPr>
        <w:pStyle w:val="Normal"/>
      </w:pPr>
      <w:r>
        <w:rPr>
          <w:color w:val="323232"/>
        </w:rPr>
        <w:t xml:space="preserve">Vet J, 2018 vol. 234 pp. 96-101.</w:t>
      </w:r>
    </w:p>
    <w:p>
      <w:r>
        <w:rPr>
          <w:rStyle w:val="Hyperlink"/>
        </w:rPr>
        <w:fldChar w:fldCharType="begin"/>
      </w:r>
      <w:r>
        <w:rPr>
          <w:rStyle w:val="Hyperlink"/>
        </w:rPr>
        <w:instrText xml:space="preserve"> HYPERLINK "http://eutils.ncbi.nlm.nih.gov/entrez/eutils/elink.fcgi?dbfrom=pubmed&amp;id=29680402&amp;retmode=ref&amp;cmd=prlinks"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http://eutils.ncbi.nlm.nih.gov/entrez/eutils/elink.fcgi?dbfrom=pubmed&amp;id=29680402&amp;retmode=ref&amp;cmd=prlinks</w:t>
      </w:r>
      <w:r>
        <w:rPr>
          <w:rStyle w:val="Hyperlink"/>
        </w:rPr>
        <w:fldChar w:fldCharType="end"/>
      </w:r>
    </w:p>
    <w:p>
      <w:pPr>
        <w:pStyle w:val="Normal"/>
      </w:pPr>
      <w:r>
        <w:rPr>
          <w:color w:val="323232"/>
        </w:rPr>
        <w:t xml:space="preserve">————————</w:t>
      </w:r>
    </w:p>
    <w:p>
      <w:pPr>
        <w:pStyle w:val="Heading4"/>
      </w:pPr>
      <w:r>
        <w:t xml:space="preserve">The clinical effects of a low dose dexmedetomidine constant rate infusion in isoflurane anesthetized cats.</w:t>
      </w:r>
    </w:p>
    <w:p/>
    <w:p>
      <w:pPr>
        <w:pStyle w:val="Normal"/>
      </w:pPr>
      <w:r>
        <w:rPr>
          <w:color w:val="323232"/>
        </w:rPr>
        <w:t xml:space="preserve">B T Simon, E M Scallan, C D Coursey, W M Kiehl, and E J Moore.</w:t>
      </w:r>
    </w:p>
    <w:p/>
    <w:p>
      <w:pPr>
        <w:pStyle w:val="Normal"/>
      </w:pPr>
      <w:r>
        <w:rPr>
          <w:color w:val="323232"/>
        </w:rPr>
        <w:t xml:space="preserve">The aim of this study was to evaluate the effects of a low dose dexmedetomidine constant rate infusion (CRI) on cardiopulmonary function, inhalant anesthetic concentration and recovery in isoflurane anesthetized cats. In a prospective, randomized, blinded, controlled design, 12 cats undergoing anesthesia for ovariohysterectomy were administered hydromorphone (0.1mg</w:t>
      </w:r>
      <w:r>
        <w:rPr>
          <w:i w:val="1"/>
          <w:color w:val="323232"/>
        </w:rPr>
        <w:t xml:space="preserve">kg) intramuscularly, propofol (4.3-7.8mg</w:t>
      </w:r>
      <w:r>
        <w:rPr>
          <w:color w:val="323232"/>
        </w:rPr>
        <w:t xml:space="preserve">kg) intravenously and maintained with isoflurane. During isoflurane anesthesia, the cats were administered either a dexmedetomidine loading dose (0.5μg</w:t>
      </w:r>
      <w:r>
        <w:rPr>
          <w:i w:val="1"/>
          <w:color w:val="323232"/>
        </w:rPr>
        <w:t xml:space="preserve">kg) followed by a dexmedetomidine CRI (0.5μg</w:t>
      </w:r>
      <w:r>
        <w:rPr>
          <w:color w:val="323232"/>
        </w:rPr>
        <w:t xml:space="preserve">kg/h) (group LDD), or a saline loading dose followed by a saline CRI (group SAL). Heart rate (HR), respiratory rate, blood pressure, temperature, oxygen saturation (SpO2), end tidal carbon dioxide concentration (ETCO2), end tidal isoflurane concentration (ETISO) and anesthetic depth were recorded at nine time points (T0-T8). Overall effects (T1-8) and individual time point results were compared between groups. There were no significant differences in baseline variables (T0), age, weight, propofol dose, anesthesia and surgery time, time to extubation or recovery score between groups. Among the physiological variables measured, significant differences were observed in respiratory rate, ETCO2, and mean and diastolic blood pressure, between groups at individual time points. Systolic blood pressure, HR, SpO2, ETISO and temperature were not significantly different between groups at individual time points. Overall, ETCO2 and ETISO were significantly lower and respiratory rate was significantly higher for LDD compared to SAL. At the doses administered, a CRI of dexmedetomidine reduced isoflurane requirements in anesthetized cats undergoing ovariohysterectomy. The utility of a low dose dexmedetomidine CRI in the perioperative setting requires further investigation, since intraoperative cardiopulmonary values during dexmedetomidine infusion were not different from those receiving saline.</w:t>
      </w:r>
    </w:p>
    <w:p/>
    <w:p>
      <w:pPr>
        <w:pStyle w:val="Normal"/>
      </w:pPr>
      <w:r>
        <w:rPr>
          <w:color w:val="323232"/>
        </w:rPr>
        <w:t xml:space="preserve">Vet J, 2018 vol. 234 pp. 55-60.</w:t>
      </w:r>
    </w:p>
    <w:p>
      <w:r>
        <w:rPr>
          <w:rStyle w:val="Hyperlink"/>
        </w:rPr>
        <w:fldChar w:fldCharType="begin"/>
      </w:r>
      <w:r>
        <w:rPr>
          <w:rStyle w:val="Hyperlink"/>
        </w:rPr>
        <w:instrText xml:space="preserve"> HYPERLINK "http://eutils.ncbi.nlm.nih.gov/entrez/eutils/elink.fcgi?dbfrom=pubmed&amp;id=29680394&amp;retmode=ref&amp;cmd=prlinks"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http://eutils.ncbi.nlm.nih.gov/entrez/eutils/elink.fcgi?dbfrom=pubmed&amp;id=29680394&amp;retmode=ref&amp;cmd=prlinks</w:t>
      </w:r>
      <w:r>
        <w:rPr>
          <w:rStyle w:val="Hyperlink"/>
        </w:rPr>
        <w:fldChar w:fldCharType="end"/>
      </w:r>
    </w:p>
    <w:p>
      <w:pPr>
        <w:pStyle w:val="Normal"/>
      </w:pPr>
      <w:r>
        <w:rPr>
          <w:color w:val="323232"/>
        </w:rPr>
        <w:t xml:space="preserve">————————</w:t>
      </w:r>
    </w:p>
    <w:p>
      <w:pPr>
        <w:pStyle w:val="Heading4"/>
      </w:pPr>
      <w:r>
        <w:t xml:space="preserve">Associations between single nucleotide polymorphisms in the calcium sensing receptor and chronic kidney disease-mineral and bone disorder in cats.</w:t>
      </w:r>
    </w:p>
    <w:p/>
    <w:p>
      <w:pPr>
        <w:pStyle w:val="Normal"/>
      </w:pPr>
      <w:r>
        <w:rPr>
          <w:color w:val="323232"/>
        </w:rPr>
        <w:t xml:space="preserve">R F Geddes, R E Jepson, Y Forcada, J Elliott, and H M Syme.</w:t>
      </w:r>
    </w:p>
    <w:p/>
    <w:p>
      <w:pPr>
        <w:pStyle w:val="Normal"/>
      </w:pPr>
      <w:r>
        <w:rPr>
          <w:color w:val="323232"/>
        </w:rPr>
        <w:t xml:space="preserve">Feline chronic kidney disease (CKD) is associated with high variability in severity of CKD-mineral and bone disorder (CKD-MBD). The calcium sensing receptor (CaSR) regulates circulating parathyroid hormone (PTH) and calcium concentrations. Single nucleotide polymorphisms (SNPs) in the CaSR are associated with severity of secondary renal hyperparathyroidism and total calcium concentrations in human patients receiving haemodialysis. The objective of this study was to explore associations between polymorphisms in the feline CaSR (fCaSR) and biochemical changes observed in CKD-MBD. Client owned cats (≥9years) were retrospectively included. SNP discovery was performed in 20 cats with azotaemic CKD and normal or dysregulated calcium concentrations. Non-pedigree cats (n=192) (125 with azotaemic CKD and 66 healthy), Persians (n=40) and Burmese (n=25) were genotyped for all identified SNPs using KASP. Biochemical parameters from the date of CKD diagnosis or from first visit to the clinic (healthy cats) were used. Associations between genotype and ionized calcium, total calcium, phosphate, PTH and FGF-23 were performed for non-pedigree cats using logistic regression. Sequence alignment against the fCaSR sequence revealed eight novel exonic SNPs. KASP genotyping had high accuracy (99.6%) and a low failure rate (&lt;6%) for all SNPs. Allele frequencies varied between breeds. In non-pedigree cats, one synonymous SNP CaSR:c.1269G&gt;A was associated with logPTH concentration (adjusted for plasma creatinine concentration), with a recessive model having the best fit (G</w:t>
      </w:r>
      <w:r>
        <w:rPr>
          <w:i w:val="1"/>
          <w:color w:val="323232"/>
        </w:rPr>
        <w:t xml:space="preserve">G vs A</w:t>
      </w:r>
      <w:r>
        <w:rPr>
          <w:color w:val="323232"/>
        </w:rPr>
        <w:t xml:space="preserve">A-G/A, P=0.031). Genetic variation in the fCaSR is unlikely to explain the majority of the variability in presence and severity of CKD-MBD in cats.</w:t>
      </w:r>
    </w:p>
    <w:p/>
    <w:p>
      <w:pPr>
        <w:pStyle w:val="Normal"/>
      </w:pPr>
      <w:r>
        <w:rPr>
          <w:color w:val="323232"/>
        </w:rPr>
        <w:t xml:space="preserve">Vet J, 2018 vol. 235 pp. 34-41.</w:t>
      </w:r>
    </w:p>
    <w:p>
      <w:r>
        <w:rPr>
          <w:rStyle w:val="Hyperlink"/>
        </w:rPr>
        <w:fldChar w:fldCharType="begin"/>
      </w:r>
      <w:r>
        <w:rPr>
          <w:rStyle w:val="Hyperlink"/>
        </w:rPr>
        <w:instrText xml:space="preserve"> HYPERLINK "http://eutils.ncbi.nlm.nih.gov/entrez/eutils/elink.fcgi?dbfrom=pubmed&amp;id=29704936&amp;retmode=ref&amp;cmd=prlinks"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http://eutils.ncbi.nlm.nih.gov/entrez/eutils/elink.fcgi?dbfrom=pubmed&amp;id=29704936&amp;retmode=ref&amp;cmd=prlinks</w:t>
      </w:r>
      <w:r>
        <w:rPr>
          <w:rStyle w:val="Hyperlink"/>
        </w:rPr>
        <w:fldChar w:fldCharType="end"/>
      </w:r>
    </w:p>
    <w:p>
      <w:pPr>
        <w:pStyle w:val="Normal"/>
      </w:pPr>
      <w:r>
        <w:rPr>
          <w:color w:val="323232"/>
        </w:rPr>
        <w:t xml:space="preserve">————————</w:t>
      </w:r>
    </w:p>
    <w:p>
      <w:pPr>
        <w:pStyle w:val="Heading4"/>
      </w:pPr>
      <w:r>
        <w:t xml:space="preserve">Geographical characteristics influencing the risk of poisoning in pet dogs: Results of a large population-based epidemiological study in Italy.</w:t>
      </w:r>
    </w:p>
    <w:p/>
    <w:p>
      <w:pPr>
        <w:pStyle w:val="Normal"/>
      </w:pPr>
      <w:r>
        <w:rPr>
          <w:color w:val="323232"/>
        </w:rPr>
        <w:t xml:space="preserve">L Calzetta, P Roncada, C Piras, A Soggiu, G Liccardi, M Mattei, and E Pistocchini.</w:t>
      </w:r>
    </w:p>
    <w:p/>
    <w:p>
      <w:pPr>
        <w:pStyle w:val="Normal"/>
      </w:pPr>
      <w:r>
        <w:rPr>
          <w:color w:val="323232"/>
        </w:rPr>
        <w:t xml:space="preserve">Pets can act as sentinels for human health and thus surveillance of pet dogs has the potential to improve awareness of emerging risks for animal and public health. The aim of this study was to investigate factors associated with the risk of canine poisoning. In a large population-based epidemiological investigation in Italy performed from January 2015 to January 2016 and April 2016 to April 2017, descriptive statistics were acquired and analysed to determine variables associated with poisoning events in pet dogs. Results were validated in a test population and forecast analysis of risk was performed. The cumulative incidence of poisoning events was low (10.2/1000 dogs/year). Anticoagulant rodenticides, organophosphate pesticides, metaldehyde and strychnine were the most frequent causes of intoxications. Territory characteristics significantly modulated both the frequency and the nature of the involved substances. The seashore area was associated with poisoning by rodenticides (odds ratio, OR, 1.81, 95% confidence interval, CI, 1.54-2.13) and metaldehyde (OR 1.61, 95% CI 1.16-2.28). The hill country area was associated with poisoning by organophosphate pesticides (OR 1.73, 95% CI 1.38-2.15), metaldehyde (OR 2.26, 95% CI 1.53-3.25) and strychnine (OR 1.86, 95% CI, 1.34-2.57). The mountain area was associated with strychnine poisoning (OR 3.79, 95% CI 2.84-5.06). The prospective cumulative incidence of poisoning over 10 years was 9.74% (95% CI 9.57-9.91). These results may be useful for predicting the risk of poisoning and for estimating the risk index related to specific toxic compounds in specific territories. This study suggests that poisoning events in dogs may represent a problem of public health with the potential to affect wildlife and human beings.</w:t>
      </w:r>
    </w:p>
    <w:p/>
    <w:p>
      <w:pPr>
        <w:pStyle w:val="Normal"/>
      </w:pPr>
      <w:r>
        <w:rPr>
          <w:color w:val="323232"/>
        </w:rPr>
        <w:t xml:space="preserve">Vet J, 2018 vol. 235 pp. 63-69.</w:t>
      </w:r>
    </w:p>
    <w:p>
      <w:r>
        <w:rPr>
          <w:rStyle w:val="Hyperlink"/>
        </w:rPr>
        <w:fldChar w:fldCharType="begin"/>
      </w:r>
      <w:r>
        <w:rPr>
          <w:rStyle w:val="Hyperlink"/>
        </w:rPr>
        <w:instrText xml:space="preserve"> HYPERLINK "http://eutils.ncbi.nlm.nih.gov/entrez/eutils/elink.fcgi?dbfrom=pubmed&amp;id=29704941&amp;retmode=ref&amp;cmd=prlinks"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http://eutils.ncbi.nlm.nih.gov/entrez/eutils/elink.fcgi?dbfrom=pubmed&amp;id=29704941&amp;retmode=ref&amp;cmd=prlinks</w:t>
      </w:r>
      <w:r>
        <w:rPr>
          <w:rStyle w:val="Hyperlink"/>
        </w:rPr>
        <w:fldChar w:fldCharType="end"/>
      </w:r>
    </w:p>
    <w:p>
      <w:pPr>
        <w:pStyle w:val="Normal"/>
      </w:pPr>
      <w:r>
        <w:rPr>
          <w:color w:val="323232"/>
        </w:rPr>
        <w:t xml:space="preserve">————————</w:t>
      </w:r>
    </w:p>
    <w:p>
      <w:pPr>
        <w:pStyle w:val="Heading4"/>
      </w:pPr>
      <w:r>
        <w:t xml:space="preserve">Adverse food reactions: Pathogenesis, clinical signs, diagnosis and alternatives to elimination diets.</w:t>
      </w:r>
    </w:p>
    <w:p/>
    <w:p>
      <w:pPr>
        <w:pStyle w:val="Normal"/>
      </w:pPr>
      <w:r>
        <w:rPr>
          <w:color w:val="323232"/>
        </w:rPr>
        <w:t xml:space="preserve">R S Mueller and S Unterer.</w:t>
      </w:r>
    </w:p>
    <w:p/>
    <w:p>
      <w:pPr>
        <w:pStyle w:val="Normal"/>
      </w:pPr>
      <w:r>
        <w:rPr>
          <w:color w:val="323232"/>
        </w:rPr>
        <w:t xml:space="preserve">This review summarises available information about adverse food reactions in dogs and cats. Much of the published information on the pathogenesis of adverse food reactions in these species is transferred from what is known in mice and human beings. Clinical signs affect mostly the integument and gastrointestinal system. Pruritus of the distal limbs, face, ears and ventrum is the most common cutaneous presentation in dogs, although urticaria has also been reported. In cats, all so-called 'cutaneous reaction patterns' may be due to adverse food reactions. The most common gastrointestinal signs in both species are diarrhoea and vomiting. An elimination diet over several weeks using a protein source and a carbohydrate source previously not fed is still the diagnostic tool of choice. Improvement on such a diet, deterioration on re-challenge with the old food and improvement again on the elimination diet confirms the diagnosis of adverse food reaction, whereas alternative tests of blood, serum, saliva and hair have been found to be unsatisfactory. Patch testing with food antigens has been recommended as an aid to choose the elimination diet ingredients, since it has a reasonable negative predictability and likelihood ratio, but is laborious and costly.</w:t>
      </w:r>
    </w:p>
    <w:p/>
    <w:p>
      <w:pPr>
        <w:pStyle w:val="Normal"/>
      </w:pPr>
      <w:r>
        <w:rPr>
          <w:color w:val="323232"/>
        </w:rPr>
        <w:t xml:space="preserve">Vet J, 2018 vol. 236 pp. 89-95.</w:t>
      </w:r>
    </w:p>
    <w:p>
      <w:r>
        <w:rPr>
          <w:rStyle w:val="Hyperlink"/>
        </w:rPr>
        <w:fldChar w:fldCharType="begin"/>
      </w:r>
      <w:r>
        <w:rPr>
          <w:rStyle w:val="Hyperlink"/>
        </w:rPr>
        <w:instrText xml:space="preserve"> HYPERLINK "http://eutils.ncbi.nlm.nih.gov/entrez/eutils/elink.fcgi?dbfrom=pubmed&amp;id=29871756&amp;retmode=ref&amp;cmd=prlinks"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http://eutils.ncbi.nlm.nih.gov/entrez/eutils/elink.fcgi?dbfrom=pubmed&amp;id=29871756&amp;retmode=ref&amp;cmd=prlinks</w:t>
      </w:r>
      <w:r>
        <w:rPr>
          <w:rStyle w:val="Hyperlink"/>
        </w:rPr>
        <w:fldChar w:fldCharType="end"/>
      </w:r>
    </w:p>
    <w:p>
      <w:pPr>
        <w:pStyle w:val="Normal"/>
      </w:pPr>
      <w:r>
        <w:rPr>
          <w:color w:val="323232"/>
        </w:rPr>
        <w:t xml:space="preserve">————————</w:t>
      </w:r>
    </w:p>
    <w:p>
      <w:pPr>
        <w:pStyle w:val="Heading4"/>
      </w:pPr>
      <w:r>
        <w:t xml:space="preserve">Calicivirus co-infections in herpesvirus pneumonia in kittens.</w:t>
      </w:r>
    </w:p>
    <w:p/>
    <w:p>
      <w:pPr>
        <w:pStyle w:val="Normal"/>
      </w:pPr>
      <w:r>
        <w:rPr>
          <w:color w:val="323232"/>
        </w:rPr>
        <w:t xml:space="preserve">Josep Monne Rodriguez, K Köhler, and A Kipar.</w:t>
      </w:r>
    </w:p>
    <w:p/>
    <w:p>
      <w:pPr>
        <w:pStyle w:val="Normal"/>
      </w:pPr>
      <w:r>
        <w:rPr>
          <w:color w:val="323232"/>
        </w:rPr>
        <w:t xml:space="preserve">Felid herpesvirus-1 (FeHV-1) and feline calicivirus (FCV) are the most important infectious causes of respiratory disease in cats. FeHV-1 and FCV co-infections are common in cats with upper respiratory tract disease, but it is unknown whether such co-infections also occur in cats with pneumonia. This study examined the lungs of naturally infected cats with FeHV-1 pneumonia for FCV co-infection by histopathology and immunohistochemistry. The frequency of FCV (13/21, 62%) in this group of cats suggests that co-infection is common in kittens with FeHV-1 pneumonia. FCV infected macrophages were often found in the lumen of FeHV-1 affected airways. In 8/13 (62%) cats, typical FCV lesions were distant from changes induced by FeHV-1. FCV infection of type II pneumocytes/alveolar macrophages was apparent in histologically unaltered areas. It is likely that damage to airways induced by FeHV-1 facilitates secondary infection with FCV due to reduced mucociliary clearance and impaired immune defences.</w:t>
      </w:r>
    </w:p>
    <w:p/>
    <w:p>
      <w:pPr>
        <w:pStyle w:val="Normal"/>
      </w:pPr>
      <w:r>
        <w:rPr>
          <w:color w:val="323232"/>
        </w:rPr>
        <w:t xml:space="preserve">Vet J, 2018 vol. 236 pp. 1-3.</w:t>
      </w:r>
    </w:p>
    <w:p>
      <w:r>
        <w:rPr>
          <w:rStyle w:val="Hyperlink"/>
        </w:rPr>
        <w:fldChar w:fldCharType="begin"/>
      </w:r>
      <w:r>
        <w:rPr>
          <w:rStyle w:val="Hyperlink"/>
        </w:rPr>
        <w:instrText xml:space="preserve"> HYPERLINK "http://eutils.ncbi.nlm.nih.gov/entrez/eutils/elink.fcgi?dbfrom=pubmed&amp;id=29871741&amp;retmode=ref&amp;cmd=prlinks"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http://eutils.ncbi.nlm.nih.gov/entrez/eutils/elink.fcgi?dbfrom=pubmed&amp;id=29871741&amp;retmode=ref&amp;cmd=prlinks</w:t>
      </w:r>
      <w:r>
        <w:rPr>
          <w:rStyle w:val="Hyperlink"/>
        </w:rPr>
        <w:fldChar w:fldCharType="end"/>
      </w:r>
    </w:p>
    <w:p>
      <w:pPr>
        <w:pStyle w:val="Normal"/>
      </w:pPr>
      <w:r>
        <w:rPr>
          <w:color w:val="323232"/>
        </w:rPr>
        <w:t xml:space="preserve">————————</w:t>
      </w:r>
    </w:p>
    <w:p>
      <w:pPr>
        <w:pStyle w:val="Heading4"/>
      </w:pPr>
      <w:r>
        <w:t xml:space="preserve">Effect of calcitriol on in vitro whole blood cytokine production in critically ill dogs.</w:t>
      </w:r>
    </w:p>
    <w:p/>
    <w:p>
      <w:pPr>
        <w:pStyle w:val="Normal"/>
      </w:pPr>
      <w:r>
        <w:rPr>
          <w:color w:val="323232"/>
        </w:rPr>
        <w:t xml:space="preserve">J A Jaffey, J Amorim, and A E DeClue.</w:t>
      </w:r>
    </w:p>
    <w:p/>
    <w:p>
      <w:pPr>
        <w:pStyle w:val="Normal"/>
      </w:pPr>
      <w:r>
        <w:rPr>
          <w:color w:val="323232"/>
        </w:rPr>
        <w:t xml:space="preserve">Hypovitaminosis D has been identified as a predictor of mortality in human beings, dogs, cats and foals. However, the immunomodulatory effects of vitamin D in critically ill dogs has not been evaluated. The aim of this study was to evaluate the effect of calcitriol on cytokine production from whole blood collected from critically ill dogs in vitro. Twelve critically ill dogs admitted to a veterinary intensive care unit (ICU) were enrolled in a prospective cohort study. Whole blood from these dogs was incubated with calcitriol (2×10-7M) or ethanol (control) for 24h. Subsequent to this incubation, lipopolysaccharide (LPS)-stimulated whole blood production of tumor necrosis factor (TNF)-α, interleukin (IL)-6 and IL-10 were measured using a canine-specific multiplex assay. Calcitriol significantly increased LPS-stimulated whole blood production of IL-10 and decreased TNF-α production without significantly altering IL-6 production. There was no significant difference in whole blood cytokine production capacity between survivors and non-survivors at the time of discharge from the ICU or 30days after discharge. These data suggests that calcitriol induces an anti-inflammatory phenotype in vitro in whole blood from critically ill dogs.</w:t>
      </w:r>
    </w:p>
    <w:p/>
    <w:p>
      <w:pPr>
        <w:pStyle w:val="Normal"/>
      </w:pPr>
      <w:r>
        <w:rPr>
          <w:color w:val="323232"/>
        </w:rPr>
        <w:t xml:space="preserve">Vet J, 2018 vol. 236 pp. 31-36.</w:t>
      </w:r>
    </w:p>
    <w:p>
      <w:r>
        <w:rPr>
          <w:rStyle w:val="Hyperlink"/>
        </w:rPr>
        <w:fldChar w:fldCharType="begin"/>
      </w:r>
      <w:r>
        <w:rPr>
          <w:rStyle w:val="Hyperlink"/>
        </w:rPr>
        <w:instrText xml:space="preserve"> HYPERLINK "http://eutils.ncbi.nlm.nih.gov/entrez/eutils/elink.fcgi?dbfrom=pubmed&amp;id=29871746&amp;retmode=ref&amp;cmd=prlinks"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http://eutils.ncbi.nlm.nih.gov/entrez/eutils/elink.fcgi?dbfrom=pubmed&amp;id=29871746&amp;retmode=ref&amp;cmd=prlinks</w:t>
      </w:r>
      <w:r>
        <w:rPr>
          <w:rStyle w:val="Hyperlink"/>
        </w:rPr>
        <w:fldChar w:fldCharType="end"/>
      </w:r>
    </w:p>
    <w:p>
      <w:pPr>
        <w:pStyle w:val="Normal"/>
      </w:pPr>
      <w:r>
        <w:rPr>
          <w:color w:val="323232"/>
        </w:rPr>
        <w:t xml:space="preserve">————————</w:t>
      </w:r>
    </w:p>
    <w:p>
      <w:pPr>
        <w:pStyle w:val="Heading4"/>
      </w:pPr>
      <w:r>
        <w:t xml:space="preserve">Measuring pain in dogs and cats using structured behavioural observation.</w:t>
      </w:r>
    </w:p>
    <w:p/>
    <w:p>
      <w:pPr>
        <w:pStyle w:val="Normal"/>
      </w:pPr>
      <w:r>
        <w:rPr>
          <w:color w:val="323232"/>
        </w:rPr>
        <w:t xml:space="preserve">J Reid, A M Nolan, and E M Scott.</w:t>
      </w:r>
    </w:p>
    <w:p/>
    <w:p>
      <w:pPr>
        <w:pStyle w:val="Normal"/>
      </w:pPr>
      <w:r>
        <w:rPr>
          <w:color w:val="323232"/>
        </w:rPr>
        <w:t xml:space="preserve">The contemporary approach to pain measurement in people and animals seeks to measure the affective (emotional) component of the pain experience using structured questionnaires with formal scoring methodology. Chronic pain has wide-ranging impacts which affects the quality of life (QOL) of the individual, whether that is a person or an animal. Accordingly instruments to measure chronic pain are designed to measure its impact on QOL and are called health-related quality of life (HRQL) instruments. In veterinary science instruments to measure pain are based on behavioural observation by the veterinary surgeon/nurse in the case of acute pain and by the owner in the case of chronic pain. The development of HRQL instruments is an expanding field in veterinary science, not just for the measurement of pain, but for other chronic diseases, and it has a wide application in pharmaceutical research and clinical practice to improve patient care. This review highlights the challenges involved in creating such measures for dogs and cats, seeking to provide the reader with an understanding of their development process. It then provides an overview of the current status with regard to acute and chronic pain measurement.</w:t>
      </w:r>
    </w:p>
    <w:p/>
    <w:p>
      <w:pPr>
        <w:pStyle w:val="Normal"/>
      </w:pPr>
      <w:r>
        <w:rPr>
          <w:color w:val="323232"/>
        </w:rPr>
        <w:t xml:space="preserve">Vet J, 2018 vol. 236 pp. 72-79.</w:t>
      </w:r>
    </w:p>
    <w:p>
      <w:r>
        <w:rPr>
          <w:rStyle w:val="Hyperlink"/>
        </w:rPr>
        <w:fldChar w:fldCharType="begin"/>
      </w:r>
      <w:r>
        <w:rPr>
          <w:rStyle w:val="Hyperlink"/>
        </w:rPr>
        <w:instrText xml:space="preserve"> HYPERLINK "http://eutils.ncbi.nlm.nih.gov/entrez/eutils/elink.fcgi?dbfrom=pubmed&amp;id=29871754&amp;retmode=ref&amp;cmd=prlinks"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http://eutils.ncbi.nlm.nih.gov/entrez/eutils/elink.fcgi?dbfrom=pubmed&amp;id=29871754&amp;retmode=ref&amp;cmd=prlinks</w:t>
      </w:r>
      <w:r>
        <w:rPr>
          <w:rStyle w:val="Hyperlink"/>
        </w:rPr>
        <w:fldChar w:fldCharType="end"/>
      </w:r>
    </w:p>
    <w:p>
      <w:pPr>
        <w:pStyle w:val="Normal"/>
      </w:pPr>
      <w:r>
        <w:rPr>
          <w:color w:val="323232"/>
        </w:rPr>
        <w:t xml:space="preserve">————————</w:t>
      </w:r>
    </w:p>
    <w:p>
      <w:pPr>
        <w:pStyle w:val="Heading4"/>
      </w:pPr>
      <w:r>
        <w:t xml:space="preserve">Prevalence of enteropathogens in cats with and without diarrhea in four different management models for unowned cats in the southeast United States.</w:t>
      </w:r>
    </w:p>
    <w:p/>
    <w:p>
      <w:pPr>
        <w:pStyle w:val="Normal"/>
      </w:pPr>
      <w:r>
        <w:rPr>
          <w:color w:val="323232"/>
        </w:rPr>
        <w:t xml:space="preserve">L A Andersen, J K Levy, C M McManus, S P McGorray, C M Leutenegger, J Piccione, L K Blackwelder, and S J Tucker.</w:t>
      </w:r>
    </w:p>
    <w:p/>
    <w:p>
      <w:pPr>
        <w:pStyle w:val="Normal"/>
      </w:pPr>
      <w:r>
        <w:rPr>
          <w:color w:val="323232"/>
        </w:rPr>
        <w:t xml:space="preserve">The objective of this study was to determine the prevalence of enteropathogens in cats with and without diarrhea in four different models for managing unowned cats: short-term animal shelter, long-term sanctuary, home-based foster care, and trap-neuter-return. Fecal samples from 482 cats, approximately half of the cats with normal fecal consistency and half with diarrhea, were tested by zinc sulfate centrifugation and by real-time PCR for a panel of enteropathogens. At least one enteropathogen of feline or zoonotic importance was detected in a majority of cats, regardless of management model. For most enteropathogens, the presence or absence of diarrhea was not significantly associated with infection, the exceptions being Tritrichomonas foetus in sanctuary cats with diarrhea (26%) and normal fecal consistency (10%), respectively (P≤0.04), and feline coronavirus in foster cats (80% and 58%) (P≤0.001). The types of enteropathogens detected were related to the type of management model, e.g., viral and protozoal infections were most common in shelters, sanctuaries, and foster homes (confinement systems), whereas helminth infections were most common in trap-neuter-return programs (free-roaming cats). These results suggest that management practices for unowned cats are inadequate for control of enteropathogens and that the presence of diarrhea is a poor indicator of enteropathogen carriage. Risk-management strategies to reduce transmission to people and other animals should focus on sanitation, housing, compliance with preventive care guidelines, periodic surveillance, response to specific enteropathogens, humane population management of free-roaming community cats, public health education, and minimizing the duration and number of cats in mass confinement.</w:t>
      </w:r>
    </w:p>
    <w:p/>
    <w:p>
      <w:pPr>
        <w:pStyle w:val="Normal"/>
      </w:pPr>
      <w:r>
        <w:rPr>
          <w:color w:val="323232"/>
        </w:rPr>
        <w:t xml:space="preserve">Vet J, 2018 vol. 236 pp. 49-55.</w:t>
      </w:r>
    </w:p>
    <w:p>
      <w:r>
        <w:rPr>
          <w:rStyle w:val="Hyperlink"/>
        </w:rPr>
        <w:fldChar w:fldCharType="begin"/>
      </w:r>
      <w:r>
        <w:rPr>
          <w:rStyle w:val="Hyperlink"/>
        </w:rPr>
        <w:instrText xml:space="preserve"> HYPERLINK "http://eutils.ncbi.nlm.nih.gov/entrez/eutils/elink.fcgi?dbfrom=pubmed&amp;id=29871750&amp;retmode=ref&amp;cmd=prlinks"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http://eutils.ncbi.nlm.nih.gov/entrez/eutils/elink.fcgi?dbfrom=pubmed&amp;id=29871750&amp;retmode=ref&amp;cmd=prlinks</w:t>
      </w:r>
      <w:r>
        <w:rPr>
          <w:rStyle w:val="Hyperlink"/>
        </w:rPr>
        <w:fldChar w:fldCharType="end"/>
      </w:r>
    </w:p>
    <w:p>
      <w:pPr>
        <w:pStyle w:val="Normal"/>
      </w:pPr>
      <w:r>
        <w:rPr>
          <w:color w:val="323232"/>
        </w:rPr>
        <w:t xml:space="preserve">————————</w:t>
      </w:r>
    </w:p>
    <w:p>
      <w:pPr>
        <w:pStyle w:val="Heading4"/>
      </w:pPr>
      <w:r>
        <w:t xml:space="preserve">Serum α1-proteinase inhibitor concentrations in dogs with exocrine pancreatic disease, chronic hepatitis or proteinuric chronic kidney disease.</w:t>
      </w:r>
    </w:p>
    <w:p/>
    <w:p>
      <w:pPr>
        <w:pStyle w:val="Normal"/>
      </w:pPr>
      <w:r>
        <w:rPr>
          <w:color w:val="323232"/>
        </w:rPr>
        <w:t xml:space="preserve">R M Heilmann, N Grützner, J A Hokamp, J A Lidbury, P G Xenoulis, J S Suchodolski, M B Nabity, R Cianciolo, and J M Steiner.</w:t>
      </w:r>
    </w:p>
    <w:p/>
    <w:p>
      <w:pPr>
        <w:pStyle w:val="Normal"/>
      </w:pPr>
      <w:r>
        <w:rPr>
          <w:color w:val="323232"/>
        </w:rPr>
        <w:t xml:space="preserve">Serum canine α1-proteinase inhibitor (cα1-PI) concentrations were evaluated in dogs with pancreatitis (n=24), exocrine pancreatic insufficiency (EPI; n=29), chronic hepatitis (CH; n=11) or proteinuric chronic kidney disease (CKD-P; n=61) to determine whether systemic proteinase/proteinase-inhibitor balance is altered in these conditions. Dogs with CKD-P had significantly lower cα1-PI concentrations than dogs with pancreatitis, EPI or CH; 16% of dogs with CKD-P had serum cα1-PI concentrations below the reference interval. Serum and urine cα1-PI concentrations were inversely correlated in dogs with CKD-P, but not in dogs with CH. This suggests that renal loss of cα1-PI contributes to decreased serum concentrations in dogs with CKD-P, while hepatic cα1-PI synthesis with CH either is not compromised or is counterbalanced by extrahepatic production.</w:t>
      </w:r>
    </w:p>
    <w:p/>
    <w:p>
      <w:pPr>
        <w:pStyle w:val="Normal"/>
      </w:pPr>
      <w:r>
        <w:rPr>
          <w:color w:val="323232"/>
        </w:rPr>
        <w:t xml:space="preserve">Vet J, 2018 vol. 236 pp. 68-71.</w:t>
      </w:r>
    </w:p>
    <w:p>
      <w:r>
        <w:rPr>
          <w:rStyle w:val="Hyperlink"/>
        </w:rPr>
        <w:fldChar w:fldCharType="begin"/>
      </w:r>
      <w:r>
        <w:rPr>
          <w:rStyle w:val="Hyperlink"/>
        </w:rPr>
        <w:instrText xml:space="preserve"> HYPERLINK "http://eutils.ncbi.nlm.nih.gov/entrez/eutils/elink.fcgi?dbfrom=pubmed&amp;id=29871753&amp;retmode=ref&amp;cmd=prlinks"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http://eutils.ncbi.nlm.nih.gov/entrez/eutils/elink.fcgi?dbfrom=pubmed&amp;id=29871753&amp;retmode=ref&amp;cmd=prlinks</w:t>
      </w:r>
      <w:r>
        <w:rPr>
          <w:rStyle w:val="Hyperlink"/>
        </w:rPr>
        <w:fldChar w:fldCharType="end"/>
      </w:r>
    </w:p>
    <w:p>
      <w:pPr>
        <w:pStyle w:val="Normal"/>
      </w:pPr>
      <w:r>
        <w:rPr>
          <w:color w:val="323232"/>
        </w:rPr>
        <w:t xml:space="preserve">————————</w:t>
      </w:r>
    </w:p>
    <w:p>
      <w:pPr>
        <w:pStyle w:val="Heading4"/>
      </w:pPr>
      <w:r>
        <w:t xml:space="preserve">State of the art analgesia-Recent developments pharmacological approaches to acute pain management in dogs and cats: Part 2.</w:t>
      </w:r>
    </w:p>
    <w:p/>
    <w:p>
      <w:pPr>
        <w:pStyle w:val="Normal"/>
      </w:pPr>
      <w:r>
        <w:rPr>
          <w:color w:val="323232"/>
        </w:rPr>
        <w:t xml:space="preserve">C Bradbrook and L Clark.</w:t>
      </w:r>
    </w:p>
    <w:p/>
    <w:p>
      <w:pPr>
        <w:pStyle w:val="Normal"/>
      </w:pPr>
      <w:r>
        <w:rPr>
          <w:color w:val="323232"/>
        </w:rPr>
        <w:t xml:space="preserve">There has been considerable interest in the area of acute pain management over recent years, focusing on pain assessment, pharmacological and non-pharmacological interventions. The evidence base for our clinical decision making and treatment of patients is ever increasing and becoming more robust. There is still a tendency to base some aspects of pain management on poor quality evidence and this requires further input in years to come. With new literature come new ideas and this review will detail the current knowledge base behind pharmacological management of acute pain in dogs and cats. The known mechanisms of action of each analgesic and its evidence will be considered. The second part of this review will consider the non-traditional analgesics, describing their component drugs individually, thereby focusing on their mechanisms of action and the current evidence for their use in acute pain management.</w:t>
      </w:r>
    </w:p>
    <w:p/>
    <w:p>
      <w:pPr>
        <w:pStyle w:val="Normal"/>
      </w:pPr>
      <w:r>
        <w:rPr>
          <w:color w:val="323232"/>
        </w:rPr>
        <w:t xml:space="preserve">Vet J, 2018 vol. 236 pp. 62-67.</w:t>
      </w:r>
    </w:p>
    <w:p>
      <w:r>
        <w:rPr>
          <w:rStyle w:val="Hyperlink"/>
        </w:rPr>
        <w:fldChar w:fldCharType="begin"/>
      </w:r>
      <w:r>
        <w:rPr>
          <w:rStyle w:val="Hyperlink"/>
        </w:rPr>
        <w:instrText xml:space="preserve"> HYPERLINK "http://eutils.ncbi.nlm.nih.gov/entrez/eutils/elink.fcgi?dbfrom=pubmed&amp;id=29871752&amp;retmode=ref&amp;cmd=prlinks"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http://eutils.ncbi.nlm.nih.gov/entrez/eutils/elink.fcgi?dbfrom=pubmed&amp;id=29871752&amp;retmode=ref&amp;cmd=prlinks</w:t>
      </w:r>
      <w:r>
        <w:rPr>
          <w:rStyle w:val="Hyperlink"/>
        </w:rPr>
        <w:fldChar w:fldCharType="end"/>
      </w:r>
    </w:p>
    <w:p>
      <w:pPr>
        <w:pStyle w:val="Normal"/>
      </w:pPr>
      <w:r>
        <w:rPr>
          <w:color w:val="323232"/>
        </w:rPr>
        <w:t xml:space="preserve">————————</w:t>
      </w:r>
    </w:p>
    <w:p>
      <w:pPr>
        <w:pStyle w:val="Heading4"/>
      </w:pPr>
      <w:r>
        <w:t xml:space="preserve">Evaluation of adenosine deaminase in saliva and serum, and salivary α-amylase, in canine pyometra at diagnosis and after ovariohysterectomy.</w:t>
      </w:r>
    </w:p>
    <w:p/>
    <w:p>
      <w:pPr>
        <w:pStyle w:val="Normal"/>
      </w:pPr>
      <w:r>
        <w:rPr>
          <w:color w:val="323232"/>
        </w:rPr>
        <w:t xml:space="preserve">F Tecles, D Escribano, M D Contreras-Aguilar, C P Rubio, M Szczubiał, J J Cerón, R Dąbrowski, and A Tvarijonaviciute.</w:t>
      </w:r>
    </w:p>
    <w:p/>
    <w:p>
      <w:pPr>
        <w:pStyle w:val="Normal"/>
      </w:pPr>
      <w:r>
        <w:rPr>
          <w:color w:val="323232"/>
        </w:rPr>
        <w:t xml:space="preserve">An assay for adenosine deaminase (ADA) was validated in serum and saliva in dogs. Changes in ADA and salivary α-amylase activities were analysed in 26 bitches diagnosed with pyometra and compared with activities in 19 healthy bitches. All animals were classified according to the American Society of Anaesthesiologists (ASA) scoring for physical status. In the validation study, the ADA assay had an imprecision&lt;12% and determination coefficients&gt;0.90 in linearity under dilution experiments, with recoveries of 99.2-114.4%. On the day of presentation, salivary ADA activity was significantly higher in dogs with pyometra than in healthy dogs (median values 7.1IU</w:t>
      </w:r>
      <w:r>
        <w:rPr>
          <w:i w:val="1"/>
          <w:color w:val="323232"/>
        </w:rPr>
        <w:t xml:space="preserve">L vs. 0.8IU</w:t>
      </w:r>
      <w:r>
        <w:rPr>
          <w:color w:val="323232"/>
        </w:rPr>
        <w:t xml:space="preserve">L, respectively; P&lt;0.01). ADA had a moderate positive correlation with leucocyte and band neutrophil counts, haptoglobin, salivary α-amylase and ASA score, and a low positive correlation with C-reactive protein. There were no significant differences in salivary α-amylase activity between dogs with pyometra and healthy dogs (57.3IU/ L vs. 27.4IU/ L, respectively). Salivary α-amylase had a low correlation with ASA grade, and leucocyte and band neutrophil counts. In 7/26 bitches with pyometra that were sampled 3 and 10days after ovariohysterectomy, there were no significant changes in α-amylase or ADA activities. These results indicate that ADA activity is increased in the saliva of bitches with pyometra, probably related to systemic inflammation.</w:t>
      </w:r>
    </w:p>
    <w:p/>
    <w:p>
      <w:pPr>
        <w:pStyle w:val="Normal"/>
      </w:pPr>
      <w:r>
        <w:rPr>
          <w:color w:val="323232"/>
        </w:rPr>
        <w:t xml:space="preserve">Vet J, 2018 vol. 236 pp. 102-110.</w:t>
      </w:r>
    </w:p>
    <w:p>
      <w:r>
        <w:rPr>
          <w:rStyle w:val="Hyperlink"/>
        </w:rPr>
        <w:fldChar w:fldCharType="begin"/>
      </w:r>
      <w:r>
        <w:rPr>
          <w:rStyle w:val="Hyperlink"/>
        </w:rPr>
        <w:instrText xml:space="preserve"> HYPERLINK "http://eutils.ncbi.nlm.nih.gov/entrez/eutils/elink.fcgi?dbfrom=pubmed&amp;id=29871742&amp;retmode=ref&amp;cmd=prlinks"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http://eutils.ncbi.nlm.nih.gov/entrez/eutils/elink.fcgi?dbfrom=pubmed&amp;id=29871742&amp;retmode=ref&amp;cmd=prlinks</w:t>
      </w:r>
      <w:r>
        <w:rPr>
          <w:rStyle w:val="Hyperlink"/>
        </w:rPr>
        <w:fldChar w:fldCharType="end"/>
      </w:r>
    </w:p>
    <w:p>
      <w:pPr>
        <w:pStyle w:val="Normal"/>
      </w:pPr>
      <w:r>
        <w:rPr>
          <w:color w:val="323232"/>
        </w:rPr>
        <w:t xml:space="preserve">————————</w:t>
      </w:r>
    </w:p>
    <w:p>
      <w:pPr>
        <w:pStyle w:val="Heading4"/>
      </w:pPr>
      <w:r>
        <w:t xml:space="preserve">Prospective evaluation of rapid point-of-care tests for the diagnosis of acute leptospirosis in dogs.</w:t>
      </w:r>
    </w:p>
    <w:p/>
    <w:p>
      <w:pPr>
        <w:pStyle w:val="Normal"/>
      </w:pPr>
      <w:r>
        <w:rPr>
          <w:color w:val="323232"/>
        </w:rPr>
        <w:t xml:space="preserve">R Troìa, A Balboni, S Zamagni, S Frigo, L Magna, L Perissinotto, M Battilani, and F Dondi.</w:t>
      </w:r>
    </w:p>
    <w:p/>
    <w:p>
      <w:pPr>
        <w:pStyle w:val="Normal"/>
      </w:pPr>
      <w:r>
        <w:rPr>
          <w:color w:val="323232"/>
        </w:rPr>
        <w:t xml:space="preserve">The early diagnosis of acute leptospirosis is still a major challenge in dogs. The aim of this prospective study was to evaluate the suitability of two in-clinic tests detecting anti-leptospiral IgM and IgG antibodies in diagnosing canine leptospirosis. The performances of the two rapid tests were compared to the microscopic agglutination test (MAT) carried out on acute sera and to diagnostic criteria adopted in this study to confirm leptospirosis infection (MAT upon admission, convalescent MAT and quantitative real-time PCR on blood and/ or urine). The dogs were enrolled on the basis of reported exposure to known risk factors and clinical presentation (acute kidney injury and/ or systemic inflammatory response syndrome with multi-organ damage). Eighty-nine dogs included in the study were sub-grouped on the basis of the results of the diagnostic criteria adopted: (1) confirmed leptospirosis cases (42/89 dogs); (2) negative leptospirosis cases (36/89 dogs); and (3) unconfirmed leptospirosis cases (11/89 dogs). The results supported the usefulness of the two rapid diagnostic tests as a first in-clinic screening tool for suspected leptospirosis; positive results in the in-clinic tests in dogs with suggestive clinical and laboratory signs strongly indicated acute leptospirosis, while negative results required additional diagnostic investigation to exclude the infection. Confirmatory tests recommended for canine leptospirosis are still necessary in addition to the use of rapid in-clinic tests.</w:t>
      </w:r>
    </w:p>
    <w:p/>
    <w:p>
      <w:pPr>
        <w:pStyle w:val="Normal"/>
      </w:pPr>
      <w:r>
        <w:rPr>
          <w:color w:val="323232"/>
        </w:rPr>
        <w:t xml:space="preserve">Vet J, 2018 vol. 237 pp. 37-42.</w:t>
      </w:r>
    </w:p>
    <w:p>
      <w:r>
        <w:rPr>
          <w:rStyle w:val="Hyperlink"/>
        </w:rPr>
        <w:fldChar w:fldCharType="begin"/>
      </w:r>
      <w:r>
        <w:rPr>
          <w:rStyle w:val="Hyperlink"/>
        </w:rPr>
        <w:instrText xml:space="preserve"> HYPERLINK "http://eutils.ncbi.nlm.nih.gov/entrez/eutils/elink.fcgi?dbfrom=pubmed&amp;id=30089543&amp;retmode=ref&amp;cmd=prlinks"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http://eutils.ncbi.nlm.nih.gov/entrez/eutils/elink.fcgi?dbfrom=pubmed&amp;id=30089543&amp;retmode=ref&amp;cmd=prlinks</w:t>
      </w:r>
      <w:r>
        <w:rPr>
          <w:rStyle w:val="Hyperlink"/>
        </w:rPr>
        <w:fldChar w:fldCharType="end"/>
      </w:r>
    </w:p>
    <w:p>
      <w:pPr>
        <w:pStyle w:val="Normal"/>
      </w:pPr>
      <w:r>
        <w:rPr>
          <w:color w:val="323232"/>
        </w:rPr>
        <w:t xml:space="preserve">————————</w:t>
      </w:r>
    </w:p>
    <w:p>
      <w:pPr>
        <w:pStyle w:val="Heading4"/>
      </w:pPr>
      <w:r>
        <w:t xml:space="preserve">Relationship between ultrasonographic and histopathological measurements of small intestinal wall layers in fresh cat cadavers.</w:t>
      </w:r>
    </w:p>
    <w:p/>
    <w:p>
      <w:pPr>
        <w:pStyle w:val="Normal"/>
      </w:pPr>
      <w:r>
        <w:rPr>
          <w:color w:val="323232"/>
        </w:rPr>
        <w:t xml:space="preserve">M Martinez, F J Pallares, M Soler, and A Agut.</w:t>
      </w:r>
    </w:p>
    <w:p/>
    <w:p>
      <w:pPr>
        <w:pStyle w:val="Normal"/>
      </w:pPr>
      <w:r>
        <w:rPr>
          <w:color w:val="323232"/>
        </w:rPr>
        <w:t xml:space="preserve">The relationship between histological and ultrasonographic thickness of the intestinal wall and its layers in cats is unknown so far. The aims of this study were to establish the relationship between ultrasonographic measurements in the transverse and longitudinal planes of the small intestine and to establish the agreement between ultrasonographic and histologic thickness of the overall intestinal wall and layers in cat cadavers. Seventeen adult cats were euthanased for reasons unrelated to gastrointestinal tract disease and ultrasonography was performed immediately after death using a high-frequency linear transducer. Ultrasound images of the duodenum, jejunum, ileum, and distal ileum were acquired in both the longitudinal and transverse planes. Small intestinal samples were collected close to where ultrasonographic images were obtained, fixed in formalin, and histological sections were obtained. Measurements of the intestinal layers and the overall wall thickness were performed on the ultrasonographic images and histological sections. No statistical differences were found between the ultrasonographic measurements of thickness obtained in the transverse and longitudinal planes except for the distal ileum (P&lt;0.05). There was good agreement between the ultrasonographic and histologic measurements of the overall wall thickness and the layers of the different intestinal segments except at the submucosa and muscularis of the duodenum. Immediate postmortem ultrasonographic and histological thickness measurements of the different layers of the small intestine obtained in this study could serve as a reference for ultrasonographic scans and histological samples in cats.</w:t>
      </w:r>
    </w:p>
    <w:p/>
    <w:p>
      <w:pPr>
        <w:pStyle w:val="Normal"/>
      </w:pPr>
      <w:r>
        <w:rPr>
          <w:color w:val="323232"/>
        </w:rPr>
        <w:t xml:space="preserve">Vet J, 2018 vol. 237 pp. 1-8.</w:t>
      </w:r>
    </w:p>
    <w:p>
      <w:r>
        <w:rPr>
          <w:rStyle w:val="Hyperlink"/>
        </w:rPr>
        <w:fldChar w:fldCharType="begin"/>
      </w:r>
      <w:r>
        <w:rPr>
          <w:rStyle w:val="Hyperlink"/>
        </w:rPr>
        <w:instrText xml:space="preserve"> HYPERLINK "http://eutils.ncbi.nlm.nih.gov/entrez/eutils/elink.fcgi?dbfrom=pubmed&amp;id=30089539&amp;retmode=ref&amp;cmd=prlinks"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http://eutils.ncbi.nlm.nih.gov/entrez/eutils/elink.fcgi?dbfrom=pubmed&amp;id=30089539&amp;retmode=ref&amp;cmd=prlinks</w:t>
      </w:r>
      <w:r>
        <w:rPr>
          <w:rStyle w:val="Hyperlink"/>
        </w:rPr>
        <w:fldChar w:fldCharType="end"/>
      </w:r>
    </w:p>
    <w:p>
      <w:pPr>
        <w:pStyle w:val="Normal"/>
      </w:pPr>
      <w:r>
        <w:rPr>
          <w:color w:val="323232"/>
        </w:rPr>
        <w:t xml:space="preserve">————————</w:t>
      </w:r>
    </w:p>
    <w:p>
      <w:pPr>
        <w:pStyle w:val="Heading4"/>
      </w:pPr>
      <w:r>
        <w:t xml:space="preserve">Somatosensory and motor evoked potentials in dogs with chronic severe thoracolumbar spinal cord injury.</w:t>
      </w:r>
    </w:p>
    <w:p/>
    <w:p>
      <w:pPr>
        <w:pStyle w:val="Normal"/>
      </w:pPr>
      <w:r>
        <w:rPr>
          <w:color w:val="323232"/>
        </w:rPr>
        <w:t xml:space="preserve">H Z Hu, N D Jeffery, and N Granger.</w:t>
      </w:r>
    </w:p>
    <w:p/>
    <w:p>
      <w:pPr>
        <w:pStyle w:val="Normal"/>
      </w:pPr>
      <w:r>
        <w:rPr>
          <w:color w:val="323232"/>
        </w:rPr>
        <w:t xml:space="preserve">Some dogs that become paraplegic after severe spinal cord injury regain ambulation on the pelvic limbs despite permanent loss of pelvic limb sensation, a phenomenon termed 'spinal walking'. Plastic changes in spinal cord circuitry are thought to mediate this form of recovery but the precise circumstances that favor its development are not known. More information on this phenomenon would be helpful because it might be possible to coax more function in chronically paraplegic animals so improving their, and their owners', quality of life. We analysed the correlation of 'spinal walking' and pelvic limb pain sensation with recordings of scalp and spinal somatosensory and transcranial magnetic motor evoked potentials. We prospectively examined 94 paraplegic dogs (including 53 Dachshunds) that had sustained T10 to L3 spinal cord injury (including 78 dogs with acute intervertebral disc herniation) at a median time of 12.0 months from injury. Nine dogs exhibited 'spinal walking' and nine other individuals had intact pelvic limb pain sensation. Of 34 tested, 12 dogs had recordable scalp somatosensory evoked potentials. Fifty-three of 59 tested dogs had recordable spinal somatosensory evoked potentials, but only six had recordable potentials cranial to the lesion. Twenty-two of 94 tested dogs had recordable transcranial magnetic motor evoked potentials in the pelvic limb(s). There was no apparent association between intact evoked potential recording and either spinal walking or intact pain sensation. We conclude that factors other than influence, or lack of influence, of input carried by spinal cord long tracts mediate recovery of spinal walking.</w:t>
      </w:r>
    </w:p>
    <w:p/>
    <w:p>
      <w:pPr>
        <w:pStyle w:val="Normal"/>
      </w:pPr>
      <w:r>
        <w:rPr>
          <w:color w:val="323232"/>
        </w:rPr>
        <w:t xml:space="preserve">Vet J, 2018 vol. 237 pp. 49-54.</w:t>
      </w:r>
    </w:p>
    <w:p>
      <w:r>
        <w:rPr>
          <w:rStyle w:val="Hyperlink"/>
        </w:rPr>
        <w:fldChar w:fldCharType="begin"/>
      </w:r>
      <w:r>
        <w:rPr>
          <w:rStyle w:val="Hyperlink"/>
        </w:rPr>
        <w:instrText xml:space="preserve"> HYPERLINK "http://eutils.ncbi.nlm.nih.gov/entrez/eutils/elink.fcgi?dbfrom=pubmed&amp;id=30089545&amp;retmode=ref&amp;cmd=prlinks"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http://eutils.ncbi.nlm.nih.gov/entrez/eutils/elink.fcgi?dbfrom=pubmed&amp;id=30089545&amp;retmode=ref&amp;cmd=prlinks</w:t>
      </w:r>
      <w:r>
        <w:rPr>
          <w:rStyle w:val="Hyperlink"/>
        </w:rPr>
        <w:fldChar w:fldCharType="end"/>
      </w:r>
    </w:p>
    <w:p>
      <w:pPr>
        <w:pStyle w:val="Normal"/>
      </w:pPr>
      <w:r>
        <w:rPr>
          <w:color w:val="323232"/>
        </w:rPr>
        <w:t xml:space="preserve">————————</w:t>
      </w:r>
    </w:p>
    <w:p>
      <w:pPr>
        <w:pStyle w:val="Heading4"/>
      </w:pPr>
      <w:r>
        <w:t xml:space="preserve">A review of treatment options for behavioural manifestations of clinical anxiety as a comorbidity in dogs with idiopathic epilepsy.</w:t>
      </w:r>
    </w:p>
    <w:p/>
    <w:p>
      <w:pPr>
        <w:pStyle w:val="Normal"/>
      </w:pPr>
      <w:r>
        <w:rPr>
          <w:color w:val="323232"/>
        </w:rPr>
        <w:t xml:space="preserve">F Watson, C Rusbridge, R M A Packer, R A Casey, S Heath, and H A Volk.</w:t>
      </w:r>
    </w:p>
    <w:p/>
    <w:p>
      <w:pPr>
        <w:pStyle w:val="Normal"/>
      </w:pPr>
      <w:r>
        <w:rPr>
          <w:color w:val="323232"/>
        </w:rPr>
        <w:t xml:space="preserve">Psychiatric comorbidities affect a large percentage of people with epilepsy and have a detrimental impact on their quality of life. Recently, behavioural comorbidities, with similar characteristics to human psychiatric diseases, have been identified in dogs with idiopathic epilepsy. In particular, behaviours motivated by the fear-anxiety emotional system have been found to be associated with the occurrence of idiopathic epilepsy in both dogs receiving anti-epileptic drugs, and drug-naïve dogs. There has been little research into the relationship between epilepsy and behavioural signs, and even less into potential treatment protocols. The following article will review available literature from human medicine to describe the current state of knowledge about the bi-directional relationship between anxiety and epilepsy, draw parallels from reported anxiogenic and anxiolytic properties of anti-epileptic drugs and attempt to provide pharmaceutical and behavioural guidance for veterinary patients with epilepsy and comorbid anxiety.</w:t>
      </w:r>
    </w:p>
    <w:p/>
    <w:p>
      <w:pPr>
        <w:pStyle w:val="Normal"/>
      </w:pPr>
      <w:r>
        <w:rPr>
          <w:color w:val="323232"/>
        </w:rPr>
        <w:t xml:space="preserve">Vet J, 2018 vol. 238 pp. 1-9.</w:t>
      </w:r>
    </w:p>
    <w:p>
      <w:r>
        <w:rPr>
          <w:rStyle w:val="Hyperlink"/>
        </w:rPr>
        <w:fldChar w:fldCharType="begin"/>
      </w:r>
      <w:r>
        <w:rPr>
          <w:rStyle w:val="Hyperlink"/>
        </w:rPr>
        <w:instrText xml:space="preserve"> HYPERLINK "http://eutils.ncbi.nlm.nih.gov/entrez/eutils/elink.fcgi?dbfrom=pubmed&amp;id=30103909&amp;retmode=ref&amp;cmd=prlinks"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http://eutils.ncbi.nlm.nih.gov/entrez/eutils/elink.fcgi?dbfrom=pubmed&amp;id=30103909&amp;retmode=ref&amp;cmd=prlinks</w:t>
      </w:r>
      <w:r>
        <w:rPr>
          <w:rStyle w:val="Hyperlink"/>
        </w:rPr>
        <w:fldChar w:fldCharType="end"/>
      </w:r>
    </w:p>
    <w:p>
      <w:pPr>
        <w:pStyle w:val="Normal"/>
      </w:pPr>
      <w:r>
        <w:rPr>
          <w:color w:val="323232"/>
        </w:rPr>
        <w:t xml:space="preserve">————————</w:t>
      </w:r>
    </w:p>
    <w:p>
      <w:pPr>
        <w:pStyle w:val="Heading4"/>
      </w:pPr>
      <w:r>
        <w:t xml:space="preserve">Constant rate infusion vs. intermittent bolus administration of IV furosemide in 100 pets with acute left-sided congestive heart failure: A retrospective study.</w:t>
      </w:r>
    </w:p>
    <w:p/>
    <w:p>
      <w:pPr>
        <w:pStyle w:val="Normal"/>
      </w:pPr>
      <w:r>
        <w:rPr>
          <w:color w:val="323232"/>
        </w:rPr>
        <w:t xml:space="preserve">D G Ohad, Y Segev, E Kelmer, I Aroch, T Bdolah-Abram, G Segev, and S Klainbart.</w:t>
      </w:r>
    </w:p>
    <w:p/>
    <w:p>
      <w:pPr>
        <w:pStyle w:val="Normal"/>
      </w:pPr>
      <w:r>
        <w:rPr>
          <w:color w:val="323232"/>
        </w:rPr>
        <w:t xml:space="preserve">The aim of this study was to determine whether the addition of constant rate infusion (CRI) to intermittent intravenous bolus (IVB) administration of furosemide resulted in an improvement in medical outcomes in dogs and cats with acute left-sided congestive heart failure (L-CHF). A total of 76 client-owned dogs and 24 client-owned cats admitted with acute L-CHF were retrospectively divided between an IVB group (43 dogs and 16 cats) and a CRI group (33 dogs and 8 cats). The median furosemide dose used in dogs in the CRI group (median 0.99mg/ kg/ h; range 0.025-3.73mg</w:t>
      </w:r>
      <w:r>
        <w:rPr>
          <w:i w:val="1"/>
          <w:color w:val="323232"/>
        </w:rPr>
        <w:t xml:space="preserve">kg</w:t>
      </w:r>
      <w:r>
        <w:rPr>
          <w:color w:val="323232"/>
        </w:rPr>
        <w:t xml:space="preserve">h) was lower than the dose used in dogs in the IVB group (median 1.19mg</w:t>
      </w:r>
      <w:r>
        <w:rPr>
          <w:i w:val="1"/>
          <w:color w:val="323232"/>
        </w:rPr>
        <w:t xml:space="preserve">kg</w:t>
      </w:r>
      <w:r>
        <w:rPr>
          <w:color w:val="323232"/>
        </w:rPr>
        <w:t xml:space="preserve">h; range 0.027-7.14mg/ kg/ h; P=0.008). Respiratory rates were lower in the IVB group (P=0.005) and the CRI group (P=0.039) compared to pre-treatment values. The overall short-term mortality was 15%. A trend of longer hospitalisation in the IVB group relative to the CRI group (P=0.07) was shown. Creatinine and total plasma protein concentrations increased more in the CRI group than in the IVB group, suggestive of a higher risk of dehydration and azotaemia. There may be safety profile differences between CRI and IVB, warranting a prospective study using a larger sample size.</w:t>
      </w:r>
    </w:p>
    <w:p/>
    <w:p>
      <w:pPr>
        <w:pStyle w:val="Normal"/>
      </w:pPr>
      <w:r>
        <w:rPr>
          <w:color w:val="323232"/>
        </w:rPr>
        <w:t xml:space="preserve">Vet J, 2018 vol. 238 pp. 70-75.</w:t>
      </w:r>
    </w:p>
    <w:p>
      <w:r>
        <w:rPr>
          <w:rStyle w:val="Hyperlink"/>
        </w:rPr>
        <w:fldChar w:fldCharType="begin"/>
      </w:r>
      <w:r>
        <w:rPr>
          <w:rStyle w:val="Hyperlink"/>
        </w:rPr>
        <w:instrText xml:space="preserve"> HYPERLINK "http://eutils.ncbi.nlm.nih.gov/entrez/eutils/elink.fcgi?dbfrom=pubmed&amp;id=30103918&amp;retmode=ref&amp;cmd=prlinks"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http://eutils.ncbi.nlm.nih.gov/entrez/eutils/elink.fcgi?dbfrom=pubmed&amp;id=30103918&amp;retmode=ref&amp;cmd=prlinks</w:t>
      </w:r>
      <w:r>
        <w:rPr>
          <w:rStyle w:val="Hyperlink"/>
        </w:rPr>
        <w:fldChar w:fldCharType="end"/>
      </w:r>
    </w:p>
    <w:p>
      <w:pPr>
        <w:pStyle w:val="Normal"/>
      </w:pPr>
      <w:r>
        <w:rPr>
          <w:color w:val="323232"/>
        </w:rPr>
        <w:t xml:space="preserve">————————</w:t>
      </w:r>
    </w:p>
    <w:p>
      <w:pPr>
        <w:pStyle w:val="Heading4"/>
      </w:pPr>
      <w:r>
        <w:t xml:space="preserve">Regional anesthetic techniques for the pelvic limb and abdominal wall in small animals: A review of the literature and technique description.</w:t>
      </w:r>
    </w:p>
    <w:p/>
    <w:p>
      <w:pPr>
        <w:pStyle w:val="Normal"/>
      </w:pPr>
      <w:r>
        <w:rPr>
          <w:color w:val="323232"/>
        </w:rPr>
        <w:t xml:space="preserve">D A Portela, N Verdier, and P E Otero.</w:t>
      </w:r>
    </w:p>
    <w:p/>
    <w:p>
      <w:pPr>
        <w:pStyle w:val="Normal"/>
      </w:pPr>
      <w:r>
        <w:rPr>
          <w:color w:val="323232"/>
        </w:rPr>
        <w:t xml:space="preserve">Increasing interest in using peripheral nerve blocks in small animals is evident, given the numerous studies published recently on this topic in important veterinary journals. Initially, research was focused on intraoperative analgesia to the pelvic limb, and several descriptions of lumbosacral plexus, femoral and sciatic nerve blocks have been described in studies. There is recent interest in developing techniques for somatosensory blockade of the abdominal wall. This article is the second part of a two-part review of regional anesthesia (RA) in small animals, and its aim is to discuss the most relevant studies in the veterinary literature, where objective methods of nerve location have been used, and to illustrate in pictures the currently used techniques for providing RA to the abdominal wall and the pelvic limb in small animals.</w:t>
      </w:r>
    </w:p>
    <w:p/>
    <w:p>
      <w:pPr>
        <w:pStyle w:val="Normal"/>
      </w:pPr>
      <w:r>
        <w:rPr>
          <w:color w:val="323232"/>
        </w:rPr>
        <w:t xml:space="preserve">Vet J, 2018 vol. 238 pp. 27-40.</w:t>
      </w:r>
    </w:p>
    <w:p>
      <w:r>
        <w:rPr>
          <w:rStyle w:val="Hyperlink"/>
        </w:rPr>
        <w:fldChar w:fldCharType="begin"/>
      </w:r>
      <w:r>
        <w:rPr>
          <w:rStyle w:val="Hyperlink"/>
        </w:rPr>
        <w:instrText xml:space="preserve"> HYPERLINK "http://eutils.ncbi.nlm.nih.gov/entrez/eutils/elink.fcgi?dbfrom=pubmed&amp;id=30103913&amp;retmode=ref&amp;cmd=prlinks"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http://eutils.ncbi.nlm.nih.gov/entrez/eutils/elink.fcgi?dbfrom=pubmed&amp;id=30103913&amp;retmode=ref&amp;cmd=prlinks</w:t>
      </w:r>
      <w:r>
        <w:rPr>
          <w:rStyle w:val="Hyperlink"/>
        </w:rPr>
        <w:fldChar w:fldCharType="end"/>
      </w:r>
    </w:p>
    <w:p>
      <w:pPr>
        <w:pStyle w:val="Normal"/>
      </w:pPr>
      <w:r>
        <w:rPr>
          <w:color w:val="323232"/>
        </w:rPr>
        <w:t xml:space="preserve">————————</w:t>
      </w:r>
    </w:p>
    <w:p>
      <w:pPr>
        <w:pStyle w:val="Heading4"/>
      </w:pPr>
      <w:r>
        <w:t xml:space="preserve">Assessment of quality of life and chronic pain in dogs.</w:t>
      </w:r>
    </w:p>
    <w:p/>
    <w:p>
      <w:pPr>
        <w:pStyle w:val="Normal"/>
      </w:pPr>
      <w:r>
        <w:rPr>
          <w:color w:val="323232"/>
        </w:rPr>
        <w:t xml:space="preserve">Z Belshaw and J Yeates.</w:t>
      </w:r>
    </w:p>
    <w:p/>
    <w:p>
      <w:pPr>
        <w:pStyle w:val="Normal"/>
      </w:pPr>
      <w:r>
        <w:rPr>
          <w:color w:val="323232"/>
        </w:rPr>
        <w:t xml:space="preserve">Assessment of chronic pain and quality of life (QOL) are integral to clinical veterinary research and practice, and recent years have seen an increase in the published tools available for the assessment of both. However, the relationship between chronic pain and QOL in veterinary patients has received insufficient attention. This narrative review for the first time explores similarities, differences and interactions between chronic pain and quality of life and identifies common challenges to their assessment in dogs. In the opinion of these authors, assessments of both chronic pain and quality of life should be pro-active, global, regular, applied to answer specific questions for researchers and decision makers, and transparent about what has, and has not, been assessed. Collaboration in this field between animal welfare scientists, veterinary researchers and clinicians appears rare, and should be prioritised.</w:t>
      </w:r>
    </w:p>
    <w:p/>
    <w:p>
      <w:pPr>
        <w:pStyle w:val="Normal"/>
      </w:pPr>
      <w:r>
        <w:rPr>
          <w:color w:val="323232"/>
        </w:rPr>
        <w:t xml:space="preserve">Vet J, 2018 vol. 239 pp. 59-64.</w:t>
      </w:r>
    </w:p>
    <w:p>
      <w:r>
        <w:rPr>
          <w:rStyle w:val="Hyperlink"/>
        </w:rPr>
        <w:fldChar w:fldCharType="begin"/>
      </w:r>
      <w:r>
        <w:rPr>
          <w:rStyle w:val="Hyperlink"/>
        </w:rPr>
        <w:instrText xml:space="preserve"> HYPERLINK "http://eutils.ncbi.nlm.nih.gov/entrez/eutils/elink.fcgi?dbfrom=pubmed&amp;id=30197111&amp;retmode=ref&amp;cmd=prlinks"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http://eutils.ncbi.nlm.nih.gov/entrez/eutils/elink.fcgi?dbfrom=pubmed&amp;id=30197111&amp;retmode=ref&amp;cmd=prlinks</w:t>
      </w:r>
      <w:r>
        <w:rPr>
          <w:rStyle w:val="Hyperlink"/>
        </w:rPr>
        <w:fldChar w:fldCharType="end"/>
      </w:r>
    </w:p>
    <w:p>
      <w:pPr>
        <w:pStyle w:val="Normal"/>
      </w:pPr>
      <w:r>
        <w:rPr>
          <w:color w:val="323232"/>
        </w:rPr>
        <w:t xml:space="preserve">————————</w:t>
      </w:r>
    </w:p>
    <w:p>
      <w:pPr>
        <w:pStyle w:val="Heading4"/>
      </w:pPr>
      <w:r>
        <w:t xml:space="preserve">Randomised clinical trial comparing clinically relevant sedation outcome measures in dogs after intramuscular administration of medetomidine in combination with midazolam or butorphanol for routine diagnostic imaging procedures.</w:t>
      </w:r>
    </w:p>
    <w:p/>
    <w:p>
      <w:pPr>
        <w:pStyle w:val="Normal"/>
      </w:pPr>
      <w:r>
        <w:rPr>
          <w:color w:val="323232"/>
        </w:rPr>
        <w:t xml:space="preserve">D Le Chevallier, L Slingsby, and J C Murrell.</w:t>
      </w:r>
    </w:p>
    <w:p/>
    <w:p>
      <w:pPr>
        <w:pStyle w:val="Normal"/>
      </w:pPr>
      <w:r>
        <w:rPr>
          <w:color w:val="323232"/>
        </w:rPr>
        <w:t xml:space="preserve">The aim of this study was to investigate the sedative effects of medetomidine in combination with midazolam or butorphanol for routine imaging procedures in dogs. Eighty client owned dogs were recruited in a prospective, randomised, blinded clinical study and randomly assigned to receive one of four treatments intramuscularly (IM): (1) 30μg/ kg medetomidine (Med30); (2) 20μg/ kg medetomidine combined with 0.3mg/ kg butorphanol (Med20But0.3); (3) 20μg/ kg medetomidine combined with 0.3mg/ kg midazolam (Med20Mid0.3); and (4) 10μg/ kg medetomidine combined with 0.3mg/ kg midazolam (Med10Mid0.3). The level of sedation was evaluated using a composite sedation scale assessed by one investigator (0=no sedation, 15=profound sedation). The number of dogs deemed to be adequately clinically sedated and the dose of propofol administered as rescue sedation were recorded. Mean±standard deviation sedation scores at 30min after the commencement of treatment in the groups that received Med20But0.3 (9.8±4) and Med20Mid0.3 (8.9±4.4) were not statistically significantly different from each other, but were significantly different from the group receiving Med10Mid0.3 (5.6±3.6). Only Med20But0.3 was significantly associated with adequate clinical sedation, while Med10Mid0.3 was associated with 85% sedation failure. The rescue sedation dose of propofol (1.5±1mg/kg) for the Med10Mid0.3 group was significantly higher than for other treatments. A sedation score≥10 out of 15 was a satisfactory cut-off to predict adequate clinical sedation. In healthy dogs, the combination of medetomidine with midazolam did not provide comparable sedation to the same dose of medetomidine in combination with butorphanol in a clinical setting.</w:t>
      </w:r>
    </w:p>
    <w:p/>
    <w:p>
      <w:pPr>
        <w:pStyle w:val="Normal"/>
      </w:pPr>
      <w:r>
        <w:rPr>
          <w:color w:val="323232"/>
        </w:rPr>
        <w:t xml:space="preserve">Vet J, 2018 vol. 239 pp. 30-34.</w:t>
      </w:r>
    </w:p>
    <w:p>
      <w:r>
        <w:rPr>
          <w:rStyle w:val="Hyperlink"/>
        </w:rPr>
        <w:fldChar w:fldCharType="begin"/>
      </w:r>
      <w:r>
        <w:rPr>
          <w:rStyle w:val="Hyperlink"/>
        </w:rPr>
        <w:instrText xml:space="preserve"> HYPERLINK "http://eutils.ncbi.nlm.nih.gov/entrez/eutils/elink.fcgi?dbfrom=pubmed&amp;id=30197106&amp;retmode=ref&amp;cmd=prlinks"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http://eutils.ncbi.nlm.nih.gov/entrez/eutils/elink.fcgi?dbfrom=pubmed&amp;id=30197106&amp;retmode=ref&amp;cmd=prlinks</w:t>
      </w:r>
      <w:r>
        <w:rPr>
          <w:rStyle w:val="Hyperlink"/>
        </w:rPr>
        <w:fldChar w:fldCharType="end"/>
      </w:r>
    </w:p>
    <w:p>
      <w:pPr>
        <w:pStyle w:val="Normal"/>
      </w:pPr>
      <w:r>
        <w:rPr>
          <w:color w:val="323232"/>
        </w:rPr>
        <w:t xml:space="preserve">————————</w:t>
      </w:r>
    </w:p>
    <w:p>
      <w:pPr>
        <w:pStyle w:val="Heading4"/>
      </w:pPr>
      <w:r>
        <w:t xml:space="preserve">Shelter-housed cats show no evidence of faecal shedding of canine parvovirus DNA.</w:t>
      </w:r>
    </w:p>
    <w:p/>
    <w:p>
      <w:pPr>
        <w:pStyle w:val="Normal"/>
      </w:pPr>
      <w:r>
        <w:rPr>
          <w:color w:val="323232"/>
        </w:rPr>
        <w:t xml:space="preserve">P Byrne, J A Beatty, J Šlapeta, S W Corley, R E Lyons, L McMichael, M T Kyaw-Tanner, P T Dung, N Decaro, J Meers, and V R Barrs.</w:t>
      </w:r>
    </w:p>
    <w:p/>
    <w:p>
      <w:pPr>
        <w:pStyle w:val="Normal"/>
      </w:pPr>
      <w:r>
        <w:rPr>
          <w:color w:val="323232"/>
        </w:rPr>
        <w:t xml:space="preserve">Canine parvovirus (CPV) and feline panleukopenia virus (FPV) are deoxyriboncucleic acid (DNA) viruses in the taxon Carnivore protoparvovirus 1. Exposure of cats to either CPV or FPV results in productive infection and faecal shedding of virus. Asymptomatic shedding of CPVs by one-third of shelter-housed cats in a UK study suggests that cats may be an important reservoir for parvoviral disease in dogs. The aim of this cross-sectional study was to determine the prevalence of faecal shedding of CPVs in asymptomatic shelter-housed cats in Australia. Faecal samples (n=218) were collected from cats housed in three shelters receiving both cats and dogs, in Queensland and NSW. Molecular testing for Carnivore protoparvovirus 1 DNA was performed by polymerase chain reaction (PCR) amplification followed by DNA sequencing of the VP2 region to differentiate CPV from FPV. Carnivore protoparvovirus 1 DNA was detected in only four (1.8%, 95% confidence interval 0.49-4.53%) faecal samples from a single shelter. Sequencing identified all four positive samples as FPV. Faecal shedding of CPV by shelter-cats was not detected in this study. While the potential for cross-species transmission of CPV between cats and dogs is high, this study found no evidence of a role for cats in maintaining CPV in cat and dog populations through faecal shedding in the regions tested.</w:t>
      </w:r>
    </w:p>
    <w:p/>
    <w:p>
      <w:pPr>
        <w:pStyle w:val="Normal"/>
      </w:pPr>
      <w:r>
        <w:rPr>
          <w:color w:val="323232"/>
        </w:rPr>
        <w:t xml:space="preserve">Vet J, 2018 vol. 239 pp. 54-58.</w:t>
      </w:r>
    </w:p>
    <w:p>
      <w:r>
        <w:rPr>
          <w:rStyle w:val="Hyperlink"/>
        </w:rPr>
        <w:fldChar w:fldCharType="begin"/>
      </w:r>
      <w:r>
        <w:rPr>
          <w:rStyle w:val="Hyperlink"/>
        </w:rPr>
        <w:instrText xml:space="preserve"> HYPERLINK "http://eutils.ncbi.nlm.nih.gov/entrez/eutils/elink.fcgi?dbfrom=pubmed&amp;id=30197110&amp;retmode=ref&amp;cmd=prlinks"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http://eutils.ncbi.nlm.nih.gov/entrez/eutils/elink.fcgi?dbfrom=pubmed&amp;id=30197110&amp;retmode=ref&amp;cmd=prlinks</w:t>
      </w:r>
      <w:r>
        <w:rPr>
          <w:rStyle w:val="Hyperlink"/>
        </w:rPr>
        <w:fldChar w:fldCharType="end"/>
      </w:r>
    </w:p>
    <w:p>
      <w:pPr>
        <w:pStyle w:val="Normal"/>
      </w:pPr>
      <w:r>
        <w:rPr>
          <w:color w:val="323232"/>
        </w:rPr>
        <w:t xml:space="preserve">————————</w:t>
      </w:r>
    </w:p>
    <w:p>
      <w:pPr>
        <w:pStyle w:val="Heading4"/>
      </w:pPr>
      <w:r>
        <w:t xml:space="preserve">Peripheral perfusion index does not accurately reflect hypoperfusion in healthy dogs undergoing elective ovariohysterectomy.</w:t>
      </w:r>
    </w:p>
    <w:p/>
    <w:p>
      <w:pPr>
        <w:pStyle w:val="Normal"/>
      </w:pPr>
      <w:r>
        <w:rPr>
          <w:color w:val="323232"/>
        </w:rPr>
        <w:t xml:space="preserve">L G Teixeira, L R Martins, P I Schimites, R B de Oliveira, J Bonella, R V Campos, L T Mangini, J C Gasparotto, and A V Soares.</w:t>
      </w:r>
    </w:p>
    <w:p/>
    <w:p>
      <w:pPr>
        <w:pStyle w:val="Normal"/>
      </w:pPr>
      <w:r>
        <w:rPr>
          <w:color w:val="323232"/>
        </w:rPr>
        <w:t xml:space="preserve">This study evaluated the variability of the peripheral perfusion index (PI) in 22 anaesthetised female dogs undergoing elective ovariohysterectomy and examined the relationship between peripheral PI and heart rate, blood pressure, blood pH, end tidal CO2 (EtCO2), O2 saturation (SpO2), core-peripheral temperature gradient (ΔTc-p), partial pressure of CO2 (PCO2), and concentrations of glucose, cortisol, lactate and bicarbonate (HCO3-). Blood pH, lactate and glucose concentrations were determined 15, 30, 45min into the ovariohysterectomy procedure and after extubation. Cortisol concentrations were assessed before anaesthesia and after extubation. Other variables were recorded at every 5min throughout the ovariohysterectomy procedure. Hyperglycaemia was observed in 59% of bitches during surgery, but serum cortisol concentrations remained unchanged. Most measures of perfusion (ΔTc-p, pH, PCO2, EtCO2, SpO2) and heart rate remained unchanged throughout anaesthesia and did not correlate with peripheral PI. Mean arterial pressure increased during the ovariohysterectomy procedure, while peripheral PI decreased, resulting in negative correlations between these variables at 30 and 45min. Lactate concentrations decreased from baseline to the time of measurement post-extubation. Peripheral PI gradually decreased during the ovariohysterectomy procedure, probably reflecting vasoconstriction induced by nociceptive stimuli. Using lactate concentrations as the reference standard for peripheral perfusion, low peripheral PI in healthy bitches undergoing ovariohysterectomy might not represent peripheral hypoperfusion.</w:t>
      </w:r>
    </w:p>
    <w:p/>
    <w:p>
      <w:pPr>
        <w:pStyle w:val="Normal"/>
      </w:pPr>
      <w:r>
        <w:rPr>
          <w:color w:val="323232"/>
        </w:rPr>
        <w:t xml:space="preserve">Vet J, 2018 vol. 240 pp. 27-30.</w:t>
      </w:r>
    </w:p>
    <w:p>
      <w:r>
        <w:rPr>
          <w:rStyle w:val="Hyperlink"/>
        </w:rPr>
        <w:fldChar w:fldCharType="begin"/>
      </w:r>
      <w:r>
        <w:rPr>
          <w:rStyle w:val="Hyperlink"/>
        </w:rPr>
        <w:instrText xml:space="preserve"> HYPERLINK "http://eutils.ncbi.nlm.nih.gov/entrez/eutils/elink.fcgi?dbfrom=pubmed&amp;id=30268329&amp;retmode=ref&amp;cmd=prlinks"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http://eutils.ncbi.nlm.nih.gov/entrez/eutils/elink.fcgi?dbfrom=pubmed&amp;id=30268329&amp;retmode=ref&amp;cmd=prlinks</w:t>
      </w:r>
      <w:r>
        <w:rPr>
          <w:rStyle w:val="Hyperlink"/>
        </w:rPr>
        <w:fldChar w:fldCharType="end"/>
      </w:r>
    </w:p>
    <w:p>
      <w:pPr>
        <w:pStyle w:val="Normal"/>
      </w:pPr>
      <w:r>
        <w:rPr>
          <w:color w:val="323232"/>
        </w:rPr>
        <w:t xml:space="preserve">————————</w:t>
      </w:r>
    </w:p>
    <w:p>
      <w:pPr>
        <w:pStyle w:val="Heading4"/>
      </w:pPr>
      <w:r>
        <w:t xml:space="preserve">Peripherally acting α-adrenoceptor antagonist MK-467 with intramuscular medetomidine and butorphanol in dogs: A prospective, randomised, clinical trial.</w:t>
      </w:r>
    </w:p>
    <w:p/>
    <w:p>
      <w:pPr>
        <w:pStyle w:val="Normal"/>
      </w:pPr>
      <w:r>
        <w:rPr>
          <w:color w:val="323232"/>
        </w:rPr>
        <w:t xml:space="preserve">I J Kallio-Kujala, H A Turunen, M R Raekallio, J M Honkavaara, K M Salla, D Casoni, H J Hautajärvi, and O M Vainio.</w:t>
      </w:r>
    </w:p>
    <w:p/>
    <w:p>
      <w:pPr>
        <w:pStyle w:val="Normal"/>
      </w:pPr>
      <w:r>
        <w:rPr>
          <w:color w:val="323232"/>
        </w:rPr>
        <w:t xml:space="preserve">The aim of this study was to investigate the clinical usefulness of MK-467 (vatinoxan; L-659'066) in dogs sedated for diagnostic imaging with medetomidine-butorphanol. It was hypothesised that MK-467 would alleviate bradycardia, hasten drug absorption and thus intensify the early-stage sedation. In a prospective, randomised, blinded clinical trial, 56 client-owned dogs received one of two IM treatments: (1) 0.5mg</w:t>
      </w:r>
      <w:r>
        <w:rPr>
          <w:i w:val="1"/>
          <w:color w:val="323232"/>
        </w:rPr>
        <w:t xml:space="preserve">m2 medetomidine+0.1mg</w:t>
      </w:r>
      <w:r>
        <w:rPr>
          <w:color w:val="323232"/>
        </w:rPr>
        <w:t xml:space="preserve">kg butorphanol (MB, n=29); or (2) 0.5mg</w:t>
      </w:r>
      <w:r>
        <w:rPr>
          <w:i w:val="1"/>
          <w:color w:val="323232"/>
        </w:rPr>
        <w:t xml:space="preserve">m2 medetomidine+0.1mg</w:t>
      </w:r>
      <w:r>
        <w:rPr>
          <w:color w:val="323232"/>
        </w:rPr>
        <w:t xml:space="preserve">kg butorphanol+10mg</w:t>
      </w:r>
      <w:r>
        <w:rPr>
          <w:i w:val="1"/>
          <w:color w:val="323232"/>
        </w:rPr>
        <w:t xml:space="preserve">m2 MK-467 (MB-MK, n=27). Heart rates and visual sedation scores were recorded at intervals. Plasma drug concentrations were determined in venous samples obtained approximately 14min after injection. Additional sedation (50% of original dose of medetomidine IM) and</w:t>
      </w:r>
      <w:r>
        <w:rPr>
          <w:color w:val="323232"/>
        </w:rPr>
        <w:t xml:space="preserve">or IM atipamezole for reversal were given when needed. The area under the sedation score-time curve for visual analogue scale (AUCVAS30) was calculated for the first 30min after treatment using the trapezoidal method. Repeated ANOVA, Mann-Whitney U test and Fisher's exact test were used for parametric, non-parametric and dichotomous data. Heart rate was significantly higher from 10 to 40min with MB-MK than with MB. AUCVAS30 was significantly higher after MB-MK. More dogs treated with MB-MK required additional sedation after 30min, but fewer needed atipamezole for reversal compared with MB. Plasma concentrations of both medetomidine and butorphanol were higher after MB-MK. All procedures were successfully completed. MK-467 alleviated the bradycardia, intensified the early stage sedation and shortened its duration in healthy dogs that received IM medetomidine-butorphanol.</w:t>
      </w:r>
    </w:p>
    <w:p/>
    <w:p>
      <w:pPr>
        <w:pStyle w:val="Normal"/>
      </w:pPr>
      <w:r>
        <w:rPr>
          <w:color w:val="323232"/>
        </w:rPr>
        <w:t xml:space="preserve">Vet J, 2018 vol. 240 pp. 22-26.</w:t>
      </w:r>
    </w:p>
    <w:p>
      <w:r>
        <w:rPr>
          <w:rStyle w:val="Hyperlink"/>
        </w:rPr>
        <w:fldChar w:fldCharType="begin"/>
      </w:r>
      <w:r>
        <w:rPr>
          <w:rStyle w:val="Hyperlink"/>
        </w:rPr>
        <w:instrText xml:space="preserve"> HYPERLINK "http://eutils.ncbi.nlm.nih.gov/entrez/eutils/elink.fcgi?dbfrom=pubmed&amp;id=30268328&amp;retmode=ref&amp;cmd=prlinks"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http://eutils.ncbi.nlm.nih.gov/entrez/eutils/elink.fcgi?dbfrom=pubmed&amp;id=30268328&amp;retmode=ref&amp;cmd=prlinks</w:t>
      </w:r>
      <w:r>
        <w:rPr>
          <w:rStyle w:val="Hyperlink"/>
        </w:rPr>
        <w:fldChar w:fldCharType="end"/>
      </w:r>
    </w:p>
    <w:p>
      <w:pPr>
        <w:pStyle w:val="Normal"/>
      </w:pPr>
      <w:r>
        <w:rPr>
          <w:color w:val="323232"/>
        </w:rPr>
        <w:t xml:space="preserve">————————</w:t>
      </w:r>
    </w:p>
    <w:p>
      <w:pPr>
        <w:pStyle w:val="Heading4"/>
      </w:pPr>
      <w:r>
        <w:t xml:space="preserve">Immunohistochemical expression of cyclooxygenase-2 (COX-2) is not associated with tumor grade in feline meningiomas.</w:t>
      </w:r>
    </w:p>
    <w:p/>
    <w:p>
      <w:pPr>
        <w:pStyle w:val="Normal"/>
      </w:pPr>
      <w:r>
        <w:rPr>
          <w:color w:val="323232"/>
        </w:rPr>
        <w:t xml:space="preserve">F Samarani, C de la Fuente, A Parodi, M T Mandara, M Pumarola, and S Añor.</w:t>
      </w:r>
    </w:p>
    <w:p/>
    <w:p>
      <w:pPr>
        <w:pStyle w:val="Normal"/>
      </w:pPr>
      <w:r>
        <w:rPr>
          <w:color w:val="323232"/>
        </w:rPr>
        <w:t xml:space="preserve">Meningioma is the most common primary brain tumor in cats and occurs less frequently in the spinal cord. This study aimed to investigate cyclooxygenase-2 (COX-2) expression in feline meningiomas, and the possible association between COX-2 immunoreactivity and tumor grade using eight low-grade and seven high-grade meningiomas. All tumors (n=15/15) were immunoreactive to COX-2. The expression of COX-2 was not significantly correlated with tumor grade (P=0.22 and 0.34 for staining and intensity, respectively) but was significantly associated with necrosis (P=0.04 and 0.01 for staining and intensity, respectively). The findings in this study suggest that feline meningiomas express COX-2, but there were no differences in COX-2 immunoreactivity patterns between low- and high-grade meningiomas. However, the association between COX-2 expression and the presence of necrosis indicates a potential area for therapeutic intervention with selective COX-2 inhibitors.</w:t>
      </w:r>
    </w:p>
    <w:p/>
    <w:p>
      <w:pPr>
        <w:pStyle w:val="Normal"/>
      </w:pPr>
      <w:r>
        <w:rPr>
          <w:color w:val="323232"/>
        </w:rPr>
        <w:t xml:space="preserve">Vet J, 2018 vol. 241 pp. 20-23.</w:t>
      </w:r>
    </w:p>
    <w:p>
      <w:r>
        <w:rPr>
          <w:rStyle w:val="Hyperlink"/>
        </w:rPr>
        <w:fldChar w:fldCharType="begin"/>
      </w:r>
      <w:r>
        <w:rPr>
          <w:rStyle w:val="Hyperlink"/>
        </w:rPr>
        <w:instrText xml:space="preserve"> HYPERLINK "http://eutils.ncbi.nlm.nih.gov/entrez/eutils/elink.fcgi?dbfrom=pubmed&amp;id=30340655&amp;retmode=ref&amp;cmd=prlinks"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http://eutils.ncbi.nlm.nih.gov/entrez/eutils/elink.fcgi?dbfrom=pubmed&amp;id=30340655&amp;retmode=ref&amp;cmd=prlinks</w:t>
      </w:r>
      <w:r>
        <w:rPr>
          <w:rStyle w:val="Hyperlink"/>
        </w:rPr>
        <w:fldChar w:fldCharType="end"/>
      </w:r>
    </w:p>
    <w:p>
      <w:pPr>
        <w:pStyle w:val="Normal"/>
      </w:pPr>
      <w:r>
        <w:rPr>
          <w:color w:val="323232"/>
        </w:rPr>
        <w:t xml:space="preserve">————————</w:t>
      </w:r>
    </w:p>
    <w:p>
      <w:pPr>
        <w:pStyle w:val="Heading4"/>
      </w:pPr>
      <w:r>
        <w:t xml:space="preserve">Long-term outcome of cats and dogs with acute kidney injury treated with intermittent hemodialysis: 135 cases (1997-2010).</w:t>
      </w:r>
    </w:p>
    <w:p/>
    <w:p>
      <w:pPr>
        <w:pStyle w:val="Normal"/>
      </w:pPr>
      <w:r>
        <w:rPr>
          <w:color w:val="323232"/>
        </w:rPr>
        <w:t xml:space="preserve">Adam E Eatroff, Cathy E Langston, Serge Chalhoub, Karen Poeppel, and Eleonora Mitelberg.</w:t>
      </w:r>
    </w:p>
    <w:p/>
    <w:p>
      <w:pPr>
        <w:pStyle w:val="Normal"/>
      </w:pPr>
      <w:r>
        <w:rPr>
          <w:color w:val="323232"/>
        </w:rPr>
        <w:t xml:space="preserve">OBJECTIVE:To determine the long-term outcome for small animal patients with acute kidney injury (AKI) treated with intermittent hemodialysis (IHD).</w:t>
      </w:r>
    </w:p>
    <w:p/>
    <w:p>
      <w:pPr>
        <w:pStyle w:val="Normal"/>
      </w:pPr>
      <w:r>
        <w:rPr>
          <w:color w:val="323232"/>
        </w:rPr>
        <w:t xml:space="preserve">DESIGN:Retrospective case series.</w:t>
      </w:r>
    </w:p>
    <w:p/>
    <w:p>
      <w:pPr>
        <w:pStyle w:val="Normal"/>
      </w:pPr>
      <w:r>
        <w:rPr>
          <w:color w:val="323232"/>
        </w:rPr>
        <w:t xml:space="preserve">ANIMALS:42 cats and 93 dogs treated with IHD for AKI.</w:t>
      </w:r>
    </w:p>
    <w:p/>
    <w:p>
      <w:pPr>
        <w:pStyle w:val="Normal"/>
      </w:pPr>
      <w:r>
        <w:rPr>
          <w:color w:val="323232"/>
        </w:rPr>
        <w:t xml:space="preserve">PROCEDURES:Medical records of cats and dogs treated with IHD for AKI from January 1997 to October 2010 were reviewed. Standard methods of survival analysis with Kaplan-Meier product limit curves were used. The log-rank, Mann-Whitney, and Kruskal-Wallis tests were used to determine whether outcome, number of IHD treatments, or duration of hospitalization was different when dogs and cats were classified according to specific variables.</w:t>
      </w:r>
    </w:p>
    <w:p/>
    <w:p>
      <w:pPr>
        <w:pStyle w:val="Normal"/>
      </w:pPr>
      <w:r>
        <w:rPr>
          <w:color w:val="323232"/>
        </w:rPr>
        <w:t xml:space="preserve">RESULTS:The overall survival rate at the time of hospital discharge was 50% (21/42) for cats and 53% (49/93) for dogs. The overall survival rate 30 days after hospital discharge was 48% (20/42) for cats and 42% (39/93) for dogs. The overall survival rate 365 days after hospital discharge was 38% (16/42) for cats and 33% (31/93) for dogs. For all-cause mortality, the median survival time was 7 days (95% confidence interval, 0 to 835 days) for cats and 9 days (95% confidence interval, 0 to 55 days) for dogs.</w:t>
      </w:r>
    </w:p>
    <w:p/>
    <w:p>
      <w:pPr>
        <w:pStyle w:val="Normal"/>
      </w:pPr>
      <w:r>
        <w:rPr>
          <w:color w:val="323232"/>
        </w:rPr>
        <w:t xml:space="preserve">CONCLUSIONS AND CLINICAL RELEVANCE:Cats and dogs with AKI treated with IHD have survival rates similar to those of human patients. Although there was a high mortality rate prior to hospital discharge, those patients that survived to discharge had a high probability of long-term survival.</w:t>
      </w:r>
    </w:p>
    <w:p/>
    <w:p>
      <w:pPr>
        <w:pStyle w:val="Normal"/>
      </w:pPr>
      <w:r>
        <w:rPr>
          <w:color w:val="323232"/>
        </w:rPr>
        <w:t xml:space="preserve">J Am Vet Med Assoc, 2012 vol. 241 (11) pp. 1471-1478.</w:t>
      </w:r>
    </w:p>
    <w:p>
      <w:r>
        <w:rPr>
          <w:rStyle w:val="Hyperlink"/>
        </w:rPr>
        <w:fldChar w:fldCharType="begin"/>
      </w:r>
      <w:r>
        <w:rPr>
          <w:rStyle w:val="Hyperlink"/>
        </w:rPr>
        <w:instrText xml:space="preserve"> HYPERLINK "http://dx.doi.org/10.2460/javma.241.11.1471" </w:instrText>
      </w:r>
      <w:r>
        <w:rPr>
          <w:rStyle w:val="Hyperlink"/>
        </w:rPr>
      </w:r>
      <w:r>
        <w:rPr>
          <w:rStyle w:val="Hyperlink"/>
        </w:rPr>
        <w:fldChar w:fldCharType="separate"/>
      </w:r>
      <w:pPr>
        <w:pStyle w:val="Normal"/>
      </w:pPr>
      <w:r>
        <w:rPr>
          <w:rStyle w:val="Hyperlink"/>
        </w:rPr>
        <w:t xml:space="preserve">http://dx.doi.org/10.2460/javma.241.11.1471</w:t>
      </w:r>
      <w:r>
        <w:rPr>
          <w:rStyle w:val="Hyperlink"/>
        </w:rPr>
        <w:fldChar w:fldCharType="end"/>
      </w:r>
    </w:p>
    <w:p>
      <w:pPr>
        <w:pStyle w:val="Normal"/>
      </w:pPr>
      <w:r>
        <w:rPr>
          <w:color w:val="323232"/>
        </w:rPr>
        <w:t xml:space="preserve">————————</w:t>
      </w:r>
    </w:p>
    <w:p>
      <w:pPr>
        <w:pStyle w:val="Heading4"/>
      </w:pPr>
      <w:r>
        <w:t xml:space="preserve">Presence of thoracic and lumbar vertebral malformations in pugs with and without chronic neurological deficits.</w:t>
      </w:r>
    </w:p>
    <w:p/>
    <w:p>
      <w:pPr>
        <w:pStyle w:val="Normal"/>
      </w:pPr>
      <w:r>
        <w:rPr>
          <w:color w:val="323232"/>
        </w:rPr>
        <w:t xml:space="preserve">C Rohdin, J Häggström, I Ljungvall, H Nyman Lee, S De Decker, S Bertram, K Lindblad-Toh, and K Hultin Jäderlund.</w:t>
      </w:r>
    </w:p>
    <w:p/>
    <w:p>
      <w:pPr>
        <w:pStyle w:val="Normal"/>
      </w:pPr>
      <w:r>
        <w:rPr>
          <w:color w:val="323232"/>
        </w:rPr>
        <w:t xml:space="preserve">Congenital vertebral malformations (CVMs) are common in brachycephalic dogs such as the pug, and are often considered incidental findings. However, specific CVMs have been suggested to be associated with neurological deficits in pugs. The objective of this study was to investigate the clinical importance of CVMs in the pug by comparing computed tomography studies of the thoracolumbar spine from pugs without neurological deficits with those from pugs with a confirmed T3-L3 spinal cord lesion and neurological deficits consistent with a chronic T3-L3 myelopathy. A total of 57 pugs were recruited into the study from Sweden (n=33), United Kingdom (n=21) and Norway (n=3); 30 with neurological deficits and 27 without. Focal T3-L3 pathology was confirmed in all pugs with neurological deficits by magnetic resonance imaging (n=29) and/or pathology (n=15). Computed tomography studies of the thoracolumbar spine from pugs with and without neurological deficits were compared to investigate possible associations between presentation of neurological deficits consistent with chronic T3-L3 pathology and signalment variables, presence of CVMs and type of CVMs. Congenital vertebral malformations were as common in pugs with, as in pugs without, neurological deficits. Regardless of neurological status, the majority of pugs (96%) presented with one or more CVM. An association between presence, or type of CVM in the T1-L3 vertebral column, and neurological deficits consistent with T3-L3 pathology could not be confirmed.</w:t>
      </w:r>
    </w:p>
    <w:p/>
    <w:p>
      <w:pPr>
        <w:pStyle w:val="Normal"/>
      </w:pPr>
      <w:r>
        <w:rPr>
          <w:color w:val="323232"/>
        </w:rPr>
        <w:t xml:space="preserve">Vet J, 2018 vol. 241 pp. 24-30.</w:t>
      </w:r>
    </w:p>
    <w:p>
      <w:r>
        <w:rPr>
          <w:rStyle w:val="Hyperlink"/>
        </w:rPr>
        <w:fldChar w:fldCharType="begin"/>
      </w:r>
      <w:r>
        <w:rPr>
          <w:rStyle w:val="Hyperlink"/>
        </w:rPr>
        <w:instrText xml:space="preserve"> HYPERLINK "http://eutils.ncbi.nlm.nih.gov/entrez/eutils/elink.fcgi?dbfrom=pubmed&amp;id=30340656&amp;retmode=ref&amp;cmd=prlinks"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http://eutils.ncbi.nlm.nih.gov/entrez/eutils/elink.fcgi?dbfrom=pubmed&amp;id=30340656&amp;retmode=ref&amp;cmd=prlinks</w:t>
      </w:r>
      <w:r>
        <w:rPr>
          <w:rStyle w:val="Hyperlink"/>
        </w:rPr>
        <w:fldChar w:fldCharType="end"/>
      </w:r>
    </w:p>
    <w:p>
      <w:pPr>
        <w:pStyle w:val="Normal"/>
      </w:pPr>
      <w:r>
        <w:rPr>
          <w:color w:val="323232"/>
        </w:rPr>
        <w:t xml:space="preserve">————————</w:t>
      </w:r>
    </w:p>
    <w:p>
      <w:pPr>
        <w:pStyle w:val="Heading4"/>
      </w:pPr>
      <w:r>
        <w:t xml:space="preserve">Regional anesthetic techniques for the thoracic limb and thorax in small animals: A review of the literature and technique description.</w:t>
      </w:r>
    </w:p>
    <w:p/>
    <w:p>
      <w:pPr>
        <w:pStyle w:val="Normal"/>
      </w:pPr>
      <w:r>
        <w:rPr>
          <w:color w:val="323232"/>
        </w:rPr>
        <w:t xml:space="preserve">D A Portela, N Verdier, and P E Otero.</w:t>
      </w:r>
    </w:p>
    <w:p/>
    <w:p>
      <w:pPr>
        <w:pStyle w:val="Normal"/>
      </w:pPr>
      <w:r>
        <w:rPr>
          <w:color w:val="323232"/>
        </w:rPr>
        <w:t xml:space="preserve">Veterinary regional anesthesia (RA) has been rapidly increasing in popularity over the last 10 years, as evidenced by the increasing amount of literature available and the continuous development of new techniques in small animals. The introduction of new technologies such as nerve stimulation and ultrasound (which increased the objectivity and precision of the procedure) and the promising beneficial perioperative effects conferred by RA are encouraging clinicians to incorporate these techniques in their daily perioperative anesthetic and analgesic animal care. However, there is a lack of consensus regarding outcomes when RA is used, as well as outcome comparisons between regional anesthetic techniques. Further large-scale clinical studies are still necessary. This article is the first part of a two-part review of RA in small animals, and its aim is to discuss the most relevant studies in the veterinary literature, where objective methods of nerve location have been used, and to illustrate in pictures the currently used techniques for providing RA to the thoracic limb and the thorax in small animals.</w:t>
      </w:r>
    </w:p>
    <w:p/>
    <w:p>
      <w:pPr>
        <w:pStyle w:val="Normal"/>
      </w:pPr>
      <w:r>
        <w:rPr>
          <w:color w:val="323232"/>
        </w:rPr>
        <w:t xml:space="preserve">Vet J, 2018 vol. 241 pp. 8-19.</w:t>
      </w:r>
    </w:p>
    <w:p>
      <w:r>
        <w:rPr>
          <w:rStyle w:val="Hyperlink"/>
        </w:rPr>
        <w:fldChar w:fldCharType="begin"/>
      </w:r>
      <w:r>
        <w:rPr>
          <w:rStyle w:val="Hyperlink"/>
        </w:rPr>
        <w:instrText xml:space="preserve"> HYPERLINK "http://eutils.ncbi.nlm.nih.gov/entrez/eutils/elink.fcgi?dbfrom=pubmed&amp;id=30340661&amp;retmode=ref&amp;cmd=prlinks"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http://eutils.ncbi.nlm.nih.gov/entrez/eutils/elink.fcgi?dbfrom=pubmed&amp;id=30340661&amp;retmode=ref&amp;cmd=prlinks</w:t>
      </w:r>
      <w:r>
        <w:rPr>
          <w:rStyle w:val="Hyperlink"/>
        </w:rPr>
        <w:fldChar w:fldCharType="end"/>
      </w:r>
    </w:p>
    <w:p>
      <w:pPr>
        <w:pStyle w:val="Normal"/>
      </w:pPr>
      <w:r>
        <w:rPr>
          <w:color w:val="323232"/>
        </w:rPr>
        <w:t xml:space="preserve">————————</w:t>
      </w:r>
    </w:p>
    <w:p>
      <w:pPr>
        <w:pStyle w:val="Heading4"/>
      </w:pPr>
      <w:r>
        <w:t xml:space="preserve">Treating canine Cushing's syndrome: Current options and future prospects.</w:t>
      </w:r>
    </w:p>
    <w:p/>
    <w:p>
      <w:pPr>
        <w:pStyle w:val="Normal"/>
      </w:pPr>
      <w:r>
        <w:rPr>
          <w:color w:val="323232"/>
        </w:rPr>
        <w:t xml:space="preserve">K Sanders, H S Kooistra, and S Galac.</w:t>
      </w:r>
    </w:p>
    <w:p/>
    <w:p>
      <w:pPr>
        <w:pStyle w:val="Normal"/>
      </w:pPr>
      <w:r>
        <w:rPr>
          <w:color w:val="323232"/>
        </w:rPr>
        <w:t xml:space="preserve">Naturally occurring hypercortisolism, also known as Cushing's syndrome, is a common endocrine disorder in dogs that can be caused by an adenocorticotrophic hormone (ACTH)-producing pituitary adenoma (pituitary-dependent hypercortisolism, PDH; 80-85% of cases), or by an adrenocortical tumor (ACT; 15-20% of cases). To determine the optimal treatment strategy, differentiating between these two main causes is essential. Good treatment options are surgical removal of the causal tumor, i.e. hypophysectomy for PDH and adrenalectomy for an ACT, or radiotherapy in cases with PDH. Because these options are not without risks, not widely available and not suitable for every patient, pharmacotherapy is often used. In cases with PDH, the steroidogenesis inhibitor trilostane is most often used. In cases with an ACT, either trilostane or the adrenocorticolytic drug mitotane can be used. Although mostly effective, both treatments have disadvantages. This review discusses the current treatment options for canine hypercortisolism, and considers their mechanism of action, efficacy, adverse effects, and effect on survival. In addition, developments in both adrenal-targeting and pituitary-targeting drugs that have the potential to become future treatment options are discussed, as a more selective and preferably also tumor-targeted approach could have many advantages for both PDH and ACTs.</w:t>
      </w:r>
    </w:p>
    <w:p/>
    <w:p>
      <w:pPr>
        <w:pStyle w:val="Normal"/>
      </w:pPr>
      <w:r>
        <w:rPr>
          <w:color w:val="323232"/>
        </w:rPr>
        <w:t xml:space="preserve">Vet J, 2018 vol. 241 pp. 42-51.</w:t>
      </w:r>
    </w:p>
    <w:p>
      <w:r>
        <w:rPr>
          <w:rStyle w:val="Hyperlink"/>
        </w:rPr>
        <w:fldChar w:fldCharType="begin"/>
      </w:r>
      <w:r>
        <w:rPr>
          <w:rStyle w:val="Hyperlink"/>
        </w:rPr>
        <w:instrText xml:space="preserve"> HYPERLINK "http://eutils.ncbi.nlm.nih.gov/entrez/eutils/elink.fcgi?dbfrom=pubmed&amp;id=30340659&amp;retmode=ref&amp;cmd=prlinks"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http://eutils.ncbi.nlm.nih.gov/entrez/eutils/elink.fcgi?dbfrom=pubmed&amp;id=30340659&amp;retmode=ref&amp;cmd=prlinks</w:t>
      </w:r>
      <w:r>
        <w:rPr>
          <w:rStyle w:val="Hyperlink"/>
        </w:rPr>
        <w:fldChar w:fldCharType="end"/>
      </w:r>
    </w:p>
    <w:p>
      <w:pPr>
        <w:pStyle w:val="Normal"/>
      </w:pPr>
      <w:r>
        <w:rPr>
          <w:color w:val="323232"/>
        </w:rPr>
        <w:t xml:space="preserve">————————</w:t>
      </w:r>
    </w:p>
    <w:p>
      <w:pPr>
        <w:pStyle w:val="Heading4"/>
      </w:pPr>
      <w:r>
        <w:t xml:space="preserve">Anticoagulant rodenticide screening in dogs: 123 cases (1996-2003).</w:t>
      </w:r>
    </w:p>
    <w:p/>
    <w:p>
      <w:pPr>
        <w:pStyle w:val="Normal"/>
      </w:pPr>
      <w:r>
        <w:rPr>
          <w:color w:val="323232"/>
        </w:rPr>
        <w:t xml:space="preserve">Lori S Waddell, Robert H Poppenga, and Kenneth J Drobatz.</w:t>
      </w:r>
    </w:p>
    <w:p/>
    <w:p>
      <w:pPr>
        <w:pStyle w:val="Normal"/>
      </w:pPr>
      <w:r>
        <w:rPr>
          <w:color w:val="323232"/>
        </w:rPr>
        <w:t xml:space="preserve">OBJECTIVE:To identify dogs with anticoagulant rodenticide (AR) screens submitted, determine whether detected concentrations of the anticoagulants correlated with severity of clinical signs for dogs with positive results on AR screens, and identify the most common disease processes present and the prognosis for those with negative AR screens.</w:t>
      </w:r>
    </w:p>
    <w:p/>
    <w:p>
      <w:pPr>
        <w:pStyle w:val="Normal"/>
      </w:pPr>
      <w:r>
        <w:rPr>
          <w:color w:val="323232"/>
        </w:rPr>
        <w:t xml:space="preserve">DESIGN:Retrospective case series.</w:t>
      </w:r>
    </w:p>
    <w:p/>
    <w:p>
      <w:pPr>
        <w:pStyle w:val="Normal"/>
      </w:pPr>
      <w:r>
        <w:rPr>
          <w:color w:val="323232"/>
        </w:rPr>
        <w:t xml:space="preserve">ANIMALS:123 dogs.</w:t>
      </w:r>
    </w:p>
    <w:p/>
    <w:p>
      <w:pPr>
        <w:pStyle w:val="Normal"/>
      </w:pPr>
      <w:r>
        <w:rPr>
          <w:color w:val="323232"/>
        </w:rPr>
        <w:t xml:space="preserve">PROCEDURES:History, signalment, clinical signs, physical examination findings, PCV, total solids concentration, prothrombin time, activated partial thromboplastin time, platelet count, AR concentrations, duration of hospitalization, blood products administered, final diagnosis, and outcome were recorded from medical records of dogs that underwent AR toxicology screenings.</w:t>
      </w:r>
    </w:p>
    <w:p/>
    <w:p>
      <w:pPr>
        <w:pStyle w:val="Normal"/>
      </w:pPr>
      <w:r>
        <w:rPr>
          <w:color w:val="323232"/>
        </w:rPr>
        <w:t xml:space="preserve">RESULTS:75 of 123 (60.9%) dogs tested positive for AR. Dogs tested positive for brodifacoum, diphacinone (also called diphenadione), and chlorophacinone. Dogs with positive AR screenings weighed significantly less, received significantly more fresh frozen plasma, had significantly longer initial prothrombin time, and were significantly more likely to survive, compared with those with negative screens. Anticoagulant rodenticide concentrations ranged from trace amounts to 1,120 parts per billion and were not correlated with any recorded parameter. The most common conditions diagnosed in the 48 dogs with negative screens included neoplasia in 15 (31.3%), immune-mediated disease in 7 (14.6%), and gastrointestinal bleeding in 5 (10.4%) dogs.</w:t>
      </w:r>
    </w:p>
    <w:p/>
    <w:p>
      <w:pPr>
        <w:pStyle w:val="Normal"/>
      </w:pPr>
      <w:r>
        <w:rPr>
          <w:color w:val="323232"/>
        </w:rPr>
        <w:t xml:space="preserve">CONCLUSIONS AND CLINICAL RELEVANCE:AR concentrations were not correlated with severity of clinical signs or the degree of prolongation of coagulation times in this series of patients. Patients with severe coagulopathies but negative results of AR screening had a poor prognosis, with neoplasia as the most common diagnosis. Anticoagulant rodenticide intoxication had the best prognosis, with a survival rate of 98.7% in this study.</w:t>
      </w:r>
    </w:p>
    <w:p/>
    <w:p>
      <w:pPr>
        <w:pStyle w:val="Normal"/>
      </w:pPr>
      <w:r>
        <w:rPr>
          <w:color w:val="323232"/>
        </w:rPr>
        <w:t xml:space="preserve">J Am Vet Med Assoc, 2013 vol. 242 (4) pp. 516-521.</w:t>
      </w:r>
    </w:p>
    <w:p>
      <w:r>
        <w:rPr>
          <w:rStyle w:val="Hyperlink"/>
        </w:rPr>
        <w:fldChar w:fldCharType="begin"/>
      </w:r>
      <w:r>
        <w:rPr>
          <w:rStyle w:val="Hyperlink"/>
        </w:rPr>
        <w:instrText xml:space="preserve"> HYPERLINK "http://dx.doi.org/10.2460/javma.242.4.516" </w:instrText>
      </w:r>
      <w:r>
        <w:rPr>
          <w:rStyle w:val="Hyperlink"/>
        </w:rPr>
      </w:r>
      <w:r>
        <w:rPr>
          <w:rStyle w:val="Hyperlink"/>
        </w:rPr>
        <w:fldChar w:fldCharType="separate"/>
      </w:r>
      <w:pPr>
        <w:pStyle w:val="Normal"/>
      </w:pPr>
      <w:r>
        <w:rPr>
          <w:rStyle w:val="Hyperlink"/>
        </w:rPr>
        <w:t xml:space="preserve">http://dx.doi.org/10.2460/javma.242.4.516</w:t>
      </w:r>
      <w:r>
        <w:rPr>
          <w:rStyle w:val="Hyperlink"/>
        </w:rPr>
        <w:fldChar w:fldCharType="end"/>
      </w:r>
    </w:p>
    <w:p>
      <w:pPr>
        <w:pStyle w:val="Normal"/>
      </w:pPr>
      <w:r>
        <w:rPr>
          <w:color w:val="323232"/>
        </w:rPr>
        <w:t xml:space="preserve">————————</w:t>
      </w:r>
    </w:p>
    <w:p>
      <w:pPr>
        <w:pStyle w:val="Heading4"/>
      </w:pPr>
      <w:r>
        <w:t xml:space="preserve">Assessment of acute kidney injury in canine parvovirus infection: Comparison of kidney injury biomarkers with routine renal functional parameters.</w:t>
      </w:r>
    </w:p>
    <w:p/>
    <w:p>
      <w:pPr>
        <w:pStyle w:val="Normal"/>
      </w:pPr>
      <w:r>
        <w:rPr>
          <w:color w:val="323232"/>
        </w:rPr>
        <w:t xml:space="preserve">M F van den Berg, J P Schoeman, P Defauw, Z Whitehead, A Breemersch, K Goethals, S Daminet, and E Meyer.</w:t>
      </w:r>
    </w:p>
    <w:p/>
    <w:p>
      <w:pPr>
        <w:pStyle w:val="Normal"/>
      </w:pPr>
      <w:r>
        <w:rPr>
          <w:color w:val="323232"/>
        </w:rPr>
        <w:t xml:space="preserve">Dogs with naturally occurring canine parvovirus (CPV) infection are at risk of developing acute kidney injury (AKI) due to several factors, including severe dehydration, hypotension and sepsis. Serum creatinine (sCr) and serum urea are insensitive markers for the assessment of early kidney injury. Therefore, the aim of this study was to investigate potential kidney injury in dogs with CPV infection using both routine renal functional parameters and several kidney injury biomarkers. Twenty-two dogs with CPV infection were prospectively enrolled and compared with eight clinically healthy control dogs. Urinary immunoglobulin G (uIgG) and C-reactive protein (uCRP) were measured to document glomerular injury, whereas urinary retinol-binding protein (uRBP) and neutrophil gelatinase-associated lipocalin (uNGAL) served as markers for tubular injury. These biomarkers were compared to routine renal functional parameters, including sCr, serum urea, urinary protein:creatinine ratio (UPC) and urine specific gravity (USG). Dogs with CPV infection had significantly higher concentrations of uIgG, uCRP, uRBP and uNGAL compared to healthy dogs. In contrast, sCr was significantly lower in dogs with CPV infection compared to controls, while serum urea was not significantly different. UPC and USG were both significantly higher in CPV-infected dogs. This study demonstrated that dogs with CPV infection had evidence of AKI, which remained undetected by the routine functional markers sCr and serum urea, but was revealed by UPC, uIgG, uCRP, uRBP and uNGAL. These results emphasize the added value of novel urinary kidney injury biomarkers to detect canine patients at risk of developing AKI.</w:t>
      </w:r>
    </w:p>
    <w:p/>
    <w:p>
      <w:pPr>
        <w:pStyle w:val="Normal"/>
      </w:pPr>
      <w:r>
        <w:rPr>
          <w:color w:val="323232"/>
        </w:rPr>
        <w:t xml:space="preserve">Vet J, 2018 vol. 242 pp. 8-14.</w:t>
      </w:r>
    </w:p>
    <w:p>
      <w:r>
        <w:rPr>
          <w:rStyle w:val="Hyperlink"/>
        </w:rPr>
        <w:fldChar w:fldCharType="begin"/>
      </w:r>
      <w:r>
        <w:rPr>
          <w:rStyle w:val="Hyperlink"/>
        </w:rPr>
        <w:instrText xml:space="preserve"> HYPERLINK "http://eutils.ncbi.nlm.nih.gov/entrez/eutils/elink.fcgi?dbfrom=pubmed&amp;id=30503549&amp;retmode=ref&amp;cmd=prlinks"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http://eutils.ncbi.nlm.nih.gov/entrez/eutils/elink.fcgi?dbfrom=pubmed&amp;id=30503549&amp;retmode=ref&amp;cmd=prlinks</w:t>
      </w:r>
      <w:r>
        <w:rPr>
          <w:rStyle w:val="Hyperlink"/>
        </w:rPr>
        <w:fldChar w:fldCharType="end"/>
      </w:r>
    </w:p>
    <w:p>
      <w:pPr>
        <w:pStyle w:val="Normal"/>
      </w:pPr>
      <w:r>
        <w:rPr>
          <w:color w:val="323232"/>
        </w:rPr>
        <w:t xml:space="preserve">————————</w:t>
      </w:r>
    </w:p>
    <w:p>
      <w:pPr>
        <w:pStyle w:val="Heading4"/>
      </w:pPr>
      <w:r>
        <w:t xml:space="preserve">Characteristics of hyperfibrinolysis in dogs and cats demonstrated by rotational thromboelastometry (ROTEM).</w:t>
      </w:r>
    </w:p>
    <w:p/>
    <w:p>
      <w:pPr>
        <w:pStyle w:val="Normal"/>
      </w:pPr>
      <w:r>
        <w:rPr>
          <w:color w:val="323232"/>
        </w:rPr>
        <w:t xml:space="preserve">N E Sigrist, R J Jud Schefer, and A P N Kutter.</w:t>
      </w:r>
    </w:p>
    <w:p/>
    <w:p>
      <w:pPr>
        <w:pStyle w:val="Normal"/>
      </w:pPr>
      <w:r>
        <w:rPr>
          <w:color w:val="323232"/>
        </w:rPr>
        <w:t xml:space="preserve">Hyperfibrinolysis (HFL) is a pathophysiological mechanism that has not been described in dogs or cats extensively. The aim of this study was to describe rotational thromboelastometry (ROTEM) parameters and underlying diagnosis in dogs and cats with HFL and evaluate association with bleeding diathesis. The ROTEM database was retrospectively searched for EXTEM (ROTEM activated with proprietary tissue factor) tracings with maximum lysis at 60min ≥15%. Concurrent ROTEM and plasma coagulation tests, thrombocyte number, diagnosis and survival to hospital discharge were extracted from medical records. Analysis of differences between dogs and cats and of factors associated with bleeding, fulminant HFL (clot breakdown within 30min) and survival to hospital discharge were performed. Hyperfibrinolysis was detected in eight cats presenting with haemoabdomen or haemothorax (n=4/8, 50%) and trauma (n=3/8, 38%) and in 36 dogs with angiostrongylosis (n=12, 33%), neoplasia (n=7, 19%), liver disease (n=4, 11%) and others including apparently healthy dogs (n=3, 8%). Hyperfibrinolysis was associated with prolonged EXTEM and APTEM (EXTEM with added apoprotein for inhibition of HFL) clotting time and decreased FIBTEM (EXTEM with added cytochalasin D for inhibition of thrombocytes) maximum clot firmness (MCF) in dogs and cats and with decreased EXTEM MCF in dogs. Bleeding dogs had significantly hypocoagulable EXTEM tracings. Fulminant HFL was associated with severe hypofibrinogenaemia in dogs (P=0.005) and was not associated with survival to hospital discharge. Evidence of HFL was demonstrated in dogs and cats with bleeding, trauma, parasitic and neoplastic disease. HFL is associated with late and weak clot formation.</w:t>
      </w:r>
    </w:p>
    <w:p/>
    <w:p>
      <w:pPr>
        <w:pStyle w:val="Normal"/>
      </w:pPr>
      <w:r>
        <w:rPr>
          <w:color w:val="323232"/>
        </w:rPr>
        <w:t xml:space="preserve">Vet J, 2018 vol. 242 pp. 67-73.</w:t>
      </w:r>
    </w:p>
    <w:p>
      <w:r>
        <w:rPr>
          <w:rStyle w:val="Hyperlink"/>
        </w:rPr>
        <w:fldChar w:fldCharType="begin"/>
      </w:r>
      <w:r>
        <w:rPr>
          <w:rStyle w:val="Hyperlink"/>
        </w:rPr>
        <w:instrText xml:space="preserve"> HYPERLINK "http://eutils.ncbi.nlm.nih.gov/entrez/eutils/elink.fcgi?dbfrom=pubmed&amp;id=30503547&amp;retmode=ref&amp;cmd=prlinks"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http://eutils.ncbi.nlm.nih.gov/entrez/eutils/elink.fcgi?dbfrom=pubmed&amp;id=30503547&amp;retmode=ref&amp;cmd=prlinks</w:t>
      </w:r>
      <w:r>
        <w:rPr>
          <w:rStyle w:val="Hyperlink"/>
        </w:rPr>
        <w:fldChar w:fldCharType="end"/>
      </w:r>
    </w:p>
    <w:p>
      <w:pPr>
        <w:pStyle w:val="Normal"/>
      </w:pPr>
      <w:r>
        <w:rPr>
          <w:color w:val="323232"/>
        </w:rPr>
        <w:t xml:space="preserve">————————</w:t>
      </w:r>
    </w:p>
    <w:p>
      <w:pPr>
        <w:pStyle w:val="Heading4"/>
      </w:pPr>
      <w:r>
        <w:t xml:space="preserve">Effect of storage on long-term stability of salivary α-amylase, lysozyme, lactate dehydrogenase, calcium and phosphorus in dogs.</w:t>
      </w:r>
    </w:p>
    <w:p/>
    <w:p>
      <w:pPr>
        <w:pStyle w:val="Normal"/>
      </w:pPr>
      <w:r>
        <w:rPr>
          <w:color w:val="323232"/>
        </w:rPr>
        <w:t xml:space="preserve">R Ricci, A Perazzi, T Badon, S Bedin, and I Iacopetti.</w:t>
      </w:r>
    </w:p>
    <w:p/>
    <w:p>
      <w:pPr>
        <w:pStyle w:val="Normal"/>
      </w:pPr>
      <w:r>
        <w:rPr>
          <w:color w:val="323232"/>
        </w:rPr>
        <w:t xml:space="preserve">Research or diagnostic conditions may require the storage of salivary samples for long periods before analysis is processed. The aim of this study was to evaluate the stability of canine salivary α-amylase, lysozyme, lactate dehydrogenase (LDH), and total calcium and phosphorus after storage for 1, 3 and 6 months at -20°C. Available saliva samples were 75 immediately after collection (T0) and 46 at 1 month (T1), 31 at 3 months (T3) and 18 at 6 months (T6) of storage, according to the number of aliquots collected from each saliva sample. Compared to T0, LDH declined by 92.3% after 1 month of storage (P&lt;0.001), whereas lysozyme concentration significantly decreased as storage time increased (-29.3%, -43.4% and -59.1% at T1, T3, and T6 respectively, P&lt;0.001). Amylase maintained basically the same concentration for the entire experimental period, whereas total calcium and phosphorus concentration decreased over time (calcium, P&lt;0.001). Assessing the long-term stability of canine salivary analytes stored at -20°C may have important implications in diagnosis and research.</w:t>
      </w:r>
    </w:p>
    <w:p/>
    <w:p>
      <w:pPr>
        <w:pStyle w:val="Normal"/>
      </w:pPr>
      <w:r>
        <w:rPr>
          <w:color w:val="323232"/>
        </w:rPr>
        <w:t xml:space="preserve">Vet J, 2018 vol. 242 pp. 44-47.</w:t>
      </w:r>
    </w:p>
    <w:p>
      <w:r>
        <w:rPr>
          <w:rStyle w:val="Hyperlink"/>
        </w:rPr>
        <w:fldChar w:fldCharType="begin"/>
      </w:r>
      <w:r>
        <w:rPr>
          <w:rStyle w:val="Hyperlink"/>
        </w:rPr>
        <w:instrText xml:space="preserve"> HYPERLINK "http://eutils.ncbi.nlm.nih.gov/entrez/eutils/elink.fcgi?dbfrom=pubmed&amp;id=30503543&amp;retmode=ref&amp;cmd=prlinks"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http://eutils.ncbi.nlm.nih.gov/entrez/eutils/elink.fcgi?dbfrom=pubmed&amp;id=30503543&amp;retmode=ref&amp;cmd=prlinks</w:t>
      </w:r>
      <w:r>
        <w:rPr>
          <w:rStyle w:val="Hyperlink"/>
        </w:rPr>
        <w:fldChar w:fldCharType="end"/>
      </w:r>
    </w:p>
    <w:p>
      <w:pPr>
        <w:pStyle w:val="Normal"/>
      </w:pPr>
      <w:r>
        <w:rPr>
          <w:color w:val="323232"/>
        </w:rPr>
        <w:t xml:space="preserve">————————</w:t>
      </w:r>
    </w:p>
    <w:p>
      <w:pPr>
        <w:pStyle w:val="Heading4"/>
      </w:pPr>
      <w:r>
        <w:t xml:space="preserve">Effects of dexmedetomidine and MK-467 on plasma glucose, insulin and glucagon in a glibenclamide-induced canine hypoglycaemia model.</w:t>
      </w:r>
    </w:p>
    <w:p/>
    <w:p>
      <w:pPr>
        <w:pStyle w:val="Normal"/>
      </w:pPr>
      <w:r>
        <w:rPr>
          <w:color w:val="323232"/>
        </w:rPr>
        <w:t xml:space="preserve">I J Kallio-Kujala, R C Bennett, M R Raekallio, E Yatkin, A Meierjohann, E Savontaus, M Scheinin, T Spillmann, and O M Vainio.</w:t>
      </w:r>
    </w:p>
    <w:p/>
    <w:p>
      <w:pPr>
        <w:pStyle w:val="Normal"/>
      </w:pPr>
      <w:r>
        <w:rPr>
          <w:color w:val="323232"/>
        </w:rPr>
        <w:t xml:space="preserve">The commonly used sedative α2-adrenoceptor agonist dexmedetomidine has adverse cardiovascular effects in dogs that can be prevented by concomitant administration of the peripherally acting α2-adrenoceptor antagonist MK-467. An ancillary effect of dexmedetomidine is to decrease insulin release from the pancreas, whereas MK-467 stimulates insulin release. This study assessed the effects of co-administered dexmedetomidine and MK-467 in a canine glibenclamide-induced hypoglycaemia model. In a randomised, cross-over experiment, eight beagle dogs received five intravenous treatments, comprising two administrations of saline, with dexmedetomidine or dexmedetomidine and MK-467, and three administrations of glibenclamide, with saline, dexmedetomidine or dexmedetomidine and MK-467. Plasma concentrations of glucose, lactate, insulin, glucagon and the test drugs were monitored. Administration of glibenclamide significantly increased insulin secretion and decreased blood glucose concentrations. Dexmedetomidine counteracted glibenclamide-evoked hypoglycaemia. This was opposed by the α2-adrenoceptor antagonist MK-467, but the glibenclamide-evoked hypoglycaemia was not potentiated by co-administration of dexmedetomidine and MK-467. None of the dogs developed uncontrolled hypoglycaemia. Thus, the combination of dexmedetomidine and MK-467 appeared to be safe in this canine hypoglycaemia model. Nevertheless, when MK-467 is used to alleviate the undesired cardiovascular effects of α2-adrenoceptor agonists in dogs, it should be used with caution in animals at risk for hypoglycaemia because of its insulin-releasing and hypoglycaemic effects.</w:t>
      </w:r>
    </w:p>
    <w:p/>
    <w:p>
      <w:pPr>
        <w:pStyle w:val="Normal"/>
      </w:pPr>
      <w:r>
        <w:rPr>
          <w:color w:val="323232"/>
        </w:rPr>
        <w:t xml:space="preserve">Vet J, 2018 vol. 242 pp. 33-38.</w:t>
      </w:r>
    </w:p>
    <w:p>
      <w:r>
        <w:rPr>
          <w:rStyle w:val="Hyperlink"/>
        </w:rPr>
        <w:fldChar w:fldCharType="begin"/>
      </w:r>
      <w:r>
        <w:rPr>
          <w:rStyle w:val="Hyperlink"/>
        </w:rPr>
        <w:instrText xml:space="preserve"> HYPERLINK "http://eutils.ncbi.nlm.nih.gov/entrez/eutils/elink.fcgi?dbfrom=pubmed&amp;id=30503541&amp;retmode=ref&amp;cmd=prlinks"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http://eutils.ncbi.nlm.nih.gov/entrez/eutils/elink.fcgi?dbfrom=pubmed&amp;id=30503541&amp;retmode=ref&amp;cmd=prlinks</w:t>
      </w:r>
      <w:r>
        <w:rPr>
          <w:rStyle w:val="Hyperlink"/>
        </w:rPr>
        <w:fldChar w:fldCharType="end"/>
      </w:r>
    </w:p>
    <w:p>
      <w:pPr>
        <w:pStyle w:val="Normal"/>
      </w:pPr>
      <w:r>
        <w:rPr>
          <w:color w:val="323232"/>
        </w:rPr>
        <w:t xml:space="preserve">————————</w:t>
      </w:r>
    </w:p>
    <w:p>
      <w:pPr>
        <w:pStyle w:val="Heading4"/>
      </w:pPr>
      <w:r>
        <w:t xml:space="preserve">Epidural anesthesia and analgesia in small animal practice: An update.</w:t>
      </w:r>
    </w:p>
    <w:p/>
    <w:p>
      <w:pPr>
        <w:pStyle w:val="Normal"/>
      </w:pPr>
      <w:r>
        <w:rPr>
          <w:color w:val="323232"/>
        </w:rPr>
        <w:t xml:space="preserve">F Garcia-Pereira.</w:t>
      </w:r>
    </w:p>
    <w:p/>
    <w:p>
      <w:pPr>
        <w:pStyle w:val="Normal"/>
      </w:pPr>
      <w:r>
        <w:rPr>
          <w:color w:val="323232"/>
        </w:rPr>
        <w:t xml:space="preserve">Epidural anesthesia is a commonly performed technique in both human and veterinary medicine. The technique is relatively simple following appropriate training and provides anesthesia and analgesia for acute and chronic pain. Several drug combinations have been administered by this route with variable success and duration. Multiple techniques to guide or confirm correct epidural needle placement are discussed in this article, as well as anatomical features of the epidural space, effect of drug volume and concentration, and adverse effects of the technique in small animal practice. This article is not an exhaustive review of the literature, but an update of some new findings over the last decade.</w:t>
      </w:r>
    </w:p>
    <w:p/>
    <w:p>
      <w:pPr>
        <w:pStyle w:val="Normal"/>
      </w:pPr>
      <w:r>
        <w:rPr>
          <w:color w:val="323232"/>
        </w:rPr>
        <w:t xml:space="preserve">Vet J, 2018 vol. 242 pp. 24-32.</w:t>
      </w:r>
    </w:p>
    <w:p>
      <w:r>
        <w:rPr>
          <w:rStyle w:val="Hyperlink"/>
        </w:rPr>
        <w:fldChar w:fldCharType="begin"/>
      </w:r>
      <w:r>
        <w:rPr>
          <w:rStyle w:val="Hyperlink"/>
        </w:rPr>
        <w:instrText xml:space="preserve"> HYPERLINK "http://eutils.ncbi.nlm.nih.gov/entrez/eutils/elink.fcgi?dbfrom=pubmed&amp;id=30503540&amp;retmode=ref&amp;cmd=prlinks"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http://eutils.ncbi.nlm.nih.gov/entrez/eutils/elink.fcgi?dbfrom=pubmed&amp;id=30503540&amp;retmode=ref&amp;cmd=prlinks</w:t>
      </w:r>
      <w:r>
        <w:rPr>
          <w:rStyle w:val="Hyperlink"/>
        </w:rPr>
        <w:fldChar w:fldCharType="end"/>
      </w:r>
    </w:p>
    <w:p>
      <w:pPr>
        <w:pStyle w:val="Normal"/>
      </w:pPr>
      <w:r>
        <w:rPr>
          <w:color w:val="323232"/>
        </w:rPr>
        <w:t xml:space="preserve">————————</w:t>
      </w:r>
    </w:p>
    <w:p>
      <w:pPr>
        <w:pStyle w:val="Heading4"/>
      </w:pPr>
      <w:r>
        <w:t xml:space="preserve">Idiopathic pulmonary fibrosis in West Highland white terriers: An update.</w:t>
      </w:r>
    </w:p>
    <w:p/>
    <w:p>
      <w:pPr>
        <w:pStyle w:val="Normal"/>
      </w:pPr>
      <w:r>
        <w:rPr>
          <w:color w:val="323232"/>
        </w:rPr>
        <w:t xml:space="preserve">Cécile Clercx, Aline Fastrès, and Elodie Roels.</w:t>
      </w:r>
    </w:p>
    <w:p/>
    <w:p>
      <w:pPr>
        <w:pStyle w:val="Normal"/>
      </w:pPr>
      <w:r>
        <w:rPr>
          <w:color w:val="323232"/>
        </w:rPr>
        <w:t xml:space="preserve">Canine idiopathic pulmonary fibrosis (CIPF) affects middle-aged to older dogs of a single breed, mainly the West Highland white terrier (WHWT), which is suggestive of a genetic predisposition. CIPF causes exercise intolerance, restrictive dyspnoea and coughing. Coarse crackles are heard on thoracic auscultation. Abnormal blood gas parameters and a shortened '6-min-walking test' distance are common; secondarily induced pulmonary hypertension and/or airway collapse are frequent. These features of CIPF mimic those of idiopathic pulmonary fibrosis (IPF) in humans and therefore identify CIPF as a possible spontaneously arising model for study of human IPF. However, computed tomographic and histopathological findings of CIPF are not identical to those of human IPF. As in human IPF, the aetiology of CIPF is not yet fully elucidated. There are no curative treatments and the prognosis is poor. This paper reviews advances in understanding of the clinical description and natural history of CIPF, the investigation of biomarkers and the exploration of possible aetiologies and mechanistic hypotheses.</w:t>
      </w:r>
    </w:p>
    <w:p/>
    <w:p>
      <w:pPr>
        <w:pStyle w:val="Normal"/>
      </w:pPr>
      <w:r>
        <w:rPr>
          <w:color w:val="323232"/>
        </w:rPr>
        <w:t xml:space="preserve">Vet J, 2018 vol. 242 pp. 53-58.</w:t>
      </w:r>
    </w:p>
    <w:p>
      <w:r>
        <w:rPr>
          <w:rStyle w:val="Hyperlink"/>
        </w:rPr>
        <w:fldChar w:fldCharType="begin"/>
      </w:r>
      <w:r>
        <w:rPr>
          <w:rStyle w:val="Hyperlink"/>
        </w:rPr>
        <w:instrText xml:space="preserve"> HYPERLINK "http://eutils.ncbi.nlm.nih.gov/entrez/eutils/elink.fcgi?dbfrom=pubmed&amp;id=30503545&amp;retmode=ref&amp;cmd=prlinks"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http://eutils.ncbi.nlm.nih.gov/entrez/eutils/elink.fcgi?dbfrom=pubmed&amp;id=30503545&amp;retmode=ref&amp;cmd=prlinks</w:t>
      </w:r>
      <w:r>
        <w:rPr>
          <w:rStyle w:val="Hyperlink"/>
        </w:rPr>
        <w:fldChar w:fldCharType="end"/>
      </w:r>
    </w:p>
    <w:p>
      <w:pPr>
        <w:pStyle w:val="Normal"/>
      </w:pPr>
      <w:r>
        <w:rPr>
          <w:color w:val="323232"/>
        </w:rPr>
        <w:t xml:space="preserve">————————</w:t>
      </w:r>
    </w:p>
    <w:p>
      <w:pPr>
        <w:pStyle w:val="Heading4"/>
      </w:pPr>
      <w:r>
        <w:t xml:space="preserve">Preoperative factors associated with postoperative hypocalcemia in dogs with primary hyperparathyroidism that underwent parathyroidectomy: 62 cases (2004-2009).</w:t>
      </w:r>
    </w:p>
    <w:p/>
    <w:p>
      <w:pPr>
        <w:pStyle w:val="Normal"/>
      </w:pPr>
      <w:r>
        <w:rPr>
          <w:color w:val="323232"/>
        </w:rPr>
        <w:t xml:space="preserve">Milan Milovancev and Chad W Schmiedt.</w:t>
      </w:r>
    </w:p>
    <w:p/>
    <w:p>
      <w:pPr>
        <w:pStyle w:val="Normal"/>
      </w:pPr>
      <w:r>
        <w:rPr>
          <w:color w:val="323232"/>
        </w:rPr>
        <w:t xml:space="preserve">OBJECTIVE:To identify preoperative variables associated with postoperative hypocalcemia in dogs with primary hyperparathyroidism undergoing parathyroidectomy.</w:t>
      </w:r>
    </w:p>
    <w:p/>
    <w:p>
      <w:pPr>
        <w:pStyle w:val="Normal"/>
      </w:pPr>
      <w:r>
        <w:rPr>
          <w:color w:val="323232"/>
        </w:rPr>
        <w:t xml:space="preserve">DESIGN:Retrospective case series.</w:t>
      </w:r>
    </w:p>
    <w:p/>
    <w:p>
      <w:pPr>
        <w:pStyle w:val="Normal"/>
      </w:pPr>
      <w:r>
        <w:rPr>
          <w:color w:val="323232"/>
        </w:rPr>
        <w:t xml:space="preserve">ANIMALS:62 dogs.</w:t>
      </w:r>
    </w:p>
    <w:p/>
    <w:p>
      <w:pPr>
        <w:pStyle w:val="Normal"/>
      </w:pPr>
      <w:r>
        <w:rPr>
          <w:color w:val="323232"/>
        </w:rPr>
        <w:t xml:space="preserve">PROCEDURES:Medical records of dogs undergoing parathyroidectomy for treatment of primary hyperparathyroidism between January 2004 and January 2009 at 4 institutions were reviewed; data regarding various preoperative variables and postoperative serum total and ionized calcium concentrations were recorded. Preoperative ultrasonographic and surgical findings were compared regarding laterality (right, left, or bilateral) of parathyroid gland lesions. Data were analyzed via ANOVA, simple linear regression, and multiple linear regression to identify associations between preoperative variables and postoperative serum total and ionized calcium nadir concentrations.</w:t>
      </w:r>
    </w:p>
    <w:p/>
    <w:p>
      <w:pPr>
        <w:pStyle w:val="Normal"/>
      </w:pPr>
      <w:r>
        <w:rPr>
          <w:color w:val="323232"/>
        </w:rPr>
        <w:t xml:space="preserve">RESULTS:Preoperative variables significantly associated with low postoperative serum total calcium nadir concentrations included old age, history of weakness, lack of gastrointestinal tract signs, high serum parathyroid hormone concentration, and low serum calcium-phosphorus concentration product value. Preoperative variables significantly associated with low postoperative serum ionized calcium nadir concentrations included sexually intact status, low body weight, high serum urea nitrogen concentration, and lack of polyuria and polydipsia in the history. Age, body weight, serum calcium-phosphorus concentration product, and serum concentrations of parathyroid hormone and urea nitrogen were included in the final multiple linear regression model for prediction of postoperative serum calcium concentrations. Ultrasonography was performed in 58 dogs; results for 44 (75.9%) dogs agreed with surgical findings regarding laterality of parathyroid gland lesions.</w:t>
      </w:r>
    </w:p>
    <w:p/>
    <w:p>
      <w:pPr>
        <w:pStyle w:val="Normal"/>
      </w:pPr>
      <w:r>
        <w:rPr>
          <w:color w:val="323232"/>
        </w:rPr>
        <w:t xml:space="preserve">CONCLUSIONS AND CLINICAL RELEVANCE:Prediction of postoperative hypocalcemia in dogs in this study with primary hyperparathyroidism that underwent parathyroidectomy was difficult and depended on multiple (history, physical examination, and clinicopathologic) factors.</w:t>
      </w:r>
    </w:p>
    <w:p/>
    <w:p>
      <w:pPr>
        <w:pStyle w:val="Normal"/>
      </w:pPr>
      <w:r>
        <w:rPr>
          <w:color w:val="323232"/>
        </w:rPr>
        <w:t xml:space="preserve">J Am Vet Med Assoc, 2013 vol. 242 (4) pp. 507-515.</w:t>
      </w:r>
    </w:p>
    <w:p>
      <w:r>
        <w:rPr>
          <w:rStyle w:val="Hyperlink"/>
        </w:rPr>
        <w:fldChar w:fldCharType="begin"/>
      </w:r>
      <w:r>
        <w:rPr>
          <w:rStyle w:val="Hyperlink"/>
        </w:rPr>
        <w:instrText xml:space="preserve"> HYPERLINK "http://dx.doi.org/10.2460/javma.242.4.507" </w:instrText>
      </w:r>
      <w:r>
        <w:rPr>
          <w:rStyle w:val="Hyperlink"/>
        </w:rPr>
      </w:r>
      <w:r>
        <w:rPr>
          <w:rStyle w:val="Hyperlink"/>
        </w:rPr>
        <w:fldChar w:fldCharType="separate"/>
      </w:r>
      <w:pPr>
        <w:pStyle w:val="Normal"/>
      </w:pPr>
      <w:r>
        <w:rPr>
          <w:rStyle w:val="Hyperlink"/>
        </w:rPr>
        <w:t xml:space="preserve">http://dx.doi.org/10.2460/javma.242.4.507</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