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The Veterinary Journal 2017</w:t>
      </w:r>
    </w:p>
    <w:p>
      <w:pPr>
        <w:pStyle w:val="Heading2"/>
      </w:pPr>
      <w:r>
        <w:t xml:space="preserve">Vet J 2017; Vol 219-230</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Comparison of submaximal exercise test results and severity of brachycephalic obstructive airway syndrome in English bulldogs.</w:t>
      </w:r>
    </w:p>
    <w:p/>
    <w:p>
      <w:pPr>
        <w:pStyle w:val="Normal"/>
      </w:pPr>
      <w:r>
        <w:rPr>
          <w:color w:val="323232"/>
        </w:rPr>
        <w:t xml:space="preserve">Liisa Lilja-Maula, Anu K Lappalainen, Heli K Hyytiäinen, Erja Kuusela, Mirja Kaimio, Kirsti Schildt, Sari Mölsä, Mikael Morelius, and Minna M Rajamäki.</w:t>
      </w:r>
    </w:p>
    <w:p/>
    <w:p>
      <w:pPr>
        <w:pStyle w:val="Normal"/>
      </w:pPr>
      <w:r>
        <w:rPr>
          <w:color w:val="323232"/>
        </w:rPr>
        <w:t xml:space="preserve">Canine brachycephalic obstructive airway syndrome (BOAS) is a complex respiratory disease related to congenitally flattened facial and skull anatomy. BOAS causes respiratory distress, heat and exercise intolerance, and gastrointestinal signs. English bulldogs (EB) have a high prevalence of BOAS. Currently, the severity of BOAS signs in veterinary practice is assessed subjectively. To reduce BOAS in brachycephalic breeds, an objective and easy-to-use tool could help breeders select healthier animals. Exercise tests, such as the 6</w:t>
      </w:r>
      <w:r>
        <w:rPr>
          <w:color w:val="323232"/>
        </w:rPr>
        <w:t xml:space="preserve"> </w:t>
      </w:r>
      <w:r>
        <w:rPr>
          <w:color w:val="323232"/>
        </w:rPr>
        <w:t xml:space="preserve">min walk test (distance walked measured) or the 1000</w:t>
      </w:r>
      <w:r>
        <w:rPr>
          <w:color w:val="323232"/>
        </w:rPr>
        <w:t xml:space="preserve"> </w:t>
      </w:r>
      <w:r>
        <w:rPr>
          <w:color w:val="323232"/>
        </w:rPr>
        <w:t xml:space="preserve">m walk test (duration measured), could be used to assess the severity of BOAS, as exercise intolerance and impaired recovery are key features of BOAS. This study evaluated the severity of signs and anatomic components of BOAS in a group of prospectively recruited young adult EBs (n</w:t>
      </w:r>
      <w:r>
        <w:rPr>
          <w:color w:val="323232"/>
        </w:rPr>
        <w:t xml:space="preserve"> </w:t>
      </w:r>
      <w:r>
        <w:rPr>
          <w:color w:val="323232"/>
        </w:rPr>
        <w:t xml:space="preserve">=</w:t>
      </w:r>
      <w:r>
        <w:rPr>
          <w:color w:val="323232"/>
        </w:rPr>
        <w:t xml:space="preserve"> </w:t>
      </w:r>
      <w:r>
        <w:rPr>
          <w:color w:val="323232"/>
        </w:rPr>
        <w:t xml:space="preserve">28) and investigated the correlations of the 6</w:t>
      </w:r>
      <w:r>
        <w:rPr>
          <w:color w:val="323232"/>
        </w:rPr>
        <w:t xml:space="preserve"> </w:t>
      </w:r>
      <w:r>
        <w:rPr>
          <w:color w:val="323232"/>
        </w:rPr>
        <w:t xml:space="preserve">min walk test or the 1000</w:t>
      </w:r>
      <w:r>
        <w:rPr>
          <w:color w:val="323232"/>
        </w:rPr>
        <w:t xml:space="preserve"> </w:t>
      </w:r>
      <w:r>
        <w:rPr>
          <w:color w:val="323232"/>
        </w:rPr>
        <w:t xml:space="preserve">m walk test with a veterinary assessment of BOAS severity, using an ordinal 4 level scale of respiratory signs. EBs with more severe BOAS walked a shorter distance, more slowly and their recovery from exercise took longer than those with only mild signs of BOAS. Control dogs of different breeds (n</w:t>
      </w:r>
      <w:r>
        <w:rPr>
          <w:color w:val="323232"/>
        </w:rPr>
        <w:t xml:space="preserve"> </w:t>
      </w:r>
      <w:r>
        <w:rPr>
          <w:color w:val="323232"/>
        </w:rPr>
        <w:t xml:space="preserve">=</w:t>
      </w:r>
      <w:r>
        <w:rPr>
          <w:color w:val="323232"/>
        </w:rPr>
        <w:t xml:space="preserve"> </w:t>
      </w:r>
      <w:r>
        <w:rPr>
          <w:color w:val="323232"/>
        </w:rPr>
        <w:t xml:space="preserve">10) performed the exercise tests significantly better (i.e. longer distance, faster time and recovery) than EBs. Increases in body temperature during exercise were significantly higher in EBs than in controls. The results of this study support the use of exercise tests for objective evaluation of the severity of BOAS in EBs.</w:t>
      </w:r>
    </w:p>
    <w:p/>
    <w:p>
      <w:pPr>
        <w:pStyle w:val="Normal"/>
      </w:pPr>
      <w:r>
        <w:rPr>
          <w:color w:val="323232"/>
        </w:rPr>
        <w:t xml:space="preserve">Vet J, 2017 vol. 219 pp. 22-26.</w:t>
      </w:r>
    </w:p>
    <w:p>
      <w:r>
        <w:rPr>
          <w:rStyle w:val="Hyperlink"/>
        </w:rPr>
        <w:fldChar w:fldCharType="begin"/>
      </w:r>
      <w:r>
        <w:rPr>
          <w:rStyle w:val="Hyperlink"/>
        </w:rPr>
        <w:instrText xml:space="preserve"> HYPERLINK "http://eutils.ncbi.nlm.nih.gov/entrez/eutils/elink.fcgi?dbfrom=pubmed&amp;id=28093105&amp;retmode=ref&amp;cmd=prlinks"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http://eutils.ncbi.nlm.nih.gov/entrez/eutils/elink.fcgi?dbfrom=pubmed&amp;id=28093105&amp;retmode=ref&amp;cmd=prlinks</w:t>
      </w:r>
      <w:r>
        <w:rPr>
          <w:rStyle w:val="Hyperlink"/>
        </w:rPr>
        <w:fldChar w:fldCharType="end"/>
      </w:r>
    </w:p>
    <w:p>
      <w:pPr>
        <w:pStyle w:val="Normal"/>
      </w:pPr>
      <w:r>
        <w:rPr>
          <w:color w:val="323232"/>
        </w:rPr>
        <w:t xml:space="preserve">————————</w:t>
      </w:r>
    </w:p>
    <w:p>
      <w:pPr>
        <w:pStyle w:val="Heading4"/>
      </w:pPr>
      <w:r>
        <w:t xml:space="preserve">Faecal shedding of canine parvovirus after modified-live vaccination in healthy adult dogs.</w:t>
      </w:r>
    </w:p>
    <w:p/>
    <w:p>
      <w:pPr>
        <w:pStyle w:val="Normal"/>
      </w:pPr>
      <w:r>
        <w:rPr>
          <w:color w:val="323232"/>
        </w:rPr>
        <w:t xml:space="preserve">M Freisl, S Speck, U Truyen, S Reese, A-L Proksch, and K Hartmann.</w:t>
      </w:r>
    </w:p>
    <w:p/>
    <w:p>
      <w:pPr>
        <w:pStyle w:val="Normal"/>
      </w:pPr>
      <w:r>
        <w:rPr>
          <w:color w:val="323232"/>
        </w:rPr>
        <w:t xml:space="preserve">Since little is known about the persistence and faecal shedding of canine parvovirus (CPV) in dogs after modified-live vaccination, diagnostic tests for CPV can be difficult to interpret in the post-vaccination period. The primary aim of this study was to determine the incidence, duration and extent of CPV vaccine virus shedding in adult dogs and to investigate related factors, including the presence of protective antibodies, increase in anti-CPV antibody titres and development of any gastrointestinal side-effects. A secondary objective was to assess prevalence of CPV field virus shedding in clinically healthy dogs due to subclinical infections. One hundred adult, healthy privately owned dogs were vaccinated with a commercial CPV-2 modified-live vaccine (MLV). Faeces were tested for the presence of CPV DNA on days 0 (prior to vaccination), 3, 7, 14, 21 and 28 by quantitative real-time PCR. Pre- and post-vaccination serum titres were determined by haemagglutination inhibition on days 0, 7 and 28. Transient excretion of CPV DNA was detected in 2.0% of dogs before vaccination. About one quarter of dogs (23.0%) shed CPV DNA during the post-vaccination period, but field and vaccine virus differentiation by VP2 gene sequencing was only successful in few samples. Faecal CPV excretion occurred despite protective serum antibody titres. Post-vaccination CPV shedding was not related to adequate antibody response after vaccination or to the occurrence of gastrointestinal side-effects. Despite individual differences, CPV DNA was detectable for up to 28 days after vaccination, although the faecal CPV DNA load in these clinically healthy dogs was very low.</w:t>
      </w:r>
    </w:p>
    <w:p/>
    <w:p>
      <w:pPr>
        <w:pStyle w:val="Normal"/>
      </w:pPr>
      <w:r>
        <w:rPr>
          <w:color w:val="323232"/>
        </w:rPr>
        <w:t xml:space="preserve">Vet J, 2017 vol. 219 pp. 15-21.</w:t>
      </w:r>
    </w:p>
    <w:p>
      <w:r>
        <w:rPr>
          <w:rStyle w:val="Hyperlink"/>
        </w:rPr>
        <w:fldChar w:fldCharType="begin"/>
      </w:r>
      <w:r>
        <w:rPr>
          <w:rStyle w:val="Hyperlink"/>
        </w:rPr>
        <w:instrText xml:space="preserve"> HYPERLINK "http://eutils.ncbi.nlm.nih.gov/entrez/eutils/elink.fcgi?dbfrom=pubmed&amp;id=28093104&amp;retmode=ref&amp;cmd=prlinks"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http://eutils.ncbi.nlm.nih.gov/entrez/eutils/elink.fcgi?dbfrom=pubmed&amp;id=28093104&amp;retmode=ref&amp;cmd=prlinks</w:t>
      </w:r>
      <w:r>
        <w:rPr>
          <w:rStyle w:val="Hyperlink"/>
        </w:rPr>
        <w:fldChar w:fldCharType="end"/>
      </w:r>
    </w:p>
    <w:p>
      <w:pPr>
        <w:pStyle w:val="Normal"/>
      </w:pPr>
      <w:r>
        <w:rPr>
          <w:color w:val="323232"/>
        </w:rPr>
        <w:t xml:space="preserve">————————</w:t>
      </w:r>
    </w:p>
    <w:p>
      <w:pPr>
        <w:pStyle w:val="Heading4"/>
      </w:pPr>
      <w:r>
        <w:t xml:space="preserve">Classification of involuntary movements in dogs: Paroxysmal dyskinesias.</w:t>
      </w:r>
    </w:p>
    <w:p/>
    <w:p>
      <w:pPr>
        <w:pStyle w:val="Normal"/>
      </w:pPr>
      <w:r>
        <w:rPr>
          <w:color w:val="323232"/>
        </w:rPr>
        <w:t xml:space="preserve">Mark Lowrie and Laurent Garosi.</w:t>
      </w:r>
    </w:p>
    <w:p/>
    <w:p>
      <w:pPr>
        <w:pStyle w:val="Normal"/>
      </w:pPr>
      <w:r>
        <w:rPr>
          <w:color w:val="323232"/>
        </w:rPr>
        <w:t xml:space="preserve">Paroxysmal dyskinesias (PDs) are a group of hyperkinetic movement disorders characterised by circumscribed episodes of disturbed movement, superimposed on a background state in which such abnormality is absent. There is no loss of consciousness. Episodes can last seconds, minutes or hours, and the beginning and end of the movement disturbance are abrupt. Neurological examination is typically normal between episodes. PDs are associated with a broad spectrum of clinical presentations, encompassing various aetiologies. In humans, three main groups of PDs are distinguished, based on precipitating events rather than phenomenology: (1) paroxysmal kinesigenic dyskinesia (PKD); (2) paroxysmal nonkinesigenic dyskinesia (PNKD); and (3) paroxysmal exertion-induced dyskinesia (PED). In recent years, there has been an expansion of the spectrum of manifestations of PD due to the identification of genes associated with PD in humans (PRRT1, MR-1, SLC2A1 and KCNMA1) and dogs (BCAN and PIGN). The precise pathophysiological mechanism underlying the clinical manifestations of these reported mutations remains to be elucidated. Progress is also being made in the field of immunology, and links to gluten hypersensitivity in Border terriers with so-called canine epileptoid cramping syndrome (CECS) have been reported. This review aims to synthesise a classification scheme for veterinary PDs by reviewing human systems and applying them to veterinary examples. However, it is anticipated that genetic advancement will greatly aid in future stratification and therapy for PDs in dogs. Therefore, classification systems should be viewed as works in progress that should be modified as necessary.</w:t>
      </w:r>
    </w:p>
    <w:p/>
    <w:p>
      <w:pPr>
        <w:pStyle w:val="Normal"/>
      </w:pPr>
      <w:r>
        <w:rPr>
          <w:color w:val="323232"/>
        </w:rPr>
        <w:t xml:space="preserve">Vet J, 2017 vol. 220 pp. 65-71.</w:t>
      </w:r>
    </w:p>
    <w:p>
      <w:r>
        <w:rPr>
          <w:rStyle w:val="Hyperlink"/>
        </w:rPr>
        <w:fldChar w:fldCharType="begin"/>
      </w:r>
      <w:r>
        <w:rPr>
          <w:rStyle w:val="Hyperlink"/>
        </w:rPr>
        <w:instrText xml:space="preserve"> HYPERLINK "http://eutils.ncbi.nlm.nih.gov/entrez/eutils/elink.fcgi?dbfrom=pubmed&amp;id=28190498&amp;retmode=ref&amp;cmd=prlinks"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http://eutils.ncbi.nlm.nih.gov/entrez/eutils/elink.fcgi?dbfrom=pubmed&amp;id=28190498&amp;retmode=ref&amp;cmd=prlinks</w:t>
      </w:r>
      <w:r>
        <w:rPr>
          <w:rStyle w:val="Hyperlink"/>
        </w:rPr>
        <w:fldChar w:fldCharType="end"/>
      </w:r>
    </w:p>
    <w:p>
      <w:pPr>
        <w:pStyle w:val="Normal"/>
      </w:pPr>
      <w:r>
        <w:rPr>
          <w:color w:val="323232"/>
        </w:rPr>
        <w:t xml:space="preserve">————————</w:t>
      </w:r>
    </w:p>
    <w:p>
      <w:pPr>
        <w:pStyle w:val="Heading4"/>
      </w:pPr>
      <w:r>
        <w:t xml:space="preserve">Measurement of allergen-specific IgG in serum is of limited value for the management of dogs diagnosed with cutaneous adverse food reactions.</w:t>
      </w:r>
    </w:p>
    <w:p/>
    <w:p>
      <w:pPr>
        <w:pStyle w:val="Normal"/>
      </w:pPr>
      <w:r>
        <w:rPr>
          <w:color w:val="323232"/>
        </w:rPr>
        <w:t xml:space="preserve">E A Hagen-Plantinga, M H G Leistra, J D Sinke, M W Vroom, H F J Savelkoul, and W H Hendriks.</w:t>
      </w:r>
    </w:p>
    <w:p/>
    <w:p>
      <w:pPr>
        <w:pStyle w:val="Normal"/>
      </w:pPr>
      <w:r>
        <w:rPr>
          <w:color w:val="323232"/>
        </w:rPr>
        <w:t xml:space="preserve">Conflicting results have been reported in the literature in terms of the usefulness of serological testing for IgG against food allergens in dogs with cutaneous adverse food reaction (CAFR). The aim of the present study was to evaluate the suitability of a commercially available IgG ELISA for identifying food allergens in dogs, by challenging dogs with specific food ingredients, selected on the basis of IgG reactivity in serum samples. A total of 24 adult dogs with CAFR were enrolled into the study and 16 healthy dogs were included as a control group. Blood samples were obtained for measurement of specific IgG antibodies against 39 commonly used pet food ingredients by ELISA. Participating owners were surveyed to obtain information on their pet's dietary history. Eleven healthy control dogs and 12 dogs with CAFR were subsequently challenged in a blinded cross-over design experiment with both positive and negative food ingredients, selected on the basis of the ELISA test results. There was substantial individual variation in ELISA test results to the various food allergens, but no significant difference in IgG reactivity comparing the CAFR and control groups. None of the control dogs developed any clinical signs of an allergic reaction during the dietary challenge study. In the CAFR group, six of 12 dogs developed clinical signs after the negative challenge, and two of nine dogs developed clinical signs after the positive challenge. It was concluded that the ELISA test for dietary allergen-specific IgG is of limited value in the management of dogs with CAFR.</w:t>
      </w:r>
    </w:p>
    <w:p/>
    <w:p>
      <w:pPr>
        <w:pStyle w:val="Normal"/>
      </w:pPr>
      <w:r>
        <w:rPr>
          <w:color w:val="323232"/>
        </w:rPr>
        <w:t xml:space="preserve">Vet J, 2017 vol. 220 pp. 111-116.</w:t>
      </w:r>
    </w:p>
    <w:p>
      <w:r>
        <w:rPr>
          <w:rStyle w:val="Hyperlink"/>
        </w:rPr>
        <w:fldChar w:fldCharType="begin"/>
      </w:r>
      <w:r>
        <w:rPr>
          <w:rStyle w:val="Hyperlink"/>
        </w:rPr>
        <w:instrText xml:space="preserve"> HYPERLINK "http://eutils.ncbi.nlm.nih.gov/entrez/eutils/elink.fcgi?dbfrom=pubmed&amp;id=28190487&amp;retmode=ref&amp;cmd=prlinks"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http://eutils.ncbi.nlm.nih.gov/entrez/eutils/elink.fcgi?dbfrom=pubmed&amp;id=28190487&amp;retmode=ref&amp;cmd=prlinks</w:t>
      </w:r>
      <w:r>
        <w:rPr>
          <w:rStyle w:val="Hyperlink"/>
        </w:rPr>
        <w:fldChar w:fldCharType="end"/>
      </w:r>
    </w:p>
    <w:p>
      <w:pPr>
        <w:pStyle w:val="Normal"/>
      </w:pPr>
      <w:r>
        <w:rPr>
          <w:color w:val="323232"/>
        </w:rPr>
        <w:t xml:space="preserve">————————</w:t>
      </w:r>
    </w:p>
    <w:p>
      <w:pPr>
        <w:pStyle w:val="Heading4"/>
      </w:pPr>
      <w:r>
        <w:t xml:space="preserve">Phenobarbital or potassium bromide as an add-on antiepileptic drug for the management of canine idiopathic epilepsy refractory to imepitoin.</w:t>
      </w:r>
    </w:p>
    <w:p/>
    <w:p>
      <w:pPr>
        <w:pStyle w:val="Normal"/>
      </w:pPr>
      <w:r>
        <w:rPr>
          <w:color w:val="323232"/>
        </w:rPr>
        <w:t xml:space="preserve">E Royaux, L Van Ham, B J G Broeckx, I Van Soens, I Gielen, D Deforce, and S F M Bhatti.</w:t>
      </w:r>
    </w:p>
    <w:p/>
    <w:p>
      <w:pPr>
        <w:pStyle w:val="Normal"/>
      </w:pPr>
      <w:r>
        <w:rPr>
          <w:color w:val="323232"/>
        </w:rPr>
        <w:t xml:space="preserve">Imepitoin has recently been approved in Europe for the management of dogs with idiopathic epilepsy. Currently, there is no evidence-based information available on the efficacy of antiepileptic drugs used as additions to the therapeutic regimen in dogs with idiopathic epilepsy that are not well controlled with imepitoin. The goal of this study was to evaluate the efficacy of phenobarbital or potassium bromide (KBr) as add-on antiepileptic drugs for controlling dogs refractory to a maximum dose of imepitoin (30</w:t>
      </w:r>
      <w:r>
        <w:rPr>
          <w:color w:val="323232"/>
        </w:rPr>
        <w:t xml:space="preserve"> </w:t>
      </w:r>
      <w:r>
        <w:rPr>
          <w:color w:val="323232"/>
        </w:rPr>
        <w:t xml:space="preserve">mg/kg twice daily). The study was performed as a prospective, randomised, controlled clinical trial. The efficacy of phenobarbital and KBr was evaluated by comparing monthly seizure frequency (MSF), monthly seizure day frequency (MSDF), the presence of cluster seizures during a retrospective 2-month period with a prospective follow-up of 6 months, and the overall responder rate. Twenty-seven dogs were included in the study, 14 dogs in the phenobarbital group and 13 dogs in the KBr group. Both median MSF and MSDF decreased in the phenobarbital group (both P</w:t>
      </w:r>
      <w:r>
        <w:rPr>
          <w:color w:val="323232"/>
        </w:rPr>
        <w:t xml:space="preserve"> </w:t>
      </w:r>
      <w:r>
        <w:rPr>
          <w:color w:val="323232"/>
        </w:rPr>
        <w:t xml:space="preserve">=</w:t>
      </w:r>
      <w:r>
        <w:rPr>
          <w:color w:val="323232"/>
        </w:rPr>
        <w:t xml:space="preserve"> </w:t>
      </w:r>
      <w:r>
        <w:rPr>
          <w:color w:val="323232"/>
        </w:rPr>
        <w:t xml:space="preserve">0.001) and in the KBr group (P</w:t>
      </w:r>
      <w:r>
        <w:rPr>
          <w:color w:val="323232"/>
        </w:rPr>
        <w:t xml:space="preserve"> </w:t>
      </w:r>
      <w:r>
        <w:rPr>
          <w:color w:val="323232"/>
        </w:rPr>
        <w:t xml:space="preserve">=</w:t>
      </w:r>
      <w:r>
        <w:rPr>
          <w:color w:val="323232"/>
        </w:rPr>
        <w:t xml:space="preserve"> </w:t>
      </w:r>
      <w:r>
        <w:rPr>
          <w:color w:val="323232"/>
        </w:rPr>
        <w:t xml:space="preserve">0.004 and P</w:t>
      </w:r>
      <w:r>
        <w:rPr>
          <w:color w:val="323232"/>
        </w:rPr>
        <w:t xml:space="preserve"> </w:t>
      </w:r>
      <w:r>
        <w:rPr>
          <w:color w:val="323232"/>
        </w:rPr>
        <w:t xml:space="preserve">=</w:t>
      </w:r>
      <w:r>
        <w:rPr>
          <w:color w:val="323232"/>
        </w:rPr>
        <w:t xml:space="preserve"> </w:t>
      </w:r>
      <w:r>
        <w:rPr>
          <w:color w:val="323232"/>
        </w:rPr>
        <w:t xml:space="preserve">0.003, respectively). Overall, the number of dogs with cluster seizures decreased (P</w:t>
      </w:r>
      <w:r>
        <w:rPr>
          <w:color w:val="323232"/>
        </w:rPr>
        <w:t xml:space="preserve"> </w:t>
      </w:r>
      <w:r>
        <w:rPr>
          <w:color w:val="323232"/>
        </w:rPr>
        <w:t xml:space="preserve">=</w:t>
      </w:r>
      <w:r>
        <w:rPr>
          <w:color w:val="323232"/>
        </w:rPr>
        <w:t xml:space="preserve"> </w:t>
      </w:r>
      <w:r>
        <w:rPr>
          <w:color w:val="323232"/>
        </w:rPr>
        <w:t xml:space="preserve">0.0005). The responder rate was 79% vs. 69% in the phenobarbital and KBr groups, respectively. We conclude that phenobarbital or KBr add-on treatment decreases median MSF and MSDF in epileptic dogs refractory to a maximum dose of imepitoin. Combination therapy was generally well tolerated and resulted in an improvement in seizure management in the majority of the dogs.</w:t>
      </w:r>
    </w:p>
    <w:p/>
    <w:p>
      <w:pPr>
        <w:pStyle w:val="Normal"/>
      </w:pPr>
      <w:r>
        <w:rPr>
          <w:color w:val="323232"/>
        </w:rPr>
        <w:t xml:space="preserve">Vet J, 2017 vol. 220 pp. 51-54.</w:t>
      </w:r>
    </w:p>
    <w:p>
      <w:r>
        <w:rPr>
          <w:rStyle w:val="Hyperlink"/>
        </w:rPr>
        <w:fldChar w:fldCharType="begin"/>
      </w:r>
      <w:r>
        <w:rPr>
          <w:rStyle w:val="Hyperlink"/>
        </w:rPr>
        <w:instrText xml:space="preserve"> HYPERLINK "http://eutils.ncbi.nlm.nih.gov/entrez/eutils/elink.fcgi?dbfrom=pubmed&amp;id=28190495&amp;retmode=ref&amp;cmd=prlinks"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http://eutils.ncbi.nlm.nih.gov/entrez/eutils/elink.fcgi?dbfrom=pubmed&amp;id=28190495&amp;retmode=ref&amp;cmd=prlinks</w:t>
      </w:r>
      <w:r>
        <w:rPr>
          <w:rStyle w:val="Hyperlink"/>
        </w:rPr>
        <w:fldChar w:fldCharType="end"/>
      </w:r>
    </w:p>
    <w:p>
      <w:pPr>
        <w:pStyle w:val="Normal"/>
      </w:pPr>
      <w:r>
        <w:rPr>
          <w:color w:val="323232"/>
        </w:rPr>
        <w:t xml:space="preserve">————————</w:t>
      </w:r>
    </w:p>
    <w:p>
      <w:pPr>
        <w:pStyle w:val="Heading4"/>
      </w:pPr>
      <w:r>
        <w:t xml:space="preserve">Proportion recovery and times to ambulation for non-ambulatory dogs with thoracolumbar disc extrusions treated with hemilaminectomy or conservative treatment: A systematic review and meta-analysis of case-series studies.</w:t>
      </w:r>
    </w:p>
    <w:p/>
    <w:p>
      <w:pPr>
        <w:pStyle w:val="Normal"/>
      </w:pPr>
      <w:r>
        <w:rPr>
          <w:color w:val="323232"/>
        </w:rPr>
        <w:t xml:space="preserve">L Langerhuus and J Miles.</w:t>
      </w:r>
    </w:p>
    <w:p/>
    <w:p>
      <w:pPr>
        <w:pStyle w:val="Normal"/>
      </w:pPr>
      <w:r>
        <w:rPr>
          <w:color w:val="323232"/>
        </w:rPr>
        <w:t xml:space="preserve">Thoracolumbar intervertebral disc extrusion is a common cause of spinal cord dysfunction in dogs. Peer-reviewed studies reporting treatment of predominantly chondrodystrophic dogs with disc extrusion with loss of ambulation with either hemilaminectomy or conservative treatment (rest, analgesics and anti-inflammatories) were evaluated in a systematic review of the literature. Generally, the level of evidence available was low with no controlled studies and only case series available. In the meta-analysis, there was a clear trend to a greater proportion of dogs recovering and returning faster to ambulation for dogs treated with hemilaminectomy than for conservatively treated dogs. The mean proportions that recovered for neurological grades 3, 4 and 5 were 93, 93 and 61% for those treated with hemilaminectomy, and 79, 62 and 10% for those treated conservatively (Grade 3 - non-ambulatory paraparetic dogs; grade 4 - paraplegic dogs with intact deep pain perception; grade 5 - paraplegic dogs without intact deep pain perception). Due to the use of case series, these results represent between-study comparisons, thereby increasing the risk of selection bias and other biases. Data presented in this review support the current recommendations for surgical management of non-ambulatory dogs with disc-extrusion, but controlled clinical studies comparing outcomes are necessary to confirm these findings.</w:t>
      </w:r>
    </w:p>
    <w:p/>
    <w:p>
      <w:pPr>
        <w:pStyle w:val="Normal"/>
      </w:pPr>
      <w:r>
        <w:rPr>
          <w:color w:val="323232"/>
        </w:rPr>
        <w:t xml:space="preserve">Vet J, 2017 vol. 220 pp. 7-16.</w:t>
      </w:r>
    </w:p>
    <w:p>
      <w:r>
        <w:rPr>
          <w:rStyle w:val="Hyperlink"/>
        </w:rPr>
        <w:fldChar w:fldCharType="begin"/>
      </w:r>
      <w:r>
        <w:rPr>
          <w:rStyle w:val="Hyperlink"/>
        </w:rPr>
        <w:instrText xml:space="preserve"> HYPERLINK "http://eutils.ncbi.nlm.nih.gov/entrez/eutils/elink.fcgi?dbfrom=pubmed&amp;id=28190499&amp;retmode=ref&amp;cmd=prlinks"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http://eutils.ncbi.nlm.nih.gov/entrez/eutils/elink.fcgi?dbfrom=pubmed&amp;id=28190499&amp;retmode=ref&amp;cmd=prlinks</w:t>
      </w:r>
      <w:r>
        <w:rPr>
          <w:rStyle w:val="Hyperlink"/>
        </w:rPr>
        <w:fldChar w:fldCharType="end"/>
      </w:r>
    </w:p>
    <w:p>
      <w:pPr>
        <w:pStyle w:val="Normal"/>
      </w:pPr>
      <w:r>
        <w:rPr>
          <w:color w:val="323232"/>
        </w:rPr>
        <w:t xml:space="preserve">————————</w:t>
      </w:r>
    </w:p>
    <w:p>
      <w:pPr>
        <w:pStyle w:val="Heading4"/>
      </w:pPr>
      <w:r>
        <w:t xml:space="preserve">Urethral obstruction in male cats in some Northern United States shows regional seasonality.</w:t>
      </w:r>
    </w:p>
    <w:p/>
    <w:p>
      <w:pPr>
        <w:pStyle w:val="Normal"/>
      </w:pPr>
      <w:r>
        <w:rPr>
          <w:color w:val="323232"/>
        </w:rPr>
        <w:t xml:space="preserve">Julia P Sumner and Mark Rishniw.</w:t>
      </w:r>
    </w:p>
    <w:p/>
    <w:p>
      <w:pPr>
        <w:pStyle w:val="Normal"/>
      </w:pPr>
      <w:r>
        <w:rPr>
          <w:color w:val="323232"/>
        </w:rPr>
        <w:t xml:space="preserve">Feline lower urinary tract disease (FLUTD) is a term encompassing several different conditions affecting the feline lower urinary tract. Certain FLUTD aetiologies, such as idiopathic cystitis, urethral plugs or urolithiasis, commonly produce urethral obstruction (UO) in male cats. It is widely accepted that environmental, behavioural and dietary factors can play a role in the aetiopathogenesis of these conditions. We investigated the seasonal prevalence of UO by analysing admission dates of 2443 male cats with UO from eight practices in the Northern USA over a 4-year period. A significantly greater number of cats presented for UO in April and May (P</w:t>
      </w:r>
      <w:r>
        <w:rPr>
          <w:color w:val="323232"/>
        </w:rPr>
        <w:t xml:space="preserve"> </w:t>
      </w:r>
      <w:r>
        <w:rPr>
          <w:color w:val="323232"/>
        </w:rPr>
        <w:t xml:space="preserve">&lt;</w:t>
      </w:r>
      <w:r>
        <w:rPr>
          <w:color w:val="323232"/>
        </w:rPr>
        <w:t xml:space="preserve"> </w:t>
      </w:r>
      <w:r>
        <w:rPr>
          <w:color w:val="323232"/>
        </w:rPr>
        <w:t xml:space="preserve">0.025). When stratified by geographic location, a spring peak was found in cats from the North-Eastern United States, but no peak was demonstrable in cats from the North-West coast. This suggests that UO might depend, at least in part, on geographical climatic variations.</w:t>
      </w:r>
    </w:p>
    <w:p/>
    <w:p>
      <w:pPr>
        <w:pStyle w:val="Normal"/>
      </w:pPr>
      <w:r>
        <w:rPr>
          <w:color w:val="323232"/>
        </w:rPr>
        <w:t xml:space="preserve">Vet J, 2017 vol. 220 pp. 72-74.</w:t>
      </w:r>
    </w:p>
    <w:p>
      <w:r>
        <w:rPr>
          <w:rStyle w:val="Hyperlink"/>
        </w:rPr>
        <w:fldChar w:fldCharType="begin"/>
      </w:r>
      <w:r>
        <w:rPr>
          <w:rStyle w:val="Hyperlink"/>
        </w:rPr>
        <w:instrText xml:space="preserve"> HYPERLINK "http://eutils.ncbi.nlm.nih.gov/entrez/eutils/elink.fcgi?dbfrom=pubmed&amp;id=28190500&amp;retmode=ref&amp;cmd=prlinks"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http://eutils.ncbi.nlm.nih.gov/entrez/eutils/elink.fcgi?dbfrom=pubmed&amp;id=28190500&amp;retmode=ref&amp;cmd=prlinks</w:t>
      </w:r>
      <w:r>
        <w:rPr>
          <w:rStyle w:val="Hyperlink"/>
        </w:rPr>
        <w:fldChar w:fldCharType="end"/>
      </w:r>
    </w:p>
    <w:p>
      <w:pPr>
        <w:pStyle w:val="Normal"/>
      </w:pPr>
      <w:r>
        <w:rPr>
          <w:color w:val="323232"/>
        </w:rPr>
        <w:t xml:space="preserve">————————</w:t>
      </w:r>
    </w:p>
    <w:p>
      <w:pPr>
        <w:pStyle w:val="Heading4"/>
      </w:pPr>
      <w:r>
        <w:t xml:space="preserve">Utility of urinary alkaline phosphatase and γ-glutamyl transpeptidase in diagnosing acute kidney injury in dogs.</w:t>
      </w:r>
    </w:p>
    <w:p/>
    <w:p>
      <w:pPr>
        <w:pStyle w:val="Normal"/>
      </w:pPr>
      <w:r>
        <w:rPr>
          <w:color w:val="323232"/>
        </w:rPr>
        <w:t xml:space="preserve">Ran Nivy, Yochai Avital, Itamar Aroch, and Gilad Segev.</w:t>
      </w:r>
    </w:p>
    <w:p/>
    <w:p>
      <w:pPr>
        <w:pStyle w:val="Normal"/>
      </w:pPr>
      <w:r>
        <w:rPr>
          <w:color w:val="323232"/>
        </w:rPr>
        <w:t xml:space="preserve">The diagnostic utility of urinary alkaline phosphatase (uALP) and γ-glutamyl transpeptidase (uGGT) activities in naturally occurring acute kidney injury (AKI) was investigated in a heterogeneous group of dogs. The study included client-owned dogs with AKI (n</w:t>
      </w:r>
      <w:r>
        <w:rPr>
          <w:color w:val="323232"/>
        </w:rPr>
        <w:t xml:space="preserve"> </w:t>
      </w:r>
      <w:r>
        <w:rPr>
          <w:color w:val="323232"/>
        </w:rPr>
        <w:t xml:space="preserve">=</w:t>
      </w:r>
      <w:r>
        <w:rPr>
          <w:color w:val="323232"/>
        </w:rPr>
        <w:t xml:space="preserve"> </w:t>
      </w:r>
      <w:r>
        <w:rPr>
          <w:color w:val="323232"/>
        </w:rPr>
        <w:t xml:space="preserve">32), chronic kidney disease (CKD, n</w:t>
      </w:r>
      <w:r>
        <w:rPr>
          <w:color w:val="323232"/>
        </w:rPr>
        <w:t xml:space="preserve"> </w:t>
      </w:r>
      <w:r>
        <w:rPr>
          <w:color w:val="323232"/>
        </w:rPr>
        <w:t xml:space="preserve">=</w:t>
      </w:r>
      <w:r>
        <w:rPr>
          <w:color w:val="323232"/>
        </w:rPr>
        <w:t xml:space="preserve"> </w:t>
      </w:r>
      <w:r>
        <w:rPr>
          <w:color w:val="323232"/>
        </w:rPr>
        <w:t xml:space="preserve">13), lower urinary tract infection (LUTI, n</w:t>
      </w:r>
      <w:r>
        <w:rPr>
          <w:color w:val="323232"/>
        </w:rPr>
        <w:t xml:space="preserve"> </w:t>
      </w:r>
      <w:r>
        <w:rPr>
          <w:color w:val="323232"/>
        </w:rPr>
        <w:t xml:space="preserve">=</w:t>
      </w:r>
      <w:r>
        <w:rPr>
          <w:color w:val="323232"/>
        </w:rPr>
        <w:t xml:space="preserve"> </w:t>
      </w:r>
      <w:r>
        <w:rPr>
          <w:color w:val="323232"/>
        </w:rPr>
        <w:t xml:space="preserve">15) and healthy controls (n</w:t>
      </w:r>
      <w:r>
        <w:rPr>
          <w:color w:val="323232"/>
        </w:rPr>
        <w:t xml:space="preserve"> </w:t>
      </w:r>
      <w:r>
        <w:rPr>
          <w:color w:val="323232"/>
        </w:rPr>
        <w:t xml:space="preserve">=</w:t>
      </w:r>
      <w:r>
        <w:rPr>
          <w:color w:val="323232"/>
        </w:rPr>
        <w:t xml:space="preserve"> </w:t>
      </w:r>
      <w:r>
        <w:rPr>
          <w:color w:val="323232"/>
        </w:rPr>
        <w:t xml:space="preserve">24). uGGT and uALP activities were normalised to urinary creatinine (uCr) concentrations (uGGT/ uCr and uALP/ uCr, respectively). uALP/ uCr and uGGT/ uCr were positively and significantly correlated (r</w:t>
      </w:r>
      <w:r>
        <w:rPr>
          <w:color w:val="323232"/>
        </w:rPr>
        <w:t xml:space="preserve"> </w:t>
      </w:r>
      <w:r>
        <w:rPr>
          <w:color w:val="323232"/>
        </w:rPr>
        <w:t xml:space="preserve">=</w:t>
      </w:r>
      <w:r>
        <w:rPr>
          <w:color w:val="323232"/>
        </w:rPr>
        <w:t xml:space="preserve"> </w:t>
      </w:r>
      <w:r>
        <w:rPr>
          <w:color w:val="323232"/>
        </w:rPr>
        <w:t xml:space="preserve">0.619, P</w:t>
      </w:r>
      <w:r>
        <w:rPr>
          <w:color w:val="323232"/>
        </w:rPr>
        <w:t xml:space="preserve"> </w:t>
      </w:r>
      <w:r>
        <w:rPr>
          <w:color w:val="323232"/>
        </w:rPr>
        <w:t xml:space="preserve">&lt;0.001), and differed significantly (P</w:t>
      </w:r>
      <w:r>
        <w:rPr>
          <w:color w:val="323232"/>
        </w:rPr>
        <w:t xml:space="preserve"> </w:t>
      </w:r>
      <w:r>
        <w:rPr>
          <w:color w:val="323232"/>
        </w:rPr>
        <w:t xml:space="preserve">≤</w:t>
      </w:r>
      <w:r>
        <w:rPr>
          <w:color w:val="323232"/>
        </w:rPr>
        <w:t xml:space="preserve"> </w:t>
      </w:r>
      <w:r>
        <w:rPr>
          <w:color w:val="323232"/>
        </w:rPr>
        <w:t xml:space="preserve">0.001) among groups, as well as between AKI and LUTI or CKD groups (P</w:t>
      </w:r>
      <w:r>
        <w:rPr>
          <w:color w:val="323232"/>
        </w:rPr>
        <w:t xml:space="preserve"> </w:t>
      </w:r>
      <w:r>
        <w:rPr>
          <w:color w:val="323232"/>
        </w:rPr>
        <w:t xml:space="preserve">&lt;</w:t>
      </w:r>
      <w:r>
        <w:rPr>
          <w:color w:val="323232"/>
        </w:rPr>
        <w:t xml:space="preserve"> </w:t>
      </w:r>
      <w:r>
        <w:rPr>
          <w:color w:val="323232"/>
        </w:rPr>
        <w:t xml:space="preserve">0.05), but not between the AKI and control groups. Areas under the receiver operator characteristics (ROC) curve for uALP/ uCr and uGGT/ uCr as predictors of AKI were 0.75 and 0.65, respectively, with optimal cut-off points showing poor to moderate sensitivity (59% for uALP/ uCr and 79% for uGGT/ uCr) and specificity (59% for uALP/ uCr and 75% for uGGT/ uCr). Higher cut-off points, with 90% specificity, showed low sensitivity (41% for both uALP/ uCr and uGGT/ uCr). In conclusion, uALP</w:t>
      </w:r>
      <w:r>
        <w:rPr>
          <w:i w:val="1"/>
          <w:color w:val="323232"/>
        </w:rPr>
        <w:t xml:space="preserve">uCr is superior to uGGT</w:t>
      </w:r>
      <w:r>
        <w:rPr>
          <w:color w:val="323232"/>
        </w:rPr>
        <w:t xml:space="preserve"> uCr as a marker of AKI, but both uGGT/ uCr and uALP/ uCr have unsatisfactory discriminatory power for diagnosing naturally occurring AKI in dogs and therefore cannot be recommended as sole screening tests for canine AKI. However, both may serve as ancillary, confirmatory, biomarkers for detecting AKI in dogs if appropriate cut-off points with high specificities are used.</w:t>
      </w:r>
    </w:p>
    <w:p/>
    <w:p>
      <w:pPr>
        <w:pStyle w:val="Normal"/>
      </w:pPr>
      <w:r>
        <w:rPr>
          <w:color w:val="323232"/>
        </w:rPr>
        <w:t xml:space="preserve">Vet J, 2017 vol. 220 pp. 43-47.</w:t>
      </w:r>
    </w:p>
    <w:p>
      <w:r>
        <w:rPr>
          <w:rStyle w:val="Hyperlink"/>
        </w:rPr>
        <w:fldChar w:fldCharType="begin"/>
      </w:r>
      <w:r>
        <w:rPr>
          <w:rStyle w:val="Hyperlink"/>
        </w:rPr>
        <w:instrText xml:space="preserve"> HYPERLINK "http://eutils.ncbi.nlm.nih.gov/entrez/eutils/elink.fcgi?dbfrom=pubmed&amp;id=28190493&amp;retmode=ref&amp;cmd=prlinks"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http://eutils.ncbi.nlm.nih.gov/entrez/eutils/elink.fcgi?dbfrom=pubmed&amp;id=28190493&amp;retmode=ref&amp;cmd=prlinks</w:t>
      </w:r>
      <w:r>
        <w:rPr>
          <w:rStyle w:val="Hyperlink"/>
        </w:rPr>
        <w:fldChar w:fldCharType="end"/>
      </w:r>
    </w:p>
    <w:p>
      <w:pPr>
        <w:pStyle w:val="Normal"/>
      </w:pPr>
      <w:r>
        <w:rPr>
          <w:color w:val="323232"/>
        </w:rPr>
        <w:t xml:space="preserve">————————</w:t>
      </w:r>
    </w:p>
    <w:p>
      <w:pPr>
        <w:pStyle w:val="Heading4"/>
      </w:pPr>
      <w:r>
        <w:t xml:space="preserve">Comparison of myocardial damage among dogs at different stages of clinical leishmaniasis and dogs with idiopathic chronic kidney disease.</w:t>
      </w:r>
    </w:p>
    <w:p/>
    <w:p>
      <w:pPr>
        <w:pStyle w:val="Normal"/>
      </w:pPr>
      <w:r>
        <w:rPr>
          <w:color w:val="323232"/>
        </w:rPr>
        <w:t xml:space="preserve">L Martínez-Hernández, D Casamian-Sorrosal, R Barrera-Chacón, J M Cuesta-Gerveno, S Belinchón-Lorenzo, L C Gómez Nieto, and F J Duque-Carrasco.</w:t>
      </w:r>
    </w:p>
    <w:p/>
    <w:p>
      <w:pPr>
        <w:pStyle w:val="Normal"/>
      </w:pPr>
      <w:r>
        <w:rPr>
          <w:color w:val="323232"/>
        </w:rPr>
        <w:t xml:space="preserve">Canine leishmaniasis (CanL) is a systemic disease caused by the protozoan parasite Leishmania infantum. Myocarditis in CanL has been described previously in CanL by histopathological analysis of post-mortem specimens and by evaluation of cardiac troponin I (cTnI) levels. However, the degree of myocardial damage at different stages of CanL and the role that concurrent azotaemia plays in this myocardial injury are unknown. The aim of this study was to prospectively evaluate and compare the presence of myocardial injury in dogs at different stages of clinical CanL and in dogs with severe idiopathic chronic kidney disease (CKD) by measuring cTnI. Forty-eight dogs were included in the study, divided into four groups: (1) group A (10 healthy dogs); (2) group B (17 dogs with CanL without renal azotaemia, classified as mild to severe in the LeishVet scheme); (3) group C (11 dogs with CanL and renal azotaemia, classified as very severe in the LeishVet scheme); and (4) group D (10 dogs with idiopathic CKD). Dogs in group C had significantly higher cTnI than dogs in groups B and D, although cTnI was also elevated in these groups. Dogs in group A had normal cTnI values. Dogs in groups D and C had similar renal IRIS classification scorers. Severe lymphoplasmocytic myocarditis and a positive real time PCR of L. infantum DNA were observed in all dogs in group C. Dogs with very severe CanL exhibit more myocardial injury than dogs with milder CanL or dogs with idiopathic CKD.</w:t>
      </w:r>
    </w:p>
    <w:p/>
    <w:p>
      <w:pPr>
        <w:pStyle w:val="Normal"/>
      </w:pPr>
      <w:r>
        <w:rPr>
          <w:color w:val="323232"/>
        </w:rPr>
        <w:t xml:space="preserve">Vet J, 2017 vol. 221 pp. 1-5.</w:t>
      </w:r>
    </w:p>
    <w:p>
      <w:r>
        <w:rPr>
          <w:rStyle w:val="Hyperlink"/>
        </w:rPr>
        <w:fldChar w:fldCharType="begin"/>
      </w:r>
      <w:r>
        <w:rPr>
          <w:rStyle w:val="Hyperlink"/>
        </w:rPr>
        <w:instrText xml:space="preserve"> HYPERLINK "http://eutils.ncbi.nlm.nih.gov/entrez/eutils/elink.fcgi?dbfrom=pubmed&amp;id=28283071&amp;retmode=ref&amp;cmd=prlinks"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http://eutils.ncbi.nlm.nih.gov/entrez/eutils/elink.fcgi?dbfrom=pubmed&amp;id=28283071&amp;retmode=ref&amp;cmd=prlinks</w:t>
      </w:r>
      <w:r>
        <w:rPr>
          <w:rStyle w:val="Hyperlink"/>
        </w:rPr>
        <w:fldChar w:fldCharType="end"/>
      </w:r>
    </w:p>
    <w:p>
      <w:pPr>
        <w:pStyle w:val="Normal"/>
      </w:pPr>
      <w:r>
        <w:rPr>
          <w:color w:val="323232"/>
        </w:rPr>
        <w:t xml:space="preserve">————————</w:t>
      </w:r>
    </w:p>
    <w:p>
      <w:pPr>
        <w:pStyle w:val="Heading4"/>
      </w:pPr>
      <w:r>
        <w:t xml:space="preserve">Correlation between severity of clinical signs and transcranial magnetic motor evoked potentials in dogs with intervertebral disc herniation.</w:t>
      </w:r>
    </w:p>
    <w:p/>
    <w:p>
      <w:pPr>
        <w:pStyle w:val="Normal"/>
      </w:pPr>
      <w:r>
        <w:rPr>
          <w:color w:val="323232"/>
        </w:rPr>
        <w:t xml:space="preserve">H-L Amendt, J S Siedenburg, N Steffensen, U Kordass, K Rohn, A Tipold, and V M Stein.</w:t>
      </w:r>
    </w:p>
    <w:p/>
    <w:p>
      <w:pPr>
        <w:pStyle w:val="Normal"/>
      </w:pPr>
      <w:r>
        <w:rPr>
          <w:color w:val="323232"/>
        </w:rPr>
        <w:t xml:space="preserve">Transcranial magnetic motor evoked potentials (TMMEPs) can assess the functional integrity of the spinal cord descending motor pathways. In intervertebral disc herniation (IVDH), these pathways are compromised to varying degrees reflected by the severity of neurological deficits. The hypotheses of this study were as follows: (1) TMMEPs differ in dogs with IVDH and healthy control dogs; (2) TMMEPs reflect different severities of neurological signs; and (3) TMMEPs can document functional motor improvement and therefore monitor recovery of function. TMMEPs were recorded in 50 dogs with thoracolumbar IVDH. Clinical signs ranged from spinal hyperesthesia to non-ambulatory paraparesis in 19 dogs and paraplegia with/without deep pain sensation in 31 dogs. In these 31 paraplegic dogs, transcranial magnetic stimulation (TMS) was repeated during follow-up examinations. Ten healthy Beagle dogs served as controls. There was a significant increase in onset latency and decrease in peak-to-peak amplitude in the pelvic limb TMMEPs of dogs with spinal hyperesthesia to severe paraparesis compared to control dogs. Waveforms in dogs with IVDH were predominantly polyphasic in contrast to the biphasic waveforms of the control dogs. TMMEPs could not be generated in the pelvic limbs of paraplegic dogs. However, TMMEPs with markedly increased onset latencies and decreased peak-to-peak amplitudes reappeared in the pelvic limbs of dogs that were paraplegic before surgery and showed functional motor improvement during follow-up. The severity of neurological deficits was reflected by TMMEP findings, which could be used to document functional motor recovery in IVDH. TMS could therefore be used as an ancillary test to monitor response to therapy in dogs during rehabilitation.</w:t>
      </w:r>
    </w:p>
    <w:p/>
    <w:p>
      <w:pPr>
        <w:pStyle w:val="Normal"/>
      </w:pPr>
      <w:r>
        <w:rPr>
          <w:color w:val="323232"/>
        </w:rPr>
        <w:t xml:space="preserve">Vet J, 2017 vol. 221 pp. 48-53.</w:t>
      </w:r>
    </w:p>
    <w:p>
      <w:r>
        <w:rPr>
          <w:rStyle w:val="Hyperlink"/>
        </w:rPr>
        <w:fldChar w:fldCharType="begin"/>
      </w:r>
      <w:r>
        <w:rPr>
          <w:rStyle w:val="Hyperlink"/>
        </w:rPr>
        <w:instrText xml:space="preserve"> HYPERLINK "http://eutils.ncbi.nlm.nih.gov/entrez/eutils/elink.fcgi?dbfrom=pubmed&amp;id=28283080&amp;retmode=ref&amp;cmd=prlinks"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http://eutils.ncbi.nlm.nih.gov/entrez/eutils/elink.fcgi?dbfrom=pubmed&amp;id=28283080&amp;retmode=ref&amp;cmd=prlinks</w:t>
      </w:r>
      <w:r>
        <w:rPr>
          <w:rStyle w:val="Hyperlink"/>
        </w:rPr>
        <w:fldChar w:fldCharType="end"/>
      </w:r>
    </w:p>
    <w:p>
      <w:pPr>
        <w:pStyle w:val="Normal"/>
      </w:pPr>
      <w:r>
        <w:rPr>
          <w:color w:val="323232"/>
        </w:rPr>
        <w:t xml:space="preserve">————————</w:t>
      </w:r>
    </w:p>
    <w:p>
      <w:pPr>
        <w:pStyle w:val="Heading4"/>
      </w:pPr>
      <w:r>
        <w:t xml:space="preserve">Prevalence of thoracic vertebral malformations in French bulldogs, Pugs and English bulldogs with and without associated neurological deficits.</w:t>
      </w:r>
    </w:p>
    <w:p/>
    <w:p>
      <w:pPr>
        <w:pStyle w:val="Normal"/>
      </w:pPr>
      <w:r>
        <w:rPr>
          <w:color w:val="323232"/>
        </w:rPr>
        <w:t xml:space="preserve">R Ryan, R Gutierrez-Quintana, G Ter Haar, and Steven De Decker.</w:t>
      </w:r>
    </w:p>
    <w:p/>
    <w:p>
      <w:pPr>
        <w:pStyle w:val="Normal"/>
      </w:pPr>
      <w:r>
        <w:rPr>
          <w:color w:val="323232"/>
        </w:rPr>
        <w:t xml:space="preserve">Congenital vertebral malformations are common incidental findings in small breed dogs. This retrospective observational study evaluated the type and prevalence of thoracic vertebral malformations in 171 neurologically normal and 10 neurologically abnormal screw-tailed brachycephalic dogs. Neurologically normal dogs underwent CT for reasons unrelated to spinal disease, while affected dogs underwent MRI. Imaging studies were reviewed and vertebral malformations including hemivertebrae, block vertebrae, transitional vertebrae, and spina bifida were documented. The group of clinically normal dogs consisted of 62 French bulldogs, 68 Pugs and 41 English bulldogs. The group of affected dogs consisted of one French bulldog and nine Pugs. Overall, 80.7% of neurologically normal animals were affected by at least one vertebral malformation. There was a significant influence of breed, with thoracic vertebral malformations occurring more often in neurologically normal French bulldogs (P</w:t>
      </w:r>
      <w:r>
        <w:rPr>
          <w:color w:val="323232"/>
        </w:rPr>
        <w:t xml:space="preserve"> </w:t>
      </w:r>
      <w:r>
        <w:rPr>
          <w:color w:val="323232"/>
        </w:rPr>
        <w:t xml:space="preserve">&lt;0.0001) and English bulldogs (P</w:t>
      </w:r>
      <w:r>
        <w:rPr>
          <w:color w:val="323232"/>
        </w:rPr>
        <w:t xml:space="preserve"> </w:t>
      </w:r>
      <w:r>
        <w:rPr>
          <w:color w:val="323232"/>
        </w:rPr>
        <w:t xml:space="preserve">=</w:t>
      </w:r>
      <w:r>
        <w:rPr>
          <w:color w:val="323232"/>
        </w:rPr>
        <w:t xml:space="preserve"> </w:t>
      </w:r>
      <w:r>
        <w:rPr>
          <w:color w:val="323232"/>
        </w:rPr>
        <w:t xml:space="preserve">0.002). Compared to other breeds, hemivertebrae occurred more often in neurologically normal French bulldogs (93.5%; P</w:t>
      </w:r>
      <w:r>
        <w:rPr>
          <w:color w:val="323232"/>
        </w:rPr>
        <w:t xml:space="preserve"> </w:t>
      </w:r>
      <w:r>
        <w:rPr>
          <w:color w:val="323232"/>
        </w:rPr>
        <w:t xml:space="preserve">&lt;</w:t>
      </w:r>
      <w:r>
        <w:rPr>
          <w:color w:val="323232"/>
        </w:rPr>
        <w:t xml:space="preserve"> </w:t>
      </w:r>
      <w:r>
        <w:rPr>
          <w:color w:val="323232"/>
        </w:rPr>
        <w:t xml:space="preserve">0.0001 vs. Pugs; P</w:t>
      </w:r>
      <w:r>
        <w:rPr>
          <w:color w:val="323232"/>
        </w:rPr>
        <w:t xml:space="preserve"> </w:t>
      </w:r>
      <w:r>
        <w:rPr>
          <w:color w:val="323232"/>
        </w:rPr>
        <w:t xml:space="preserve">=</w:t>
      </w:r>
      <w:r>
        <w:rPr>
          <w:color w:val="323232"/>
        </w:rPr>
        <w:t xml:space="preserve"> </w:t>
      </w:r>
      <w:r>
        <w:rPr>
          <w:color w:val="323232"/>
        </w:rPr>
        <w:t xml:space="preserve">0.004 vs. English bulldogs) and less often in neurologically normal Pugs (17.6%; P</w:t>
      </w:r>
      <w:r>
        <w:rPr>
          <w:color w:val="323232"/>
        </w:rPr>
        <w:t xml:space="preserve"> </w:t>
      </w:r>
      <w:r>
        <w:rPr>
          <w:color w:val="323232"/>
        </w:rPr>
        <w:t xml:space="preserve">=</w:t>
      </w:r>
      <w:r>
        <w:rPr>
          <w:color w:val="323232"/>
        </w:rPr>
        <w:t xml:space="preserve"> </w:t>
      </w:r>
      <w:r>
        <w:rPr>
          <w:color w:val="323232"/>
        </w:rPr>
        <w:t xml:space="preserve">0.004 vs. English bulldogs). Neurologically normal Pugs were more often diagnosed with transitional vertebrae and spina bifida compared to other breeds (P</w:t>
      </w:r>
      <w:r>
        <w:rPr>
          <w:color w:val="323232"/>
        </w:rPr>
        <w:t xml:space="preserve"> </w:t>
      </w:r>
      <w:r>
        <w:rPr>
          <w:color w:val="323232"/>
        </w:rPr>
        <w:t xml:space="preserve">&lt;0.0001 for both malformations). Of Pugs included in the study, 4.7% were diagnosed with clinically relevant thoracic vertebral malformations. When compared to the general veterinary hospital population, this was significantly more than the other two breeds (P</w:t>
      </w:r>
      <w:r>
        <w:rPr>
          <w:color w:val="323232"/>
        </w:rPr>
        <w:t xml:space="preserve"> </w:t>
      </w:r>
      <w:r>
        <w:rPr>
          <w:color w:val="323232"/>
        </w:rPr>
        <w:t xml:space="preserve">=</w:t>
      </w:r>
      <w:r>
        <w:rPr>
          <w:color w:val="323232"/>
        </w:rPr>
        <w:t xml:space="preserve"> </w:t>
      </w:r>
      <w:r>
        <w:rPr>
          <w:color w:val="323232"/>
        </w:rPr>
        <w:t xml:space="preserve">0.006). This study indicates that thoracic vertebral malformations occur commonly in neurologically normal screw-tailed brachycephalic dogs. While hemivertebrae are often interpreted as incidental diagnostic findings, they appear to be of greater clinical importance in Pugs compared to other screw-tailed brachycephalic breeds.</w:t>
      </w:r>
    </w:p>
    <w:p/>
    <w:p>
      <w:pPr>
        <w:pStyle w:val="Normal"/>
      </w:pPr>
      <w:r>
        <w:rPr>
          <w:color w:val="323232"/>
        </w:rPr>
        <w:t xml:space="preserve">Vet J, 2017 vol. 221 pp. 25-29.</w:t>
      </w:r>
    </w:p>
    <w:p>
      <w:r>
        <w:rPr>
          <w:rStyle w:val="Hyperlink"/>
        </w:rPr>
        <w:fldChar w:fldCharType="begin"/>
      </w:r>
      <w:r>
        <w:rPr>
          <w:rStyle w:val="Hyperlink"/>
        </w:rPr>
        <w:instrText xml:space="preserve"> HYPERLINK "http://eutils.ncbi.nlm.nih.gov/entrez/eutils/elink.fcgi?dbfrom=pubmed&amp;id=28283076&amp;retmode=ref&amp;cmd=prlinks"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http://eutils.ncbi.nlm.nih.gov/entrez/eutils/elink.fcgi?dbfrom=pubmed&amp;id=28283076&amp;retmode=ref&amp;cmd=prlinks</w:t>
      </w:r>
      <w:r>
        <w:rPr>
          <w:rStyle w:val="Hyperlink"/>
        </w:rPr>
        <w:fldChar w:fldCharType="end"/>
      </w:r>
    </w:p>
    <w:p>
      <w:pPr>
        <w:pStyle w:val="Normal"/>
      </w:pPr>
      <w:r>
        <w:rPr>
          <w:color w:val="323232"/>
        </w:rPr>
        <w:t xml:space="preserve">————————</w:t>
      </w:r>
    </w:p>
    <w:p>
      <w:pPr>
        <w:pStyle w:val="Heading4"/>
      </w:pPr>
      <w:r>
        <w:t xml:space="preserve">Serum biomarkers of oxidative stress in dogs with idiopathic inflammatory bowel disease.</w:t>
      </w:r>
    </w:p>
    <w:p/>
    <w:p>
      <w:pPr>
        <w:pStyle w:val="Normal"/>
      </w:pPr>
      <w:r>
        <w:rPr>
          <w:color w:val="323232"/>
        </w:rPr>
        <w:t xml:space="preserve">C P Rubio, S Martínez-Subiela, J Hernández-Ruiz, A Tvarijonaviciute, J J Cerón, and K Allenspach.</w:t>
      </w:r>
    </w:p>
    <w:p/>
    <w:p>
      <w:pPr>
        <w:pStyle w:val="Normal"/>
      </w:pPr>
      <w:r>
        <w:rPr>
          <w:color w:val="323232"/>
        </w:rPr>
        <w:t xml:space="preserve">The objective of this work was to study and compare a panel of various serum biomarkers evaluating both the antioxidant response and oxidative damage in dogs with idiopathic inflammatory bowel disease (IBD). Eighteen dogs with IBD and 20 healthy dogs were enrolled in the study. Trolox equivalent antioxidant capacity (TEAC), cupric reducing antioxidant capacity (CUPRAC), ferric reducing ability of the plasma (FRAP), total thiol concentrations, and paraoxonase 1 (PON1) activity were evaluated in serum to determine antioxidant response. To evaluate oxidative status, ferrous oxidation-xylenol orange (FOX), thiobarbituric acid reactive substances (TBARS) and reactive oxygen species production (ROS) concentrations in serum were determined. Mean concentrations of all antioxidant biomarkers analyzed, with exception of FRAP, were significantly lower (P</w:t>
      </w:r>
      <w:r>
        <w:rPr>
          <w:color w:val="323232"/>
        </w:rPr>
        <w:t xml:space="preserve"> </w:t>
      </w:r>
      <w:r>
        <w:rPr>
          <w:color w:val="323232"/>
        </w:rPr>
        <w:t xml:space="preserve">&lt;</w:t>
      </w:r>
      <w:r>
        <w:rPr>
          <w:color w:val="323232"/>
        </w:rPr>
        <w:t xml:space="preserve"> </w:t>
      </w:r>
      <w:r>
        <w:rPr>
          <w:color w:val="323232"/>
        </w:rPr>
        <w:t xml:space="preserve">0.0001) in the sera of dogs with IBD than in healthy dogs. The oxidant markers studied were significantly higher (P</w:t>
      </w:r>
      <w:r>
        <w:rPr>
          <w:color w:val="323232"/>
        </w:rPr>
        <w:t xml:space="preserve"> </w:t>
      </w:r>
      <w:r>
        <w:rPr>
          <w:color w:val="323232"/>
        </w:rPr>
        <w:t xml:space="preserve">&lt;</w:t>
      </w:r>
      <w:r>
        <w:rPr>
          <w:color w:val="323232"/>
        </w:rPr>
        <w:t xml:space="preserve"> </w:t>
      </w:r>
      <w:r>
        <w:rPr>
          <w:color w:val="323232"/>
        </w:rPr>
        <w:t xml:space="preserve">0.0001) in sera of dogs with IBD than in healthy dogs. These findings support the hypothesis that oxidative stress could play an important role in the pathogenesis of canine IBD.</w:t>
      </w:r>
    </w:p>
    <w:p/>
    <w:p>
      <w:pPr>
        <w:pStyle w:val="Normal"/>
      </w:pPr>
      <w:r>
        <w:rPr>
          <w:color w:val="323232"/>
        </w:rPr>
        <w:t xml:space="preserve">Vet J, 2017 vol. 221 pp. 56-61.</w:t>
      </w:r>
    </w:p>
    <w:p>
      <w:r>
        <w:rPr>
          <w:rStyle w:val="Hyperlink"/>
        </w:rPr>
        <w:fldChar w:fldCharType="begin"/>
      </w:r>
      <w:r>
        <w:rPr>
          <w:rStyle w:val="Hyperlink"/>
        </w:rPr>
        <w:instrText xml:space="preserve"> HYPERLINK "http://eutils.ncbi.nlm.nih.gov/entrez/eutils/elink.fcgi?dbfrom=pubmed&amp;id=28283081&amp;retmode=ref&amp;cmd=prlinks"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http://eutils.ncbi.nlm.nih.gov/entrez/eutils/elink.fcgi?dbfrom=pubmed&amp;id=28283081&amp;retmode=ref&amp;cmd=prlinks</w:t>
      </w:r>
      <w:r>
        <w:rPr>
          <w:rStyle w:val="Hyperlink"/>
        </w:rPr>
        <w:fldChar w:fldCharType="end"/>
      </w:r>
    </w:p>
    <w:p>
      <w:pPr>
        <w:pStyle w:val="Normal"/>
      </w:pPr>
      <w:r>
        <w:rPr>
          <w:color w:val="323232"/>
        </w:rPr>
        <w:t xml:space="preserve">————————</w:t>
      </w:r>
    </w:p>
    <w:p>
      <w:pPr>
        <w:pStyle w:val="Heading4"/>
      </w:pPr>
      <w:r>
        <w:t xml:space="preserve">Anticoagulant activity of oral rivaroxaban in healthy dogs.</w:t>
      </w:r>
    </w:p>
    <w:p/>
    <w:p>
      <w:pPr>
        <w:pStyle w:val="Normal"/>
      </w:pPr>
      <w:r>
        <w:rPr>
          <w:color w:val="323232"/>
        </w:rPr>
        <w:t xml:space="preserve">B Conversy, M C Blais, M Dunn, C Gara-Boivin, and J R E Del Castillo.</w:t>
      </w:r>
    </w:p>
    <w:p/>
    <w:p>
      <w:pPr>
        <w:pStyle w:val="Normal"/>
      </w:pPr>
      <w:r>
        <w:rPr>
          <w:color w:val="323232"/>
        </w:rPr>
        <w:t xml:space="preserve">Rivaroxaban is an oral, direct factor Xa inhibitor used in human thrombotic disorders. In view of the in vitro concentration dependent anticoagulant effects of rivaroxaban in dogs, the time course of its anticoagulant effects was characterized in healthy dogs. Twenty-four healthy Beagles were randomized into three groups (n</w:t>
      </w:r>
      <w:r>
        <w:rPr>
          <w:color w:val="323232"/>
        </w:rPr>
        <w:t xml:space="preserve"> </w:t>
      </w:r>
      <w:r>
        <w:rPr>
          <w:color w:val="323232"/>
        </w:rPr>
        <w:t xml:space="preserve">=</w:t>
      </w:r>
      <w:r>
        <w:rPr>
          <w:color w:val="323232"/>
        </w:rPr>
        <w:t xml:space="preserve"> </w:t>
      </w:r>
      <w:r>
        <w:rPr>
          <w:color w:val="323232"/>
        </w:rPr>
        <w:t xml:space="preserve">8 per group) and received orally either a placebo or 20</w:t>
      </w:r>
      <w:r>
        <w:rPr>
          <w:color w:val="323232"/>
        </w:rPr>
        <w:t xml:space="preserve"> </w:t>
      </w:r>
      <w:r>
        <w:rPr>
          <w:color w:val="323232"/>
        </w:rPr>
        <w:t xml:space="preserve">mg rivaroxaban once or twice at an 8</w:t>
      </w:r>
      <w:r>
        <w:rPr>
          <w:color w:val="323232"/>
        </w:rPr>
        <w:t xml:space="preserve"> </w:t>
      </w:r>
      <w:r>
        <w:rPr>
          <w:color w:val="323232"/>
        </w:rPr>
        <w:t xml:space="preserve">h interval. Fifteen blood samples were collected over a 30</w:t>
      </w:r>
      <w:r>
        <w:rPr>
          <w:color w:val="323232"/>
        </w:rPr>
        <w:t xml:space="preserve"> </w:t>
      </w:r>
      <w:r>
        <w:rPr>
          <w:color w:val="323232"/>
        </w:rPr>
        <w:t xml:space="preserve">h period, and blindly assayed for prothrombin time (PT), activated partial thromboplastin time (aPTT), tissue factor induced thrombin generation (TG) and anti-factor Xa activity. Thromboelastography (TEG) was evaluated at 0, 1, 4, 8 and 24</w:t>
      </w:r>
      <w:r>
        <w:rPr>
          <w:color w:val="323232"/>
        </w:rPr>
        <w:t xml:space="preserve"> </w:t>
      </w:r>
      <w:r>
        <w:rPr>
          <w:color w:val="323232"/>
        </w:rPr>
        <w:t xml:space="preserve">h. Peak</w:t>
      </w:r>
      <w:r>
        <w:rPr>
          <w:i w:val="1"/>
          <w:color w:val="323232"/>
        </w:rPr>
        <w:t xml:space="preserve">baseline anticoagulant effect ratios were analyzed with generalized linear models using β distributions and times to return to baseline with survival analyses (α</w:t>
      </w:r>
      <w:r>
        <w:rPr>
          <w:color w:val="323232"/>
        </w:rPr>
        <w:t xml:space="preserve"> </w:t>
      </w:r>
      <w:r>
        <w:rPr>
          <w:i w:val="1"/>
          <w:color w:val="323232"/>
        </w:rPr>
        <w:t xml:space="preserve">=</w:t>
      </w:r>
      <w:r>
        <w:rPr>
          <w:color w:val="323232"/>
        </w:rPr>
        <w:t xml:space="preserve"> </w:t>
      </w:r>
      <w:r>
        <w:rPr>
          <w:i w:val="1"/>
          <w:color w:val="323232"/>
        </w:rPr>
        <w:t xml:space="preserve">0.05). Peak</w:t>
      </w:r>
      <w:r>
        <w:rPr>
          <w:color w:val="323232"/>
        </w:rPr>
        <w:t xml:space="preserve">baseline anticoagulant effect ratios of PT, aPTT, anti-factor Xa activity, TG and R (TEG) differed significantly between placebo and both rivaroxaban groups (P</w:t>
      </w:r>
      <w:r>
        <w:rPr>
          <w:color w:val="323232"/>
        </w:rPr>
        <w:t xml:space="preserve"> </w:t>
      </w:r>
      <w:r>
        <w:rPr>
          <w:color w:val="323232"/>
        </w:rPr>
        <w:t xml:space="preserve">&lt;0.0001). The peak anticoagulant effect of rivaroxaban occurred 1.5 to 2</w:t>
      </w:r>
      <w:r>
        <w:rPr>
          <w:color w:val="323232"/>
        </w:rPr>
        <w:t xml:space="preserve"> </w:t>
      </w:r>
      <w:r>
        <w:rPr>
          <w:color w:val="323232"/>
        </w:rPr>
        <w:t xml:space="preserve">h after dosing. The median return to baseline occurred significantly sooner (P</w:t>
      </w:r>
      <w:r>
        <w:rPr>
          <w:color w:val="323232"/>
        </w:rPr>
        <w:t xml:space="preserve"> </w:t>
      </w:r>
      <w:r>
        <w:rPr>
          <w:color w:val="323232"/>
        </w:rPr>
        <w:t xml:space="preserve">&lt;0.01) with 20</w:t>
      </w:r>
      <w:r>
        <w:rPr>
          <w:color w:val="323232"/>
        </w:rPr>
        <w:t xml:space="preserve"> </w:t>
      </w:r>
      <w:r>
        <w:rPr>
          <w:color w:val="323232"/>
        </w:rPr>
        <w:t xml:space="preserve">mg rivaroxaban administered once (7.9-18.7</w:t>
      </w:r>
      <w:r>
        <w:rPr>
          <w:color w:val="323232"/>
        </w:rPr>
        <w:t xml:space="preserve"> </w:t>
      </w:r>
      <w:r>
        <w:rPr>
          <w:color w:val="323232"/>
        </w:rPr>
        <w:t xml:space="preserve">h) versus twice (17.5-26.8</w:t>
      </w:r>
      <w:r>
        <w:rPr>
          <w:color w:val="323232"/>
        </w:rPr>
        <w:t xml:space="preserve"> </w:t>
      </w:r>
      <w:r>
        <w:rPr>
          <w:color w:val="323232"/>
        </w:rPr>
        <w:t xml:space="preserve">h). The inter-individual variability differed amongst assays, but overall was moderate to large. No adverse effects were recorded. Twice oral administration of 2</w:t>
      </w:r>
      <w:r>
        <w:rPr>
          <w:color w:val="323232"/>
        </w:rPr>
        <w:t xml:space="preserve"> </w:t>
      </w:r>
      <w:r>
        <w:rPr>
          <w:color w:val="323232"/>
        </w:rPr>
        <w:t xml:space="preserve">mg/kg rivaroxaban at an 8</w:t>
      </w:r>
      <w:r>
        <w:rPr>
          <w:color w:val="323232"/>
        </w:rPr>
        <w:t xml:space="preserve"> </w:t>
      </w:r>
      <w:r>
        <w:rPr>
          <w:color w:val="323232"/>
        </w:rPr>
        <w:t xml:space="preserve">h interval maintained 24</w:t>
      </w:r>
      <w:r>
        <w:rPr>
          <w:color w:val="323232"/>
        </w:rPr>
        <w:t xml:space="preserve"> </w:t>
      </w:r>
      <w:r>
        <w:rPr>
          <w:color w:val="323232"/>
        </w:rPr>
        <w:t xml:space="preserve">h anticoagulant activity, but larger studies are needed to establish guidelines for the use of rivaroxaban in dogs.</w:t>
      </w:r>
    </w:p>
    <w:p/>
    <w:p>
      <w:pPr>
        <w:pStyle w:val="Normal"/>
      </w:pPr>
      <w:r>
        <w:rPr>
          <w:color w:val="323232"/>
        </w:rPr>
        <w:t xml:space="preserve">Vet J, 2017 vol. 223 pp. 5-11.</w:t>
      </w:r>
    </w:p>
    <w:p>
      <w:r>
        <w:rPr>
          <w:rStyle w:val="Hyperlink"/>
        </w:rPr>
        <w:fldChar w:fldCharType="begin"/>
      </w:r>
      <w:r>
        <w:rPr>
          <w:rStyle w:val="Hyperlink"/>
        </w:rPr>
        <w:instrText xml:space="preserve"> HYPERLINK "http://eutils.ncbi.nlm.nih.gov/entrez/eutils/elink.fcgi?dbfrom=pubmed&amp;id=28671072&amp;retmode=ref&amp;cmd=prlinks"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http://eutils.ncbi.nlm.nih.gov/entrez/eutils/elink.fcgi?dbfrom=pubmed&amp;id=28671072&amp;retmode=ref&amp;cmd=prlinks</w:t>
      </w:r>
      <w:r>
        <w:rPr>
          <w:rStyle w:val="Hyperlink"/>
        </w:rPr>
        <w:fldChar w:fldCharType="end"/>
      </w:r>
    </w:p>
    <w:p>
      <w:pPr>
        <w:pStyle w:val="Normal"/>
      </w:pPr>
      <w:r>
        <w:rPr>
          <w:color w:val="323232"/>
        </w:rPr>
        <w:t xml:space="preserve">————————</w:t>
      </w:r>
    </w:p>
    <w:p>
      <w:pPr>
        <w:pStyle w:val="Heading4"/>
      </w:pPr>
      <w:r>
        <w:t xml:space="preserve">Association between ascites and primary hyperfibrinolysis: A cohort study in 210 dogs.</w:t>
      </w:r>
    </w:p>
    <w:p/>
    <w:p>
      <w:pPr>
        <w:pStyle w:val="Normal"/>
      </w:pPr>
      <w:r>
        <w:rPr>
          <w:color w:val="323232"/>
        </w:rPr>
        <w:t xml:space="preserve">Andrea Zoia, Michele Drigo, Paolo Simioni, Marco Caldin, and Christine J Piek.</w:t>
      </w:r>
    </w:p>
    <w:p/>
    <w:p>
      <w:pPr>
        <w:pStyle w:val="Normal"/>
      </w:pPr>
      <w:r>
        <w:rPr>
          <w:color w:val="323232"/>
        </w:rPr>
        <w:t xml:space="preserve">Coagulation profiles were determined in 70 dogs with ascites, 70 healthy control dogs and 70 sick control dogs without ascites. Dogs with ascites were divided into four sub-groups based on the pathophysiology of fluid formation. Coagulation profile, serum C-reactive protein and frequency of discordant plasma fibrin-fibrinogen degradation products and D-dimer assay results, suggesting primary hyperfibrinolysis, were compared between groups. Within the ascites group, 10 samples of ascitic fluid were transudates due to decreased osmotic pressure, 18 were transudates due to increased hydrostatic pressure, 13 were exudates and 29 were haemorrhagic. Plasma fibrinogen concentrations were significantly lower in dogs with ascites compared to sick dogs without ascites. Activated partial thromboplastin time, prothrombin time, plasma concentrations of fibrin-fibrinogen degradation products and D-dimers, and frequency of primary hyperfibrinolysis, were significantly higher for dogs with ascites compared to both control groups. There was no significant difference in platelet count between groups. The frequency of primary hyperfibrinolysis was highest in dogs with transudative ascites due to increased hydrostatic pressure. Serum C-reactive protein was significantly higher in dogs with ascites compared to both control groups, and significantly and positively correlated with plasma D-dimers. In conclusion, dogs with ascites have an increased frequency of primary hyperfibrinolysis, especially with ascites secondary to increased hydrostatic pressure. The increased inflammation present in these dogs may have activated haemostasis in some cases, explaining the higher plasma D-dimers.</w:t>
      </w:r>
    </w:p>
    <w:p/>
    <w:p>
      <w:pPr>
        <w:pStyle w:val="Normal"/>
      </w:pPr>
      <w:r>
        <w:rPr>
          <w:color w:val="323232"/>
        </w:rPr>
        <w:t xml:space="preserve">Vet J, 2017 vol. 223 pp. 12-20.</w:t>
      </w:r>
    </w:p>
    <w:p>
      <w:r>
        <w:rPr>
          <w:rStyle w:val="Hyperlink"/>
        </w:rPr>
        <w:fldChar w:fldCharType="begin"/>
      </w:r>
      <w:r>
        <w:rPr>
          <w:rStyle w:val="Hyperlink"/>
        </w:rPr>
        <w:instrText xml:space="preserve"> HYPERLINK "http://eutils.ncbi.nlm.nih.gov/entrez/eutils/elink.fcgi?dbfrom=pubmed&amp;id=28671065&amp;retmode=ref&amp;cmd=prlinks"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http://eutils.ncbi.nlm.nih.gov/entrez/eutils/elink.fcgi?dbfrom=pubmed&amp;id=28671065&amp;retmode=ref&amp;cmd=prlinks</w:t>
      </w:r>
      <w:r>
        <w:rPr>
          <w:rStyle w:val="Hyperlink"/>
        </w:rPr>
        <w:fldChar w:fldCharType="end"/>
      </w:r>
    </w:p>
    <w:p>
      <w:pPr>
        <w:pStyle w:val="Normal"/>
      </w:pPr>
      <w:r>
        <w:rPr>
          <w:color w:val="323232"/>
        </w:rPr>
        <w:t xml:space="preserve">————————</w:t>
      </w:r>
    </w:p>
    <w:p>
      <w:pPr>
        <w:pStyle w:val="Heading4"/>
      </w:pPr>
      <w:r>
        <w:t xml:space="preserve">Prevalence of hyoid injuries in dogs and cats undergoing computed tomography.</w:t>
      </w:r>
    </w:p>
    <w:p/>
    <w:p>
      <w:pPr>
        <w:pStyle w:val="Normal"/>
      </w:pPr>
      <w:r>
        <w:rPr>
          <w:color w:val="323232"/>
        </w:rPr>
        <w:t xml:space="preserve">J D Ruth, S K Stokowski, K S Clapp, and S R Werre.</w:t>
      </w:r>
    </w:p>
    <w:p/>
    <w:p>
      <w:pPr>
        <w:pStyle w:val="Normal"/>
      </w:pPr>
      <w:r>
        <w:rPr>
          <w:color w:val="323232"/>
        </w:rPr>
        <w:t xml:space="preserve">Fractures of the hyoid bones have been reported occasionally in dogs, but the prevalence and significance of hyoid injury in dogs and cats are unknown. In human beings, hyoid injury is rare and usually is caused by direct trauma to the greater cornu, which are analogous to the paired canine and feline thyrohyoid bones. The aim of this study was to describe the prevalence and morphology of hyoid bone injury detected in dogs and cats undergoing computed tomography (CT) for unrelated disease. CT studies of 293 dogs and 100 cats from 2012 to 2016 were identified and reviewed retrospectively. Hyoid fracture (total of eight bones) or luxation (total of four sites) was present in 9/293 (3.1%) dogs, but none of the cats. One dog had bilateral fractures and one dog had bilateral luxations. The most frequently fractured bone was the epihyoid bone (4/8 fractures). Fracture margins were tapered and sclerotic, consistent with chronic non-union. There was no history of trauma, dysphagia or dyspnea in 7/9 dogs with hyoid fractures. Hyoid bone injury, particularly epihyoid bone fracture, may be an incidental finding in dogs.</w:t>
      </w:r>
    </w:p>
    <w:p/>
    <w:p>
      <w:pPr>
        <w:pStyle w:val="Normal"/>
      </w:pPr>
      <w:r>
        <w:rPr>
          <w:color w:val="323232"/>
        </w:rPr>
        <w:t xml:space="preserve">Vet J, 2017 vol. 223 pp. 34-38.</w:t>
      </w:r>
    </w:p>
    <w:p>
      <w:r>
        <w:rPr>
          <w:rStyle w:val="Hyperlink"/>
        </w:rPr>
        <w:fldChar w:fldCharType="begin"/>
      </w:r>
      <w:r>
        <w:rPr>
          <w:rStyle w:val="Hyperlink"/>
        </w:rPr>
        <w:instrText xml:space="preserve"> HYPERLINK "http://eutils.ncbi.nlm.nih.gov/entrez/eutils/elink.fcgi?dbfrom=pubmed&amp;id=28671069&amp;retmode=ref&amp;cmd=prlinks"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http://eutils.ncbi.nlm.nih.gov/entrez/eutils/elink.fcgi?dbfrom=pubmed&amp;id=28671069&amp;retmode=ref&amp;cmd=prlinks</w:t>
      </w:r>
      <w:r>
        <w:rPr>
          <w:rStyle w:val="Hyperlink"/>
        </w:rPr>
        <w:fldChar w:fldCharType="end"/>
      </w:r>
    </w:p>
    <w:p>
      <w:pPr>
        <w:pStyle w:val="Normal"/>
      </w:pPr>
      <w:r>
        <w:rPr>
          <w:color w:val="323232"/>
        </w:rPr>
        <w:t xml:space="preserve">————————</w:t>
      </w:r>
    </w:p>
    <w:p>
      <w:pPr>
        <w:pStyle w:val="Heading4"/>
      </w:pPr>
      <w:r>
        <w:t xml:space="preserve">Molecular characteristics of clinical methicillin-resistant Staphylococcus pseudintermedius harboring arginine catabolic mobile element (ACME) from dogs and cats.</w:t>
      </w:r>
    </w:p>
    <w:p/>
    <w:p>
      <w:pPr>
        <w:pStyle w:val="Normal"/>
      </w:pPr>
      <w:r>
        <w:rPr>
          <w:color w:val="323232"/>
        </w:rPr>
        <w:t xml:space="preserve">Ching Yang, Min-Tao Wan, Tsai-Ling Lauderdale, Kuang-Sheng Yeh, Charles Chen, Yun-Hsia Hsiao, and Chin-Cheng Chou.</w:t>
      </w:r>
    </w:p>
    <w:p/>
    <w:p>
      <w:pPr>
        <w:pStyle w:val="Normal"/>
      </w:pPr>
      <w:r>
        <w:rPr>
          <w:color w:val="323232"/>
        </w:rPr>
        <w:t xml:space="preserve">This study aimed to investigate the presence of arginine catabolic mobile element (ACME) and its associated molecular characteristics in methicillin-resistant Staphylococcus pseudintermedius (MRSP). Among the 72 S. pseudintermedius recovered from various infection sites of dogs and cats, 52 (72.2%) were MRSP. ACME-arcA was detected commonly (69.2%) in these MRSP isolates, and was more frequently detected in those from the skin than from other body sites (P=0.047). There was a wide genetic diversity among the ACME-arcA-positive MRSP isolates, which comprised three SCCmec types (II-III, III and V) and 15 dru types with two predominant clusters (9a and 11a). Most MRSP isolates were multidrug-resistant. Since S. pseudintermedius could serve as a reservoir of ACME, further research on this putative virulence factor is recommended.</w:t>
      </w:r>
    </w:p>
    <w:p/>
    <w:p>
      <w:pPr>
        <w:pStyle w:val="Normal"/>
      </w:pPr>
      <w:r>
        <w:rPr>
          <w:color w:val="323232"/>
        </w:rPr>
        <w:t xml:space="preserve">Vet J, 2017 vol. 224 pp. 46-49.</w:t>
      </w:r>
    </w:p>
    <w:p>
      <w:r>
        <w:rPr>
          <w:rStyle w:val="Hyperlink"/>
        </w:rPr>
        <w:fldChar w:fldCharType="begin"/>
      </w:r>
      <w:r>
        <w:rPr>
          <w:rStyle w:val="Hyperlink"/>
        </w:rPr>
        <w:instrText xml:space="preserve"> HYPERLINK "http://eutils.ncbi.nlm.nih.gov/entrez/eutils/elink.fcgi?dbfrom=pubmed&amp;id=28697875&amp;retmode=ref&amp;cmd=prlinks"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http://eutils.ncbi.nlm.nih.gov/entrez/eutils/elink.fcgi?dbfrom=pubmed&amp;id=28697875&amp;retmode=ref&amp;cmd=prlinks</w:t>
      </w:r>
      <w:r>
        <w:rPr>
          <w:rStyle w:val="Hyperlink"/>
        </w:rPr>
        <w:fldChar w:fldCharType="end"/>
      </w:r>
    </w:p>
    <w:p>
      <w:pPr>
        <w:pStyle w:val="Normal"/>
      </w:pPr>
      <w:r>
        <w:rPr>
          <w:color w:val="323232"/>
        </w:rPr>
        <w:t xml:space="preserve">————————</w:t>
      </w:r>
    </w:p>
    <w:p>
      <w:pPr>
        <w:pStyle w:val="Heading4"/>
      </w:pPr>
      <w:r>
        <w:t xml:space="preserve">Patterns of antimicrobial agent prescription in a sentinel population of canine and feline veterinary practices in the United Kingdom.</w:t>
      </w:r>
    </w:p>
    <w:p/>
    <w:p>
      <w:pPr>
        <w:pStyle w:val="Normal"/>
      </w:pPr>
      <w:r>
        <w:rPr>
          <w:color w:val="323232"/>
        </w:rPr>
        <w:t xml:space="preserve">D A Singleton, F Sánchez-Vizcaíno, S Dawson, P H Jones, P J M Noble, G L Pinchbeck, N J Williams, and A D Radford.</w:t>
      </w:r>
    </w:p>
    <w:p/>
    <w:p>
      <w:pPr>
        <w:pStyle w:val="Normal"/>
      </w:pPr>
      <w:r>
        <w:rPr>
          <w:color w:val="323232"/>
        </w:rPr>
        <w:t xml:space="preserve">Antimicrobial resistance is an increasingly important global health threat and the use of antimicrobial agents is a key risk factor in its development. This study describes antimicrobial agent prescription (AAP) patterns over a 2year period using electronic health records (EHRs) from booked consultations in a network of 457 sentinel veterinary premises in the United Kingdom. A semi-automated classification methodology was used to map practitioner defined product codes in 918,333 EHRs from 413,870 dogs and 352,730 EHRs from 200,541 cats, including 289,789 AAPs. AAP as a proportion of total booked consultations was more frequent in dogs (18.8%, 95% confidence interval, CI, 18.2-19.4) than cats (17.5%, 95% CI 16.9-18.1). Prescription of topical antimicrobial agents was more frequent in dogs (7.4%, 95% CI 7.2-7.7) than cats (3.2%, 95% CI 3.1-3.3), whilst prescription of systemic antimicrobial agents was more frequent in cats (14.8%, 95% CI 14.2-15.4) than dogs (12.2%, 95% CI 11.7-12.7). A decreasing temporal pattern was identified for prescription of systemic antimicrobial agents in dogs and cats. Premises which prescribed antimicrobial agents frequently for dogs also prescribed frequently for cats. AAP was most frequent during pruritus consultations in dogs and trauma consultations in cats. Clavulanic acid potentiated amoxicillin was the most frequently prescribed antimicrobial agent in dogs (28.6% of prescriptions, 95% CI 27.4-29.8), whereas cefovecin, a third generation cephalosporin, was the most frequently prescribed antimicrobial agent in cats (36.2%, 95% CI 33.9-38.5). This study demonstrated patterns in AAP over time and for different conditions in a population of companion animals in the United Kingdom.</w:t>
      </w:r>
    </w:p>
    <w:p/>
    <w:p>
      <w:pPr>
        <w:pStyle w:val="Normal"/>
      </w:pPr>
      <w:r>
        <w:rPr>
          <w:color w:val="323232"/>
        </w:rPr>
        <w:t xml:space="preserve">Vet J, 2017 vol. 224 pp. 18-24.</w:t>
      </w:r>
    </w:p>
    <w:p>
      <w:r>
        <w:rPr>
          <w:rStyle w:val="Hyperlink"/>
        </w:rPr>
        <w:fldChar w:fldCharType="begin"/>
      </w:r>
      <w:r>
        <w:rPr>
          <w:rStyle w:val="Hyperlink"/>
        </w:rPr>
        <w:instrText xml:space="preserve"> HYPERLINK "http://eutils.ncbi.nlm.nih.gov/entrez/eutils/elink.fcgi?dbfrom=pubmed&amp;id=28697871&amp;retmode=ref&amp;cmd=prlinks"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http://eutils.ncbi.nlm.nih.gov/entrez/eutils/elink.fcgi?dbfrom=pubmed&amp;id=28697871&amp;retmode=ref&amp;cmd=prlinks</w:t>
      </w:r>
      <w:r>
        <w:rPr>
          <w:rStyle w:val="Hyperlink"/>
        </w:rPr>
        <w:fldChar w:fldCharType="end"/>
      </w:r>
    </w:p>
    <w:p>
      <w:pPr>
        <w:pStyle w:val="Normal"/>
      </w:pPr>
      <w:r>
        <w:rPr>
          <w:color w:val="323232"/>
        </w:rPr>
        <w:t xml:space="preserve">————————</w:t>
      </w:r>
    </w:p>
    <w:p>
      <w:pPr>
        <w:pStyle w:val="Heading4"/>
      </w:pPr>
      <w:r>
        <w:t xml:space="preserve">Cats with diabetes mellitus have diastolic dysfunction in the absence of structural heart disease.</w:t>
      </w:r>
    </w:p>
    <w:p/>
    <w:p>
      <w:pPr>
        <w:pStyle w:val="Normal"/>
      </w:pPr>
      <w:r>
        <w:rPr>
          <w:color w:val="323232"/>
        </w:rPr>
        <w:t xml:space="preserve">N J Pereira, J Novo Matos, M Baron Toaldo, U Bartoszuk, N Summerfield, A Riederer, C Reusch, and T M Glaus.</w:t>
      </w:r>
    </w:p>
    <w:p/>
    <w:p>
      <w:pPr>
        <w:pStyle w:val="Normal"/>
      </w:pPr>
      <w:r>
        <w:rPr>
          <w:color w:val="323232"/>
        </w:rPr>
        <w:t xml:space="preserve">Diabetes mellitus (DM) can result in cardiovascular dysfunction and heart failure characterized by diastolic dysfunction with or without the presence of systolic dysfunction in people and laboratory animals. The objective of this prospective study was to determine if cats with newly diagnosed DM had myocardial dysfunction and, if present, whether it would progress if appropriate antidiabetic therapy was commenced. Thirty-two diabetic cats were enrolled and received baseline echocardiographic examination; of these, 15 cats were re-examined after 6 months. Ten healthy age- and weight-matched cats served as controls. Diabetic cats at diagnosis showed decreased diastolic, but not systolic function, when compared to healthy controls, with lower mitral inflow E wave (E) and E</w:t>
      </w:r>
      <w:r>
        <w:rPr>
          <w:i w:val="1"/>
          <w:color w:val="323232"/>
        </w:rPr>
        <w:t xml:space="preserve">E' than controls. After 6 months, E and E</w:t>
      </w:r>
      <w:r>
        <w:rPr>
          <w:color w:val="323232"/>
        </w:rPr>
        <w:t xml:space="preserve">IVRT' decreased further in diabetic cats compared to the baseline evaluation. After excluding cats whose DM was in remission at 6 months, insulin-dependent diabetic cats had lower E, E</w:t>
      </w:r>
      <w:r>
        <w:rPr>
          <w:i w:val="1"/>
          <w:color w:val="323232"/>
        </w:rPr>
        <w:t xml:space="preserve">A and E' than controls. When classifying diastolic function according to E</w:t>
      </w:r>
      <w:r>
        <w:rPr>
          <w:color w:val="323232"/>
        </w:rPr>
        <w:t xml:space="preserve">A and E'/A', there was shift towards impaired relaxation patterns at 6 months. All insulin-dependent diabetic cats at 6 months had abnormal diastolic function. These results indicate that DM has similar effects on diastolic function in feline and human diabetics. The dysfunction seemed to progress rather than to normalize after 6 months, despite antidiabetic therapy. In cats with pre-existing heart disease, the development of DM could represent an important additional health risk.</w:t>
      </w:r>
    </w:p>
    <w:p/>
    <w:p>
      <w:pPr>
        <w:pStyle w:val="Normal"/>
      </w:pPr>
      <w:r>
        <w:rPr>
          <w:color w:val="323232"/>
        </w:rPr>
        <w:t xml:space="preserve">Vet J, 2017 vol. 225 pp. 50-55.</w:t>
      </w:r>
    </w:p>
    <w:p>
      <w:r>
        <w:rPr>
          <w:rStyle w:val="Hyperlink"/>
        </w:rPr>
        <w:fldChar w:fldCharType="begin"/>
      </w:r>
      <w:r>
        <w:rPr>
          <w:rStyle w:val="Hyperlink"/>
        </w:rPr>
        <w:instrText xml:space="preserve"> HYPERLINK "http://eutils.ncbi.nlm.nih.gov/entrez/eutils/elink.fcgi?dbfrom=pubmed&amp;id=28720299&amp;retmode=ref&amp;cmd=prlinks"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http://eutils.ncbi.nlm.nih.gov/entrez/eutils/elink.fcgi?dbfrom=pubmed&amp;id=28720299&amp;retmode=ref&amp;cmd=prlinks</w:t>
      </w:r>
      <w:r>
        <w:rPr>
          <w:rStyle w:val="Hyperlink"/>
        </w:rPr>
        <w:fldChar w:fldCharType="end"/>
      </w:r>
    </w:p>
    <w:p>
      <w:pPr>
        <w:pStyle w:val="Normal"/>
      </w:pPr>
      <w:r>
        <w:rPr>
          <w:color w:val="323232"/>
        </w:rPr>
        <w:t xml:space="preserve">————————</w:t>
      </w:r>
    </w:p>
    <w:p>
      <w:pPr>
        <w:pStyle w:val="Heading4"/>
      </w:pPr>
      <w:r>
        <w:t xml:space="preserve">Clinical reasoning in feline epilepsy: Which combination of clinical information is useful?.</w:t>
      </w:r>
    </w:p>
    <w:p/>
    <w:p>
      <w:pPr>
        <w:pStyle w:val="Normal"/>
      </w:pPr>
      <w:r>
        <w:rPr>
          <w:color w:val="323232"/>
        </w:rPr>
        <w:t xml:space="preserve">Gabriela-Dumitrita Stanciu, Rowena Mary Anne Packer, Akos Pakozdy, Gheorghe Solcan, and Holger Andreas Volk.</w:t>
      </w:r>
    </w:p>
    <w:p/>
    <w:p>
      <w:pPr>
        <w:pStyle w:val="Normal"/>
      </w:pPr>
      <w:r>
        <w:rPr>
          <w:color w:val="323232"/>
        </w:rPr>
        <w:t xml:space="preserve">We sought to identify the association between clinical risk factors and the diagnosis of idiopathic epilepsy (IE) or structural epilepsy (SE) in cats, using statistical models to identify combinations of discrete parameters from the patient signalment, history and neurological examination findings that could suggest the most likely diagnosis. Data for 138 cats with recurrent seizures were reviewed, of which 110 were valid for inclusion. Seizure aetiology was classified as IE in 57% and SE in 43% of cats. Binomial logistic regression analyses demonstrated that pedigree status, older age at seizure onset (particularly &gt;7years old), abnormal neurological examinations, and ictal vocalisation were associated with a diagnosis of SE compared to IE, and that ictal salivation was more likely to be associated with a diagnosis of IE than SE. These findings support the importance of considering inter-ictal neurological deficits and seizure history in clinical reasoning.</w:t>
      </w:r>
    </w:p>
    <w:p/>
    <w:p>
      <w:pPr>
        <w:pStyle w:val="Normal"/>
      </w:pPr>
      <w:r>
        <w:rPr>
          <w:color w:val="323232"/>
        </w:rPr>
        <w:t xml:space="preserve">Vet J, 2017 vol. 225 pp. 9-12.</w:t>
      </w:r>
    </w:p>
    <w:p>
      <w:r>
        <w:rPr>
          <w:rStyle w:val="Hyperlink"/>
        </w:rPr>
        <w:fldChar w:fldCharType="begin"/>
      </w:r>
      <w:r>
        <w:rPr>
          <w:rStyle w:val="Hyperlink"/>
        </w:rPr>
        <w:instrText xml:space="preserve"> HYPERLINK "http://eutils.ncbi.nlm.nih.gov/entrez/eutils/elink.fcgi?dbfrom=pubmed&amp;id=28720302&amp;retmode=ref&amp;cmd=prlinks"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http://eutils.ncbi.nlm.nih.gov/entrez/eutils/elink.fcgi?dbfrom=pubmed&amp;id=28720302&amp;retmode=ref&amp;cmd=prlinks</w:t>
      </w:r>
      <w:r>
        <w:rPr>
          <w:rStyle w:val="Hyperlink"/>
        </w:rPr>
        <w:fldChar w:fldCharType="end"/>
      </w:r>
    </w:p>
    <w:p>
      <w:pPr>
        <w:pStyle w:val="Normal"/>
      </w:pPr>
      <w:r>
        <w:rPr>
          <w:color w:val="323232"/>
        </w:rPr>
        <w:t xml:space="preserve">————————</w:t>
      </w:r>
    </w:p>
    <w:p>
      <w:pPr>
        <w:pStyle w:val="Heading4"/>
      </w:pPr>
      <w:r>
        <w:t xml:space="preserve">Epidemiological study of gastric Helicobacter spp. in dogs with gastrointestinal disease in Japan and diversity of Helicobacter heilmannii sensu stricto.</w:t>
      </w:r>
    </w:p>
    <w:p/>
    <w:p>
      <w:pPr>
        <w:pStyle w:val="Normal"/>
      </w:pPr>
      <w:r>
        <w:rPr>
          <w:color w:val="323232"/>
        </w:rPr>
        <w:t xml:space="preserve">Sanae Kubota-Aizawa, Koichi Ohno, Kenjiro Fukushima, Hideyuki Kanemoto, Ko Nakashima, Kazuyuki Uchida, James K Chambers, Yuko Goto-Koshino, Takayasu Watanabe, Tsutomu Sekizaki, Hitomi Mimuro, and Hajime Tsujimoto.</w:t>
      </w:r>
    </w:p>
    <w:p/>
    <w:p>
      <w:pPr>
        <w:pStyle w:val="Normal"/>
      </w:pPr>
      <w:r>
        <w:rPr>
          <w:color w:val="323232"/>
        </w:rPr>
        <w:t xml:space="preserve">Epidemiological and pathological studies of Helicobacter spp. in canine stomachs in Japan were performed to investigate strain specific pathogenicity. Gastric biopsies from 144 dogs with gastrointestinal diseases were evaluated for the presence of Helicobacter spp. using genus and species specific PCRs for Helicobacter felis, Helicobacter bizzozeronii, Helicobacter heilmannii sensu stricto (s.s.) and Helicobacter pylori. PCR indicated that 50/144 (34.7%) dogs were infected with Helicobacter spp. Of the genus positive samples, 21/50 could not be amplified by any of the species specific PCRs. To investigate Helicobacter at the species level, partial ureAB gene sequences from 48/50 genus positive samples were determined; 47 strains were identified. Thirty-five strains from 45 cases were closely related to H. heilmannii s.s. (89-99% sequence similarity), seven strains from seven cases were closely related to H. bizzozeronii (95-99% sequence similarity), three strains from three cases were closely related to Helicobacter felis (86%, 98% and 99% sequence similarity), one strain from one case was closely related to Helicobacter salomonis (99% sequence similarity) and one strain from one case was closely related to H. pylori (99% sequence similarity). Dogs infected with Helicobacter spp. most similar to H. heilmannii s.s. had a higher frequency of moderate to severe gastritis than dogs negative for Helicobacter spp. (P=0.044). In conclusion, the predominant Helicobacter spp. detected in canine stomachs in our study were most closely related to H. heilmannii s.s. and displayed substantial genetic diversity. Infection with Helicobacter spp. may be associated with more severe gastritis in dogs.</w:t>
      </w:r>
    </w:p>
    <w:p/>
    <w:p>
      <w:pPr>
        <w:pStyle w:val="Normal"/>
      </w:pPr>
      <w:r>
        <w:rPr>
          <w:color w:val="323232"/>
        </w:rPr>
        <w:t xml:space="preserve">Vet J, 2017 vol. 225 pp. 56-62.</w:t>
      </w:r>
    </w:p>
    <w:p>
      <w:r>
        <w:rPr>
          <w:rStyle w:val="Hyperlink"/>
        </w:rPr>
        <w:fldChar w:fldCharType="begin"/>
      </w:r>
      <w:r>
        <w:rPr>
          <w:rStyle w:val="Hyperlink"/>
        </w:rPr>
        <w:instrText xml:space="preserve"> HYPERLINK "http://eutils.ncbi.nlm.nih.gov/entrez/eutils/elink.fcgi?dbfrom=pubmed&amp;id=28720300&amp;retmode=ref&amp;cmd=prlinks"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http://eutils.ncbi.nlm.nih.gov/entrez/eutils/elink.fcgi?dbfrom=pubmed&amp;id=28720300&amp;retmode=ref&amp;cmd=prlinks</w:t>
      </w:r>
      <w:r>
        <w:rPr>
          <w:rStyle w:val="Hyperlink"/>
        </w:rPr>
        <w:fldChar w:fldCharType="end"/>
      </w:r>
    </w:p>
    <w:p>
      <w:pPr>
        <w:pStyle w:val="Normal"/>
      </w:pPr>
      <w:r>
        <w:rPr>
          <w:color w:val="323232"/>
        </w:rPr>
        <w:t xml:space="preserve">————————</w:t>
      </w:r>
    </w:p>
    <w:p>
      <w:pPr>
        <w:pStyle w:val="Heading4"/>
      </w:pPr>
      <w:r>
        <w:t xml:space="preserve">Papillomaviruses in dogs and cats.</w:t>
      </w:r>
    </w:p>
    <w:p/>
    <w:p>
      <w:pPr>
        <w:pStyle w:val="Normal"/>
      </w:pPr>
      <w:r>
        <w:rPr>
          <w:color w:val="323232"/>
        </w:rPr>
        <w:t xml:space="preserve">John S Munday, Neroli A Thomson, and Jennifer A Luff.</w:t>
      </w:r>
    </w:p>
    <w:p/>
    <w:p>
      <w:pPr>
        <w:pStyle w:val="Normal"/>
      </w:pPr>
      <w:r>
        <w:rPr>
          <w:color w:val="323232"/>
        </w:rPr>
        <w:t xml:space="preserve">Papillomaviruses (PVs) cause disease in both dogs and cats. In dogs, PVs are thought to cause oral papillomatosis, cutaneous papillomas and canine viral pigmented plaques, whereas PVs have been rarely associated with the development of oral and cutaneous squamous cell carcinomas in this species. In cats, PVs are currently thought to cause oral papillomas, feline viral plaques, Bowenoid in situ carcinomas and feline sarcoids. Furthermore, there is increasing evidence that PVs may also be a cause of cutaneous squamous cell carcinomas and basal cell carcinomas in cats. These diseases are discussed in this review. Additionally, there is a brief overview of PV biology, including how these viruses cause disease. Diagnostic techniques and possible methods to prevent PV infection are also discussed.</w:t>
      </w:r>
    </w:p>
    <w:p/>
    <w:p>
      <w:pPr>
        <w:pStyle w:val="Normal"/>
      </w:pPr>
      <w:r>
        <w:rPr>
          <w:color w:val="323232"/>
        </w:rPr>
        <w:t xml:space="preserve">Vet J, 2017 vol. 225 pp. 23-31.</w:t>
      </w:r>
    </w:p>
    <w:p>
      <w:r>
        <w:rPr>
          <w:rStyle w:val="Hyperlink"/>
        </w:rPr>
        <w:fldChar w:fldCharType="begin"/>
      </w:r>
      <w:r>
        <w:rPr>
          <w:rStyle w:val="Hyperlink"/>
        </w:rPr>
        <w:instrText xml:space="preserve"> HYPERLINK "http://eutils.ncbi.nlm.nih.gov/entrez/eutils/elink.fcgi?dbfrom=pubmed&amp;id=28720294&amp;retmode=ref&amp;cmd=prlinks"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http://eutils.ncbi.nlm.nih.gov/entrez/eutils/elink.fcgi?dbfrom=pubmed&amp;id=28720294&amp;retmode=ref&amp;cmd=prlinks</w:t>
      </w:r>
      <w:r>
        <w:rPr>
          <w:rStyle w:val="Hyperlink"/>
        </w:rPr>
        <w:fldChar w:fldCharType="end"/>
      </w:r>
    </w:p>
    <w:p>
      <w:pPr>
        <w:pStyle w:val="Normal"/>
      </w:pPr>
      <w:r>
        <w:rPr>
          <w:color w:val="323232"/>
        </w:rPr>
        <w:t xml:space="preserve">————————</w:t>
      </w:r>
    </w:p>
    <w:p>
      <w:pPr>
        <w:pStyle w:val="Heading4"/>
      </w:pPr>
      <w:r>
        <w:t xml:space="preserve">Urinary heat shock protein 72 as a biomarker of acute kidney injury in dogs.</w:t>
      </w:r>
    </w:p>
    <w:p/>
    <w:p>
      <w:pPr>
        <w:pStyle w:val="Normal"/>
      </w:pPr>
      <w:r>
        <w:rPr>
          <w:color w:val="323232"/>
        </w:rPr>
        <w:t xml:space="preserve">Yaron Bruchim, Yochai Avital, Michal Horowitz, Michal Mazaki-Tovi, Itamar Aroch, and Gilad Segev.</w:t>
      </w:r>
    </w:p>
    <w:p/>
    <w:p>
      <w:pPr>
        <w:pStyle w:val="Normal"/>
      </w:pPr>
      <w:r>
        <w:rPr>
          <w:color w:val="323232"/>
        </w:rPr>
        <w:t xml:space="preserve">Early recognition of acute kidney injury (AKI) is important, as therapy is potentially more efficacious if instituted early in the course of disease. Urinary heat shock protein-72 to urinary creatinine ratio (uHSP72/uCr) was assessed as a diagnostic and prognostic marker in AKI in dogs. Fifty-three dogs were enrolled in five groups: healthy controls (n=11), urinary tract infection (n=10), chronic kidney disease (CKD; n=11), AKI (n=13), and acute decompensating CKD (n=8). Urinary heat shock protein-72 to urinary creatinine ratio was highest in the AKI group (P&lt;0.001 when compared to the control and urinary tract infection groups, individually; P&gt;0.05 compared to each of the other two groups). The area under the curve (AUC) for the receiver operator characteristic (ROC) analysis of uHSP72/uCr to predict AKI, compared to the control group, was 0.97. A cutoff value of 0.20ng/mg corresponded to sensitivity and specificity of 100% and 82%, respectively. Urinary heat shock protein-72 to urinary creatinine ratio was significantly lower in dogs categorized as survivors vs. non-survivors of AKI; ROC AUC, 0.91 (95% confidence intervals, 0.74-1.0). Urinary heat shock protein-72 to urinary creatinine ratio is a potentially useful diagnostic and prognostic biomarker of AKI in dogs.</w:t>
      </w:r>
    </w:p>
    <w:p/>
    <w:p>
      <w:pPr>
        <w:pStyle w:val="Normal"/>
      </w:pPr>
      <w:r>
        <w:rPr>
          <w:color w:val="323232"/>
        </w:rPr>
        <w:t xml:space="preserve">Vet J, 2017 vol. 225 pp. 32-34.</w:t>
      </w:r>
    </w:p>
    <w:p>
      <w:r>
        <w:rPr>
          <w:rStyle w:val="Hyperlink"/>
        </w:rPr>
        <w:fldChar w:fldCharType="begin"/>
      </w:r>
      <w:r>
        <w:rPr>
          <w:rStyle w:val="Hyperlink"/>
        </w:rPr>
        <w:instrText xml:space="preserve"> HYPERLINK "http://eutils.ncbi.nlm.nih.gov/entrez/eutils/elink.fcgi?dbfrom=pubmed&amp;id=28720296&amp;retmode=ref&amp;cmd=prlinks"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http://eutils.ncbi.nlm.nih.gov/entrez/eutils/elink.fcgi?dbfrom=pubmed&amp;id=28720296&amp;retmode=ref&amp;cmd=prlinks</w:t>
      </w:r>
      <w:r>
        <w:rPr>
          <w:rStyle w:val="Hyperlink"/>
        </w:rPr>
        <w:fldChar w:fldCharType="end"/>
      </w:r>
    </w:p>
    <w:p>
      <w:pPr>
        <w:pStyle w:val="Normal"/>
      </w:pPr>
      <w:r>
        <w:rPr>
          <w:color w:val="323232"/>
        </w:rPr>
        <w:t xml:space="preserve">————————</w:t>
      </w:r>
    </w:p>
    <w:p>
      <w:pPr>
        <w:pStyle w:val="Heading4"/>
      </w:pPr>
      <w:r>
        <w:t xml:space="preserve">Compartmental resection of peripheral nerve tumours with limb preservation in 16 dogs (1995-2011).</w:t>
      </w:r>
    </w:p>
    <w:p/>
    <w:p>
      <w:pPr>
        <w:pStyle w:val="Normal"/>
      </w:pPr>
      <w:r>
        <w:rPr>
          <w:color w:val="323232"/>
        </w:rPr>
        <w:t xml:space="preserve">L van Stee, S Boston, E Teske, and B Meij.</w:t>
      </w:r>
    </w:p>
    <w:p/>
    <w:p>
      <w:pPr>
        <w:pStyle w:val="Normal"/>
      </w:pPr>
      <w:r>
        <w:rPr>
          <w:color w:val="323232"/>
        </w:rPr>
        <w:t xml:space="preserve">Peripheral nerve tumours (PNTs) affecting the limbs may lead to chronic pain, lameness and/or monoparesis that is refractory to medical treatment. The most common radical therapy for PNTs has been surgical excision with limb amputation. However, compartmental resection with preservation of the limb has been performed by the authors with favourable clinical results and therefore this bi-institutional retrospective study was undertaken to assess limb function, survival and recurrence. Sixteen dogs that had been diagnosed with PNTs between 1995 and 2011 met the inclusion criteria for this study. In the majority of the cases, good to excellent limb function was achieved. The overall median survival time (MST) was 1303days (42.8 months; range, 14 days-4639 days, [0.5-152.4 months]), with two dogs still alive at time of evaluation. Non-infiltrated margins were the best prognostic indicator; dogs with non-infiltrated margins had a MST of 2227days (P&lt;0.001) compared to dogs with infiltrated margins (MST of 487 days). The 1-year calculated survival rate was 68.8% and the 2- and 3-year calculated survival rates were 62.5%. Surgical treatment with tumour removal and limb spare for proximal and distal PNTs can be successful. Compartmental excision can lead to good limb function, producing survival comparable to limb amputation, and should therefore be considered as an alternative to limb amputation in canine PNTs.</w:t>
      </w:r>
    </w:p>
    <w:p/>
    <w:p>
      <w:pPr>
        <w:pStyle w:val="Normal"/>
      </w:pPr>
      <w:r>
        <w:rPr>
          <w:color w:val="323232"/>
        </w:rPr>
        <w:t xml:space="preserve">Vet J, 2017 vol. 226 pp. 40-45.</w:t>
      </w:r>
    </w:p>
    <w:p>
      <w:r>
        <w:rPr>
          <w:rStyle w:val="Hyperlink"/>
        </w:rPr>
        <w:fldChar w:fldCharType="begin"/>
      </w:r>
      <w:r>
        <w:rPr>
          <w:rStyle w:val="Hyperlink"/>
        </w:rPr>
        <w:instrText xml:space="preserve"> HYPERLINK "http://eutils.ncbi.nlm.nih.gov/entrez/eutils/elink.fcgi?dbfrom=pubmed&amp;id=28911840&amp;retmode=ref&amp;cmd=prlinks"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http://eutils.ncbi.nlm.nih.gov/entrez/eutils/elink.fcgi?dbfrom=pubmed&amp;id=28911840&amp;retmode=ref&amp;cmd=prlinks</w:t>
      </w:r>
      <w:r>
        <w:rPr>
          <w:rStyle w:val="Hyperlink"/>
        </w:rPr>
        <w:fldChar w:fldCharType="end"/>
      </w:r>
    </w:p>
    <w:p>
      <w:pPr>
        <w:pStyle w:val="Normal"/>
      </w:pPr>
      <w:r>
        <w:rPr>
          <w:color w:val="323232"/>
        </w:rPr>
        <w:t xml:space="preserve">————————</w:t>
      </w:r>
    </w:p>
    <w:p>
      <w:pPr>
        <w:pStyle w:val="Heading4"/>
      </w:pPr>
      <w:r>
        <w:t xml:space="preserve">Serologic responses to peptides of Anaplasma phagocytophilum and Borrelia burgdorferi in dogs infested with wild-caught Ixodes scapularis.</w:t>
      </w:r>
    </w:p>
    <w:p/>
    <w:p>
      <w:pPr>
        <w:pStyle w:val="Normal"/>
      </w:pPr>
      <w:r>
        <w:rPr>
          <w:color w:val="323232"/>
        </w:rPr>
        <w:t xml:space="preserve">R Chandrashekar, M J Beall, B Thatcher, J M Saucier, P Tyrrell, and M R Lappin.</w:t>
      </w:r>
    </w:p>
    <w:p/>
    <w:p>
      <w:pPr>
        <w:pStyle w:val="Normal"/>
      </w:pPr>
      <w:r>
        <w:rPr>
          <w:color w:val="323232"/>
        </w:rPr>
        <w:t xml:space="preserve">Anaplasma phagocytophilum and Borrelia burgdorferi are both transmitted by Ixodes spp. and are associated with clinical illness in some infected dogs. This study evaluated canine antibody responses to the A. phagocytophilum p44 peptides APH-1 and APH-4 as well as the B. burgdorferi C6 peptide before and after doxycycline treatment. A total of eight dogs were infested with wild-caught I. scapularis for 1 week. Blood was collected prior to tick attachment and from Days 3-77 to 218-302 with doxycycline treatment beginning on Day 218. Blood was assayed for A. phagocytophilum DNA by PCR assay. Sera was assessed for antibodies by immunofluorescent antibody (IFA) test and ELISA. Anaplasma phagocytophilum DNA was amplified from blood of all dogs by Day 7. Antibodies to APH-4 were detected in serum as early as 14days after tick exposure and six dogs had APH-4 antibodies detected 3-7 days before antibodies against APH-1. All dogs were seropositive for A. phagocytophilum from Days 218 to 302. Antibodies to B. burgdorferi were detected in 6/8 dogs beginning 21days after I. scapularis infestation. Among the five dogs that remained seropositive at Day 218, C6 antibody levels declined on average 81% within 84days of initiating treatment. The results suggest that the APH-4 peptide may be more useful than APH-1 for detecting antibodies earlier in the course of an A. phagocytophilum infection. After doxycycline administration, C6 antibody levels but not APH-1 or APH-4 antibody levels decreased, suggesting a treatment effect on C6 antibody production.</w:t>
      </w:r>
    </w:p>
    <w:p/>
    <w:p>
      <w:pPr>
        <w:pStyle w:val="Normal"/>
      </w:pPr>
      <w:r>
        <w:rPr>
          <w:color w:val="323232"/>
        </w:rPr>
        <w:t xml:space="preserve">Vet J, 2017 vol. 226 pp. 6-11.</w:t>
      </w:r>
    </w:p>
    <w:p>
      <w:r>
        <w:rPr>
          <w:rStyle w:val="Hyperlink"/>
        </w:rPr>
        <w:fldChar w:fldCharType="begin"/>
      </w:r>
      <w:r>
        <w:rPr>
          <w:rStyle w:val="Hyperlink"/>
        </w:rPr>
        <w:instrText xml:space="preserve"> HYPERLINK "http://eutils.ncbi.nlm.nih.gov/entrez/eutils/elink.fcgi?dbfrom=pubmed&amp;id=28911844&amp;retmode=ref&amp;cmd=prlinks"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http://eutils.ncbi.nlm.nih.gov/entrez/eutils/elink.fcgi?dbfrom=pubmed&amp;id=28911844&amp;retmode=ref&amp;cmd=prlinks</w:t>
      </w:r>
      <w:r>
        <w:rPr>
          <w:rStyle w:val="Hyperlink"/>
        </w:rPr>
        <w:fldChar w:fldCharType="end"/>
      </w:r>
    </w:p>
    <w:p>
      <w:pPr>
        <w:pStyle w:val="Normal"/>
      </w:pPr>
      <w:r>
        <w:rPr>
          <w:color w:val="323232"/>
        </w:rPr>
        <w:t xml:space="preserve">————————</w:t>
      </w:r>
    </w:p>
    <w:p>
      <w:pPr>
        <w:pStyle w:val="Heading4"/>
      </w:pPr>
      <w:r>
        <w:t xml:space="preserve">Dogs with macroadenomas have lower body temperature and heart rate than dogs with microadenomas.</w:t>
      </w:r>
    </w:p>
    <w:p/>
    <w:p>
      <w:pPr>
        <w:pStyle w:val="Normal"/>
      </w:pPr>
      <w:r>
        <w:rPr>
          <w:color w:val="323232"/>
        </w:rPr>
        <w:t xml:space="preserve">Ghita Benchekroun, Loic Desquilbet, Michael E Herrtage, Nick D Jeffery, Dan Rosenberg, and Nicolas Granger.</w:t>
      </w:r>
    </w:p>
    <w:p/>
    <w:p>
      <w:pPr>
        <w:pStyle w:val="Normal"/>
      </w:pPr>
      <w:r>
        <w:rPr>
          <w:color w:val="323232"/>
        </w:rPr>
        <w:t xml:space="preserve">Pituitary macroadenomas compress the hypothalamus, which partly regulates heart rate and body temperature. The aim of this study was to investigate whether heart rate and/or body temperature could aid in clinically differentiating dogs with macroadenomas from dogs with microadenomas (i.e. small non-compressive pituitary mass). Two groups of dogs diagnosed with pituitary-dependent hyperadrenocorticism (i.e. Cushing's disease) were included. Heart rate and body temperature were collected on initial presentation before any procedure. Dogs with macroadenoma had a significantly lower heart rate and body temperature (P&lt;0.01) compared to dogs with microadenoma. We suggest that the combined cut-off values of 84 beats per minutes and 38.3°C in dogs with Cushing's disease, especially with vague neurological signs (nine of 12 dogs=75%), might help to suspect the presence of a macroadenoma.</w:t>
      </w:r>
    </w:p>
    <w:p/>
    <w:p>
      <w:pPr>
        <w:pStyle w:val="Normal"/>
      </w:pPr>
      <w:r>
        <w:rPr>
          <w:color w:val="323232"/>
        </w:rPr>
        <w:t xml:space="preserve">Vet J, 2017 vol. 227 pp. 42-45.</w:t>
      </w:r>
    </w:p>
    <w:p>
      <w:r>
        <w:rPr>
          <w:rStyle w:val="Hyperlink"/>
        </w:rPr>
        <w:fldChar w:fldCharType="begin"/>
      </w:r>
      <w:r>
        <w:rPr>
          <w:rStyle w:val="Hyperlink"/>
        </w:rPr>
        <w:instrText xml:space="preserve"> HYPERLINK "http://eutils.ncbi.nlm.nih.gov/entrez/eutils/elink.fcgi?dbfrom=pubmed&amp;id=29031329&amp;retmode=ref&amp;cmd=prlinks"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http://eutils.ncbi.nlm.nih.gov/entrez/eutils/elink.fcgi?dbfrom=pubmed&amp;id=29031329&amp;retmode=ref&amp;cmd=prlinks</w:t>
      </w:r>
      <w:r>
        <w:rPr>
          <w:rStyle w:val="Hyperlink"/>
        </w:rPr>
        <w:fldChar w:fldCharType="end"/>
      </w:r>
    </w:p>
    <w:p>
      <w:pPr>
        <w:pStyle w:val="Normal"/>
      </w:pPr>
      <w:r>
        <w:rPr>
          <w:color w:val="323232"/>
        </w:rPr>
        <w:t xml:space="preserve">————————</w:t>
      </w:r>
    </w:p>
    <w:p>
      <w:pPr>
        <w:pStyle w:val="Heading4"/>
      </w:pPr>
      <w:r>
        <w:t xml:space="preserve">Minimally invasive wireless motility capsule to study canine gastrointestinal motility and pH.</w:t>
      </w:r>
    </w:p>
    <w:p/>
    <w:p>
      <w:pPr>
        <w:pStyle w:val="Normal"/>
      </w:pPr>
      <w:r>
        <w:rPr>
          <w:color w:val="323232"/>
        </w:rPr>
        <w:t xml:space="preserve">K Warrit, P Boscan, L E Ferguson, A M Bradley, K L Dowers, S Rao, and D C Twedt.</w:t>
      </w:r>
    </w:p>
    <w:p/>
    <w:p>
      <w:pPr>
        <w:pStyle w:val="Normal"/>
      </w:pPr>
      <w:r>
        <w:rPr>
          <w:color w:val="323232"/>
        </w:rPr>
        <w:t xml:space="preserve">The aim of this study was to describe the feasibility of using a gastrointestinal tract wireless motility capsule (WMC) that measured intraluminal pressure, pH and transit time through the gastrointestinal tract, in dogs in their home environment. Forty-four adult healthy dogs, eating a standard diet, were prospectively enrolled. The WMC was well tolerated by all dogs and provided data from the different sections of the gastrointestinal tract. Median gastric emptying time was 20h (range, 6.3-119h), demonstrating a large range. The gastric pressure pattern and pH depended on the phase of food consumption. The small bowel transit time was 3.1h (range, 1.6-5.4h) with average contraction pressures of 6.5mmHg (range, 1.1-21.4mmHg) and pH 7.8 (range, 7-8.9). The large bowel transit time was 21h (range, 1-69h) with average contractions pressures of 0.9mmHg (range, 0.3-2.7mmHg) and pH 6.4 (range, 5.3-8.2). There was considerable individual variation in motility patterns and transit times between dogs. No difference was observed between the sexes. No relationships between any transit time, bowel pH or pressure pattern and bodyweights were identified. The WMC likely represents movement of a large non-digestible particle rather than normal ingesta. Due to its large size, the WMC should not be use in smaller dogs. The WMC is a promising minimally invasive tool to assess GIT solid phase transit times, pressures and pH. However, further studies are necessary due to the current limitations observed.</w:t>
      </w:r>
    </w:p>
    <w:p/>
    <w:p>
      <w:pPr>
        <w:pStyle w:val="Normal"/>
      </w:pPr>
      <w:r>
        <w:rPr>
          <w:color w:val="323232"/>
        </w:rPr>
        <w:t xml:space="preserve">Vet J, 2017 vol. 227 pp. 36-41.</w:t>
      </w:r>
    </w:p>
    <w:p>
      <w:r>
        <w:rPr>
          <w:rStyle w:val="Hyperlink"/>
        </w:rPr>
        <w:fldChar w:fldCharType="begin"/>
      </w:r>
      <w:r>
        <w:rPr>
          <w:rStyle w:val="Hyperlink"/>
        </w:rPr>
        <w:instrText xml:space="preserve"> HYPERLINK "http://eutils.ncbi.nlm.nih.gov/entrez/eutils/elink.fcgi?dbfrom=pubmed&amp;id=29031328&amp;retmode=ref&amp;cmd=prlinks"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http://eutils.ncbi.nlm.nih.gov/entrez/eutils/elink.fcgi?dbfrom=pubmed&amp;id=29031328&amp;retmode=ref&amp;cmd=prlinks</w:t>
      </w:r>
      <w:r>
        <w:rPr>
          <w:rStyle w:val="Hyperlink"/>
        </w:rPr>
        <w:fldChar w:fldCharType="end"/>
      </w:r>
    </w:p>
    <w:p>
      <w:pPr>
        <w:pStyle w:val="Normal"/>
      </w:pPr>
      <w:r>
        <w:rPr>
          <w:color w:val="323232"/>
        </w:rPr>
        <w:t xml:space="preserve">————————</w:t>
      </w:r>
    </w:p>
    <w:p>
      <w:pPr>
        <w:pStyle w:val="Heading4"/>
      </w:pPr>
      <w:r>
        <w:t xml:space="preserve">Respiratory variation in aortic blood peak velocity and caudal vena cava diameter can predict fluid responsiveness in anaesthetised and mechanically ventilated dogs.</w:t>
      </w:r>
    </w:p>
    <w:p/>
    <w:p>
      <w:pPr>
        <w:pStyle w:val="Normal"/>
      </w:pPr>
      <w:r>
        <w:rPr>
          <w:color w:val="323232"/>
        </w:rPr>
        <w:t xml:space="preserve">M Bucci, R Rabozzi, C Guglielmini, and P Franci.</w:t>
      </w:r>
    </w:p>
    <w:p/>
    <w:p>
      <w:pPr>
        <w:pStyle w:val="Normal"/>
      </w:pPr>
      <w:r>
        <w:rPr>
          <w:color w:val="323232"/>
        </w:rPr>
        <w:t xml:space="preserve">BACKGROUND AND M&amp;MS:Dynamic preload indices, such as systolic pressure variation (SPV), aortic flow peak velocity variation (ΔVpeak) and distensibility index of the caudal vena cava (CVCDI), are reliable indices for predicting fluid responsiveness in humans. This study aimed to investigate the ability of these indices to predict fluid response in 24 healthy dogs undergoing general anaesthesia and mechanical ventilation. Aortic flow peak velocity variation (∆Vpeak), CVCDI, and SPV were calculated before volume expansion (5mL/kg bolus of lactated Ringer's solution). The aortic velocity time integral (VTI) was measured before and after volume expansion as a surrogate of stroke volume. Dogs were considered responders (n=9) when the VTI increase was ≥15% and non-responders (n=15) when the increase was &lt;15%.</w:t>
      </w:r>
    </w:p>
    <w:p/>
    <w:p>
      <w:pPr>
        <w:pStyle w:val="Normal"/>
      </w:pPr>
      <w:r>
        <w:rPr>
          <w:color w:val="323232"/>
        </w:rPr>
        <w:t xml:space="preserve">RESULTS AND CONCLUSIONS:Before volume expansion, ΔVpeak, CVCDI and SPV were higher in responders than in non-responders (P=0.0009, P=0.0003, and P=0.0271, respectively). Receiver operating characteristic (ROC) curves were plotted for the three indices. The areas under the ROC curves for SPV, ΔVpeak, and CVCDI were 0.91 (CI 0.73-0.99; P=0.0001), 0.95 (CI 0.77-1; P=0.0001), and 0.78 (CI 0.56-0.92; P=0.015), respectively. The best cut-offs were 6.7% for SPV (sensitivity, 77.78%; specificity, 93.33%), 9.4% for ΔVpeak (sensitivity, 88.89%; specificity, 100%), and 24% for CVCDI (sensitivity, 77.78%; specificity, 73.33). In conclusion, ΔVpeak, CVCDI, and SPV are reliable predictors of fluid responsiveness in healthy dogs undergoing general anaesthesia and mechanical ventilation.</w:t>
      </w:r>
    </w:p>
    <w:p/>
    <w:p>
      <w:pPr>
        <w:pStyle w:val="Normal"/>
      </w:pPr>
      <w:r>
        <w:rPr>
          <w:color w:val="323232"/>
        </w:rPr>
        <w:t xml:space="preserve">Vet J, 2017 vol. 227 pp. 30-35.</w:t>
      </w:r>
    </w:p>
    <w:p>
      <w:r>
        <w:rPr>
          <w:rStyle w:val="Hyperlink"/>
        </w:rPr>
        <w:fldChar w:fldCharType="begin"/>
      </w:r>
      <w:r>
        <w:rPr>
          <w:rStyle w:val="Hyperlink"/>
        </w:rPr>
        <w:instrText xml:space="preserve"> HYPERLINK "http://eutils.ncbi.nlm.nih.gov/entrez/eutils/elink.fcgi?dbfrom=pubmed&amp;id=29031327&amp;retmode=ref&amp;cmd=prlinks"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http://eutils.ncbi.nlm.nih.gov/entrez/eutils/elink.fcgi?dbfrom=pubmed&amp;id=29031327&amp;retmode=ref&amp;cmd=prlinks</w:t>
      </w:r>
      <w:r>
        <w:rPr>
          <w:rStyle w:val="Hyperlink"/>
        </w:rPr>
        <w:fldChar w:fldCharType="end"/>
      </w:r>
    </w:p>
    <w:p>
      <w:pPr>
        <w:pStyle w:val="Normal"/>
      </w:pPr>
      <w:r>
        <w:rPr>
          <w:color w:val="323232"/>
        </w:rPr>
        <w:t xml:space="preserve">————————</w:t>
      </w:r>
    </w:p>
    <w:p>
      <w:pPr>
        <w:pStyle w:val="Heading4"/>
      </w:pPr>
      <w:r>
        <w:t xml:space="preserve">Development and preliminary psychometric evaluation of an owner-completed measure of feline quality of life.</w:t>
      </w:r>
    </w:p>
    <w:p/>
    <w:p>
      <w:pPr>
        <w:pStyle w:val="Normal"/>
      </w:pPr>
      <w:r>
        <w:rPr>
          <w:color w:val="323232"/>
        </w:rPr>
        <w:t xml:space="preserve">Sophi Tatlock, Margaret Gober, Nicola Williamson, and Rob Arbuckle.</w:t>
      </w:r>
    </w:p>
    <w:p/>
    <w:p>
      <w:pPr>
        <w:pStyle w:val="Normal"/>
      </w:pPr>
      <w:r>
        <w:rPr>
          <w:color w:val="323232"/>
        </w:rPr>
        <w:t xml:space="preserve">Due to improved healthcare and pet longevity, measurement of health-related quality of life (HRQoL) is increasingly important in companion animal medicine. The aim of this study was to develop and evaluate the content and psychometric properties of an owner-completed assessment of health and quality of life (QoL) in cats for use in general veterinary clinical practice. A 23-item feline QoL measure, drafted based on findings from an online survey completed by 45 pet owners, was revised following qualitative interviews with 10 pet owners of healthy cats to assess content validity. The resulting 22-item measure was completed twice by 199 owners of healthy cats to assess the reliability and validity of the measure via psychometric evaluation, including assessment of missing data, item response distributions, item correlations, factor analysis, internal consistency, test-retest reliability, multi-trait analysis, known groups analyses and estimation of minimally important differences. There were no missing data. Responses for all items were heavily skewed due to the sample being healthy. Analysis of items and factor analysis supported deletion of six items and calculation of two domain scores and a total score. Internal consistency and test-retest reliability were strong for all domains (0.70-0.80), indicating good reliability. All but three items demonstrated strong item convergent validity (item-scale correlation&gt;0.40) and correlated highest with their respective domain (item discriminant validity). Significant between-group differences in scores differing according to a global impression of feline health item provided evidence of discriminative validity. Findings provide evidence that the final 16-item feline QoL measure has strong cross-sectional psychometric properties.</w:t>
      </w:r>
    </w:p>
    <w:p/>
    <w:p>
      <w:pPr>
        <w:pStyle w:val="Normal"/>
      </w:pPr>
      <w:r>
        <w:rPr>
          <w:color w:val="323232"/>
        </w:rPr>
        <w:t xml:space="preserve">Vet J, 2017 vol. 228 pp. 22-32.</w:t>
      </w:r>
    </w:p>
    <w:p>
      <w:r>
        <w:rPr>
          <w:rStyle w:val="Hyperlink"/>
        </w:rPr>
        <w:fldChar w:fldCharType="begin"/>
      </w:r>
      <w:r>
        <w:rPr>
          <w:rStyle w:val="Hyperlink"/>
        </w:rPr>
        <w:instrText xml:space="preserve"> HYPERLINK "http://eutils.ncbi.nlm.nih.gov/entrez/eutils/elink.fcgi?dbfrom=pubmed&amp;id=29153104&amp;retmode=ref&amp;cmd=prlinks"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http://eutils.ncbi.nlm.nih.gov/entrez/eutils/elink.fcgi?dbfrom=pubmed&amp;id=29153104&amp;retmode=ref&amp;cmd=prlinks</w:t>
      </w:r>
      <w:r>
        <w:rPr>
          <w:rStyle w:val="Hyperlink"/>
        </w:rPr>
        <w:fldChar w:fldCharType="end"/>
      </w:r>
    </w:p>
    <w:p>
      <w:pPr>
        <w:pStyle w:val="Normal"/>
      </w:pPr>
      <w:r>
        <w:rPr>
          <w:color w:val="323232"/>
        </w:rPr>
        <w:t xml:space="preserve">————————</w:t>
      </w:r>
    </w:p>
    <w:p>
      <w:pPr>
        <w:pStyle w:val="Heading4"/>
      </w:pPr>
      <w:r>
        <w:t xml:space="preserve">Interictal cardiac autonomic nervous system disturbances in dogs with idiopathic epilepsy.</w:t>
      </w:r>
    </w:p>
    <w:p/>
    <w:p>
      <w:pPr>
        <w:pStyle w:val="Normal"/>
      </w:pPr>
      <w:r>
        <w:rPr>
          <w:color w:val="323232"/>
        </w:rPr>
        <w:t xml:space="preserve">M Musteata, D Mocanu, G D Stanciu, M Armasu, and G Solcan.</w:t>
      </w:r>
    </w:p>
    <w:p/>
    <w:p>
      <w:pPr>
        <w:pStyle w:val="Normal"/>
      </w:pPr>
      <w:r>
        <w:rPr>
          <w:color w:val="323232"/>
        </w:rPr>
        <w:t xml:space="preserve">Autonomic nervous system (ANS) activity in the interictal period (InIp) in dogs with presumed idiopathic epilepsy (pIE) was assessed using heart rate variability (HRV) analysis. The HRVs obtained from 28 pIE dogs with interictal epileptic discharges (InIEd; 11 with treatment and 17 without treatment) detected on electroencephalography (EEG) were compared with those obtained from 13 healthy dogs. On electrocardiographic (ECG) study, the P wave dispersion (PWD; P&lt;0.001), P max (P=0.004) and corrected QT interval (QTc; P=0.025) were significantly increased in the pIE group. On the basis of HRV analysis, the pIE dogs had an increased activity of the parasympathetic component of the ANS, including the percentage of R-R interval (pNN50%) that differs more than 50ms (P=0.011) and high frequency band (HF; P=0.041). Administration of phenobarbitone had no influence on the ANS pattern when pIE subgroups were compared (P&gt;0.05). In InIp, dogs elicited specific conductibility delays of the electrical impulses (increased PWD and QTc interval); these delays are considered to be risk factors for developing severe arrhythmias, such as atrial fibrillation and ventricular tachycardia. When compared with human beings, a different ANS pattern characterised by increased parasympathetic activity was observed, which may influence the therapeutic approach of IE in dogs.</w:t>
      </w:r>
    </w:p>
    <w:p/>
    <w:p>
      <w:pPr>
        <w:pStyle w:val="Normal"/>
      </w:pPr>
      <w:r>
        <w:rPr>
          <w:color w:val="323232"/>
        </w:rPr>
        <w:t xml:space="preserve">Vet J, 2017 vol. 228 pp. 41-45.</w:t>
      </w:r>
    </w:p>
    <w:p>
      <w:r>
        <w:rPr>
          <w:rStyle w:val="Hyperlink"/>
        </w:rPr>
        <w:fldChar w:fldCharType="begin"/>
      </w:r>
      <w:r>
        <w:rPr>
          <w:rStyle w:val="Hyperlink"/>
        </w:rPr>
        <w:instrText xml:space="preserve"> HYPERLINK "http://eutils.ncbi.nlm.nih.gov/entrez/eutils/elink.fcgi?dbfrom=pubmed&amp;id=29153107&amp;retmode=ref&amp;cmd=prlinks"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http://eutils.ncbi.nlm.nih.gov/entrez/eutils/elink.fcgi?dbfrom=pubmed&amp;id=29153107&amp;retmode=ref&amp;cmd=prlinks</w:t>
      </w:r>
      <w:r>
        <w:rPr>
          <w:rStyle w:val="Hyperlink"/>
        </w:rPr>
        <w:fldChar w:fldCharType="end"/>
      </w:r>
    </w:p>
    <w:p>
      <w:pPr>
        <w:pStyle w:val="Normal"/>
      </w:pPr>
      <w:r>
        <w:rPr>
          <w:color w:val="323232"/>
        </w:rPr>
        <w:t xml:space="preserve">————————</w:t>
      </w:r>
    </w:p>
    <w:p>
      <w:pPr>
        <w:pStyle w:val="Heading4"/>
      </w:pPr>
      <w:r>
        <w:t xml:space="preserve">Development of a fibrinolysis assay for canine plasma.</w:t>
      </w:r>
    </w:p>
    <w:p/>
    <w:p>
      <w:pPr>
        <w:pStyle w:val="Normal"/>
      </w:pPr>
      <w:r>
        <w:rPr>
          <w:color w:val="323232"/>
        </w:rPr>
        <w:t xml:space="preserve">U Jeffery, M B Brooks, and D N LeVine.</w:t>
      </w:r>
    </w:p>
    <w:p/>
    <w:p>
      <w:pPr>
        <w:pStyle w:val="Normal"/>
      </w:pPr>
      <w:r>
        <w:rPr>
          <w:color w:val="323232"/>
        </w:rPr>
        <w:t xml:space="preserve">Unbalanced coagulation and fibrinolysis leads to hemorrhage or thrombosis. Thromboelastography has been used to characterize hypo- and hyper-fibrinolysis in dogs, however the technique requires specialized instrumentation and proprietary reagents that limit its availability. The aim of this study was to develop a simple microplate method for assessment of fibrinolysis in canine plasma. Plasma from healthy dogs was mixed in a microwell plate with tissue factor, calcium, phospholipid and tissue plasminogen activator. Light absorbance was measured at regular intervals until return to baseline. Peak optical density (milli-absorption units, mAU), formation velocity (mAU</w:t>
      </w:r>
      <w:r>
        <w:rPr>
          <w:i w:val="1"/>
          <w:color w:val="323232"/>
        </w:rPr>
        <w:t xml:space="preserve">s), lysis velocity (mAU</w:t>
      </w:r>
      <w:r>
        <w:rPr>
          <w:color w:val="323232"/>
        </w:rPr>
        <w:t xml:space="preserve">s) and area under the curve (mAU.s) were calculated. The influence of potential interferents, variation in fibrinogen and ex vivo addition of heparin and aminocaproic acid on assay performance was determined. Inter-day coefficients of variation were ≤15% for all variables. Bilirubin≤1.88mg</w:t>
      </w:r>
      <w:r>
        <w:rPr>
          <w:i w:val="1"/>
          <w:color w:val="323232"/>
        </w:rPr>
        <w:t xml:space="preserve">dL and hemoglobin≤0.09mg</w:t>
      </w:r>
      <w:r>
        <w:rPr>
          <w:color w:val="323232"/>
        </w:rPr>
        <w:t xml:space="preserve">dL did not interfere with assay variables. Aminocaproic acid (40μg</w:t>
      </w:r>
      <w:r>
        <w:rPr>
          <w:i w:val="1"/>
          <w:color w:val="323232"/>
        </w:rPr>
        <w:t xml:space="preserve">mL) and heparin (0.125U</w:t>
      </w:r>
      <w:r>
        <w:rPr>
          <w:color w:val="323232"/>
        </w:rPr>
        <w:t xml:space="preserve">mL) caused almost complete inhibition of fibrinolysis and coagulation, respectively. All variables except lysis velocity (R2=0.08) were associated with fibrinogen concentration (R2&gt;0.8). This assay showed acceptable performance characteristics for measurement of fibrinolysis in normal canine plasma. The assay utilizes small volume citrate plasma samples and readily available instrumentation and reagents, is not influenced by mild to moderate hemolysis or icterus and detects the presence of fibrinolysis inhibitors.</w:t>
      </w:r>
    </w:p>
    <w:p/>
    <w:p>
      <w:pPr>
        <w:pStyle w:val="Normal"/>
      </w:pPr>
      <w:r>
        <w:rPr>
          <w:color w:val="323232"/>
        </w:rPr>
        <w:t xml:space="preserve">Vet J, 2017 vol. 229 pp. 19-25.</w:t>
      </w:r>
    </w:p>
    <w:p>
      <w:r>
        <w:rPr>
          <w:rStyle w:val="Hyperlink"/>
        </w:rPr>
        <w:fldChar w:fldCharType="begin"/>
      </w:r>
      <w:r>
        <w:rPr>
          <w:rStyle w:val="Hyperlink"/>
        </w:rPr>
        <w:instrText xml:space="preserve"> HYPERLINK "http://eutils.ncbi.nlm.nih.gov/entrez/eutils/elink.fcgi?dbfrom=pubmed&amp;id=29183569&amp;retmode=ref&amp;cmd=prlinks"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http://eutils.ncbi.nlm.nih.gov/entrez/eutils/elink.fcgi?dbfrom=pubmed&amp;id=29183569&amp;retmode=ref&amp;cmd=prlinks</w:t>
      </w:r>
      <w:r>
        <w:rPr>
          <w:rStyle w:val="Hyperlink"/>
        </w:rPr>
        <w:fldChar w:fldCharType="end"/>
      </w:r>
    </w:p>
    <w:p>
      <w:pPr>
        <w:pStyle w:val="Normal"/>
      </w:pPr>
      <w:r>
        <w:rPr>
          <w:color w:val="323232"/>
        </w:rPr>
        <w:t xml:space="preserve">————————</w:t>
      </w:r>
    </w:p>
    <w:p>
      <w:pPr>
        <w:pStyle w:val="Heading4"/>
      </w:pPr>
      <w:r>
        <w:t xml:space="preserve">Diagnosis of canine pulmonary thromboembolism by computed tomography and mathematical modelling using haemostatic and inflammatory variables.</w:t>
      </w:r>
    </w:p>
    <w:p/>
    <w:p>
      <w:pPr>
        <w:pStyle w:val="Normal"/>
      </w:pPr>
      <w:r>
        <w:rPr>
          <w:color w:val="323232"/>
        </w:rPr>
        <w:t xml:space="preserve">C B Marschner, A T Kristensen, E A Rozanski, F J McEvoy, L Kühnel, O Taeymans, A de Laforcade, A F Sato, and B Wiinberg.</w:t>
      </w:r>
    </w:p>
    <w:p/>
    <w:p>
      <w:pPr>
        <w:pStyle w:val="Normal"/>
      </w:pPr>
      <w:r>
        <w:rPr>
          <w:color w:val="323232"/>
        </w:rPr>
        <w:t xml:space="preserve">There is no evidence-based diagnostic approach for diagnosis of pulmonary thromboembolism (PTE) in dogs. Many dogs with diseases that predispose to thrombosis are hypercoagulable when assessed with thromboelastography (TEG), but no direct link has been established. The aims of this study were: (1) to investigate if diseased dogs with PTE, diagnosed by computed tomography pulmonary angiography (CTPA), had evidence of hypercoagulability by TEG; (2) to characterise haemostatic and inflammatory changes in dogs with PTE; (3) to construct models for prediction of PTE based on combinations of haemostatic and inflammatory variables; and (4) to evaluate the performance of D-dimer measurement for prediction of PTE. Twenty-five dogs were included in this prospective observational study (PTE: n=6; non-PTE: n=19). Clot strength G values did not differ between the PTE and non-PTE groups in tissue factor (TF) or kaolin-activated TEG analyses. Haemostatic and inflammatory variables did not differ between the two groups. Linear discriminant analysis generated a model for prediction of PTE with a sensitivity and specificity of 100% when TF results were used as TEG data, and a model with sensitivity of 83% and specificity of 100% when kaolin results were used as TEG data. Receiver operating characteristic analysis of D-dimer levels showed that a value of &gt;0.3mg/L yielded a sensitivity of 100% and a specificity of 71.4%. In conclusion, the study supports CTPA as method for diagnosing canine PTE, but shows that TEG alone cannot identify dogs with PTE. Models for prediction of PTE were generated, but require further validation.</w:t>
      </w:r>
    </w:p>
    <w:p/>
    <w:p>
      <w:pPr>
        <w:pStyle w:val="Normal"/>
      </w:pPr>
      <w:r>
        <w:rPr>
          <w:color w:val="323232"/>
        </w:rPr>
        <w:t xml:space="preserve">Vet J, 2017 vol. 229 pp. 6-12.</w:t>
      </w:r>
    </w:p>
    <w:p>
      <w:r>
        <w:rPr>
          <w:rStyle w:val="Hyperlink"/>
        </w:rPr>
        <w:fldChar w:fldCharType="begin"/>
      </w:r>
      <w:r>
        <w:rPr>
          <w:rStyle w:val="Hyperlink"/>
        </w:rPr>
        <w:instrText xml:space="preserve"> HYPERLINK "http://eutils.ncbi.nlm.nih.gov/entrez/eutils/elink.fcgi?dbfrom=pubmed&amp;id=29183575&amp;retmode=ref&amp;cmd=prlinks"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http://eutils.ncbi.nlm.nih.gov/entrez/eutils/elink.fcgi?dbfrom=pubmed&amp;id=29183575&amp;retmode=ref&amp;cmd=prlinks</w:t>
      </w:r>
      <w:r>
        <w:rPr>
          <w:rStyle w:val="Hyperlink"/>
        </w:rPr>
        <w:fldChar w:fldCharType="end"/>
      </w:r>
    </w:p>
    <w:p>
      <w:pPr>
        <w:pStyle w:val="Normal"/>
      </w:pPr>
      <w:r>
        <w:rPr>
          <w:color w:val="323232"/>
        </w:rPr>
        <w:t xml:space="preserve">————————</w:t>
      </w:r>
    </w:p>
    <w:p>
      <w:pPr>
        <w:pStyle w:val="Heading4"/>
      </w:pPr>
      <w:r>
        <w:t xml:space="preserve">Echocardiographic and electrocardiographic parameters during the normal postpartum period in toy breeds of dogs.</w:t>
      </w:r>
    </w:p>
    <w:p/>
    <w:p>
      <w:pPr>
        <w:pStyle w:val="Normal"/>
      </w:pPr>
      <w:r>
        <w:rPr>
          <w:color w:val="323232"/>
        </w:rPr>
        <w:t xml:space="preserve">P R Batista, C Gobello, A Arizmendi, M Tórtora, D O Arias, and P G Blanco.</w:t>
      </w:r>
    </w:p>
    <w:p/>
    <w:p>
      <w:pPr>
        <w:pStyle w:val="Normal"/>
      </w:pPr>
      <w:r>
        <w:rPr>
          <w:color w:val="323232"/>
        </w:rPr>
        <w:t xml:space="preserve">The aim of this study was to evaluate echocardiographic and electrocardiographic parameters during the normal canine postpartum period. Twenty clinically healthy pregnant bitches of toy breeds (11 Miniature poodles, five Yorkshire terriers, two Maltese terriers and two Bichons Frises) were evaluated on days -3, 3, 10, 17, 24, 38, 52 and 80 relative to parturition (day 0). During the first postpartum week, the width of the interventricular septum in systole, the shortening fraction and the left atrium size decreased, while the left ventricle internal diameter in systole and end systolic stress increased. There were progressive decreases in the velocity of circumferential fibre shortening, stroke volume, cardiac output, and mitral E and A wave values. Systolic blood pressure increased markedly during the first postpartum week to gradually increase thereafter. Heart rate and corrected QT interval progressively decreased, while P wave amplitude increased. QRS complex amplitude decreased in the second week after parturition and then increased during the following weeks. In conclusion, there were changes in systolic function and some structural adaptive changes in the bitch during the first 80days postpartum. In addition, maternal heart rate and corrected QT interval decreased, while P wave and QRS amplitudes increased.</w:t>
      </w:r>
    </w:p>
    <w:p/>
    <w:p>
      <w:pPr>
        <w:pStyle w:val="Normal"/>
      </w:pPr>
      <w:r>
        <w:rPr>
          <w:color w:val="323232"/>
        </w:rPr>
        <w:t xml:space="preserve">Vet J, 2017 vol. 229 pp. 31-36.</w:t>
      </w:r>
    </w:p>
    <w:p>
      <w:r>
        <w:rPr>
          <w:rStyle w:val="Hyperlink"/>
        </w:rPr>
        <w:fldChar w:fldCharType="begin"/>
      </w:r>
      <w:r>
        <w:rPr>
          <w:rStyle w:val="Hyperlink"/>
        </w:rPr>
        <w:instrText xml:space="preserve"> HYPERLINK "http://eutils.ncbi.nlm.nih.gov/entrez/eutils/elink.fcgi?dbfrom=pubmed&amp;id=29183571&amp;retmode=ref&amp;cmd=prlinks"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http://eutils.ncbi.nlm.nih.gov/entrez/eutils/elink.fcgi?dbfrom=pubmed&amp;id=29183571&amp;retmode=ref&amp;cmd=prlinks</w:t>
      </w:r>
      <w:r>
        <w:rPr>
          <w:rStyle w:val="Hyperlink"/>
        </w:rPr>
        <w:fldChar w:fldCharType="end"/>
      </w:r>
    </w:p>
    <w:p>
      <w:pPr>
        <w:pStyle w:val="Normal"/>
      </w:pPr>
      <w:r>
        <w:rPr>
          <w:color w:val="323232"/>
        </w:rPr>
        <w:t xml:space="preserve">————————</w:t>
      </w:r>
    </w:p>
    <w:p>
      <w:pPr>
        <w:pStyle w:val="Heading4"/>
      </w:pPr>
      <w:r>
        <w:t xml:space="preserve">Chronic maladaptive pain in cats: A review of current and future drug treatment options.</w:t>
      </w:r>
    </w:p>
    <w:p/>
    <w:p>
      <w:pPr>
        <w:pStyle w:val="Normal"/>
      </w:pPr>
      <w:r>
        <w:rPr>
          <w:color w:val="323232"/>
        </w:rPr>
        <w:t xml:space="preserve">Derek Adrian, Mark Papich, Ron Baynes, Jo Murrell, and B Duncan X Lascelles.</w:t>
      </w:r>
    </w:p>
    <w:p/>
    <w:p>
      <w:pPr>
        <w:pStyle w:val="Normal"/>
      </w:pPr>
      <w:r>
        <w:rPr>
          <w:color w:val="323232"/>
        </w:rPr>
        <w:t xml:space="preserve">Despite our increasing understanding of the pathophysiology underlying chronic or maladaptive pain, there is a significant gap in our ability to diagnose and treat the condition in domestic cats. Newer techniques being used to identify abnormalities in pain processing in the cat include validated owner questionnaires, measurement of movement and activity, and measurement of sensory thresholds and somatomotor responses. While some data are available evaluating possible therapeutics for the treatment of chronic pain in the cat, most data are limited to normal cats. This review details our current understanding of chronic or maladaptive pain, techniques for the detection and measurement of the condition and the associated central nervous changes, as well as an overview of the data evaluating potential therapeutics in cats.</w:t>
      </w:r>
    </w:p>
    <w:p/>
    <w:p>
      <w:pPr>
        <w:pStyle w:val="Normal"/>
      </w:pPr>
      <w:r>
        <w:rPr>
          <w:color w:val="323232"/>
        </w:rPr>
        <w:t xml:space="preserve">Vet J, 2017 vol. 230 pp. 52-61.</w:t>
      </w:r>
    </w:p>
    <w:p>
      <w:r>
        <w:rPr>
          <w:rStyle w:val="Hyperlink"/>
        </w:rPr>
        <w:fldChar w:fldCharType="begin"/>
      </w:r>
      <w:r>
        <w:rPr>
          <w:rStyle w:val="Hyperlink"/>
        </w:rPr>
        <w:instrText xml:space="preserve"> HYPERLINK "http://eutils.ncbi.nlm.nih.gov/entrez/eutils/elink.fcgi?dbfrom=pubmed&amp;id=28887012&amp;retmode=ref&amp;cmd=prlinks"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http://eutils.ncbi.nlm.nih.gov/entrez/eutils/elink.fcgi?dbfrom=pubmed&amp;id=28887012&amp;retmode=ref&amp;cmd=prlinks</w:t>
      </w:r>
      <w:r>
        <w:rPr>
          <w:rStyle w:val="Hyperlink"/>
        </w:rPr>
        <w:fldChar w:fldCharType="end"/>
      </w:r>
    </w:p>
    <w:p>
      <w:pPr>
        <w:pStyle w:val="Normal"/>
      </w:pPr>
      <w:r>
        <w:rPr>
          <w:color w:val="323232"/>
        </w:rPr>
        <w:t xml:space="preserve">————————</w:t>
      </w:r>
    </w:p>
    <w:p>
      <w:pPr>
        <w:pStyle w:val="Heading4"/>
      </w:pPr>
      <w:r>
        <w:t xml:space="preserve">Evaluation of the delta neutrophil index from an automated blood cell analyser in septic dogs.</w:t>
      </w:r>
    </w:p>
    <w:p/>
    <w:p>
      <w:pPr>
        <w:pStyle w:val="Normal"/>
      </w:pPr>
      <w:r>
        <w:rPr>
          <w:color w:val="323232"/>
        </w:rPr>
        <w:t xml:space="preserve">R Troìa, C Agnoli, S Calipa, S Segalina, E Murgia, M Gruarin, F Dondi, and M Giunti.</w:t>
      </w:r>
    </w:p>
    <w:p/>
    <w:p>
      <w:pPr>
        <w:pStyle w:val="Normal"/>
      </w:pPr>
      <w:r>
        <w:rPr>
          <w:color w:val="323232"/>
        </w:rPr>
        <w:t xml:space="preserve">Immature granulocytes (IG) are a marker of severe inflammatory states in human beings and animals, and have been linked to a diagnosis of sepsis and poor prognosis. The delta neutrophil index (DNI), automatically calculated by a haematological analyser, provides an estimate of circulating IG. In particular, an increased DNI value has been associated with the severity of sepsis, and mortality, in critically ill human beings. The aims of this study were to determine the DNI reference interval (RI) in healthy dogs, and to evaluate its diagnostic and prognostic significance in dogs with sepsis. A total of 118 dogs with sepsis undergoing a complete blood cell count (CBC) at the time of hospital admission were included retrospectively. Dogs with sepsis were compared to 20 dogs with primary immune-mediated haemolytic anaemia (IMHA) and 99 healthy controls. The DNI RI was set from 0 to 9.2%. The DNI was significantly higher in dogs with sepsis compared to dogs with IMHA and healthy dogs (P&lt;0.001), and significantly higher in dogs with septic shock compared to septic dogs without circulatory failure (P&lt;0.03). No differences were detected between survivors (78/118) and non-survivors (40/118). Septic dogs with a DNI above the RI had significantly higher frequencies of IG and toxic neutrophil changes on manual blood smear evaluation (P=0.03 and P&lt;0.001, respectively). The DNI had a fair performance in identifying dogs with sepsis in this population and predicted septic shock. Larger prospective studies are needed to validate DNI measurement in dogs and to test its clinical utility.</w:t>
      </w:r>
    </w:p>
    <w:p/>
    <w:p>
      <w:pPr>
        <w:pStyle w:val="Normal"/>
      </w:pPr>
      <w:r>
        <w:rPr>
          <w:color w:val="323232"/>
        </w:rPr>
        <w:t xml:space="preserve">Vet J, 2017 vol. 230 pp. 13-19.</w:t>
      </w:r>
    </w:p>
    <w:p>
      <w:r>
        <w:rPr>
          <w:rStyle w:val="Hyperlink"/>
        </w:rPr>
        <w:fldChar w:fldCharType="begin"/>
      </w:r>
      <w:r>
        <w:rPr>
          <w:rStyle w:val="Hyperlink"/>
        </w:rPr>
        <w:instrText xml:space="preserve"> HYPERLINK "http://eutils.ncbi.nlm.nih.gov/entrez/eutils/elink.fcgi?dbfrom=pubmed&amp;id=29208210&amp;retmode=ref&amp;cmd=prlinks"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http://eutils.ncbi.nlm.nih.gov/entrez/eutils/elink.fcgi?dbfrom=pubmed&amp;id=29208210&amp;retmode=ref&amp;cmd=prlinks</w:t>
      </w:r>
      <w:r>
        <w:rPr>
          <w:rStyle w:val="Hyperlink"/>
        </w:rPr>
        <w:fldChar w:fldCharType="end"/>
      </w:r>
    </w:p>
    <w:p>
      <w:pPr>
        <w:pStyle w:val="Normal"/>
      </w:pPr>
      <w:r>
        <w:rPr>
          <w:color w:val="323232"/>
        </w:rPr>
        <w:t xml:space="preserve">————————</w:t>
      </w:r>
    </w:p>
    <w:p>
      <w:pPr>
        <w:pStyle w:val="Heading4"/>
      </w:pPr>
      <w:r>
        <w:t xml:space="preserve">Imepitoin withdrawal in dogs with idiopathic epilepsy well-controlled with imepitoin and phenobarbital and/or potassium bromide does not increase seizure frequency.</w:t>
      </w:r>
    </w:p>
    <w:p/>
    <w:p>
      <w:pPr>
        <w:pStyle w:val="Normal"/>
      </w:pPr>
      <w:r>
        <w:rPr>
          <w:color w:val="323232"/>
        </w:rPr>
        <w:t xml:space="preserve">K Stee, V Martlé, B J G Broeckx, E Royaux, L Van Ham, and S F M Bhatti.</w:t>
      </w:r>
    </w:p>
    <w:p/>
    <w:p>
      <w:pPr>
        <w:pStyle w:val="Normal"/>
      </w:pPr>
      <w:r>
        <w:rPr>
          <w:color w:val="323232"/>
        </w:rPr>
        <w:t xml:space="preserve">Phenobarbital or potassium bromide (KBr) add-on treatment decreases the average monthly seizure frequency in dogs with idiopathic epilepsy resistant to a maximum dose of imepitoin. The importance of continued administration of imepitoin in these dogs is currently unknown. The goal of this study was to assess whether imepitoin withdrawal would destabilize epileptic seizure control. In this prospective clinical trial epileptic seizure control was evaluated by comparing the monthly seizure frequency of 13 dogs with well-controlled idiopathic epilepsy receiving a combination of imepitoin and phenobarbital (n=4), imepitoin and KBr (n=7), and imepitoin, phenobarbital and KBr (n=2) during a period of 3-6 months (pre-withdrawal period), with a follow-up period of 9-12 months after withdrawal of imepitoin (post-withdrawal period). Adverse effects were also recorded before and after withdrawal of imepitoin. Imepitoin was tapered off over 3 months as follows: 20mg</w:t>
      </w:r>
      <w:r>
        <w:rPr>
          <w:i w:val="1"/>
          <w:color w:val="323232"/>
        </w:rPr>
        <w:t xml:space="preserve">kg twice daily for 1 month, then 10mg</w:t>
      </w:r>
      <w:r>
        <w:rPr>
          <w:color w:val="323232"/>
        </w:rPr>
        <w:t xml:space="preserve">kg twice daily for 1 month, then once daily for 1 month. Withdrawal of imepitoin did not increase monthly seizure frequency (P=0.9). Moreover, all owners reported improvement in the adverse effects experienced by their dog after withdrawal of imepitoin. Imepitoin withdrawal in epileptic dogs that were well-controlled with imepitoin and phenobarbital and/or KBr did not worsen epileptic seizure control, and possibly decreased antiepileptic treatment-related adverse effects. However, a worsening of seizure frequency could occur in individual cases.</w:t>
      </w:r>
    </w:p>
    <w:p/>
    <w:p>
      <w:pPr>
        <w:pStyle w:val="Normal"/>
      </w:pPr>
      <w:r>
        <w:rPr>
          <w:color w:val="323232"/>
        </w:rPr>
        <w:t xml:space="preserve">Vet J, 2017 vol. 230 pp. 1-5.</w:t>
      </w:r>
    </w:p>
    <w:p>
      <w:r>
        <w:rPr>
          <w:rStyle w:val="Hyperlink"/>
        </w:rPr>
        <w:fldChar w:fldCharType="begin"/>
      </w:r>
      <w:r>
        <w:rPr>
          <w:rStyle w:val="Hyperlink"/>
        </w:rPr>
        <w:instrText xml:space="preserve"> HYPERLINK "http://eutils.ncbi.nlm.nih.gov/entrez/eutils/elink.fcgi?dbfrom=pubmed&amp;id=29208209&amp;retmode=ref&amp;cmd=prlinks"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http://eutils.ncbi.nlm.nih.gov/entrez/eutils/elink.fcgi?dbfrom=pubmed&amp;id=29208209&amp;retmode=ref&amp;cmd=prlinks</w:t>
      </w:r>
      <w:r>
        <w:rPr>
          <w:rStyle w:val="Hyperlink"/>
        </w:rPr>
        <w:fldChar w:fldCharType="end"/>
      </w:r>
    </w:p>
    <w:p>
      <w:pPr>
        <w:pStyle w:val="Normal"/>
      </w:pPr>
      <w:r>
        <w:rPr>
          <w:color w:val="323232"/>
        </w:rPr>
        <w:t xml:space="preserve">————————</w:t>
      </w:r>
    </w:p>
    <w:p>
      <w:pPr>
        <w:pStyle w:val="Heading4"/>
      </w:pPr>
      <w:r>
        <w:t xml:space="preserve">Incidence and risk factors for hypoadrenocorticism in dogs treated with trilostane.</w:t>
      </w:r>
    </w:p>
    <w:p/>
    <w:p>
      <w:pPr>
        <w:pStyle w:val="Normal"/>
      </w:pPr>
      <w:r>
        <w:rPr>
          <w:color w:val="323232"/>
        </w:rPr>
        <w:t xml:space="preserve">J B King and J M Morton.</w:t>
      </w:r>
    </w:p>
    <w:p/>
    <w:p>
      <w:pPr>
        <w:pStyle w:val="Normal"/>
      </w:pPr>
      <w:r>
        <w:rPr>
          <w:color w:val="323232"/>
        </w:rPr>
        <w:t xml:space="preserve">The aim of this study was to describe the incidence and permanence of hypoadrenocorticism associated with trilostane treatment and to assess potential risk factors for hypoadrenocorticism. A retrospective cohort study was conducted using case records for 156 dogs treated with trilostane after a diagnosis of hyperadrenocorticism. Occurrences of hypoadrenocorticism were categorised as either transient or permanent. After initiation of treatment with trilostane, the estimated cumulative incidence of hypoadrenocorticism was 15% by 2 years and 26% by 4.3 years, respectively. Occurrences of hypoadrenocorticism were transient in 14/19 (74%) affected study dogs. The risk of hypoadrenocorticism was not significantly associated with trilostane dose rate and other potential risk factors assessed were not significantly associated with subhazard of hypoadrenocorticism, but effect estimates for most were imprecise. In conclusion, approximately 15% of dogs being treated with trilostane developed hypoadrenocorticism within the first 2 years of treatment and about one quarter became affected by 4 years. However, first occurrences of hypoadrenocorticism were mostly transient. Over the range of dose rates studied, each 1mg</w:t>
      </w:r>
      <w:r>
        <w:rPr>
          <w:i w:val="1"/>
          <w:color w:val="323232"/>
        </w:rPr>
        <w:t xml:space="preserve">kg</w:t>
      </w:r>
      <w:r>
        <w:rPr>
          <w:color w:val="323232"/>
        </w:rPr>
        <w:t xml:space="preserve">day increase in trilostane dose rate resulted in, at most, only a small increase in the risk of developing hypoadrenocorticism.</w:t>
      </w:r>
    </w:p>
    <w:p/>
    <w:p>
      <w:pPr>
        <w:pStyle w:val="Normal"/>
      </w:pPr>
      <w:r>
        <w:rPr>
          <w:color w:val="323232"/>
        </w:rPr>
        <w:t xml:space="preserve">Vet J, 2017 vol. 230 pp. 24-29.</w:t>
      </w:r>
    </w:p>
    <w:p>
      <w:r>
        <w:rPr>
          <w:rStyle w:val="Hyperlink"/>
        </w:rPr>
        <w:fldChar w:fldCharType="begin"/>
      </w:r>
      <w:r>
        <w:rPr>
          <w:rStyle w:val="Hyperlink"/>
        </w:rPr>
        <w:instrText xml:space="preserve"> HYPERLINK "http://eutils.ncbi.nlm.nih.gov/entrez/eutils/elink.fcgi?dbfrom=pubmed&amp;id=29208212&amp;retmode=ref&amp;cmd=prlinks"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http://eutils.ncbi.nlm.nih.gov/entrez/eutils/elink.fcgi?dbfrom=pubmed&amp;id=29208212&amp;retmode=ref&amp;cmd=prlinks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