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A5188D" w14:textId="39656DF3" w:rsidR="00C97A60" w:rsidRDefault="00C97A60" w:rsidP="00C97A60">
      <w:pPr>
        <w:pStyle w:val="Heading2"/>
      </w:pPr>
      <w:r>
        <w:t>New England Journal of Medicine 20</w:t>
      </w:r>
      <w:r>
        <w:t>20</w:t>
      </w:r>
    </w:p>
    <w:p w14:paraId="3CABA7F9" w14:textId="0072EB24" w:rsidR="00C97A60" w:rsidRDefault="00C97A60" w:rsidP="00C97A60">
      <w:pPr>
        <w:pStyle w:val="Heading2"/>
      </w:pPr>
      <w:r>
        <w:t>NEJM 20</w:t>
      </w:r>
      <w:r>
        <w:t>20</w:t>
      </w:r>
      <w:r>
        <w:t>; Vol 3</w:t>
      </w:r>
      <w:r>
        <w:t>82</w:t>
      </w:r>
      <w:r>
        <w:t>-38</w:t>
      </w:r>
      <w:r>
        <w:t>3</w:t>
      </w:r>
      <w:r>
        <w:t>; Issues 1-2</w:t>
      </w:r>
      <w:r>
        <w:t>7</w:t>
      </w:r>
    </w:p>
    <w:p w14:paraId="2057D1A0" w14:textId="77777777" w:rsidR="00C97A60" w:rsidRDefault="00C97A60" w:rsidP="00C97A60"/>
    <w:p w14:paraId="6411BC9E" w14:textId="77777777" w:rsidR="00C97A60" w:rsidRDefault="00C97A60" w:rsidP="00C97A60">
      <w:r>
        <w:rPr>
          <w:color w:val="323232"/>
        </w:rPr>
        <w:t>#</w:t>
      </w:r>
      <w:proofErr w:type="spellStart"/>
      <w:r>
        <w:rPr>
          <w:color w:val="323232"/>
        </w:rPr>
        <w:t>LitReview</w:t>
      </w:r>
      <w:proofErr w:type="spellEnd"/>
    </w:p>
    <w:p w14:paraId="177DDCE8" w14:textId="77777777" w:rsidR="00C97A60" w:rsidRDefault="00C97A60" w:rsidP="00C97A60">
      <w:r>
        <w:rPr>
          <w:color w:val="323232"/>
        </w:rPr>
        <w:t>————————</w:t>
      </w:r>
    </w:p>
    <w:p w14:paraId="46E4B41E" w14:textId="77777777" w:rsidR="00C97A60" w:rsidRPr="00C97A60" w:rsidRDefault="00C97A60" w:rsidP="00C97A60">
      <w:r w:rsidRPr="00C97A60">
        <w:t>Conservative versus Interventional Treatment for Spontaneous Pneumothorax S.G.A. Brown, E.L. Ball, K. Perrin, S.E. Asha, I. Braithwaite, D. Egerton</w:t>
      </w:r>
      <w:r w:rsidRPr="00C97A60">
        <w:noBreakHyphen/>
        <w:t xml:space="preserve">Warburton, P.G. Jones, G. </w:t>
      </w:r>
      <w:proofErr w:type="spellStart"/>
      <w:r w:rsidRPr="00C97A60">
        <w:t>Keijzers</w:t>
      </w:r>
      <w:proofErr w:type="spellEnd"/>
      <w:r w:rsidRPr="00C97A60">
        <w:t xml:space="preserve">, F.B. Kinnear, B.C.H. Kwan, K.V. Lam, Y.C.G. Lee, M. </w:t>
      </w:r>
      <w:proofErr w:type="spellStart"/>
      <w:r w:rsidRPr="00C97A60">
        <w:t>Nowitz</w:t>
      </w:r>
      <w:proofErr w:type="spellEnd"/>
      <w:r w:rsidRPr="00C97A60">
        <w:t>, C.A. Read, G. Simpson, J.A. Smith, Q.A. Summers, M. Weatherall, and R. Beasley, for the PSP Investigators*</w:t>
      </w:r>
    </w:p>
    <w:p w14:paraId="5B323E30" w14:textId="77777777" w:rsidR="00C97A60" w:rsidRPr="00C97A60" w:rsidRDefault="00C97A60" w:rsidP="00C97A60"/>
    <w:p w14:paraId="646D2594" w14:textId="77777777" w:rsidR="00C97A60" w:rsidRDefault="00C97A60" w:rsidP="00C97A60">
      <w:r w:rsidRPr="00C97A60">
        <w:t xml:space="preserve">BACKGROUND Whether conservative management is an acceptable alternative to interventional management for uncomplicated, moderate-to-large primary spontaneous pneumothorax is unknown. </w:t>
      </w:r>
    </w:p>
    <w:p w14:paraId="33521F53" w14:textId="77777777" w:rsidR="00C97A60" w:rsidRDefault="00C97A60" w:rsidP="00C97A60"/>
    <w:p w14:paraId="4247F5ED" w14:textId="77777777" w:rsidR="00C97A60" w:rsidRDefault="00C97A60" w:rsidP="00C97A60">
      <w:r w:rsidRPr="00C97A60">
        <w:t xml:space="preserve">METHODS In this open-label, multicenter, noninferiority trial, we recruited patients 14 to 50 years of age with a first-known, unilateral, moderate-to-large primary spontaneous pneumothorax. Patients were randomly assigned to immediate interventional management of the pneumothorax (intervention group) or a conservative observational approach (conservative-management group) and were followed for 12 months. The primary outcome was lung </w:t>
      </w:r>
      <w:proofErr w:type="spellStart"/>
      <w:r w:rsidRPr="00C97A60">
        <w:t>reexpansion</w:t>
      </w:r>
      <w:proofErr w:type="spellEnd"/>
      <w:r w:rsidRPr="00C97A60">
        <w:t xml:space="preserve"> within 8 weeks. </w:t>
      </w:r>
    </w:p>
    <w:p w14:paraId="20D3D923" w14:textId="77777777" w:rsidR="00C97A60" w:rsidRDefault="00C97A60" w:rsidP="00C97A60"/>
    <w:p w14:paraId="12B3B6A1" w14:textId="77777777" w:rsidR="00C97A60" w:rsidRDefault="00C97A60" w:rsidP="00C97A60">
      <w:r w:rsidRPr="00C97A60">
        <w:t>RESULTS A total of 316 patients underwent randomization (154 patients to the intervention group and 162 to the conservative-management group). In the conservative</w:t>
      </w:r>
      <w:r>
        <w:t xml:space="preserve"> </w:t>
      </w:r>
      <w:r w:rsidRPr="00C97A60">
        <w:t xml:space="preserve">management group, 25 patients (15.4%) underwent interventions to manage the pneumothorax, for reasons prespecified in the protocol, and 137 (84.6%) did not undergo interventions. In a complete-case analysis in which data were not available for 23 patients in the intervention group and 37 in the conservative-management group, </w:t>
      </w:r>
      <w:proofErr w:type="spellStart"/>
      <w:r w:rsidRPr="00C97A60">
        <w:t>reexpansion</w:t>
      </w:r>
      <w:proofErr w:type="spellEnd"/>
      <w:r w:rsidRPr="00C97A60">
        <w:t xml:space="preserve"> within 8 weeks occurred in 129 of 131 patients (98.5%) with interventional management and in 118 of 125 (94.4%) with conservative management (risk difference, −4.1 percentage points; 95% confidence interval [CI], −8.6 to 0.5; P=0.02 for noninferiority); the lower boundary of the 95% confidence interval was within the prespecified noninferiority margin of −9 percentage points. In a sensitivity analysis in which all missing data after 56 days were imputed as treatment failure (with </w:t>
      </w:r>
      <w:proofErr w:type="spellStart"/>
      <w:r w:rsidRPr="00C97A60">
        <w:t>reexpansion</w:t>
      </w:r>
      <w:proofErr w:type="spellEnd"/>
      <w:r w:rsidRPr="00C97A60">
        <w:t xml:space="preserve"> in 129 of 138 patients [93.5%] in the intervention group and in 118 of 143 [82.5%] in the conservative-management group), the risk difference of −11.0 percentage points (95% CI, −18.4 to −3.5) was outside the prespecified noninferiority margin. Conservative management resulted in a lower risk of serious adverse events or pneumothorax recurrence than interventional management. </w:t>
      </w:r>
    </w:p>
    <w:p w14:paraId="17AF67A2" w14:textId="77777777" w:rsidR="00C97A60" w:rsidRDefault="00C97A60" w:rsidP="00C97A60"/>
    <w:p w14:paraId="77E729E5" w14:textId="1372017A" w:rsidR="00C97A60" w:rsidRPr="00C97A60" w:rsidRDefault="00C97A60" w:rsidP="00C97A60">
      <w:r w:rsidRPr="00C97A60">
        <w:t>CONCLUSIONS Although the primary outcome was not statistically robust to conservative assumptions about missing data, the trial provides modest evidence that conservative management of primary spontaneous pneumothorax was noninferior to interventional management, with a lower risk of serious adverse events. (Funded by the Emergency Medicine Foundation and others; PSP Australian New Zealand Clinical Trials Registry number, ACTRN12611000184976.)</w:t>
      </w:r>
    </w:p>
    <w:p w14:paraId="7C22ADE0" w14:textId="2065E668" w:rsidR="00AA674F" w:rsidRDefault="00C97A60"/>
    <w:p w14:paraId="582112C0" w14:textId="77777777" w:rsidR="00C97A60" w:rsidRPr="00C97A60" w:rsidRDefault="00C97A60" w:rsidP="00C97A60">
      <w:r w:rsidRPr="00C97A60">
        <w:t xml:space="preserve">N </w:t>
      </w:r>
      <w:proofErr w:type="spellStart"/>
      <w:r w:rsidRPr="00C97A60">
        <w:t>Engl</w:t>
      </w:r>
      <w:proofErr w:type="spellEnd"/>
      <w:r w:rsidRPr="00C97A60">
        <w:t xml:space="preserve"> J Med </w:t>
      </w:r>
      <w:proofErr w:type="gramStart"/>
      <w:r w:rsidRPr="00C97A60">
        <w:t>2020;382:405</w:t>
      </w:r>
      <w:proofErr w:type="gramEnd"/>
      <w:r w:rsidRPr="00C97A60">
        <w:t>-15.</w:t>
      </w:r>
    </w:p>
    <w:p w14:paraId="31EF35BB" w14:textId="2F068090" w:rsidR="00C97A60" w:rsidRDefault="00C97A60">
      <w:hyperlink r:id="rId4" w:history="1">
        <w:r w:rsidRPr="00EA0ACA">
          <w:rPr>
            <w:rStyle w:val="Hyperlink"/>
          </w:rPr>
          <w:t>https://www-nejm-org.proxy.library.cornell.edu/doi/pdf/10.1056/NEJMoa1910775?articleTools=true</w:t>
        </w:r>
      </w:hyperlink>
    </w:p>
    <w:p w14:paraId="277EE8E9" w14:textId="77777777" w:rsidR="00C97A60" w:rsidRDefault="00C97A60" w:rsidP="00C97A60">
      <w:r>
        <w:rPr>
          <w:color w:val="323232"/>
        </w:rPr>
        <w:t>————————</w:t>
      </w:r>
    </w:p>
    <w:p w14:paraId="28F0E668" w14:textId="3CC3FC7F" w:rsidR="00C97A60" w:rsidRDefault="00C97A60" w:rsidP="00C97A60">
      <w:r w:rsidRPr="00C97A60">
        <w:t xml:space="preserve">Lower versus Traditional Treatment Threshold for Neonatal Hypoglycemia A.A.M.W. van </w:t>
      </w:r>
      <w:proofErr w:type="spellStart"/>
      <w:r w:rsidRPr="00C97A60">
        <w:t>Kempen</w:t>
      </w:r>
      <w:proofErr w:type="spellEnd"/>
      <w:r w:rsidRPr="00C97A60">
        <w:t xml:space="preserve">, P.F. </w:t>
      </w:r>
      <w:proofErr w:type="spellStart"/>
      <w:r w:rsidRPr="00C97A60">
        <w:t>Eskes</w:t>
      </w:r>
      <w:proofErr w:type="spellEnd"/>
      <w:r w:rsidRPr="00C97A60">
        <w:t xml:space="preserve">, D.H.G.M. </w:t>
      </w:r>
      <w:proofErr w:type="spellStart"/>
      <w:r w:rsidRPr="00C97A60">
        <w:t>Nuytemans</w:t>
      </w:r>
      <w:proofErr w:type="spellEnd"/>
      <w:r w:rsidRPr="00C97A60">
        <w:t xml:space="preserve">, J.H. van der Lee, L.M. </w:t>
      </w:r>
      <w:proofErr w:type="spellStart"/>
      <w:r w:rsidRPr="00C97A60">
        <w:t>Dijksman</w:t>
      </w:r>
      <w:proofErr w:type="spellEnd"/>
      <w:r w:rsidRPr="00C97A60">
        <w:t xml:space="preserve">, N.R. van </w:t>
      </w:r>
      <w:proofErr w:type="spellStart"/>
      <w:r w:rsidRPr="00C97A60">
        <w:t>Veenendaal</w:t>
      </w:r>
      <w:proofErr w:type="spellEnd"/>
      <w:r w:rsidRPr="00C97A60">
        <w:t xml:space="preserve">, F.J.P.C.M. van der Hulst, R.M.J. </w:t>
      </w:r>
      <w:proofErr w:type="spellStart"/>
      <w:r w:rsidRPr="00C97A60">
        <w:t>Moonen</w:t>
      </w:r>
      <w:proofErr w:type="spellEnd"/>
      <w:r w:rsidRPr="00C97A60">
        <w:t xml:space="preserve">, L.J.I. Zimmermann, E.P. van ’t </w:t>
      </w:r>
      <w:proofErr w:type="spellStart"/>
      <w:r w:rsidRPr="00C97A60">
        <w:t>Verlaat</w:t>
      </w:r>
      <w:proofErr w:type="spellEnd"/>
      <w:r w:rsidRPr="00C97A60">
        <w:t xml:space="preserve">, M. van </w:t>
      </w:r>
      <w:proofErr w:type="spellStart"/>
      <w:r w:rsidRPr="00C97A60">
        <w:t>Dongen</w:t>
      </w:r>
      <w:proofErr w:type="spellEnd"/>
      <w:r w:rsidRPr="00C97A60">
        <w:noBreakHyphen/>
        <w:t xml:space="preserve">van Baal, B.A. </w:t>
      </w:r>
      <w:proofErr w:type="spellStart"/>
      <w:r w:rsidRPr="00C97A60">
        <w:t>Semmekrot</w:t>
      </w:r>
      <w:proofErr w:type="spellEnd"/>
      <w:r w:rsidRPr="00C97A60">
        <w:t xml:space="preserve">, H.G. Stas, R.H.T. van </w:t>
      </w:r>
      <w:proofErr w:type="spellStart"/>
      <w:r w:rsidRPr="00C97A60">
        <w:t>Beek</w:t>
      </w:r>
      <w:proofErr w:type="spellEnd"/>
      <w:r w:rsidRPr="00C97A60">
        <w:t xml:space="preserve">, J.J. </w:t>
      </w:r>
      <w:proofErr w:type="spellStart"/>
      <w:r w:rsidRPr="00C97A60">
        <w:t>Vlietman</w:t>
      </w:r>
      <w:proofErr w:type="spellEnd"/>
      <w:r w:rsidRPr="00C97A60">
        <w:t xml:space="preserve">, P.H. Dijk, J.U.M. </w:t>
      </w:r>
      <w:proofErr w:type="spellStart"/>
      <w:r w:rsidRPr="00C97A60">
        <w:t>Termote</w:t>
      </w:r>
      <w:proofErr w:type="spellEnd"/>
      <w:r w:rsidRPr="00C97A60">
        <w:t xml:space="preserve">, R.C.J. de </w:t>
      </w:r>
      <w:proofErr w:type="spellStart"/>
      <w:r w:rsidRPr="00C97A60">
        <w:t>Jonge</w:t>
      </w:r>
      <w:proofErr w:type="spellEnd"/>
      <w:r w:rsidRPr="00C97A60">
        <w:t xml:space="preserve">, A.C. de Mol, M.W.A. </w:t>
      </w:r>
      <w:proofErr w:type="spellStart"/>
      <w:r w:rsidRPr="00C97A60">
        <w:t>Huysman</w:t>
      </w:r>
      <w:proofErr w:type="spellEnd"/>
      <w:r w:rsidRPr="00C97A60">
        <w:t xml:space="preserve">, J.H. </w:t>
      </w:r>
      <w:proofErr w:type="spellStart"/>
      <w:r w:rsidRPr="00C97A60">
        <w:t>Kok</w:t>
      </w:r>
      <w:proofErr w:type="spellEnd"/>
      <w:r w:rsidRPr="00C97A60">
        <w:t xml:space="preserve">, M. </w:t>
      </w:r>
      <w:proofErr w:type="spellStart"/>
      <w:r w:rsidRPr="00C97A60">
        <w:t>Offringa</w:t>
      </w:r>
      <w:proofErr w:type="spellEnd"/>
      <w:r w:rsidRPr="00C97A60">
        <w:t xml:space="preserve">, and N. </w:t>
      </w:r>
      <w:proofErr w:type="spellStart"/>
      <w:r w:rsidRPr="00C97A60">
        <w:t>Boluyt</w:t>
      </w:r>
      <w:proofErr w:type="spellEnd"/>
      <w:r w:rsidRPr="00C97A60">
        <w:t xml:space="preserve">, for the </w:t>
      </w:r>
      <w:proofErr w:type="spellStart"/>
      <w:r w:rsidRPr="00C97A60">
        <w:t>HypoEXIT</w:t>
      </w:r>
      <w:proofErr w:type="spellEnd"/>
      <w:r w:rsidRPr="00C97A60">
        <w:t xml:space="preserve"> Study Group*</w:t>
      </w:r>
    </w:p>
    <w:p w14:paraId="31DCEA9A" w14:textId="77777777" w:rsidR="00C97A60" w:rsidRPr="00C97A60" w:rsidRDefault="00C97A60" w:rsidP="00C97A60">
      <w:r w:rsidRPr="00C97A60">
        <w:t xml:space="preserve">BACKGROUND Worldwide, many newborns who are preterm, small or large for gestational age, or born to mothers with diabetes are screened for hypoglycemia, with a goal of preventing brain injury. However, there is no consensus on a treatment threshold that is safe but also avoids overtreatment. METHODS In a multicenter, randomized, noninferiority trial involving 689 otherwise healthy newborns born at 35 weeks of gestation or later and identified as being at risk for hypoglycemia, we compared two threshold values for treatment of asymptomatic moderate hypoglycemia. We sought to determine whether a management strategy that used a lower threshold (treatment administered at a glucose concentration of </w:t>
      </w:r>
    </w:p>
    <w:p w14:paraId="45BA7060" w14:textId="0320F675" w:rsidR="00C97A60" w:rsidRDefault="00C97A60" w:rsidP="00C97A60"/>
    <w:p w14:paraId="667E0412" w14:textId="77777777" w:rsidR="00C97A60" w:rsidRPr="00C97A60" w:rsidRDefault="00C97A60" w:rsidP="00C97A60">
      <w:r w:rsidRPr="00C97A60">
        <w:t xml:space="preserve">N </w:t>
      </w:r>
      <w:proofErr w:type="spellStart"/>
      <w:r w:rsidRPr="00C97A60">
        <w:t>Engl</w:t>
      </w:r>
      <w:proofErr w:type="spellEnd"/>
      <w:r w:rsidRPr="00C97A60">
        <w:t xml:space="preserve"> J Med </w:t>
      </w:r>
      <w:proofErr w:type="gramStart"/>
      <w:r w:rsidRPr="00C97A60">
        <w:t>2020;382:534</w:t>
      </w:r>
      <w:proofErr w:type="gramEnd"/>
      <w:r w:rsidRPr="00C97A60">
        <w:t>-44.</w:t>
      </w:r>
    </w:p>
    <w:p w14:paraId="229B982F" w14:textId="65D63055" w:rsidR="00C97A60" w:rsidRDefault="00C97A60" w:rsidP="00C97A60">
      <w:hyperlink r:id="rId5" w:history="1">
        <w:r w:rsidRPr="00EA0ACA">
          <w:rPr>
            <w:rStyle w:val="Hyperlink"/>
          </w:rPr>
          <w:t>https://www-nejm-org.proxy.library.cornell.edu/doi/pdf/10.1056/NEJMoa1905593?articleTools=true</w:t>
        </w:r>
      </w:hyperlink>
    </w:p>
    <w:p w14:paraId="650917CD" w14:textId="77777777" w:rsidR="00C97A60" w:rsidRDefault="00C97A60" w:rsidP="00C97A60">
      <w:r>
        <w:rPr>
          <w:color w:val="323232"/>
        </w:rPr>
        <w:t>————————</w:t>
      </w:r>
    </w:p>
    <w:p w14:paraId="08FCEEDD" w14:textId="77777777" w:rsidR="00C97A60" w:rsidRDefault="00C97A60" w:rsidP="00C97A60">
      <w:r>
        <w:t xml:space="preserve">Conservative Oxygen Therapy during Mechanical Ventilation in the ICU </w:t>
      </w:r>
      <w:proofErr w:type="gramStart"/>
      <w:r>
        <w:t>The</w:t>
      </w:r>
      <w:proofErr w:type="gramEnd"/>
      <w:r>
        <w:t xml:space="preserve"> ICU-ROX Investigators and the Australian and New Zealand Intensive Care Society Clinical Trials Group*</w:t>
      </w:r>
    </w:p>
    <w:p w14:paraId="3FBF7EE6" w14:textId="15ADAEB0" w:rsidR="00C97A60" w:rsidRDefault="00C97A60" w:rsidP="00C97A60">
      <w:r>
        <w:t>BACKGROUND Patients who are undergoing mechanical ventilation in the intensive care unit (ICU) often receive a high fraction of inspired oxygen (Fio</w:t>
      </w:r>
      <w:proofErr w:type="gramStart"/>
      <w:r>
        <w:t>2 )</w:t>
      </w:r>
      <w:proofErr w:type="gramEnd"/>
      <w:r>
        <w:t xml:space="preserve"> and have a high arterial oxygen tension. The conservative use of oxygen may reduce oxygen exposure, diminish lung and systemic oxidative injury, and thereby increase the number of ventilator-free days (days alive and free from mechanical ventilation). METHODS We randomly assigned 1000 adult patients who were anticipated to require mechanical ventilation beyond the day after recruitment in the ICU to receive conservative or usual oxygen therapy. In the two groups, the default lower limit for oxygen saturation as measured by pulse oximetry (Spo</w:t>
      </w:r>
      <w:proofErr w:type="gramStart"/>
      <w:r>
        <w:t>2 )</w:t>
      </w:r>
      <w:proofErr w:type="gramEnd"/>
      <w:r>
        <w:t xml:space="preserve"> was 90%. In the </w:t>
      </w:r>
      <w:proofErr w:type="spellStart"/>
      <w:r>
        <w:t>conservativeoxygen</w:t>
      </w:r>
      <w:proofErr w:type="spellEnd"/>
      <w:r>
        <w:t xml:space="preserve"> group, the upper limit of the Spo2 alarm was set to sound when the level reached 97%, and the Fio2 was decreased to 0.21 if the Spo2 was above the acceptable lower limit. In the usual-oxygen group, there were no specific measures limiting the Fio2 or the Spo</w:t>
      </w:r>
      <w:proofErr w:type="gramStart"/>
      <w:r>
        <w:t>2 .</w:t>
      </w:r>
      <w:proofErr w:type="gramEnd"/>
      <w:r>
        <w:t xml:space="preserve"> The primary outcome was the number of </w:t>
      </w:r>
      <w:proofErr w:type="spellStart"/>
      <w:r>
        <w:t>ventilatorfree</w:t>
      </w:r>
      <w:proofErr w:type="spellEnd"/>
      <w:r>
        <w:t xml:space="preserve"> days from randomization until day 28. RESULTS The number of ventilator-free days did not differ significantly between the conservative-oxygen group and the usual-oxygen group, with a median duration of 21.3 days (interquartile range, 0 to 26.3) and 22.1 days (interquartile range, 0 to 26.2), respectively, for an absolute difference of −0.3 days (95% confidence interval [CI], −2.1 to 1.6; P=0.80). The conservative-oxygen group spent more time in the ICU with an Fio2 of 0.21 than the usual-oxygen group, with a median duration of 29 hours (interquartile range, 5 to 78) and 1 hour (interquartile range, 0 to 17), respectively (absolute difference, 28 hours; 95% CI, 22 to 34); the conservative-oxygen group spent less time with an Spo2 exceeding 96%, with a duration of 27 hours (interquartile range, 11 to 63.5) and 49 hours (interquartile range, 22 to 112), respectively (absolute difference, 22 hours; 95% CI, 14 to 30). At 180 days, mortality was 35.7% in the </w:t>
      </w:r>
      <w:r>
        <w:lastRenderedPageBreak/>
        <w:t>conservative-oxygen group and 34.5% in the usual-oxygen group, for an unadjusted odds ratio of 1.05 (95% CI, 0.81 to 1.37). CONCLUSIONS In adults undergoing mechanical ventilation in the ICU, the use of conservative oxygen therapy, as compared with usual oxygen therapy, did not significantly affect the number of ventilator-free days. (Funded by the New Zealand Health Research Council; ICU-ROX Australia</w:t>
      </w:r>
    </w:p>
    <w:p w14:paraId="43134A8A" w14:textId="77777777" w:rsidR="00C97A60" w:rsidRDefault="00C97A60" w:rsidP="00C97A60"/>
    <w:p w14:paraId="0D3DFB03" w14:textId="1DD366F4" w:rsidR="00C97A60" w:rsidRDefault="00C97A60" w:rsidP="00C97A60">
      <w:r>
        <w:t xml:space="preserve">N </w:t>
      </w:r>
      <w:proofErr w:type="spellStart"/>
      <w:r>
        <w:t>Engl</w:t>
      </w:r>
      <w:proofErr w:type="spellEnd"/>
      <w:r>
        <w:t xml:space="preserve"> J Med </w:t>
      </w:r>
      <w:proofErr w:type="gramStart"/>
      <w:r>
        <w:t>2020;382:989</w:t>
      </w:r>
      <w:proofErr w:type="gramEnd"/>
      <w:r>
        <w:t>-98</w:t>
      </w:r>
    </w:p>
    <w:p w14:paraId="52214F58" w14:textId="0F550222" w:rsidR="00C97A60" w:rsidRDefault="00C97A60" w:rsidP="00C97A60">
      <w:hyperlink r:id="rId6" w:history="1">
        <w:r w:rsidRPr="00EA0ACA">
          <w:rPr>
            <w:rStyle w:val="Hyperlink"/>
          </w:rPr>
          <w:t>https://www-nejm-org.proxy.library.cornell.edu/doi/pdf/10.1056/NEJMoa1903297?articleTools=true</w:t>
        </w:r>
      </w:hyperlink>
    </w:p>
    <w:p w14:paraId="262EF5C5" w14:textId="77777777" w:rsidR="00C97A60" w:rsidRDefault="00C97A60" w:rsidP="00C97A60">
      <w:r>
        <w:rPr>
          <w:color w:val="323232"/>
        </w:rPr>
        <w:t>————————</w:t>
      </w:r>
    </w:p>
    <w:p w14:paraId="416904BD" w14:textId="77777777" w:rsidR="00C97A60" w:rsidRDefault="00C97A60" w:rsidP="00C97A60">
      <w:r>
        <w:t xml:space="preserve">Liberal or Conservative Oxygen Therapy for Acute Respiratory Distress Syndrome </w:t>
      </w:r>
      <w:proofErr w:type="spellStart"/>
      <w:r>
        <w:t>Loic</w:t>
      </w:r>
      <w:proofErr w:type="spellEnd"/>
      <w:r>
        <w:t xml:space="preserve"> </w:t>
      </w:r>
      <w:proofErr w:type="spellStart"/>
      <w:r>
        <w:t>Barrot</w:t>
      </w:r>
      <w:proofErr w:type="spellEnd"/>
      <w:r>
        <w:t xml:space="preserve">, M.D., Pierre </w:t>
      </w:r>
      <w:proofErr w:type="spellStart"/>
      <w:r>
        <w:t>Asfar</w:t>
      </w:r>
      <w:proofErr w:type="spellEnd"/>
      <w:r>
        <w:t xml:space="preserve">, M.D., Ph.D., Frederic </w:t>
      </w:r>
      <w:proofErr w:type="spellStart"/>
      <w:r>
        <w:t>Mauny</w:t>
      </w:r>
      <w:proofErr w:type="spellEnd"/>
      <w:r>
        <w:t xml:space="preserve">, M.D., Ph.D., </w:t>
      </w:r>
      <w:proofErr w:type="spellStart"/>
      <w:r>
        <w:t>Hadrien</w:t>
      </w:r>
      <w:proofErr w:type="spellEnd"/>
      <w:r>
        <w:t xml:space="preserve"> </w:t>
      </w:r>
      <w:proofErr w:type="spellStart"/>
      <w:r>
        <w:t>Winiszewski</w:t>
      </w:r>
      <w:proofErr w:type="spellEnd"/>
      <w:r>
        <w:t xml:space="preserve">, M.D., Florent </w:t>
      </w:r>
      <w:proofErr w:type="spellStart"/>
      <w:r>
        <w:t>Montini</w:t>
      </w:r>
      <w:proofErr w:type="spellEnd"/>
      <w:r>
        <w:t xml:space="preserve">, M.D., Julio </w:t>
      </w:r>
      <w:proofErr w:type="spellStart"/>
      <w:r>
        <w:t>Badie</w:t>
      </w:r>
      <w:proofErr w:type="spellEnd"/>
      <w:r>
        <w:t xml:space="preserve">, M.D., Jean-Pierre </w:t>
      </w:r>
      <w:proofErr w:type="spellStart"/>
      <w:r>
        <w:t>Quenot</w:t>
      </w:r>
      <w:proofErr w:type="spellEnd"/>
      <w:r>
        <w:t xml:space="preserve">, M.D., Ph.D., Sebastien Pili-Floury, M.D., Ph.D., </w:t>
      </w:r>
      <w:proofErr w:type="spellStart"/>
      <w:r>
        <w:t>Belaid</w:t>
      </w:r>
      <w:proofErr w:type="spellEnd"/>
      <w:r>
        <w:t xml:space="preserve"> </w:t>
      </w:r>
      <w:proofErr w:type="spellStart"/>
      <w:r>
        <w:t>Bouhemad</w:t>
      </w:r>
      <w:proofErr w:type="spellEnd"/>
      <w:r>
        <w:t xml:space="preserve">, M.D., Ph.D., Guillaume Louis, M.D., Bertrand </w:t>
      </w:r>
      <w:proofErr w:type="spellStart"/>
      <w:r>
        <w:t>Souweine</w:t>
      </w:r>
      <w:proofErr w:type="spellEnd"/>
      <w:r>
        <w:t xml:space="preserve">, M.D., Ph.D., Olivier </w:t>
      </w:r>
      <w:proofErr w:type="spellStart"/>
      <w:r>
        <w:t>Collange</w:t>
      </w:r>
      <w:proofErr w:type="spellEnd"/>
      <w:r>
        <w:t xml:space="preserve">, M.D., Ph.D., Julien </w:t>
      </w:r>
      <w:proofErr w:type="spellStart"/>
      <w:r>
        <w:t>Pottecher</w:t>
      </w:r>
      <w:proofErr w:type="spellEnd"/>
      <w:r>
        <w:t xml:space="preserve">, M.D., Ph.D., Bruno Levy, M.D., Ph.D., Marc </w:t>
      </w:r>
      <w:proofErr w:type="spellStart"/>
      <w:r>
        <w:t>Puyraveau</w:t>
      </w:r>
      <w:proofErr w:type="spellEnd"/>
      <w:r>
        <w:t xml:space="preserve">, M.Sc., Lucie </w:t>
      </w:r>
      <w:proofErr w:type="spellStart"/>
      <w:r>
        <w:t>Vettoretti</w:t>
      </w:r>
      <w:proofErr w:type="spellEnd"/>
      <w:r>
        <w:t xml:space="preserve">, Ph.D., Jean-Michel Constantin, M.D., Ph.D., and Gilles </w:t>
      </w:r>
      <w:proofErr w:type="spellStart"/>
      <w:r>
        <w:t>Capellier</w:t>
      </w:r>
      <w:proofErr w:type="spellEnd"/>
      <w:r>
        <w:t>, M.D., Ph.D., for the LOCO2</w:t>
      </w:r>
    </w:p>
    <w:p w14:paraId="66399E8D" w14:textId="77777777" w:rsidR="00C97A60" w:rsidRDefault="00C97A60" w:rsidP="00C97A60">
      <w:r>
        <w:t>BACKGROUND In patients with acute respiratory distress syndrome (ARDS), the National Heart, Lung, and Blood Institute ARDS Clinical Trials Network recommends a target partial pressure of arterial oxygen (Pao</w:t>
      </w:r>
      <w:proofErr w:type="gramStart"/>
      <w:r>
        <w:t>2 )</w:t>
      </w:r>
      <w:proofErr w:type="gramEnd"/>
      <w:r>
        <w:t xml:space="preserve"> between 55 and 80 mm Hg. Prospective validation of this range in patients with ARDS is lacking. We hypothesized that targeting the lower limit of this range would improve outcomes in patients with ARDS. METHODS In this multicenter, randomized trial, we assigned patients with ARDS to receive either conservative oxygen therapy (target Pao2 , 55 to 70 mm Hg; oxygen saturation as measured by pulse oximetry [Spo2 ], 88 to 92%) or liberal oxygen therapy (target Pao2 , 90 to 105 mm Hg; Spo2 , ≥96%) for 7 days. The same mechanical-ventilation strategies were used in both groups. The primary outcome was death from any cause at 28 days. RESULTS After the enrollment of 205 patients, the trial was prematurely stopped by the data and safety monitoring board because of safety concerns and a low likelihood of a significant difference between the two groups in the primary outcome. Four patients who did not meet the eligibility criteria were excluded. At day 28, a total of 34 of 99 patients (34.3%) in the conservative-oxygen group and 27 of 102 patients (26.5%) in the liberal-oxygen group had died (difference, 7.8 percentage points; 95% confidence interval [CI], −4.8 to 20.6). At day 90, 44.4% of the patients in the conservative-oxygen group and 30.4% of the patients in the liberal-oxygen group had died (difference, 14.0 percentage points; 95% CI, 0.7 to 27.2). Five mesenteric ischemic events occurred in the conservative-oxygen group. CONCLUSIONS Among patients with ARDS, early exposure to a conservative-oxygenation strategy with a Pao2 between </w:t>
      </w:r>
      <w:proofErr w:type="gramStart"/>
      <w:r>
        <w:t>55 and 70 mm</w:t>
      </w:r>
      <w:proofErr w:type="gramEnd"/>
      <w:r>
        <w:t xml:space="preserve"> Hg did not increase survival at 28 days. (Funded by the French Ministry of Health; LOCO2 ClinicalTrials.gov number, NCT02713451.)</w:t>
      </w:r>
    </w:p>
    <w:p w14:paraId="0B62A777" w14:textId="4B846BED" w:rsidR="00C97A60" w:rsidRDefault="00C97A60" w:rsidP="00C97A60"/>
    <w:p w14:paraId="01A3E571" w14:textId="77777777" w:rsidR="00C97A60" w:rsidRDefault="00C97A60" w:rsidP="00C97A60">
      <w:r>
        <w:t xml:space="preserve">N </w:t>
      </w:r>
      <w:proofErr w:type="spellStart"/>
      <w:r>
        <w:t>Engl</w:t>
      </w:r>
      <w:proofErr w:type="spellEnd"/>
      <w:r>
        <w:t xml:space="preserve"> J Med </w:t>
      </w:r>
      <w:proofErr w:type="gramStart"/>
      <w:r>
        <w:t>2020;382:999</w:t>
      </w:r>
      <w:proofErr w:type="gramEnd"/>
      <w:r>
        <w:t>-1008.</w:t>
      </w:r>
    </w:p>
    <w:p w14:paraId="322D41BC" w14:textId="01E41A5F" w:rsidR="00C97A60" w:rsidRDefault="00C97A60" w:rsidP="00C97A60">
      <w:r w:rsidRPr="00C97A60">
        <w:t>https://www-nejm-org.proxy.library.cornell.edu/doi/pdf/10.1056/NEJMoa1916431?articleTools=true</w:t>
      </w:r>
    </w:p>
    <w:p w14:paraId="258ECA75" w14:textId="77777777" w:rsidR="00C97A60" w:rsidRDefault="00C97A60" w:rsidP="00C97A60">
      <w:r>
        <w:rPr>
          <w:color w:val="323232"/>
        </w:rPr>
        <w:t>————————</w:t>
      </w:r>
    </w:p>
    <w:p w14:paraId="1897BF8C" w14:textId="77777777" w:rsidR="00C97A60" w:rsidRDefault="00C97A60" w:rsidP="00C97A60">
      <w:proofErr w:type="spellStart"/>
      <w:r>
        <w:t>Nonsedation</w:t>
      </w:r>
      <w:proofErr w:type="spellEnd"/>
      <w:r>
        <w:t xml:space="preserve"> or Light Sedation in Critically Ill, Mechanically Ventilated Patients Hanne T. Olsen, M.D., Helene K. </w:t>
      </w:r>
      <w:proofErr w:type="spellStart"/>
      <w:r>
        <w:t>Nedergaard</w:t>
      </w:r>
      <w:proofErr w:type="spellEnd"/>
      <w:r>
        <w:t xml:space="preserve">, M.D., Ph.D., Thomas </w:t>
      </w:r>
      <w:proofErr w:type="spellStart"/>
      <w:r>
        <w:t>Strøm</w:t>
      </w:r>
      <w:proofErr w:type="spellEnd"/>
      <w:r>
        <w:t xml:space="preserve">, M.D., Ph.D., Jakob </w:t>
      </w:r>
      <w:proofErr w:type="spellStart"/>
      <w:r>
        <w:t>Oxlund</w:t>
      </w:r>
      <w:proofErr w:type="spellEnd"/>
      <w:r>
        <w:t xml:space="preserve">, M.D., Karl-Andre </w:t>
      </w:r>
      <w:proofErr w:type="spellStart"/>
      <w:r>
        <w:t>Wian</w:t>
      </w:r>
      <w:proofErr w:type="spellEnd"/>
      <w:r>
        <w:t xml:space="preserve">, M.D., Lars M. </w:t>
      </w:r>
      <w:proofErr w:type="spellStart"/>
      <w:r>
        <w:t>Ytrebø</w:t>
      </w:r>
      <w:proofErr w:type="spellEnd"/>
      <w:r>
        <w:t xml:space="preserve">, M.D., Ph.D., </w:t>
      </w:r>
      <w:proofErr w:type="spellStart"/>
      <w:r>
        <w:t>Bjørn</w:t>
      </w:r>
      <w:proofErr w:type="spellEnd"/>
      <w:r>
        <w:t xml:space="preserve"> A. </w:t>
      </w:r>
      <w:proofErr w:type="spellStart"/>
      <w:r>
        <w:t>Kroken</w:t>
      </w:r>
      <w:proofErr w:type="spellEnd"/>
      <w:r>
        <w:t xml:space="preserve">, M.D., Michelle </w:t>
      </w:r>
      <w:r>
        <w:lastRenderedPageBreak/>
        <w:t xml:space="preserve">Chew, M.D., Ph.D., Serkan Korkmaz, </w:t>
      </w:r>
      <w:proofErr w:type="spellStart"/>
      <w:r>
        <w:t>Jørgen</w:t>
      </w:r>
      <w:proofErr w:type="spellEnd"/>
      <w:r>
        <w:t xml:space="preserve"> T. </w:t>
      </w:r>
      <w:proofErr w:type="spellStart"/>
      <w:r>
        <w:t>Lauridsen</w:t>
      </w:r>
      <w:proofErr w:type="spellEnd"/>
      <w:r>
        <w:t xml:space="preserve">, M.Sc., and </w:t>
      </w:r>
      <w:proofErr w:type="spellStart"/>
      <w:r>
        <w:t>Palle</w:t>
      </w:r>
      <w:proofErr w:type="spellEnd"/>
      <w:r>
        <w:t xml:space="preserve"> </w:t>
      </w:r>
      <w:proofErr w:type="spellStart"/>
      <w:r>
        <w:t>Toft</w:t>
      </w:r>
      <w:proofErr w:type="spellEnd"/>
      <w:r>
        <w:t xml:space="preserve">, M.D., </w:t>
      </w:r>
      <w:proofErr w:type="spellStart"/>
      <w:r>
        <w:t>D.M.Sc</w:t>
      </w:r>
      <w:proofErr w:type="spellEnd"/>
      <w:r>
        <w:t>.</w:t>
      </w:r>
    </w:p>
    <w:p w14:paraId="559D9D05" w14:textId="77777777" w:rsidR="00C97A60" w:rsidRDefault="00C97A60" w:rsidP="00C97A60">
      <w:r>
        <w:t>BACKGROUND In critically ill, mechanically ventilated patients, daily interruption of sedation has been shown to reduce the time on ventilation and the length of stay in the intensive care unit (ICU). Data on whether a plan of no sedation, as compared with a plan of light sedation, has an effect on mortality are lacking. METHODS In a multicenter, randomized, controlled trial, we assigned, in a 1:1 ratio, mechanically ventilated ICU patients to a plan of no sedation (</w:t>
      </w:r>
      <w:proofErr w:type="spellStart"/>
      <w:r>
        <w:t>nonsedation</w:t>
      </w:r>
      <w:proofErr w:type="spellEnd"/>
      <w:r>
        <w:t xml:space="preserve"> group) or to a plan of light sedation (i.e., to a level at which the patient was arousable, defined as a score of −2 to −3 on the Richmond Agitation and Sedation Scale [RASS], on which scores range from −5 [unresponsive] to +4 [combative]) (sedation group) with daily interruption. The primary outcome was mortality at 90 days. Secondary outcomes were the number of major thromboembolic events, the number of days free from coma or delirium, acute kidney injury according to severity, the number of ICU-free days, and the number of ventilator-free days. Between-group differences were calculated as the value in the </w:t>
      </w:r>
      <w:proofErr w:type="spellStart"/>
      <w:r>
        <w:t>nonsedation</w:t>
      </w:r>
      <w:proofErr w:type="spellEnd"/>
      <w:r>
        <w:t xml:space="preserve"> group minus the value in the sedation group. RESULTS A total of 710 patients underwent randomization, and 700 were included in the modified intention-to-treat analysis. The characteristics of the patients at baseline were similar in the two trial groups, except for the score on the Acute Physiology and Chronic Health Evaluation (APACHE) II, which was 1 point higher in the </w:t>
      </w:r>
      <w:proofErr w:type="spellStart"/>
      <w:r>
        <w:t>nonsedation</w:t>
      </w:r>
      <w:proofErr w:type="spellEnd"/>
      <w:r>
        <w:t xml:space="preserve"> group than in the sedation group, indicating a greater chance of in-hospital death. The mean RASS score in the </w:t>
      </w:r>
      <w:proofErr w:type="spellStart"/>
      <w:r>
        <w:t>nonsedation</w:t>
      </w:r>
      <w:proofErr w:type="spellEnd"/>
      <w:r>
        <w:t xml:space="preserve"> group increased from −1.3 on day 1 to −0.8 on day 7 and, in the sedation group, from −2.3 on day 1 to −1.8 on day 7. Mortality at 90 days was 42.4% in the </w:t>
      </w:r>
      <w:proofErr w:type="spellStart"/>
      <w:r>
        <w:t>nonsedation</w:t>
      </w:r>
      <w:proofErr w:type="spellEnd"/>
      <w:r>
        <w:t xml:space="preserve"> group and 37.0% in the sedated group (difference, 5.4 percentage points; 95% confidence interval [CI], −2.2 to 12.2; P=0.65). The number of ICU-free days and of ventilator-free days did not differ significantly between the trial groups. The patients in the </w:t>
      </w:r>
      <w:proofErr w:type="spellStart"/>
      <w:r>
        <w:t>nonsedation</w:t>
      </w:r>
      <w:proofErr w:type="spellEnd"/>
      <w:r>
        <w:t xml:space="preserve"> group had a median of 27 days free from coma or delirium, and those in the sedation group had a median of 26 days free from coma or delirium. A major thromboembolic event occurred in 1 patient (0.3%) in the </w:t>
      </w:r>
      <w:proofErr w:type="spellStart"/>
      <w:r>
        <w:t>nonsedation</w:t>
      </w:r>
      <w:proofErr w:type="spellEnd"/>
      <w:r>
        <w:t xml:space="preserve"> group and in 10 patients (2.8%) in the sedation group (difference, −2.5 percentage points; 95% CI, −4.8 to −0.7 [unadjusted for multiple comparisons]). CONCLUSIONS Among mechanically ventilated ICU patients, mortality at 90 days did not differ significantly between those assigned to a plan of no sedation and those assigned to a plan of light sedation with daily interruption. (Funded by the Danish Medical Research Council and others; NONSEDA ClinicalTrials.gov number, NCT01967680.)</w:t>
      </w:r>
    </w:p>
    <w:p w14:paraId="47B783F1" w14:textId="1A9DB611" w:rsidR="00C97A60" w:rsidRDefault="00C97A60" w:rsidP="00C97A60"/>
    <w:p w14:paraId="5AEC5045" w14:textId="77777777" w:rsidR="00C97A60" w:rsidRDefault="00C97A60" w:rsidP="00C97A60">
      <w:r>
        <w:t xml:space="preserve">N </w:t>
      </w:r>
      <w:proofErr w:type="spellStart"/>
      <w:r>
        <w:t>Engl</w:t>
      </w:r>
      <w:proofErr w:type="spellEnd"/>
      <w:r>
        <w:t xml:space="preserve"> J Med </w:t>
      </w:r>
      <w:proofErr w:type="gramStart"/>
      <w:r>
        <w:t>2020;382:1103</w:t>
      </w:r>
      <w:proofErr w:type="gramEnd"/>
      <w:r>
        <w:t>-11</w:t>
      </w:r>
    </w:p>
    <w:p w14:paraId="2F5E5736" w14:textId="70425FD6" w:rsidR="00C97A60" w:rsidRPr="00C97A60" w:rsidRDefault="00C97A60" w:rsidP="00C97A60">
      <w:r w:rsidRPr="00C97A60">
        <w:t>https://www-nejm-org.proxy.library.cornell.edu/doi/pdf/10.1056/NEJMoa1906759?articleTools=true</w:t>
      </w:r>
    </w:p>
    <w:p w14:paraId="7703438A" w14:textId="77777777" w:rsidR="00C97A60" w:rsidRDefault="00C97A60" w:rsidP="00C97A60">
      <w:r>
        <w:rPr>
          <w:color w:val="323232"/>
        </w:rPr>
        <w:t>————————</w:t>
      </w:r>
    </w:p>
    <w:p w14:paraId="2BFEDF83" w14:textId="2C215B41" w:rsidR="00C97A60" w:rsidRDefault="00C97A60"/>
    <w:p w14:paraId="7103C827" w14:textId="77777777" w:rsidR="00C97A60" w:rsidRDefault="00C97A60" w:rsidP="00C97A60">
      <w:r>
        <w:t xml:space="preserve">Apixaban for the Treatment of Venous Thromboembolism Associated with Cancer Giancarlo Agnelli, M.D., Cecilia </w:t>
      </w:r>
      <w:proofErr w:type="spellStart"/>
      <w:r>
        <w:t>Becattini</w:t>
      </w:r>
      <w:proofErr w:type="spellEnd"/>
      <w:r>
        <w:t xml:space="preserve">, M.D., Guy Meyer, M.D., Andres Muñoz, M.D., Menno V. Huisman, M.D., Jean M. Connors, M.D., Alexander Cohen, M.D., Rupert </w:t>
      </w:r>
      <w:proofErr w:type="spellStart"/>
      <w:r>
        <w:t>Bauersachs</w:t>
      </w:r>
      <w:proofErr w:type="spellEnd"/>
      <w:r>
        <w:t xml:space="preserve">, M.D., Benjamin Brenner, M.D., Adam </w:t>
      </w:r>
      <w:proofErr w:type="spellStart"/>
      <w:r>
        <w:t>Torbicki</w:t>
      </w:r>
      <w:proofErr w:type="spellEnd"/>
      <w:r>
        <w:t xml:space="preserve">, M.D., Maria R. </w:t>
      </w:r>
      <w:proofErr w:type="spellStart"/>
      <w:r>
        <w:t>Sueiro</w:t>
      </w:r>
      <w:proofErr w:type="spellEnd"/>
      <w:r>
        <w:t xml:space="preserve">, M.D., Catherine Lambert, M.D., Gualberto </w:t>
      </w:r>
      <w:proofErr w:type="spellStart"/>
      <w:r>
        <w:t>Gussoni</w:t>
      </w:r>
      <w:proofErr w:type="spellEnd"/>
      <w:r>
        <w:t xml:space="preserve">, M.D., Mauro Campanini, M.D., Andrea </w:t>
      </w:r>
      <w:proofErr w:type="spellStart"/>
      <w:r>
        <w:t>Fontanella</w:t>
      </w:r>
      <w:proofErr w:type="spellEnd"/>
      <w:r>
        <w:t xml:space="preserve">, M.D., Giorgio </w:t>
      </w:r>
      <w:proofErr w:type="spellStart"/>
      <w:r>
        <w:t>Vescovo</w:t>
      </w:r>
      <w:proofErr w:type="spellEnd"/>
      <w:r>
        <w:t>, M.D., and Melina Verso, M.D., for the Caravaggio Investigators*</w:t>
      </w:r>
    </w:p>
    <w:p w14:paraId="16B6960C" w14:textId="5342EF61" w:rsidR="00C97A60" w:rsidRDefault="00C97A60"/>
    <w:p w14:paraId="13ECBAA3" w14:textId="2A80D410" w:rsidR="00C97A60" w:rsidRDefault="00C97A60" w:rsidP="00C97A60">
      <w:r>
        <w:lastRenderedPageBreak/>
        <w:t xml:space="preserve">BACKGROUND Recent guidelines recommend consideration of the use of oral </w:t>
      </w:r>
      <w:proofErr w:type="spellStart"/>
      <w:r>
        <w:t>edoxaban</w:t>
      </w:r>
      <w:proofErr w:type="spellEnd"/>
      <w:r>
        <w:t xml:space="preserve"> or rivaroxaban for the treatment of venous thromboembolism in patients with cancer. However, the benefit of these oral agents is limited by the increased risk of bleeding associated with their use. METHODS This was a multinational, randomized, investigator-initiated, open-label, noninferiority trial with blinded central outcome adjudication. We randomly assigned consecutive patients with cancer who had symptomatic or incidental acute proximal deep-vein thrombosis or pulmonary embolism to receive oral apixaban (at a dose of 10 mg twice daily for the first 7 days, followed by 5 mg twice daily) or subcutaneous </w:t>
      </w:r>
      <w:proofErr w:type="spellStart"/>
      <w:r>
        <w:t>dalteparin</w:t>
      </w:r>
      <w:proofErr w:type="spellEnd"/>
      <w:r>
        <w:t xml:space="preserve"> (at a dose of 200 IU per kilogram of body weight once daily for the first month, followed by 150 IU per kilogram once daily). The treatments were administered for 6 months. The primary outcome was objectively confirmed recurrent venous thromboembolism during the trial period. The principal safety outcome was major bleeding. RESULTS Recurrent venous thromboembolism occurred in 32 of 576 patients (5.6%) in the apixaban group and in 46 of 579 patients (7.9%) in the </w:t>
      </w:r>
      <w:proofErr w:type="spellStart"/>
      <w:r>
        <w:t>dalteparin</w:t>
      </w:r>
      <w:proofErr w:type="spellEnd"/>
      <w:r>
        <w:t xml:space="preserve"> group (hazard ratio, 0.63; 95% confidence interval [CI], 0.37 to 1.07; P</w:t>
      </w:r>
      <w:r>
        <w:t>&lt;</w:t>
      </w:r>
      <w:r>
        <w:t>0.001 for noninferiority</w:t>
      </w:r>
      <w:r>
        <w:t xml:space="preserve">) </w:t>
      </w:r>
      <w:r>
        <w:t xml:space="preserve">Major bleeding occurred in 22 patients (3.8%) in the apixaban group and in 23 patients (4.0%) in the </w:t>
      </w:r>
      <w:proofErr w:type="spellStart"/>
      <w:r>
        <w:t>dalteparin</w:t>
      </w:r>
      <w:proofErr w:type="spellEnd"/>
      <w:r>
        <w:t xml:space="preserve"> group (hazard ratio, 0.82; 95% CI, 0.40 to 1.69; P=0.60).</w:t>
      </w:r>
    </w:p>
    <w:p w14:paraId="3580FA58" w14:textId="23059661" w:rsidR="00C97A60" w:rsidRDefault="00C97A60" w:rsidP="00C97A60"/>
    <w:p w14:paraId="5E8D7A2D" w14:textId="77777777" w:rsidR="00C97A60" w:rsidRDefault="00C97A60" w:rsidP="00C97A60">
      <w:r>
        <w:t xml:space="preserve">CONCLUSIONS Oral apixaban was noninferior to subcutaneous </w:t>
      </w:r>
      <w:proofErr w:type="spellStart"/>
      <w:r>
        <w:t>dalteparin</w:t>
      </w:r>
      <w:proofErr w:type="spellEnd"/>
      <w:r>
        <w:t xml:space="preserve"> for the treatment of cancer-associated venous thromboembolism without an increased risk of major bleeding. (Funded by the Bristol-Myers Squibb–Pfizer Alliance; Caravaggio ClinicalTrials.gov number, NCT03045406.)</w:t>
      </w:r>
    </w:p>
    <w:p w14:paraId="49E64BF5" w14:textId="09809060" w:rsidR="00C97A60" w:rsidRDefault="00C97A60"/>
    <w:p w14:paraId="340459DA" w14:textId="77777777" w:rsidR="00C97A60" w:rsidRDefault="00C97A60" w:rsidP="00C97A60">
      <w:r>
        <w:t xml:space="preserve">N </w:t>
      </w:r>
      <w:proofErr w:type="spellStart"/>
      <w:r>
        <w:t>Engl</w:t>
      </w:r>
      <w:proofErr w:type="spellEnd"/>
      <w:r>
        <w:t xml:space="preserve"> J Med </w:t>
      </w:r>
      <w:proofErr w:type="gramStart"/>
      <w:r>
        <w:t>2020;382:1599</w:t>
      </w:r>
      <w:proofErr w:type="gramEnd"/>
      <w:r>
        <w:t>-607</w:t>
      </w:r>
    </w:p>
    <w:p w14:paraId="285DC3F8" w14:textId="4312FD97" w:rsidR="00C97A60" w:rsidRDefault="00C97A60">
      <w:hyperlink r:id="rId7" w:history="1">
        <w:r w:rsidRPr="00EA0ACA">
          <w:rPr>
            <w:rStyle w:val="Hyperlink"/>
          </w:rPr>
          <w:t>https://www-nejm-org.proxy.library.cornell.edu/doi/pdf/10.1056/NEJMoa1915103?articleTools=true</w:t>
        </w:r>
      </w:hyperlink>
    </w:p>
    <w:p w14:paraId="4A975190" w14:textId="77777777" w:rsidR="00C97A60" w:rsidRDefault="00C97A60" w:rsidP="00C97A60">
      <w:r>
        <w:rPr>
          <w:color w:val="323232"/>
        </w:rPr>
        <w:t>————————</w:t>
      </w:r>
    </w:p>
    <w:p w14:paraId="30304109" w14:textId="77777777" w:rsidR="00C97A60" w:rsidRDefault="00C97A60" w:rsidP="00C97A60">
      <w:r>
        <w:t>Timing of Initiation of Renal-Replacement Therapy in Acute Kidney Injury The STARRT-AKI Investigators, for the Canadian Critical Care Trials Group, the Australian and New Zealand Intensive Care Society Clinical Trials Group, the United Kingdom Critical Care Research Group, the Canadian Nephrology Trials Network, and the Irish Critical Care Trials Group*</w:t>
      </w:r>
    </w:p>
    <w:p w14:paraId="54BC4A04" w14:textId="463BCBB0" w:rsidR="00C97A60" w:rsidRDefault="00C97A60"/>
    <w:p w14:paraId="247B1CF1" w14:textId="77777777" w:rsidR="00C97A60" w:rsidRDefault="00C97A60" w:rsidP="00C97A60">
      <w:r>
        <w:t xml:space="preserve">BACKGROUND Acute kidney injury is common in critically ill patients, many of whom receive renal-replacement therapy. However, the most effective timing for the initiation of such therapy remains uncertain. METHODS We conducted a multinational, randomized, controlled trial involving critically ill patients with severe acute kidney injury. Patients were randomly assigned to receive an accelerated strategy of renal-replacement therapy (in which therapy was initiated within 12 hours after the patient had met eligibility criteria) or a standard strategy (in which renal-replacement therapy was discouraged unless conventional indications developed or acute kidney injury persisted for &gt;72 hours). The primary outcome was death from any cause at 90 days. RESULTS Of the 3019 patients who had undergone randomization, 2927 (97.0%) were included in the modified intention-to-treat analysis (1465 in the accelerated-strategy group and 1462 in the standard-strategy group). Of these patients, renal-replacement therapy was performed in 1418 (96.8%) in the accelerated-strategy group and in 903 (61.8%) in the standard-strategy group. At 90 days, death had occurred in 643 patients (43.9%) in the accelerated-strategy group and in 639 (43.7%) in the standard-strategy group (relative risk, 1.00; 95% confidence interval [CI], 0.93 to 1.09; P=0.92). Among survivors at 90 days, continued dependence on </w:t>
      </w:r>
      <w:proofErr w:type="spellStart"/>
      <w:r>
        <w:lastRenderedPageBreak/>
        <w:t>renalreplacement</w:t>
      </w:r>
      <w:proofErr w:type="spellEnd"/>
      <w:r>
        <w:t xml:space="preserve"> therapy was confirmed in 85 of 814 patients (10.4%) in the </w:t>
      </w:r>
      <w:proofErr w:type="spellStart"/>
      <w:r>
        <w:t>acceleratedstrategy</w:t>
      </w:r>
      <w:proofErr w:type="spellEnd"/>
      <w:r>
        <w:t xml:space="preserve"> group and in 49 of 815 patients (6.0%) in the standard-strategy group (relative risk, 1.74; 95% CI, 1.24 to 2.43). Adverse events occurred in 346 of 1503 patients (23.0%) in the accelerated-strategy group and in 245 of 1489 patients (16.5%) in the standard-strategy group (P</w:t>
      </w:r>
      <w:r>
        <w:t>&lt;</w:t>
      </w:r>
      <w:r>
        <w:t>0.001)</w:t>
      </w:r>
    </w:p>
    <w:p w14:paraId="5CB5B7FA" w14:textId="22120545" w:rsidR="00C97A60" w:rsidRDefault="00C97A60" w:rsidP="00C97A60"/>
    <w:p w14:paraId="2D66E4FC" w14:textId="77777777" w:rsidR="00C97A60" w:rsidRDefault="00C97A60" w:rsidP="00C97A60">
      <w:r>
        <w:t>CONCLUSIONS Among critically ill patients with acute kidney injury, an accelerated renal-replacement strategy was not associated with a lower risk of death at 90 days than a standard strategy. (Funded by the Canadian Institutes of Health Research and others; STARRT-AKI ClinicalTrials.gov number, NCT02568722.)</w:t>
      </w:r>
    </w:p>
    <w:p w14:paraId="7F01FB78" w14:textId="2860F8FE" w:rsidR="00C97A60" w:rsidRDefault="00C97A60"/>
    <w:p w14:paraId="51356B75" w14:textId="77777777" w:rsidR="00C97A60" w:rsidRDefault="00C97A60" w:rsidP="00C97A60">
      <w:r>
        <w:t xml:space="preserve">N </w:t>
      </w:r>
      <w:proofErr w:type="spellStart"/>
      <w:r>
        <w:t>Engl</w:t>
      </w:r>
      <w:proofErr w:type="spellEnd"/>
      <w:r>
        <w:t xml:space="preserve"> J Med </w:t>
      </w:r>
      <w:proofErr w:type="gramStart"/>
      <w:r>
        <w:t>2020;383:240</w:t>
      </w:r>
      <w:proofErr w:type="gramEnd"/>
      <w:r>
        <w:t>-51.</w:t>
      </w:r>
    </w:p>
    <w:p w14:paraId="2B3CE258" w14:textId="220FC323" w:rsidR="00C97A60" w:rsidRDefault="00C97A60">
      <w:hyperlink r:id="rId8" w:history="1">
        <w:r w:rsidRPr="00EA0ACA">
          <w:rPr>
            <w:rStyle w:val="Hyperlink"/>
          </w:rPr>
          <w:t>https://www-nejm-org.proxy.library.cornell.edu/doi/pdf/10.1056/NEJMoa2000741?articleTools=true</w:t>
        </w:r>
      </w:hyperlink>
    </w:p>
    <w:p w14:paraId="51BDCEF6" w14:textId="77777777" w:rsidR="00C97A60" w:rsidRDefault="00C97A60" w:rsidP="00C97A60">
      <w:r>
        <w:rPr>
          <w:color w:val="323232"/>
        </w:rPr>
        <w:t>————————</w:t>
      </w:r>
    </w:p>
    <w:p w14:paraId="32107F3E" w14:textId="77777777" w:rsidR="00C97A60" w:rsidRDefault="00C97A60" w:rsidP="00C97A60">
      <w:r>
        <w:t xml:space="preserve">High-Flow Oxygen with Capping or Suctioning for Tracheostomy Decannulation Gonzalo Hernández Martínez, M.D., Ph.D., Maria-Luisa Rodriguez, M.D., Maria-Concepción Vaquero, M.D., Ramón Ortiz, M.D., Ph.D., Joan-Ramon </w:t>
      </w:r>
      <w:proofErr w:type="spellStart"/>
      <w:r>
        <w:t>Masclans</w:t>
      </w:r>
      <w:proofErr w:type="spellEnd"/>
      <w:r>
        <w:t>, M.D., Ph.D., Oriol Roca, M.D., Ph.D., Laura Colinas, M.D., Ph.D., Raul de Pablo, M.D., Ph.D., Maria-del-Carmen Espinosa, M.D., Ph.D., Marina Garcia-de-</w:t>
      </w:r>
      <w:proofErr w:type="spellStart"/>
      <w:r>
        <w:t>Acilu</w:t>
      </w:r>
      <w:proofErr w:type="spellEnd"/>
      <w:r>
        <w:t xml:space="preserve">, M.D., Cristina </w:t>
      </w:r>
      <w:proofErr w:type="spellStart"/>
      <w:r>
        <w:t>Climent</w:t>
      </w:r>
      <w:proofErr w:type="spellEnd"/>
      <w:r>
        <w:t xml:space="preserve">, M.D., and Rafael </w:t>
      </w:r>
      <w:proofErr w:type="spellStart"/>
      <w:r>
        <w:t>Cuena</w:t>
      </w:r>
      <w:proofErr w:type="spellEnd"/>
      <w:r>
        <w:t>-Boy, M.D.</w:t>
      </w:r>
    </w:p>
    <w:p w14:paraId="423CEA7F" w14:textId="77777777" w:rsidR="00C97A60" w:rsidRDefault="00C97A60" w:rsidP="00C97A60">
      <w:r>
        <w:t xml:space="preserve">BACKGROUND When patients with a tracheostomy tube reach a stage in their care at which decannulation appears to be possible, it is common practice to cap the tracheostomy tube for 24 hours to see whether they can breathe on their own. Whether this approach to establishing patient readiness for decannulation leads to better outcomes than one based on the frequency of airway suctioning is unclear. METHODS In five intensive care units (ICUs), we enrolled conscious, critically ill adults who had a tracheostomy tube; patients were eligible after weaning from mechanical ventilation. In this unblinded trial, patients were randomly assigned either to undergo a 24-hour capping trial plus intermittent high-flow oxygen therapy (control group) or to receive continuous high-flow oxygen therapy with frequency of suctioning being the indicator of readiness for decannulation (intervention group). The primary outcome was the time to decannulation, compared by means of the log-rank test. Secondary outcomes included decannulation failure, weaning failure, respiratory infections, sepsis, multiorgan failure, durations of stay in the ICU and hospital, and deaths in the ICU and hospital. RESULTS The trial included 330 patients; the mean (±SD) age of the patients was 58.3±15.1 years, and 68.2% of the patients were men. A total of 161 patients were assigned to the control group and 169 to the intervention group. The time to decannulation was shorter in the intervention group than in the control group (median, 6 days [interquartile range, 5 to 7] vs. 13 days [interquartile range, 11 to 14]; absolute difference, 7 days [95% confidence interval, 5 to 9]). The incidence of pneumonia and tracheobronchitis was lower, and the duration of stay in the hospital shorter, in the intervention group than in the control group. Other secondary outcomes were similar in the two groups. CONCLUSIONS Basing the decision to decannulate on suctioning frequency plus continuous </w:t>
      </w:r>
      <w:proofErr w:type="spellStart"/>
      <w:r>
        <w:t>highflow</w:t>
      </w:r>
      <w:proofErr w:type="spellEnd"/>
      <w:r>
        <w:t xml:space="preserve"> oxygen therapy rather than on 24-hour capping trials plus intermittent </w:t>
      </w:r>
      <w:proofErr w:type="spellStart"/>
      <w:r>
        <w:t>highflow</w:t>
      </w:r>
      <w:proofErr w:type="spellEnd"/>
      <w:r>
        <w:t xml:space="preserve"> oxygen therapy reduced the time to decannulation, with no evidence of a between-group difference in the incidence of decannulation failure. (REDECAP ClinicalTrials.gov number, NCT02512744.)</w:t>
      </w:r>
    </w:p>
    <w:p w14:paraId="026C285F" w14:textId="35FCE301" w:rsidR="00C97A60" w:rsidRDefault="00C97A60"/>
    <w:p w14:paraId="093D3EEB" w14:textId="77777777" w:rsidR="00C97A60" w:rsidRDefault="00C97A60" w:rsidP="00C97A60">
      <w:r>
        <w:t xml:space="preserve">N </w:t>
      </w:r>
      <w:proofErr w:type="spellStart"/>
      <w:r>
        <w:t>Engl</w:t>
      </w:r>
      <w:proofErr w:type="spellEnd"/>
      <w:r>
        <w:t xml:space="preserve"> J Med </w:t>
      </w:r>
      <w:proofErr w:type="gramStart"/>
      <w:r>
        <w:t>2020;383:1009</w:t>
      </w:r>
      <w:proofErr w:type="gramEnd"/>
      <w:r>
        <w:t>-17.</w:t>
      </w:r>
    </w:p>
    <w:p w14:paraId="419D612C" w14:textId="549967BE" w:rsidR="00C97A60" w:rsidRDefault="00C97A60">
      <w:hyperlink r:id="rId9" w:history="1">
        <w:r w:rsidRPr="00EA0ACA">
          <w:rPr>
            <w:rStyle w:val="Hyperlink"/>
          </w:rPr>
          <w:t>https://www-nejm-org.proxy.library.cornell.edu/doi/pdf/10.1056/NEJMoa2010834?articleTools=true</w:t>
        </w:r>
      </w:hyperlink>
    </w:p>
    <w:p w14:paraId="1E082FF2" w14:textId="77777777" w:rsidR="00C97A60" w:rsidRDefault="00C97A60" w:rsidP="00C97A60">
      <w:r>
        <w:rPr>
          <w:color w:val="323232"/>
        </w:rPr>
        <w:t>————————</w:t>
      </w:r>
    </w:p>
    <w:p w14:paraId="2362B1D7" w14:textId="77777777" w:rsidR="00C97A60" w:rsidRDefault="00C97A60" w:rsidP="00C97A60">
      <w:r>
        <w:t xml:space="preserve">Early Rhythm-Control Therapy in Patients with Atrial Fibrillation P. </w:t>
      </w:r>
      <w:proofErr w:type="spellStart"/>
      <w:r>
        <w:t>Kirchhof</w:t>
      </w:r>
      <w:proofErr w:type="spellEnd"/>
      <w:r>
        <w:t xml:space="preserve">, A.J. </w:t>
      </w:r>
      <w:proofErr w:type="spellStart"/>
      <w:r>
        <w:t>Camm</w:t>
      </w:r>
      <w:proofErr w:type="spellEnd"/>
      <w:r>
        <w:t xml:space="preserve">, A. </w:t>
      </w:r>
      <w:proofErr w:type="spellStart"/>
      <w:r>
        <w:t>Goette</w:t>
      </w:r>
      <w:proofErr w:type="spellEnd"/>
      <w:r>
        <w:t xml:space="preserve">, A. </w:t>
      </w:r>
      <w:proofErr w:type="spellStart"/>
      <w:r>
        <w:t>Brandes</w:t>
      </w:r>
      <w:proofErr w:type="spellEnd"/>
      <w:r>
        <w:t xml:space="preserve">, L. </w:t>
      </w:r>
      <w:proofErr w:type="spellStart"/>
      <w:r>
        <w:t>Eckardt</w:t>
      </w:r>
      <w:proofErr w:type="spellEnd"/>
      <w:r>
        <w:t xml:space="preserve">, A. Elvan, T. </w:t>
      </w:r>
      <w:proofErr w:type="spellStart"/>
      <w:r>
        <w:t>Fetsch</w:t>
      </w:r>
      <w:proofErr w:type="spellEnd"/>
      <w:r>
        <w:t xml:space="preserve">, I.C. van Gelder, D. </w:t>
      </w:r>
      <w:proofErr w:type="spellStart"/>
      <w:r>
        <w:t>Haase</w:t>
      </w:r>
      <w:proofErr w:type="spellEnd"/>
      <w:r>
        <w:t xml:space="preserve">, L.M. </w:t>
      </w:r>
      <w:proofErr w:type="spellStart"/>
      <w:r>
        <w:t>Haegeli</w:t>
      </w:r>
      <w:proofErr w:type="spellEnd"/>
      <w:r>
        <w:t xml:space="preserve">, F. Hamann, H. </w:t>
      </w:r>
      <w:proofErr w:type="spellStart"/>
      <w:r>
        <w:t>Heidbüchel</w:t>
      </w:r>
      <w:proofErr w:type="spellEnd"/>
      <w:r>
        <w:t xml:space="preserve">, G. </w:t>
      </w:r>
      <w:proofErr w:type="spellStart"/>
      <w:r>
        <w:t>Hindricks</w:t>
      </w:r>
      <w:proofErr w:type="spellEnd"/>
      <w:r>
        <w:t xml:space="preserve">, J. </w:t>
      </w:r>
      <w:proofErr w:type="spellStart"/>
      <w:r>
        <w:t>Kautzner</w:t>
      </w:r>
      <w:proofErr w:type="spellEnd"/>
      <w:r>
        <w:t xml:space="preserve">, K.-H. </w:t>
      </w:r>
      <w:proofErr w:type="spellStart"/>
      <w:r>
        <w:t>Kuck</w:t>
      </w:r>
      <w:proofErr w:type="spellEnd"/>
      <w:r>
        <w:t xml:space="preserve">, L. Mont, G.A. Ng, J. </w:t>
      </w:r>
      <w:proofErr w:type="spellStart"/>
      <w:r>
        <w:t>Rekosz</w:t>
      </w:r>
      <w:proofErr w:type="spellEnd"/>
      <w:r>
        <w:t xml:space="preserve">, N. Schoen, U. </w:t>
      </w:r>
      <w:proofErr w:type="spellStart"/>
      <w:r>
        <w:t>Schotten</w:t>
      </w:r>
      <w:proofErr w:type="spellEnd"/>
      <w:r>
        <w:t xml:space="preserve">, A. </w:t>
      </w:r>
      <w:proofErr w:type="spellStart"/>
      <w:r>
        <w:t>Suling</w:t>
      </w:r>
      <w:proofErr w:type="spellEnd"/>
      <w:r>
        <w:t xml:space="preserve">, J. </w:t>
      </w:r>
      <w:proofErr w:type="spellStart"/>
      <w:r>
        <w:t>Taggeselle</w:t>
      </w:r>
      <w:proofErr w:type="spellEnd"/>
      <w:r>
        <w:t xml:space="preserve">, S. </w:t>
      </w:r>
      <w:proofErr w:type="spellStart"/>
      <w:r>
        <w:t>Themistoclakis</w:t>
      </w:r>
      <w:proofErr w:type="spellEnd"/>
      <w:r>
        <w:t xml:space="preserve">, E. </w:t>
      </w:r>
      <w:proofErr w:type="spellStart"/>
      <w:r>
        <w:t>Vettorazzi</w:t>
      </w:r>
      <w:proofErr w:type="spellEnd"/>
      <w:r>
        <w:t xml:space="preserve">, P. </w:t>
      </w:r>
      <w:proofErr w:type="spellStart"/>
      <w:r>
        <w:t>Vardas</w:t>
      </w:r>
      <w:proofErr w:type="spellEnd"/>
      <w:r>
        <w:t xml:space="preserve">, K. </w:t>
      </w:r>
      <w:proofErr w:type="spellStart"/>
      <w:r>
        <w:t>Wegscheider</w:t>
      </w:r>
      <w:proofErr w:type="spellEnd"/>
      <w:r>
        <w:t xml:space="preserve">, S. Willems, H.J.G.M. </w:t>
      </w:r>
      <w:proofErr w:type="spellStart"/>
      <w:r>
        <w:t>Crijns</w:t>
      </w:r>
      <w:proofErr w:type="spellEnd"/>
      <w:r>
        <w:t xml:space="preserve">, and G. </w:t>
      </w:r>
      <w:proofErr w:type="spellStart"/>
      <w:r>
        <w:t>Breithardt</w:t>
      </w:r>
      <w:proofErr w:type="spellEnd"/>
      <w:r>
        <w:t>, for the EAST-AFNET 4 Trial Investigators*</w:t>
      </w:r>
    </w:p>
    <w:p w14:paraId="2C47535C" w14:textId="1C4D4C37" w:rsidR="00C97A60" w:rsidRDefault="00C97A60"/>
    <w:p w14:paraId="7A46C67A" w14:textId="0D837E11" w:rsidR="00C97A60" w:rsidRDefault="00C97A60" w:rsidP="00C97A60">
      <w:r>
        <w:t>BACKGROUND Despite improvements in the management of atrial fibrillation, patients with this condition remain at increased risk for cardiovascular complications. It is unclear whether early rhythm-control therapy can reduce this risk. METHODS In this international, investigator-initiated, parallel-group, open, blinded-</w:t>
      </w:r>
      <w:proofErr w:type="spellStart"/>
      <w:r>
        <w:t>outcomeassessment</w:t>
      </w:r>
      <w:proofErr w:type="spellEnd"/>
      <w:r>
        <w:t xml:space="preserve"> trial, we randomly assigned patients who had early atrial fibrillation (diagnosed ≤1 year before enrollment) and cardiovascular conditions to receive either early rhythm control or usual care. Early rhythm control included treatment with antiarrhythmic drugs or atrial fibrillation ablation after randomization. Usual care limited rhythm control to the management of atrial fibrillation–related symptoms. The first primary outcome was a composite of death from cardiovascular causes, stroke, or hospitalization with worsening of heart failure or acute coronary syndrome; the second primary outcome was the number of nights spent in the hospital per year. The primary safety outcome was a composite of death, stroke, or serious adverse events related to rhythm-control therapy. Secondary outcomes, including symptoms and left ventricular function, were also evaluated. RESULTS In 135 centers, 2789 patients with early atrial fibrillation (median time since diagnosis, 36 days) underwent randomization. The trial was stopped for efficacy at the third interim analysis after a median of 5.1 years of follow-up per patient. A first-primary-outcome event occurred in 249 of the patients assigned to early rhythm control (3.9 per 100 person-years) and in 316 patients assigned to usual care (5.0 per 100 person-years) (hazard ratio, 0.79; 96% confidence interval, 0.66 to 0.94; P=0.005). The mean (±SD) number of nights spent in the hospital did not differ significantly between the groups (5.8±21.9 and 5.1±15.5 days per year, respectively; P=0.23). The percentage of patients with a primary safety outcome event did not differ significantly between the groups; serious adverse events related to rhythm-control therapy occurred in 4.9% of the patients assigned to early rhythm control and 1.4% of the patients assigned to usual care. Symptoms and left ventricular function at 2 years did not differ significantly between the groups. CONCLUSIONS Early rhythm-control therapy was associated with a lower risk of adverse cardiovascular outcomes than usual care among patients with early atrial fibrillation and cardiovascular conditions. (Funded by the German Ministry of Education and Research and others; EAST-AFNET 4 ISRCTN number, ISRCTN04708680; ClinicalTrials.gov number, NCT01288352; EudraCT number, 2010-021258-20.)</w:t>
      </w:r>
    </w:p>
    <w:p w14:paraId="0887FBD7" w14:textId="77777777" w:rsidR="00C97A60" w:rsidRDefault="00C97A60" w:rsidP="00C97A60"/>
    <w:p w14:paraId="42CEAB04" w14:textId="77777777" w:rsidR="00C97A60" w:rsidRDefault="00C97A60" w:rsidP="00C97A60">
      <w:r>
        <w:t xml:space="preserve">N </w:t>
      </w:r>
      <w:proofErr w:type="spellStart"/>
      <w:r>
        <w:t>Engl</w:t>
      </w:r>
      <w:proofErr w:type="spellEnd"/>
      <w:r>
        <w:t xml:space="preserve"> J Med </w:t>
      </w:r>
      <w:proofErr w:type="gramStart"/>
      <w:r>
        <w:t>2020;383:1305</w:t>
      </w:r>
      <w:proofErr w:type="gramEnd"/>
      <w:r>
        <w:t>-16.</w:t>
      </w:r>
    </w:p>
    <w:p w14:paraId="5C719BEA" w14:textId="363AC292" w:rsidR="00C97A60" w:rsidRDefault="00C97A60">
      <w:hyperlink r:id="rId10" w:history="1">
        <w:r w:rsidRPr="00EA0ACA">
          <w:rPr>
            <w:rStyle w:val="Hyperlink"/>
          </w:rPr>
          <w:t>https://www-nejm-org.proxy.library.cornell.edu/doi/pdf/10.1056/NEJMoa2019422?articleTools=true</w:t>
        </w:r>
      </w:hyperlink>
    </w:p>
    <w:p w14:paraId="412E19AD" w14:textId="77777777" w:rsidR="00C97A60" w:rsidRDefault="00C97A60" w:rsidP="00C97A60">
      <w:r>
        <w:rPr>
          <w:color w:val="323232"/>
        </w:rPr>
        <w:t>————————</w:t>
      </w:r>
    </w:p>
    <w:p w14:paraId="6553CC6A" w14:textId="77777777" w:rsidR="00C97A60" w:rsidRDefault="00C97A60" w:rsidP="00C97A60">
      <w:r>
        <w:t xml:space="preserve">Trial of Dexamethasone for Chronic Subdural Hematoma P.J. Hutchinson, E. </w:t>
      </w:r>
      <w:proofErr w:type="spellStart"/>
      <w:r>
        <w:t>Edlmann</w:t>
      </w:r>
      <w:proofErr w:type="spellEnd"/>
      <w:r>
        <w:t xml:space="preserve">, D. </w:t>
      </w:r>
      <w:proofErr w:type="spellStart"/>
      <w:r>
        <w:t>Bulters</w:t>
      </w:r>
      <w:proofErr w:type="spellEnd"/>
      <w:r>
        <w:t xml:space="preserve">, A. </w:t>
      </w:r>
      <w:proofErr w:type="spellStart"/>
      <w:r>
        <w:t>Zolnourian</w:t>
      </w:r>
      <w:proofErr w:type="spellEnd"/>
      <w:r>
        <w:t xml:space="preserve">, P. Holton, N. Suttner, K. Agyemang, S. Thomson, I.A. Anderson, Y.Z. </w:t>
      </w:r>
      <w:r>
        <w:lastRenderedPageBreak/>
        <w:t xml:space="preserve">Al-Tamimi, D. Henderson, P.C. Whitfield, M. </w:t>
      </w:r>
      <w:proofErr w:type="spellStart"/>
      <w:r>
        <w:t>Gherle</w:t>
      </w:r>
      <w:proofErr w:type="spellEnd"/>
      <w:r>
        <w:t xml:space="preserve">, P.M. Brennan, A. Allison, E.P. </w:t>
      </w:r>
      <w:proofErr w:type="spellStart"/>
      <w:r>
        <w:t>Thelin</w:t>
      </w:r>
      <w:proofErr w:type="spellEnd"/>
      <w:r>
        <w:t>, S. Tarantino, B. Pantaleo, K. Caldwell, C. Davis-</w:t>
      </w:r>
      <w:proofErr w:type="spellStart"/>
      <w:r>
        <w:t>Wilkie</w:t>
      </w:r>
      <w:proofErr w:type="spellEnd"/>
      <w:r>
        <w:t xml:space="preserve">, H. </w:t>
      </w:r>
      <w:proofErr w:type="spellStart"/>
      <w:r>
        <w:t>Mee</w:t>
      </w:r>
      <w:proofErr w:type="spellEnd"/>
      <w:r>
        <w:t xml:space="preserve">, E.A. Warburton, G. Barton, A. Chari, H.J. Marcus, A.T. King, A. Belli, P.K. </w:t>
      </w:r>
      <w:proofErr w:type="spellStart"/>
      <w:r>
        <w:t>Myint</w:t>
      </w:r>
      <w:proofErr w:type="spellEnd"/>
      <w:r>
        <w:t xml:space="preserve">, I. Wilkinson, T. </w:t>
      </w:r>
      <w:proofErr w:type="spellStart"/>
      <w:r>
        <w:t>Santarius</w:t>
      </w:r>
      <w:proofErr w:type="spellEnd"/>
      <w:r>
        <w:t xml:space="preserve">, C. Turner, S. Bond, and A.G. </w:t>
      </w:r>
      <w:proofErr w:type="spellStart"/>
      <w:r>
        <w:t>Kolias</w:t>
      </w:r>
      <w:proofErr w:type="spellEnd"/>
      <w:r>
        <w:t xml:space="preserve">, for the British Neurosurgical Trainee Research Collaborative and </w:t>
      </w:r>
      <w:proofErr w:type="spellStart"/>
      <w:r>
        <w:t>Dex</w:t>
      </w:r>
      <w:proofErr w:type="spellEnd"/>
      <w:r>
        <w:t>-CSDH Trial Collaborators*</w:t>
      </w:r>
    </w:p>
    <w:p w14:paraId="1DB8E7B4" w14:textId="5AD5F5CB" w:rsidR="00C97A60" w:rsidRDefault="00C97A60"/>
    <w:p w14:paraId="771B2AB0" w14:textId="77777777" w:rsidR="00C97A60" w:rsidRDefault="00C97A60" w:rsidP="00C97A60">
      <w:r>
        <w:t xml:space="preserve">BACKGROUND Chronic subdural hematoma is a common neurologic disorder that is especially prevalent among older people. The effect of dexamethasone on outcomes in patients with chronic subdural hematoma has not been well studied. METHODS We conducted a multicenter, randomized trial in the United Kingdom that enrolled adult patients with symptomatic chronic subdural hematoma. The patients were assigned in a 1:1 ratio to receive a 2-week tapering course of oral dexamethasone, starting at 8 mg twice daily, or placebo. The decision to surgically evacuate the hematoma was made by the treating clinician. The primary outcome was a score of 0 to 3, representing a favorable outcome, on the modified Rankin scale at 6 months after randomization; scores range from 0 (no symptoms) to 6 (death). RESULTS From August 2015 through November 2019, a total of 748 patients were included in the trial after randomization — 375 were assigned to the dexamethasone group and 373 to the placebo group. The mean age of the patients was 74 years, and 94% underwent surgery to evacuate their hematomas during the index admission; 60% in both groups had a score of 1 to 3 on the modified Rankin scale at admission. In a modified intention-to-treat analysis that excluded the patients who withdrew consent for participation in the trial or who were lost to follow-up, leaving a total of 680 patients, a favorable outcome was reported in 286 of 341 patients (83.9%) in the dexamethasone group and in 306 of 339 patients (90.3%) in the placebo group (difference, −6.4 percentage points [95% confidence interval, −11.4 to −1.4] in favor of the placebo group; P=0.01). Among the patients with available data, repeat surgery for recurrence of the hematoma was performed in 6 of 349 patients (1.7%) in the dexamethasone group and in 25 of 350 patients (7.1%) in the placebo group. More adverse events occurred in the dexamethasone group than in the placebo group. CONCLUSIONS Among adults with symptomatic chronic subdural hematoma, most of whom had undergone surgery to remove their hematomas during the index admission, treatment with dexamethasone resulted in fewer favorable outcomes and more adverse events than placebo at 6 months, but fewer repeat operations were performed in the dexamethasone group. (Funded by the National Institute for Health Research Health Technology Assessment </w:t>
      </w:r>
      <w:proofErr w:type="spellStart"/>
      <w:r>
        <w:t>Programme</w:t>
      </w:r>
      <w:proofErr w:type="spellEnd"/>
      <w:r>
        <w:t xml:space="preserve">; </w:t>
      </w:r>
      <w:proofErr w:type="spellStart"/>
      <w:r>
        <w:t>Dex</w:t>
      </w:r>
      <w:proofErr w:type="spellEnd"/>
      <w:r>
        <w:t>-CSDH ISRCTN number, ISRCTN80782810.)</w:t>
      </w:r>
    </w:p>
    <w:p w14:paraId="5D434D2D" w14:textId="68418A76" w:rsidR="00C97A60" w:rsidRDefault="00C97A60"/>
    <w:p w14:paraId="5216E2D0" w14:textId="77777777" w:rsidR="00C97A60" w:rsidRDefault="00C97A60" w:rsidP="00C97A60">
      <w:r>
        <w:t xml:space="preserve">N </w:t>
      </w:r>
      <w:proofErr w:type="spellStart"/>
      <w:r>
        <w:t>Engl</w:t>
      </w:r>
      <w:proofErr w:type="spellEnd"/>
      <w:r>
        <w:t xml:space="preserve"> J Med </w:t>
      </w:r>
      <w:proofErr w:type="gramStart"/>
      <w:r>
        <w:t>2020;383:2616</w:t>
      </w:r>
      <w:proofErr w:type="gramEnd"/>
      <w:r>
        <w:t>-27</w:t>
      </w:r>
    </w:p>
    <w:p w14:paraId="3569B9B1" w14:textId="41DDDDB5" w:rsidR="00C97A60" w:rsidRDefault="00C97A60">
      <w:hyperlink r:id="rId11" w:history="1">
        <w:r w:rsidRPr="00EA0ACA">
          <w:rPr>
            <w:rStyle w:val="Hyperlink"/>
          </w:rPr>
          <w:t>https://www-nejm-org.proxy.library.cornell.edu/doi/pdf/10.1056/NEJMoa2020473?articleTools=true</w:t>
        </w:r>
      </w:hyperlink>
    </w:p>
    <w:p w14:paraId="73E5F794" w14:textId="77777777" w:rsidR="00C97A60" w:rsidRDefault="00C97A60">
      <w:bookmarkStart w:id="0" w:name="_GoBack"/>
      <w:bookmarkEnd w:id="0"/>
    </w:p>
    <w:sectPr w:rsidR="00C97A60" w:rsidSect="003F4C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A60"/>
    <w:rsid w:val="003F4CFD"/>
    <w:rsid w:val="008308E9"/>
    <w:rsid w:val="00C97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0E1DF8"/>
  <w15:chartTrackingRefBased/>
  <w15:docId w15:val="{AE67AEE1-3CF2-D240-BF57-3AA177403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A60"/>
    <w:rPr>
      <w:rFonts w:ascii="Times New Roman" w:eastAsia="Times New Roman" w:hAnsi="Times New Roman" w:cs="Times New Roman"/>
    </w:rPr>
  </w:style>
  <w:style w:type="paragraph" w:styleId="Heading1">
    <w:name w:val="heading 1"/>
    <w:basedOn w:val="Normal"/>
    <w:next w:val="Normal"/>
    <w:link w:val="Heading1Char"/>
    <w:uiPriority w:val="9"/>
    <w:qFormat/>
    <w:rsid w:val="00C97A60"/>
    <w:pPr>
      <w:keepNext/>
      <w:keepLines/>
      <w:suppressAutoHyphen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er"/>
    <w:link w:val="Heading2Char"/>
    <w:qFormat/>
    <w:rsid w:val="00C97A60"/>
    <w:pPr>
      <w:keepNext/>
      <w:keepLines/>
      <w:tabs>
        <w:tab w:val="clear" w:pos="4680"/>
        <w:tab w:val="clear" w:pos="9360"/>
        <w:tab w:val="center" w:pos="4819"/>
        <w:tab w:val="right" w:pos="9638"/>
      </w:tabs>
      <w:spacing w:before="40"/>
      <w:outlineLvl w:val="1"/>
    </w:pPr>
    <w:rPr>
      <w:rFonts w:eastAsiaTheme="majorEastAsia" w:cstheme="majorBidi"/>
      <w:color w:val="323232"/>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97A60"/>
    <w:rPr>
      <w:rFonts w:ascii="Arial" w:eastAsiaTheme="majorEastAsia" w:hAnsi="Arial" w:cstheme="majorBidi"/>
      <w:color w:val="323232"/>
      <w:sz w:val="36"/>
      <w:szCs w:val="26"/>
    </w:rPr>
  </w:style>
  <w:style w:type="paragraph" w:styleId="Header">
    <w:name w:val="header"/>
    <w:basedOn w:val="Normal"/>
    <w:link w:val="HeaderChar"/>
    <w:uiPriority w:val="99"/>
    <w:semiHidden/>
    <w:unhideWhenUsed/>
    <w:rsid w:val="00C97A60"/>
    <w:pPr>
      <w:tabs>
        <w:tab w:val="center" w:pos="4680"/>
        <w:tab w:val="right" w:pos="9360"/>
      </w:tabs>
      <w:suppressAutoHyphens/>
    </w:pPr>
    <w:rPr>
      <w:rFonts w:ascii="Arial" w:eastAsia="Arial Unicode MS" w:hAnsi="Arial" w:cs="Cambria"/>
    </w:rPr>
  </w:style>
  <w:style w:type="character" w:customStyle="1" w:styleId="HeaderChar">
    <w:name w:val="Header Char"/>
    <w:basedOn w:val="DefaultParagraphFont"/>
    <w:link w:val="Header"/>
    <w:uiPriority w:val="99"/>
    <w:semiHidden/>
    <w:rsid w:val="00C97A60"/>
    <w:rPr>
      <w:rFonts w:ascii="Arial" w:eastAsia="Arial Unicode MS" w:hAnsi="Arial" w:cs="Cambria"/>
    </w:rPr>
  </w:style>
  <w:style w:type="character" w:customStyle="1" w:styleId="Heading1Char">
    <w:name w:val="Heading 1 Char"/>
    <w:basedOn w:val="DefaultParagraphFont"/>
    <w:link w:val="Heading1"/>
    <w:uiPriority w:val="9"/>
    <w:rsid w:val="00C97A6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C97A60"/>
    <w:rPr>
      <w:color w:val="0563C1" w:themeColor="hyperlink"/>
      <w:u w:val="single"/>
    </w:rPr>
  </w:style>
  <w:style w:type="character" w:styleId="UnresolvedMention">
    <w:name w:val="Unresolved Mention"/>
    <w:basedOn w:val="DefaultParagraphFont"/>
    <w:uiPriority w:val="99"/>
    <w:semiHidden/>
    <w:unhideWhenUsed/>
    <w:rsid w:val="00C97A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042593">
      <w:bodyDiv w:val="1"/>
      <w:marLeft w:val="0"/>
      <w:marRight w:val="0"/>
      <w:marTop w:val="0"/>
      <w:marBottom w:val="0"/>
      <w:divBdr>
        <w:top w:val="none" w:sz="0" w:space="0" w:color="auto"/>
        <w:left w:val="none" w:sz="0" w:space="0" w:color="auto"/>
        <w:bottom w:val="none" w:sz="0" w:space="0" w:color="auto"/>
        <w:right w:val="none" w:sz="0" w:space="0" w:color="auto"/>
      </w:divBdr>
    </w:div>
    <w:div w:id="260065972">
      <w:bodyDiv w:val="1"/>
      <w:marLeft w:val="0"/>
      <w:marRight w:val="0"/>
      <w:marTop w:val="0"/>
      <w:marBottom w:val="0"/>
      <w:divBdr>
        <w:top w:val="none" w:sz="0" w:space="0" w:color="auto"/>
        <w:left w:val="none" w:sz="0" w:space="0" w:color="auto"/>
        <w:bottom w:val="none" w:sz="0" w:space="0" w:color="auto"/>
        <w:right w:val="none" w:sz="0" w:space="0" w:color="auto"/>
      </w:divBdr>
    </w:div>
    <w:div w:id="304510337">
      <w:bodyDiv w:val="1"/>
      <w:marLeft w:val="0"/>
      <w:marRight w:val="0"/>
      <w:marTop w:val="0"/>
      <w:marBottom w:val="0"/>
      <w:divBdr>
        <w:top w:val="none" w:sz="0" w:space="0" w:color="auto"/>
        <w:left w:val="none" w:sz="0" w:space="0" w:color="auto"/>
        <w:bottom w:val="none" w:sz="0" w:space="0" w:color="auto"/>
        <w:right w:val="none" w:sz="0" w:space="0" w:color="auto"/>
      </w:divBdr>
    </w:div>
    <w:div w:id="329219761">
      <w:bodyDiv w:val="1"/>
      <w:marLeft w:val="0"/>
      <w:marRight w:val="0"/>
      <w:marTop w:val="0"/>
      <w:marBottom w:val="0"/>
      <w:divBdr>
        <w:top w:val="none" w:sz="0" w:space="0" w:color="auto"/>
        <w:left w:val="none" w:sz="0" w:space="0" w:color="auto"/>
        <w:bottom w:val="none" w:sz="0" w:space="0" w:color="auto"/>
        <w:right w:val="none" w:sz="0" w:space="0" w:color="auto"/>
      </w:divBdr>
    </w:div>
    <w:div w:id="370762039">
      <w:bodyDiv w:val="1"/>
      <w:marLeft w:val="0"/>
      <w:marRight w:val="0"/>
      <w:marTop w:val="0"/>
      <w:marBottom w:val="0"/>
      <w:divBdr>
        <w:top w:val="none" w:sz="0" w:space="0" w:color="auto"/>
        <w:left w:val="none" w:sz="0" w:space="0" w:color="auto"/>
        <w:bottom w:val="none" w:sz="0" w:space="0" w:color="auto"/>
        <w:right w:val="none" w:sz="0" w:space="0" w:color="auto"/>
      </w:divBdr>
    </w:div>
    <w:div w:id="388186908">
      <w:bodyDiv w:val="1"/>
      <w:marLeft w:val="0"/>
      <w:marRight w:val="0"/>
      <w:marTop w:val="0"/>
      <w:marBottom w:val="0"/>
      <w:divBdr>
        <w:top w:val="none" w:sz="0" w:space="0" w:color="auto"/>
        <w:left w:val="none" w:sz="0" w:space="0" w:color="auto"/>
        <w:bottom w:val="none" w:sz="0" w:space="0" w:color="auto"/>
        <w:right w:val="none" w:sz="0" w:space="0" w:color="auto"/>
      </w:divBdr>
    </w:div>
    <w:div w:id="404768589">
      <w:bodyDiv w:val="1"/>
      <w:marLeft w:val="0"/>
      <w:marRight w:val="0"/>
      <w:marTop w:val="0"/>
      <w:marBottom w:val="0"/>
      <w:divBdr>
        <w:top w:val="none" w:sz="0" w:space="0" w:color="auto"/>
        <w:left w:val="none" w:sz="0" w:space="0" w:color="auto"/>
        <w:bottom w:val="none" w:sz="0" w:space="0" w:color="auto"/>
        <w:right w:val="none" w:sz="0" w:space="0" w:color="auto"/>
      </w:divBdr>
    </w:div>
    <w:div w:id="511191563">
      <w:bodyDiv w:val="1"/>
      <w:marLeft w:val="0"/>
      <w:marRight w:val="0"/>
      <w:marTop w:val="0"/>
      <w:marBottom w:val="0"/>
      <w:divBdr>
        <w:top w:val="none" w:sz="0" w:space="0" w:color="auto"/>
        <w:left w:val="none" w:sz="0" w:space="0" w:color="auto"/>
        <w:bottom w:val="none" w:sz="0" w:space="0" w:color="auto"/>
        <w:right w:val="none" w:sz="0" w:space="0" w:color="auto"/>
      </w:divBdr>
    </w:div>
    <w:div w:id="525602851">
      <w:bodyDiv w:val="1"/>
      <w:marLeft w:val="0"/>
      <w:marRight w:val="0"/>
      <w:marTop w:val="0"/>
      <w:marBottom w:val="0"/>
      <w:divBdr>
        <w:top w:val="none" w:sz="0" w:space="0" w:color="auto"/>
        <w:left w:val="none" w:sz="0" w:space="0" w:color="auto"/>
        <w:bottom w:val="none" w:sz="0" w:space="0" w:color="auto"/>
        <w:right w:val="none" w:sz="0" w:space="0" w:color="auto"/>
      </w:divBdr>
    </w:div>
    <w:div w:id="552621412">
      <w:bodyDiv w:val="1"/>
      <w:marLeft w:val="0"/>
      <w:marRight w:val="0"/>
      <w:marTop w:val="0"/>
      <w:marBottom w:val="0"/>
      <w:divBdr>
        <w:top w:val="none" w:sz="0" w:space="0" w:color="auto"/>
        <w:left w:val="none" w:sz="0" w:space="0" w:color="auto"/>
        <w:bottom w:val="none" w:sz="0" w:space="0" w:color="auto"/>
        <w:right w:val="none" w:sz="0" w:space="0" w:color="auto"/>
      </w:divBdr>
    </w:div>
    <w:div w:id="666178124">
      <w:bodyDiv w:val="1"/>
      <w:marLeft w:val="0"/>
      <w:marRight w:val="0"/>
      <w:marTop w:val="0"/>
      <w:marBottom w:val="0"/>
      <w:divBdr>
        <w:top w:val="none" w:sz="0" w:space="0" w:color="auto"/>
        <w:left w:val="none" w:sz="0" w:space="0" w:color="auto"/>
        <w:bottom w:val="none" w:sz="0" w:space="0" w:color="auto"/>
        <w:right w:val="none" w:sz="0" w:space="0" w:color="auto"/>
      </w:divBdr>
    </w:div>
    <w:div w:id="671297550">
      <w:bodyDiv w:val="1"/>
      <w:marLeft w:val="0"/>
      <w:marRight w:val="0"/>
      <w:marTop w:val="0"/>
      <w:marBottom w:val="0"/>
      <w:divBdr>
        <w:top w:val="none" w:sz="0" w:space="0" w:color="auto"/>
        <w:left w:val="none" w:sz="0" w:space="0" w:color="auto"/>
        <w:bottom w:val="none" w:sz="0" w:space="0" w:color="auto"/>
        <w:right w:val="none" w:sz="0" w:space="0" w:color="auto"/>
      </w:divBdr>
    </w:div>
    <w:div w:id="802117933">
      <w:bodyDiv w:val="1"/>
      <w:marLeft w:val="0"/>
      <w:marRight w:val="0"/>
      <w:marTop w:val="0"/>
      <w:marBottom w:val="0"/>
      <w:divBdr>
        <w:top w:val="none" w:sz="0" w:space="0" w:color="auto"/>
        <w:left w:val="none" w:sz="0" w:space="0" w:color="auto"/>
        <w:bottom w:val="none" w:sz="0" w:space="0" w:color="auto"/>
        <w:right w:val="none" w:sz="0" w:space="0" w:color="auto"/>
      </w:divBdr>
    </w:div>
    <w:div w:id="828904976">
      <w:bodyDiv w:val="1"/>
      <w:marLeft w:val="0"/>
      <w:marRight w:val="0"/>
      <w:marTop w:val="0"/>
      <w:marBottom w:val="0"/>
      <w:divBdr>
        <w:top w:val="none" w:sz="0" w:space="0" w:color="auto"/>
        <w:left w:val="none" w:sz="0" w:space="0" w:color="auto"/>
        <w:bottom w:val="none" w:sz="0" w:space="0" w:color="auto"/>
        <w:right w:val="none" w:sz="0" w:space="0" w:color="auto"/>
      </w:divBdr>
    </w:div>
    <w:div w:id="844630932">
      <w:bodyDiv w:val="1"/>
      <w:marLeft w:val="0"/>
      <w:marRight w:val="0"/>
      <w:marTop w:val="0"/>
      <w:marBottom w:val="0"/>
      <w:divBdr>
        <w:top w:val="none" w:sz="0" w:space="0" w:color="auto"/>
        <w:left w:val="none" w:sz="0" w:space="0" w:color="auto"/>
        <w:bottom w:val="none" w:sz="0" w:space="0" w:color="auto"/>
        <w:right w:val="none" w:sz="0" w:space="0" w:color="auto"/>
      </w:divBdr>
    </w:div>
    <w:div w:id="889659074">
      <w:bodyDiv w:val="1"/>
      <w:marLeft w:val="0"/>
      <w:marRight w:val="0"/>
      <w:marTop w:val="0"/>
      <w:marBottom w:val="0"/>
      <w:divBdr>
        <w:top w:val="none" w:sz="0" w:space="0" w:color="auto"/>
        <w:left w:val="none" w:sz="0" w:space="0" w:color="auto"/>
        <w:bottom w:val="none" w:sz="0" w:space="0" w:color="auto"/>
        <w:right w:val="none" w:sz="0" w:space="0" w:color="auto"/>
      </w:divBdr>
    </w:div>
    <w:div w:id="891503490">
      <w:bodyDiv w:val="1"/>
      <w:marLeft w:val="0"/>
      <w:marRight w:val="0"/>
      <w:marTop w:val="0"/>
      <w:marBottom w:val="0"/>
      <w:divBdr>
        <w:top w:val="none" w:sz="0" w:space="0" w:color="auto"/>
        <w:left w:val="none" w:sz="0" w:space="0" w:color="auto"/>
        <w:bottom w:val="none" w:sz="0" w:space="0" w:color="auto"/>
        <w:right w:val="none" w:sz="0" w:space="0" w:color="auto"/>
      </w:divBdr>
    </w:div>
    <w:div w:id="940139166">
      <w:bodyDiv w:val="1"/>
      <w:marLeft w:val="0"/>
      <w:marRight w:val="0"/>
      <w:marTop w:val="0"/>
      <w:marBottom w:val="0"/>
      <w:divBdr>
        <w:top w:val="none" w:sz="0" w:space="0" w:color="auto"/>
        <w:left w:val="none" w:sz="0" w:space="0" w:color="auto"/>
        <w:bottom w:val="none" w:sz="0" w:space="0" w:color="auto"/>
        <w:right w:val="none" w:sz="0" w:space="0" w:color="auto"/>
      </w:divBdr>
    </w:div>
    <w:div w:id="997004720">
      <w:bodyDiv w:val="1"/>
      <w:marLeft w:val="0"/>
      <w:marRight w:val="0"/>
      <w:marTop w:val="0"/>
      <w:marBottom w:val="0"/>
      <w:divBdr>
        <w:top w:val="none" w:sz="0" w:space="0" w:color="auto"/>
        <w:left w:val="none" w:sz="0" w:space="0" w:color="auto"/>
        <w:bottom w:val="none" w:sz="0" w:space="0" w:color="auto"/>
        <w:right w:val="none" w:sz="0" w:space="0" w:color="auto"/>
      </w:divBdr>
    </w:div>
    <w:div w:id="1007750084">
      <w:bodyDiv w:val="1"/>
      <w:marLeft w:val="0"/>
      <w:marRight w:val="0"/>
      <w:marTop w:val="0"/>
      <w:marBottom w:val="0"/>
      <w:divBdr>
        <w:top w:val="none" w:sz="0" w:space="0" w:color="auto"/>
        <w:left w:val="none" w:sz="0" w:space="0" w:color="auto"/>
        <w:bottom w:val="none" w:sz="0" w:space="0" w:color="auto"/>
        <w:right w:val="none" w:sz="0" w:space="0" w:color="auto"/>
      </w:divBdr>
    </w:div>
    <w:div w:id="1007753339">
      <w:bodyDiv w:val="1"/>
      <w:marLeft w:val="0"/>
      <w:marRight w:val="0"/>
      <w:marTop w:val="0"/>
      <w:marBottom w:val="0"/>
      <w:divBdr>
        <w:top w:val="none" w:sz="0" w:space="0" w:color="auto"/>
        <w:left w:val="none" w:sz="0" w:space="0" w:color="auto"/>
        <w:bottom w:val="none" w:sz="0" w:space="0" w:color="auto"/>
        <w:right w:val="none" w:sz="0" w:space="0" w:color="auto"/>
      </w:divBdr>
    </w:div>
    <w:div w:id="1175461554">
      <w:bodyDiv w:val="1"/>
      <w:marLeft w:val="0"/>
      <w:marRight w:val="0"/>
      <w:marTop w:val="0"/>
      <w:marBottom w:val="0"/>
      <w:divBdr>
        <w:top w:val="none" w:sz="0" w:space="0" w:color="auto"/>
        <w:left w:val="none" w:sz="0" w:space="0" w:color="auto"/>
        <w:bottom w:val="none" w:sz="0" w:space="0" w:color="auto"/>
        <w:right w:val="none" w:sz="0" w:space="0" w:color="auto"/>
      </w:divBdr>
    </w:div>
    <w:div w:id="1226532184">
      <w:bodyDiv w:val="1"/>
      <w:marLeft w:val="0"/>
      <w:marRight w:val="0"/>
      <w:marTop w:val="0"/>
      <w:marBottom w:val="0"/>
      <w:divBdr>
        <w:top w:val="none" w:sz="0" w:space="0" w:color="auto"/>
        <w:left w:val="none" w:sz="0" w:space="0" w:color="auto"/>
        <w:bottom w:val="none" w:sz="0" w:space="0" w:color="auto"/>
        <w:right w:val="none" w:sz="0" w:space="0" w:color="auto"/>
      </w:divBdr>
    </w:div>
    <w:div w:id="1246301080">
      <w:bodyDiv w:val="1"/>
      <w:marLeft w:val="0"/>
      <w:marRight w:val="0"/>
      <w:marTop w:val="0"/>
      <w:marBottom w:val="0"/>
      <w:divBdr>
        <w:top w:val="none" w:sz="0" w:space="0" w:color="auto"/>
        <w:left w:val="none" w:sz="0" w:space="0" w:color="auto"/>
        <w:bottom w:val="none" w:sz="0" w:space="0" w:color="auto"/>
        <w:right w:val="none" w:sz="0" w:space="0" w:color="auto"/>
      </w:divBdr>
    </w:div>
    <w:div w:id="1347714967">
      <w:bodyDiv w:val="1"/>
      <w:marLeft w:val="0"/>
      <w:marRight w:val="0"/>
      <w:marTop w:val="0"/>
      <w:marBottom w:val="0"/>
      <w:divBdr>
        <w:top w:val="none" w:sz="0" w:space="0" w:color="auto"/>
        <w:left w:val="none" w:sz="0" w:space="0" w:color="auto"/>
        <w:bottom w:val="none" w:sz="0" w:space="0" w:color="auto"/>
        <w:right w:val="none" w:sz="0" w:space="0" w:color="auto"/>
      </w:divBdr>
    </w:div>
    <w:div w:id="1365642559">
      <w:bodyDiv w:val="1"/>
      <w:marLeft w:val="0"/>
      <w:marRight w:val="0"/>
      <w:marTop w:val="0"/>
      <w:marBottom w:val="0"/>
      <w:divBdr>
        <w:top w:val="none" w:sz="0" w:space="0" w:color="auto"/>
        <w:left w:val="none" w:sz="0" w:space="0" w:color="auto"/>
        <w:bottom w:val="none" w:sz="0" w:space="0" w:color="auto"/>
        <w:right w:val="none" w:sz="0" w:space="0" w:color="auto"/>
      </w:divBdr>
    </w:div>
    <w:div w:id="1415779842">
      <w:bodyDiv w:val="1"/>
      <w:marLeft w:val="0"/>
      <w:marRight w:val="0"/>
      <w:marTop w:val="0"/>
      <w:marBottom w:val="0"/>
      <w:divBdr>
        <w:top w:val="none" w:sz="0" w:space="0" w:color="auto"/>
        <w:left w:val="none" w:sz="0" w:space="0" w:color="auto"/>
        <w:bottom w:val="none" w:sz="0" w:space="0" w:color="auto"/>
        <w:right w:val="none" w:sz="0" w:space="0" w:color="auto"/>
      </w:divBdr>
    </w:div>
    <w:div w:id="1560821439">
      <w:bodyDiv w:val="1"/>
      <w:marLeft w:val="0"/>
      <w:marRight w:val="0"/>
      <w:marTop w:val="0"/>
      <w:marBottom w:val="0"/>
      <w:divBdr>
        <w:top w:val="none" w:sz="0" w:space="0" w:color="auto"/>
        <w:left w:val="none" w:sz="0" w:space="0" w:color="auto"/>
        <w:bottom w:val="none" w:sz="0" w:space="0" w:color="auto"/>
        <w:right w:val="none" w:sz="0" w:space="0" w:color="auto"/>
      </w:divBdr>
    </w:div>
    <w:div w:id="1593465371">
      <w:bodyDiv w:val="1"/>
      <w:marLeft w:val="0"/>
      <w:marRight w:val="0"/>
      <w:marTop w:val="0"/>
      <w:marBottom w:val="0"/>
      <w:divBdr>
        <w:top w:val="none" w:sz="0" w:space="0" w:color="auto"/>
        <w:left w:val="none" w:sz="0" w:space="0" w:color="auto"/>
        <w:bottom w:val="none" w:sz="0" w:space="0" w:color="auto"/>
        <w:right w:val="none" w:sz="0" w:space="0" w:color="auto"/>
      </w:divBdr>
    </w:div>
    <w:div w:id="1594052509">
      <w:bodyDiv w:val="1"/>
      <w:marLeft w:val="0"/>
      <w:marRight w:val="0"/>
      <w:marTop w:val="0"/>
      <w:marBottom w:val="0"/>
      <w:divBdr>
        <w:top w:val="none" w:sz="0" w:space="0" w:color="auto"/>
        <w:left w:val="none" w:sz="0" w:space="0" w:color="auto"/>
        <w:bottom w:val="none" w:sz="0" w:space="0" w:color="auto"/>
        <w:right w:val="none" w:sz="0" w:space="0" w:color="auto"/>
      </w:divBdr>
    </w:div>
    <w:div w:id="1604192823">
      <w:bodyDiv w:val="1"/>
      <w:marLeft w:val="0"/>
      <w:marRight w:val="0"/>
      <w:marTop w:val="0"/>
      <w:marBottom w:val="0"/>
      <w:divBdr>
        <w:top w:val="none" w:sz="0" w:space="0" w:color="auto"/>
        <w:left w:val="none" w:sz="0" w:space="0" w:color="auto"/>
        <w:bottom w:val="none" w:sz="0" w:space="0" w:color="auto"/>
        <w:right w:val="none" w:sz="0" w:space="0" w:color="auto"/>
      </w:divBdr>
    </w:div>
    <w:div w:id="1672443617">
      <w:bodyDiv w:val="1"/>
      <w:marLeft w:val="0"/>
      <w:marRight w:val="0"/>
      <w:marTop w:val="0"/>
      <w:marBottom w:val="0"/>
      <w:divBdr>
        <w:top w:val="none" w:sz="0" w:space="0" w:color="auto"/>
        <w:left w:val="none" w:sz="0" w:space="0" w:color="auto"/>
        <w:bottom w:val="none" w:sz="0" w:space="0" w:color="auto"/>
        <w:right w:val="none" w:sz="0" w:space="0" w:color="auto"/>
      </w:divBdr>
    </w:div>
    <w:div w:id="1676227624">
      <w:bodyDiv w:val="1"/>
      <w:marLeft w:val="0"/>
      <w:marRight w:val="0"/>
      <w:marTop w:val="0"/>
      <w:marBottom w:val="0"/>
      <w:divBdr>
        <w:top w:val="none" w:sz="0" w:space="0" w:color="auto"/>
        <w:left w:val="none" w:sz="0" w:space="0" w:color="auto"/>
        <w:bottom w:val="none" w:sz="0" w:space="0" w:color="auto"/>
        <w:right w:val="none" w:sz="0" w:space="0" w:color="auto"/>
      </w:divBdr>
    </w:div>
    <w:div w:id="1697659493">
      <w:bodyDiv w:val="1"/>
      <w:marLeft w:val="0"/>
      <w:marRight w:val="0"/>
      <w:marTop w:val="0"/>
      <w:marBottom w:val="0"/>
      <w:divBdr>
        <w:top w:val="none" w:sz="0" w:space="0" w:color="auto"/>
        <w:left w:val="none" w:sz="0" w:space="0" w:color="auto"/>
        <w:bottom w:val="none" w:sz="0" w:space="0" w:color="auto"/>
        <w:right w:val="none" w:sz="0" w:space="0" w:color="auto"/>
      </w:divBdr>
    </w:div>
    <w:div w:id="1735545086">
      <w:bodyDiv w:val="1"/>
      <w:marLeft w:val="0"/>
      <w:marRight w:val="0"/>
      <w:marTop w:val="0"/>
      <w:marBottom w:val="0"/>
      <w:divBdr>
        <w:top w:val="none" w:sz="0" w:space="0" w:color="auto"/>
        <w:left w:val="none" w:sz="0" w:space="0" w:color="auto"/>
        <w:bottom w:val="none" w:sz="0" w:space="0" w:color="auto"/>
        <w:right w:val="none" w:sz="0" w:space="0" w:color="auto"/>
      </w:divBdr>
    </w:div>
    <w:div w:id="1793010005">
      <w:bodyDiv w:val="1"/>
      <w:marLeft w:val="0"/>
      <w:marRight w:val="0"/>
      <w:marTop w:val="0"/>
      <w:marBottom w:val="0"/>
      <w:divBdr>
        <w:top w:val="none" w:sz="0" w:space="0" w:color="auto"/>
        <w:left w:val="none" w:sz="0" w:space="0" w:color="auto"/>
        <w:bottom w:val="none" w:sz="0" w:space="0" w:color="auto"/>
        <w:right w:val="none" w:sz="0" w:space="0" w:color="auto"/>
      </w:divBdr>
    </w:div>
    <w:div w:id="1870754247">
      <w:bodyDiv w:val="1"/>
      <w:marLeft w:val="0"/>
      <w:marRight w:val="0"/>
      <w:marTop w:val="0"/>
      <w:marBottom w:val="0"/>
      <w:divBdr>
        <w:top w:val="none" w:sz="0" w:space="0" w:color="auto"/>
        <w:left w:val="none" w:sz="0" w:space="0" w:color="auto"/>
        <w:bottom w:val="none" w:sz="0" w:space="0" w:color="auto"/>
        <w:right w:val="none" w:sz="0" w:space="0" w:color="auto"/>
      </w:divBdr>
    </w:div>
    <w:div w:id="1972242686">
      <w:bodyDiv w:val="1"/>
      <w:marLeft w:val="0"/>
      <w:marRight w:val="0"/>
      <w:marTop w:val="0"/>
      <w:marBottom w:val="0"/>
      <w:divBdr>
        <w:top w:val="none" w:sz="0" w:space="0" w:color="auto"/>
        <w:left w:val="none" w:sz="0" w:space="0" w:color="auto"/>
        <w:bottom w:val="none" w:sz="0" w:space="0" w:color="auto"/>
        <w:right w:val="none" w:sz="0" w:space="0" w:color="auto"/>
      </w:divBdr>
    </w:div>
    <w:div w:id="1974362254">
      <w:bodyDiv w:val="1"/>
      <w:marLeft w:val="0"/>
      <w:marRight w:val="0"/>
      <w:marTop w:val="0"/>
      <w:marBottom w:val="0"/>
      <w:divBdr>
        <w:top w:val="none" w:sz="0" w:space="0" w:color="auto"/>
        <w:left w:val="none" w:sz="0" w:space="0" w:color="auto"/>
        <w:bottom w:val="none" w:sz="0" w:space="0" w:color="auto"/>
        <w:right w:val="none" w:sz="0" w:space="0" w:color="auto"/>
      </w:divBdr>
    </w:div>
    <w:div w:id="1981376235">
      <w:bodyDiv w:val="1"/>
      <w:marLeft w:val="0"/>
      <w:marRight w:val="0"/>
      <w:marTop w:val="0"/>
      <w:marBottom w:val="0"/>
      <w:divBdr>
        <w:top w:val="none" w:sz="0" w:space="0" w:color="auto"/>
        <w:left w:val="none" w:sz="0" w:space="0" w:color="auto"/>
        <w:bottom w:val="none" w:sz="0" w:space="0" w:color="auto"/>
        <w:right w:val="none" w:sz="0" w:space="0" w:color="auto"/>
      </w:divBdr>
    </w:div>
    <w:div w:id="1983387815">
      <w:bodyDiv w:val="1"/>
      <w:marLeft w:val="0"/>
      <w:marRight w:val="0"/>
      <w:marTop w:val="0"/>
      <w:marBottom w:val="0"/>
      <w:divBdr>
        <w:top w:val="none" w:sz="0" w:space="0" w:color="auto"/>
        <w:left w:val="none" w:sz="0" w:space="0" w:color="auto"/>
        <w:bottom w:val="none" w:sz="0" w:space="0" w:color="auto"/>
        <w:right w:val="none" w:sz="0" w:space="0" w:color="auto"/>
      </w:divBdr>
    </w:div>
    <w:div w:id="2018849933">
      <w:bodyDiv w:val="1"/>
      <w:marLeft w:val="0"/>
      <w:marRight w:val="0"/>
      <w:marTop w:val="0"/>
      <w:marBottom w:val="0"/>
      <w:divBdr>
        <w:top w:val="none" w:sz="0" w:space="0" w:color="auto"/>
        <w:left w:val="none" w:sz="0" w:space="0" w:color="auto"/>
        <w:bottom w:val="none" w:sz="0" w:space="0" w:color="auto"/>
        <w:right w:val="none" w:sz="0" w:space="0" w:color="auto"/>
      </w:divBdr>
    </w:div>
    <w:div w:id="2072381624">
      <w:bodyDiv w:val="1"/>
      <w:marLeft w:val="0"/>
      <w:marRight w:val="0"/>
      <w:marTop w:val="0"/>
      <w:marBottom w:val="0"/>
      <w:divBdr>
        <w:top w:val="none" w:sz="0" w:space="0" w:color="auto"/>
        <w:left w:val="none" w:sz="0" w:space="0" w:color="auto"/>
        <w:bottom w:val="none" w:sz="0" w:space="0" w:color="auto"/>
        <w:right w:val="none" w:sz="0" w:space="0" w:color="auto"/>
      </w:divBdr>
    </w:div>
    <w:div w:id="213143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jm-org.proxy.library.cornell.edu/doi/pdf/10.1056/NEJMoa2000741?articleTools=tru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nejm-org.proxy.library.cornell.edu/doi/pdf/10.1056/NEJMoa1915103?articleTools=tru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ejm-org.proxy.library.cornell.edu/doi/pdf/10.1056/NEJMoa1903297?articleTools=true" TargetMode="External"/><Relationship Id="rId11" Type="http://schemas.openxmlformats.org/officeDocument/2006/relationships/hyperlink" Target="https://www-nejm-org.proxy.library.cornell.edu/doi/pdf/10.1056/NEJMoa2020473?articleTools=true" TargetMode="External"/><Relationship Id="rId5" Type="http://schemas.openxmlformats.org/officeDocument/2006/relationships/hyperlink" Target="https://www-nejm-org.proxy.library.cornell.edu/doi/pdf/10.1056/NEJMoa1905593?articleTools=true" TargetMode="External"/><Relationship Id="rId10" Type="http://schemas.openxmlformats.org/officeDocument/2006/relationships/hyperlink" Target="https://www-nejm-org.proxy.library.cornell.edu/doi/pdf/10.1056/NEJMoa2019422?articleTools=true" TargetMode="External"/><Relationship Id="rId4" Type="http://schemas.openxmlformats.org/officeDocument/2006/relationships/hyperlink" Target="https://www-nejm-org.proxy.library.cornell.edu/doi/pdf/10.1056/NEJMoa1910775?articleTools=true" TargetMode="External"/><Relationship Id="rId9" Type="http://schemas.openxmlformats.org/officeDocument/2006/relationships/hyperlink" Target="https://www-nejm-org.proxy.library.cornell.edu/doi/pdf/10.1056/NEJMoa2010834?articleTools=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4191</Words>
  <Characters>23890</Characters>
  <Application>Microsoft Office Word</Application>
  <DocSecurity>0</DocSecurity>
  <Lines>199</Lines>
  <Paragraphs>56</Paragraphs>
  <ScaleCrop>false</ScaleCrop>
  <Company/>
  <LinksUpToDate>false</LinksUpToDate>
  <CharactersWithSpaces>28025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Chu</dc:creator>
  <cp:keywords/>
  <dc:description/>
  <cp:lastModifiedBy>Victoria Chu</cp:lastModifiedBy>
  <cp:revision>1</cp:revision>
  <dcterms:created xsi:type="dcterms:W3CDTF">2021-03-13T20:37:00Z</dcterms:created>
  <dcterms:modified xsi:type="dcterms:W3CDTF">2021-03-13T21:37:00Z</dcterms:modified>
</cp:coreProperties>
</file>