
<file path=[Content_Types].xml><?xml version="1.0" encoding="utf-8"?>
<Types xmlns="http://schemas.openxmlformats.org/package/2006/content-types">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Default Extension="xml" ContentType="application/xml"/>
  <Default Extension="jpg" ContentType="image/jpeg"/>
  <Default Extension="jpeg" ContentType="image/jpeg"/>
  <Default Extension="png" ContentType="image/png"/>
  <Default Extension="gif" ContentType="image/gif"/>
  <Default Extension="bmp" ContentType="image/bmp"/>
  <Default Extension="rels" ContentType="application/vnd.openxmlformats-package.relationship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10="urn:schemas-microsoft-com:office:word" xmlns:o="urn:schemas-microsoft-com:office:office" xmlns:r="http://schemas.openxmlformats.org/officeDocument/2006/relationships" xmlns:v="urn:schemas-microsoft-com:vml" xmlns:wp="http://schemas.openxmlformats.org/drawingml/2006/wordprocessingDrawing" xmlns:w="http://schemas.openxmlformats.org/wordprocessingml/2006/main">
  <w:body>
    <w:p>
      <w:pPr>
        <w:pStyle w:val="Heading2"/>
      </w:pPr>
      <w:r>
        <w:t xml:space="preserve">New England Journal of Medicine 2019</w:t>
      </w:r>
    </w:p>
    <w:p>
      <w:pPr>
        <w:pStyle w:val="Heading2"/>
      </w:pPr>
      <w:r>
        <w:t xml:space="preserve">NEJM 2019; Vol 380-381; Issues 1-26</w:t>
      </w:r>
    </w:p>
    <w:p/>
    <w:p>
      <w:pPr>
        <w:pStyle w:val="Normal"/>
      </w:pPr>
      <w:r>
        <w:rPr>
          <w:color w:val="323232"/>
        </w:rPr>
        <w:t xml:space="preserve">#</w:t>
      </w:r>
      <w:r>
        <w:rPr>
          <w:color w:val="323232"/>
        </w:rPr>
        <w:t xml:space="preserve">LitReview</w:t>
      </w:r>
    </w:p>
    <w:p>
      <w:pPr>
        <w:pStyle w:val="Normal"/>
      </w:pPr>
      <w:r>
        <w:rPr>
          <w:color w:val="323232"/>
        </w:rPr>
        <w:t xml:space="preserve">————————</w:t>
      </w:r>
    </w:p>
    <w:p>
      <w:pPr>
        <w:pStyle w:val="Heading4"/>
      </w:pPr>
      <w:r>
        <w:t xml:space="preserve">Apixaban to Prevent Venous Thromboembolism in Patients with Cancer.</w:t>
      </w:r>
    </w:p>
    <w:p/>
    <w:p>
      <w:pPr>
        <w:pStyle w:val="Normal"/>
      </w:pPr>
      <w:r>
        <w:rPr>
          <w:color w:val="323232"/>
        </w:rPr>
        <w:t xml:space="preserve">Marc Carrier, Karim Abou-Nassar, Ranjeeta Mallick, Vicky Tagalakis, Sudeep Shivakumar, Ariah Schattner, Philip Kuruvilla, Danny Hill, Silvana Spadafora, Katerine Marquis, Mateya Trinkaus, Anna Tomiak, Agnes Y Y Lee, Peter L Gross, Alejandro Lazo-Langner, Robert El-Maraghi, Glenwood Goss, Gregoire Le Gal, David Stewart, Timothy Ramsay, Marc Rodger, Debra Witham, Philip S Wells, and AVERT Investigators.</w:t>
      </w:r>
    </w:p>
    <w:p/>
    <w:p>
      <w:pPr>
        <w:pStyle w:val="Normal"/>
      </w:pPr>
      <w:r>
        <w:rPr>
          <w:color w:val="323232"/>
        </w:rPr>
        <w:t xml:space="preserve">BACKGROUND:Patients with active cancer have an increased risk of venous thromboembolism, which results in substantial morbidity, mortality, and health care expenditures. The Khorana score (range, 0 to 6, with higher scores indicating a higher risk of venous thromboembolism) has been validated to identify patients with cancer at elevated risk for this complication and may help select those who could benefit from thromboprophylaxis.</w:t>
      </w:r>
    </w:p>
    <w:p/>
    <w:p>
      <w:pPr>
        <w:pStyle w:val="Normal"/>
      </w:pPr>
      <w:r>
        <w:rPr>
          <w:color w:val="323232"/>
        </w:rPr>
        <w:t xml:space="preserve">METHODS:We conducted a randomized, placebo-controlled, double-blind clinical trial assessing the efficacy and safety of apixaban (2.5 mg twice daily) for thromboprophylaxis in ambulatory patients with cancer who were at intermediate-to-high risk for venous thromboembolism (Khorana score, ≥2) and were initiating chemotherapy. The primary efficacy outcome was objectively documented venous thromboembolism over a follow-up period of 180 days. The main safety outcome was a major bleeding episode.</w:t>
      </w:r>
    </w:p>
    <w:p/>
    <w:p>
      <w:pPr>
        <w:pStyle w:val="Normal"/>
      </w:pPr>
      <w:r>
        <w:rPr>
          <w:color w:val="323232"/>
        </w:rPr>
        <w:t xml:space="preserve">RESULTS:Of the 574 patients who underwent randomization, 563 were included in the modified intention-to-treat analysis. Venous thromboembolism occurred in 12 of 288 patients (4.2%) in the apixaban group and in 28 of 275 patients (10.2%) in the placebo group (hazard ratio, 0.41; 95% confidence interval [CI], 0.26 to 0.65; P&lt;0.001). In the modified intention-to-treat analysis, major bleeding occurred in 10 patients (3.5%) in the apixaban group and in 5 patients (1.8%) in the placebo group (hazard ratio, 2.00; 95% CI, 1.01 to 3.95; P</w:t>
      </w:r>
      <w:r>
        <w:rPr>
          <w:color w:val="323232"/>
        </w:rPr>
        <w:t xml:space="preserve"> </w:t>
      </w:r>
      <w:r>
        <w:rPr>
          <w:color w:val="323232"/>
        </w:rPr>
        <w:t xml:space="preserve">=</w:t>
      </w:r>
      <w:r>
        <w:rPr>
          <w:color w:val="323232"/>
        </w:rPr>
        <w:t xml:space="preserve"> </w:t>
      </w:r>
      <w:r>
        <w:rPr>
          <w:color w:val="323232"/>
        </w:rPr>
        <w:t xml:space="preserve">0.046). During the treatment period, major bleeding occurred in 6 patients (2.1%) in the apixaban group and in 3 patients (1.1%) in the placebo group (hazard ratio, 1.89; 95% CI, 0.39 to 9.24).</w:t>
      </w:r>
    </w:p>
    <w:p/>
    <w:p>
      <w:pPr>
        <w:pStyle w:val="Normal"/>
      </w:pPr>
      <w:r>
        <w:rPr>
          <w:color w:val="323232"/>
        </w:rPr>
        <w:t xml:space="preserve">CONCLUSIONS:Apixaban therapy resulted in a significantly lower rate of venous thromboembolism than did placebo among intermediate-to-high-risk ambulatory patients with cancer who were starting chemotherapy. The rate of major bleeding episodes was higher with apixaban than with placebo. (Funded by the Canadian Institutes of Health Research and Bristol-Myers Squibb-Pfizer Alliance; AVERT </w:t>
      </w:r>
      <w:r>
        <w:rPr>
          <w:rStyle w:val="Hyperlink"/>
        </w:rPr>
        <w:fldChar w:fldCharType="begin"/>
      </w:r>
      <w:r>
        <w:rPr>
          <w:rStyle w:val="Hyperlink"/>
        </w:rPr>
        <w:instrText xml:space="preserve"> HYPERLINK "http://ClinicalTrials.gov" </w:instrText>
      </w:r>
      <w:r>
        <w:rPr>
          <w:rStyle w:val="Hyperlink"/>
        </w:rPr>
      </w:r>
      <w:r>
        <w:rPr>
          <w:rStyle w:val="Hyperlink"/>
        </w:rPr>
        <w:fldChar w:fldCharType="separate"/>
      </w:r>
      <w:r>
        <w:rPr>
          <w:rStyle w:val="Hyperlink"/>
        </w:rPr>
        <w:t xml:space="preserve">ClinicalTrials.gov</w:t>
      </w:r>
      <w:r>
        <w:rPr>
          <w:rStyle w:val="Hyperlink"/>
        </w:rPr>
        <w:fldChar w:fldCharType="end"/>
      </w:r>
      <w:r>
        <w:rPr>
          <w:color w:val="323232"/>
        </w:rPr>
        <w:t xml:space="preserve"> number, NCT02048865.).</w:t>
      </w:r>
    </w:p>
    <w:p/>
    <w:p>
      <w:pPr>
        <w:pStyle w:val="Normal"/>
      </w:pPr>
      <w:r>
        <w:rPr>
          <w:color w:val="323232"/>
        </w:rPr>
        <w:t xml:space="preserve">N Engl J Med, 2019 vol. 380 (8) pp. 711-719.</w:t>
      </w:r>
    </w:p>
    <w:p>
      <w:r>
        <w:rPr>
          <w:rStyle w:val="Hyperlink"/>
        </w:rPr>
        <w:fldChar w:fldCharType="begin"/>
      </w:r>
      <w:r>
        <w:rPr>
          <w:rStyle w:val="Hyperlink"/>
        </w:rPr>
        <w:instrText xml:space="preserve"> HYPERLINK "http://eutils.ncbi.nlm.nih.gov/entrez/eutils/elink.fcgi?dbfrom=pubmed&amp;id=30511879&amp;retmode=ref&amp;cmd=prlinks"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http://eutils.ncbi.nlm.nih.gov/entrez/eutils/elink.fcgi?dbfrom=pubmed&amp;id=30511879&amp;retmode=ref&amp;cmd=prlinks</w:t>
      </w:r>
      <w:r>
        <w:rPr>
          <w:rStyle w:val="Hyperlink"/>
        </w:rPr>
        <w:fldChar w:fldCharType="end"/>
      </w:r>
    </w:p>
    <w:p>
      <w:pPr>
        <w:pStyle w:val="Normal"/>
      </w:pPr>
      <w:r>
        <w:rPr>
          <w:color w:val="323232"/>
        </w:rPr>
        <w:t xml:space="preserve">————————</w:t>
      </w:r>
    </w:p>
    <w:p>
      <w:pPr>
        <w:pStyle w:val="Heading4"/>
      </w:pPr>
      <w:r>
        <w:t xml:space="preserve">Rivaroxaban for Thromboprophylaxis in High-Risk Ambulatory Patients with Cancer.</w:t>
      </w:r>
    </w:p>
    <w:p/>
    <w:p>
      <w:pPr>
        <w:pStyle w:val="Normal"/>
      </w:pPr>
      <w:r>
        <w:rPr>
          <w:color w:val="323232"/>
        </w:rPr>
        <w:t xml:space="preserve">Alok A Khorana, Gerald A Soff, Ajay K Kakkar, Saroj Vadhan-Raj, Hanno Riess, Ted Wun, Michael B Streiff, David A Garcia, Howard A Liebman, Chandra P Belani, Eileen M O'Reilly, Jai N Patel, Habte A Yimer, Peter Wildgoose, Paul Burton, Ujjwala Vijapurkar, Simrati Kaul, John Eikelboom, Robert McBane, Kenneth A Bauer, Nicole M Kuderer, Gary H Lyman, and CASSINI Investigators.</w:t>
      </w:r>
    </w:p>
    <w:p/>
    <w:p>
      <w:pPr>
        <w:pStyle w:val="Normal"/>
      </w:pPr>
      <w:r>
        <w:rPr>
          <w:color w:val="323232"/>
        </w:rPr>
        <w:t xml:space="preserve">BACKGROUND:Ambulatory patients receiving systemic cancer therapy are at varying risk for venous thromboembolism. However, the benefit of thromboprophylaxis in these patients is uncertain.</w:t>
      </w:r>
    </w:p>
    <w:p/>
    <w:p>
      <w:pPr>
        <w:pStyle w:val="Normal"/>
      </w:pPr>
      <w:r>
        <w:rPr>
          <w:color w:val="323232"/>
        </w:rPr>
        <w:t xml:space="preserve">METHODS:In this double-blind, randomized trial involving high-risk ambulatory patients with cancer (Khorana score of ≥2, on a scale from 0 to 6, with higher scores indicating a higher risk of venous thromboembolism), we randomly assigned patients without deep-vein thrombosis at screening to receive rivaroxaban (at a dose of 10 mg) or placebo daily for up to 180 days, with screening every 8 weeks. The primary efficacy end point was a composite of objectively confirmed proximal deep-vein thrombosis in a lower limb, pulmonary embolism, symptomatic deep-vein thrombosis in an upper limb or distal deep-vein thrombosis in a lower limb, and death from venous thromboembolism and was assessed up to day 180. In a prespecified supportive analysis involving the same population, the same end point was assessed during the intervention period (first receipt of trial agent to last dose plus 2 days). The primary safety end point was major bleeding.</w:t>
      </w:r>
    </w:p>
    <w:p/>
    <w:p>
      <w:pPr>
        <w:pStyle w:val="Normal"/>
      </w:pPr>
      <w:r>
        <w:rPr>
          <w:color w:val="323232"/>
        </w:rPr>
        <w:t xml:space="preserve">RESULTS:Of 1080 enrolled patients, 49 (4.5%) had thrombosis at screening and did not undergo randomization. Of the 841 patients who underwent randomization, the primary end point occurred in 25 of 420 patients (6.0%) in the rivaroxaban group and in 37 of 421 (8.8%) in the placebo group (hazard ratio, 0.66; 95% confidence interval [CI], 0.40 to 1.09; P</w:t>
      </w:r>
      <w:r>
        <w:rPr>
          <w:color w:val="323232"/>
        </w:rPr>
        <w:t xml:space="preserve"> </w:t>
      </w:r>
      <w:r>
        <w:rPr>
          <w:color w:val="323232"/>
        </w:rPr>
        <w:t xml:space="preserve">=</w:t>
      </w:r>
      <w:r>
        <w:rPr>
          <w:color w:val="323232"/>
        </w:rPr>
        <w:t xml:space="preserve"> </w:t>
      </w:r>
      <w:r>
        <w:rPr>
          <w:color w:val="323232"/>
        </w:rPr>
        <w:t xml:space="preserve">0.10) in the period up to day 180. In the prespecified intervention-period analysis, the primary end point occurred in 11 patients (2.6%) in the rivaroxaban group and in 27 (6.4%) in the placebo group (hazard ratio, 0.40; 95% CI, 0.20 to 0.80). Major bleeding occurred in 8 of 405 patients (2.0%) in the rivaroxaban group and in 4 of 404 (1.0%) in the placebo group (hazard ratio, 1.96; 95% CI, 0.59 to 6.49).</w:t>
      </w:r>
    </w:p>
    <w:p/>
    <w:p>
      <w:pPr>
        <w:pStyle w:val="Normal"/>
      </w:pPr>
      <w:r>
        <w:rPr>
          <w:color w:val="323232"/>
        </w:rPr>
        <w:t xml:space="preserve">CONCLUSIONS:In high-risk ambulatory patients with cancer, treatment with rivaroxaban did not result in a significantly lower incidence of venous thromboembolism or death due to venous thromboembolism in the 180-day trial period. During the intervention period, rivaroxaban led to a substantially lower incidence of such events, with a low incidence of major bleeding. (Funded by Janssen and others; CASSINI </w:t>
      </w:r>
      <w:r>
        <w:rPr>
          <w:rStyle w:val="Hyperlink"/>
        </w:rPr>
        <w:fldChar w:fldCharType="begin"/>
      </w:r>
      <w:r>
        <w:rPr>
          <w:rStyle w:val="Hyperlink"/>
        </w:rPr>
        <w:instrText xml:space="preserve"> HYPERLINK "http://ClinicalTrials.gov" </w:instrText>
      </w:r>
      <w:r>
        <w:rPr>
          <w:rStyle w:val="Hyperlink"/>
        </w:rPr>
      </w:r>
      <w:r>
        <w:rPr>
          <w:rStyle w:val="Hyperlink"/>
        </w:rPr>
        <w:fldChar w:fldCharType="separate"/>
      </w:r>
      <w:r>
        <w:rPr>
          <w:rStyle w:val="Hyperlink"/>
        </w:rPr>
        <w:t xml:space="preserve">ClinicalTrials.gov</w:t>
      </w:r>
      <w:r>
        <w:rPr>
          <w:rStyle w:val="Hyperlink"/>
        </w:rPr>
        <w:fldChar w:fldCharType="end"/>
      </w:r>
      <w:r>
        <w:rPr>
          <w:color w:val="323232"/>
        </w:rPr>
        <w:t xml:space="preserve"> number, NCT02555878.).</w:t>
      </w:r>
    </w:p>
    <w:p/>
    <w:p>
      <w:pPr>
        <w:pStyle w:val="Normal"/>
      </w:pPr>
      <w:r>
        <w:rPr>
          <w:color w:val="323232"/>
        </w:rPr>
        <w:t xml:space="preserve">N Engl J Med, 2019 vol. 380 (8) pp. 720-728.</w:t>
      </w:r>
    </w:p>
    <w:p>
      <w:r>
        <w:rPr>
          <w:rStyle w:val="Hyperlink"/>
        </w:rPr>
        <w:fldChar w:fldCharType="begin"/>
      </w:r>
      <w:r>
        <w:rPr>
          <w:rStyle w:val="Hyperlink"/>
        </w:rPr>
        <w:instrText xml:space="preserve"> HYPERLINK "http://eutils.ncbi.nlm.nih.gov/entrez/eutils/elink.fcgi?dbfrom=pubmed&amp;id=30786186&amp;retmode=ref&amp;cmd=prlinks"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http://eutils.ncbi.nlm.nih.gov/entrez/eutils/elink.fcgi?dbfrom=pubmed&amp;id=30786186&amp;retmode=ref&amp;cmd=prlinks</w:t>
      </w:r>
      <w:r>
        <w:rPr>
          <w:rStyle w:val="Hyperlink"/>
        </w:rPr>
        <w:fldChar w:fldCharType="end"/>
      </w:r>
    </w:p>
    <w:p>
      <w:pPr>
        <w:pStyle w:val="Normal"/>
      </w:pPr>
      <w:r>
        <w:rPr>
          <w:color w:val="323232"/>
        </w:rPr>
        <w:t xml:space="preserve">————————</w:t>
      </w:r>
    </w:p>
    <w:p>
      <w:pPr>
        <w:pStyle w:val="Heading4"/>
      </w:pPr>
      <w:r>
        <w:t xml:space="preserve">Early Neuromuscular Blockade in the Acute Respiratory Distress Syndrome.</w:t>
      </w:r>
    </w:p>
    <w:p/>
    <w:p>
      <w:pPr>
        <w:pStyle w:val="Normal"/>
      </w:pPr>
      <w:r>
        <w:rPr>
          <w:color w:val="323232"/>
        </w:rPr>
        <w:t xml:space="preserve">National Heart, Lung, and Blood Institute PETAL Clinical Trials Network, Marc Moss, David T Huang, Roy G Brower, Niall D Ferguson, Adit A Ginde, M N Gong, Colin K Grissom, Stephanie Gundel, Douglas Hayden, R Duncan Hite, Peter C Hou, Catherine L Hough, Theodore J Iwashyna, Akram Khan, Kathleen D Liu, Daniel Talmor, B Taylor Thompson, Christine A Ulysse, Donald M Yealy, and Derek C Angus.</w:t>
      </w:r>
    </w:p>
    <w:p/>
    <w:p>
      <w:pPr>
        <w:pStyle w:val="Normal"/>
      </w:pPr>
      <w:r>
        <w:rPr>
          <w:color w:val="323232"/>
        </w:rPr>
        <w:t xml:space="preserve">BACKGROUND:The benefits of early continuous neuromuscular blockade in patients with acute respiratory distress syndrome (ARDS) who are receiving mechanical ventilation remain unclear.</w:t>
      </w:r>
    </w:p>
    <w:p/>
    <w:p>
      <w:pPr>
        <w:pStyle w:val="Normal"/>
      </w:pPr>
      <w:r>
        <w:rPr>
          <w:color w:val="323232"/>
        </w:rPr>
        <w:t xml:space="preserve">METHODS:We randomly assigned patients with moderate-to-severe ARDS (defined by a ratio of the partial pressure of arterial oxygen to the fraction of inspired oxygen of &lt;150 mm Hg with a positive end-expiratory pressure [PEEP] of ≥8 cm of water) to a 48-hour continuous infusion of cisatracurium with concomitant deep sedation (intervention group) or to a usual-care approach without routine neuromuscular blockade and with lighter sedation targets (control group). The same mechanical-ventilation strategies were used in both groups, including a strategy involving a high PEEP. The primary end point was in-hospital death from any cause at 90 days.</w:t>
      </w:r>
    </w:p>
    <w:p/>
    <w:p>
      <w:pPr>
        <w:pStyle w:val="Normal"/>
      </w:pPr>
      <w:r>
        <w:rPr>
          <w:color w:val="323232"/>
        </w:rPr>
        <w:t xml:space="preserve">RESULTS:The trial was stopped at the second interim analysis for futility. We enrolled 1006 patients early after the onset of moderate-to-severe ARDS (median, 7.6 hours after onset). During the first 48 hours after randomization, 488 of the 501 patients (97.4%) in the intervention group started a continuous infusion of cisatracurium (median duration of infusion, 47.8 hours; median dose, 1807 mg), and 86 of the 505 patients (17.0%) in the control group received a neuromuscular blocking agent (median dose, 38 mg). At 90 days, 213 patients (42.5%) in the intervention group and 216 (42.8%) in the control group had died before hospital discharge (between-group difference, -0.3 percentage points; 95% confidence interval, -6.4 to 5.9; P</w:t>
      </w:r>
      <w:r>
        <w:rPr>
          <w:color w:val="323232"/>
        </w:rPr>
        <w:t xml:space="preserve"> </w:t>
      </w:r>
      <w:r>
        <w:rPr>
          <w:color w:val="323232"/>
        </w:rPr>
        <w:t xml:space="preserve">=</w:t>
      </w:r>
      <w:r>
        <w:rPr>
          <w:color w:val="323232"/>
        </w:rPr>
        <w:t xml:space="preserve"> </w:t>
      </w:r>
      <w:r>
        <w:rPr>
          <w:color w:val="323232"/>
        </w:rPr>
        <w:t xml:space="preserve">0.93). While in the hospital, patients in the intervention group were less physically active and had more adverse cardiovascular events than patients in the control group. There were no consistent between-group differences in end points assessed at 3, 6, and 12 months.</w:t>
      </w:r>
    </w:p>
    <w:p/>
    <w:p>
      <w:pPr>
        <w:pStyle w:val="Normal"/>
      </w:pPr>
      <w:r>
        <w:rPr>
          <w:color w:val="323232"/>
        </w:rPr>
        <w:t xml:space="preserve">CONCLUSIONS:Among patients with moderate-to-severe ARDS who were treated with a strategy involving a high PEEP, there was no significant difference in mortality at 90 days between patients who received an early and continuous cisatracurium infusion and those who were treated with a usual-care approach with lighter sedation targets. (Funded by the National Heart, Lung, and Blood Institute; ROSE </w:t>
      </w:r>
      <w:r>
        <w:rPr>
          <w:rStyle w:val="Hyperlink"/>
        </w:rPr>
        <w:fldChar w:fldCharType="begin"/>
      </w:r>
      <w:r>
        <w:rPr>
          <w:rStyle w:val="Hyperlink"/>
        </w:rPr>
        <w:instrText xml:space="preserve"> HYPERLINK "http://ClinicalTrials.gov" </w:instrText>
      </w:r>
      <w:r>
        <w:rPr>
          <w:rStyle w:val="Hyperlink"/>
        </w:rPr>
      </w:r>
      <w:r>
        <w:rPr>
          <w:rStyle w:val="Hyperlink"/>
        </w:rPr>
        <w:fldChar w:fldCharType="separate"/>
      </w:r>
      <w:r>
        <w:rPr>
          <w:rStyle w:val="Hyperlink"/>
        </w:rPr>
        <w:t xml:space="preserve">ClinicalTrials.gov</w:t>
      </w:r>
      <w:r>
        <w:rPr>
          <w:rStyle w:val="Hyperlink"/>
        </w:rPr>
        <w:fldChar w:fldCharType="end"/>
      </w:r>
      <w:r>
        <w:rPr>
          <w:color w:val="323232"/>
        </w:rPr>
        <w:t xml:space="preserve"> number, NCT02509078.).</w:t>
      </w:r>
    </w:p>
    <w:p/>
    <w:p>
      <w:pPr>
        <w:pStyle w:val="Normal"/>
      </w:pPr>
      <w:r>
        <w:rPr>
          <w:color w:val="323232"/>
        </w:rPr>
        <w:t xml:space="preserve">N Engl J Med, 2019 vol. 380 (21) pp. 1997-2008.</w:t>
      </w:r>
    </w:p>
    <w:p>
      <w:r>
        <w:rPr>
          <w:rStyle w:val="Hyperlink"/>
        </w:rPr>
        <w:fldChar w:fldCharType="begin"/>
      </w:r>
      <w:r>
        <w:rPr>
          <w:rStyle w:val="Hyperlink"/>
        </w:rPr>
        <w:instrText xml:space="preserve"> HYPERLINK "http://eutils.ncbi.nlm.nih.gov/entrez/eutils/elink.fcgi?dbfrom=pubmed&amp;id=31112383&amp;retmode=ref&amp;cmd=prlinks"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http://eutils.ncbi.nlm.nih.gov/entrez/eutils/elink.fcgi?dbfrom=pubmed&amp;id=31112383&amp;retmode=ref&amp;cmd=prlinks</w:t>
      </w:r>
      <w:r>
        <w:rPr>
          <w:rStyle w:val="Hyperlink"/>
        </w:rPr>
        <w:fldChar w:fldCharType="end"/>
      </w:r>
    </w:p>
    <w:p>
      <w:pPr>
        <w:pStyle w:val="Normal"/>
      </w:pPr>
      <w:r>
        <w:rPr>
          <w:color w:val="323232"/>
        </w:rPr>
        <w:t xml:space="preserve">————————</w:t>
      </w:r>
    </w:p>
    <w:p>
      <w:pPr>
        <w:pStyle w:val="Heading4"/>
      </w:pPr>
      <w:r>
        <w:t xml:space="preserve">Early Sedation with Dexmedetomidine in Critically Ill Patients.</w:t>
      </w:r>
    </w:p>
    <w:p/>
    <w:p>
      <w:pPr>
        <w:pStyle w:val="Normal"/>
      </w:pPr>
      <w:r>
        <w:rPr>
          <w:color w:val="323232"/>
        </w:rPr>
        <w:t xml:space="preserve">Yahya Shehabi, Belinda D Howe, Rinaldo Bellomo, Yaseen M Arabi, Michael Bailey, Frances E Bass, Suhaini Bin Kadiman, Colin J McArthur, Lynnette Murray, Michael C Reade, Ian M Seppelt, Jukka Takala, Matt P Wise, Steven A Webb, and ANZICS Clinical Trials Group and the SPICE III Investigators.</w:t>
      </w:r>
    </w:p>
    <w:p/>
    <w:p>
      <w:pPr>
        <w:pStyle w:val="Normal"/>
      </w:pPr>
      <w:r>
        <w:rPr>
          <w:color w:val="323232"/>
        </w:rPr>
        <w:t xml:space="preserve">BACKGROUND:Dexmedetomidine produces sedation while maintaining a degree of arousability and may reduce the duration of mechanical ventilation and delirium among patients in the intensive care unit (ICU). The use of dexmedetomidine as the sole or primary sedative agent in patients undergoing mechanical ventilation has not been extensively studied.</w:t>
      </w:r>
    </w:p>
    <w:p/>
    <w:p>
      <w:pPr>
        <w:pStyle w:val="Normal"/>
      </w:pPr>
      <w:r>
        <w:rPr>
          <w:color w:val="323232"/>
        </w:rPr>
        <w:t xml:space="preserve">METHODS:In an open-label, randomized trial, we enrolled critically ill adults who had been undergoing ventilation for less than 12 hours in the ICU and were expected to continue to receive ventilatory support for longer than the next calendar day to receive dexmedetomidine as the sole or primary sedative or to receive usual care (propofol, midazolam, or other sedatives). The target range of sedation-scores on the Richmond Agitation and Sedation Scale (which is scored from -5 [unresponsive] to +4 [combative]) was -2 to +1 (lightly sedated to restless). The primary outcome was the rate of death from any cause at 90 days.</w:t>
      </w:r>
    </w:p>
    <w:p/>
    <w:p>
      <w:pPr>
        <w:pStyle w:val="Normal"/>
      </w:pPr>
      <w:r>
        <w:rPr>
          <w:color w:val="323232"/>
        </w:rPr>
        <w:t xml:space="preserve">RESULTS:We enrolled 4000 patients at a median interval of 4.6 hours between eligibility and randomization. In a modified intention-to-treat analysis involving 3904 patients, the primary outcome event occurred in 566 of 1948 (29.1%) in the dexmedetomidine group and in 569 of 1956 (29.1%) in the usual-care group (adjusted risk difference, 0.0 percentage points; 95% confidence interval, -2.9 to 2.8). An ancillary finding was that to achieve the prescribed level of sedation, patients in the dexmedetomidine group received supplemental propofol (64% of patients), midazolam (3%), or both (7%) during the first 2 days after randomization; in the usual-care group, these drugs were administered as primary sedatives in 60%, 12%, and 20% of the patients, respectively. Bradycardia and hypotension were more common in the dexmedetomidine group.</w:t>
      </w:r>
    </w:p>
    <w:p/>
    <w:p>
      <w:pPr>
        <w:pStyle w:val="Normal"/>
      </w:pPr>
      <w:r>
        <w:rPr>
          <w:color w:val="323232"/>
        </w:rPr>
        <w:t xml:space="preserve">CONCLUSIONS:Among patients undergoing mechanical ventilation in the ICU, those who received early dexmedetomidine for sedation had a rate of death at 90 days similar to that in the usual-care group and required supplemental sedatives to achieve the prescribed level of sedation. More adverse events were reported in the dexmedetomidine group than in the usual-care group. (Funded by the National Health and Medical Research Council of Australia and others; SPICE III </w:t>
      </w:r>
      <w:r>
        <w:rPr>
          <w:rStyle w:val="Hyperlink"/>
        </w:rPr>
        <w:fldChar w:fldCharType="begin"/>
      </w:r>
      <w:r>
        <w:rPr>
          <w:rStyle w:val="Hyperlink"/>
        </w:rPr>
        <w:instrText xml:space="preserve"> HYPERLINK "http://ClinicalTrials.gov" </w:instrText>
      </w:r>
      <w:r>
        <w:rPr>
          <w:rStyle w:val="Hyperlink"/>
        </w:rPr>
      </w:r>
      <w:r>
        <w:rPr>
          <w:rStyle w:val="Hyperlink"/>
        </w:rPr>
        <w:fldChar w:fldCharType="separate"/>
      </w:r>
      <w:r>
        <w:rPr>
          <w:rStyle w:val="Hyperlink"/>
        </w:rPr>
        <w:t xml:space="preserve">ClinicalTrials.gov</w:t>
      </w:r>
      <w:r>
        <w:rPr>
          <w:rStyle w:val="Hyperlink"/>
        </w:rPr>
        <w:fldChar w:fldCharType="end"/>
      </w:r>
      <w:r>
        <w:rPr>
          <w:color w:val="323232"/>
        </w:rPr>
        <w:t xml:space="preserve"> number, NCT01728558.).</w:t>
      </w:r>
    </w:p>
    <w:p/>
    <w:p>
      <w:pPr>
        <w:pStyle w:val="Normal"/>
      </w:pPr>
      <w:r>
        <w:rPr>
          <w:color w:val="323232"/>
        </w:rPr>
        <w:t xml:space="preserve">N Engl J Med, 2019 vol. 380 (26) pp. 2506-2517.</w:t>
      </w:r>
    </w:p>
    <w:p>
      <w:r>
        <w:rPr>
          <w:rStyle w:val="Hyperlink"/>
        </w:rPr>
        <w:fldChar w:fldCharType="begin"/>
      </w:r>
      <w:r>
        <w:rPr>
          <w:rStyle w:val="Hyperlink"/>
        </w:rPr>
        <w:instrText xml:space="preserve"> HYPERLINK "http://eutils.ncbi.nlm.nih.gov/entrez/eutils/elink.fcgi?dbfrom=pubmed&amp;id=31112380&amp;retmode=ref&amp;cmd=prlinks"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http://eutils.ncbi.nlm.nih.gov/entrez/eutils/elink.fcgi?dbfrom=pubmed&amp;id=31112380&amp;retmode=ref&amp;cmd=prlinks</w:t>
      </w:r>
      <w:r>
        <w:rPr>
          <w:rStyle w:val="Hyperlink"/>
        </w:rPr>
        <w:fldChar w:fldCharType="end"/>
      </w:r>
    </w:p>
    <w:p>
      <w:pPr>
        <w:pStyle w:val="Normal"/>
      </w:pPr>
      <w:r>
        <w:rPr>
          <w:color w:val="323232"/>
        </w:rPr>
        <w:t xml:space="preserve">————————</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mo="http://schemas.microsoft.com/office/mac/office/2008/main" xmlns:mv="urn:schemas-microsoft-com:vml" xmlns:w10="urn:schemas-microsoft-com:office:word" xmlns:w="http://schemas.openxmlformats.org/wordprocessingml/2006/main" xmlns:wne="http://schemas.microsoft.com/office/word/2006/wordml" xmlns:wp="http://schemas.openxmlformats.org/drawingml/2006/wordprocessingDrawing" xmlns:wp14="http://schemas.microsoft.com/office/word/2010/wordprocessingDrawing" xmlns:wpc="http://schemas.microsoft.com/office/word/2010/wordprocessingCanvas"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activeWritingStyle w:appName="MSWord" w:lang="en-US" w:vendorID="64" w:dllVersion="131078" w:nlCheck="1" w:checkStyle="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A55"/>
    <w:rsid w:val="00017BBC"/>
    <w:rsid w:val="000B0D42"/>
    <w:rsid w:val="00185B30"/>
    <w:rsid w:val="002B7A55"/>
    <w:rsid w:val="002D272D"/>
    <w:rsid w:val="0032417C"/>
    <w:rsid w:val="003A634A"/>
    <w:rsid w:val="003B458B"/>
    <w:rsid w:val="003F7B03"/>
    <w:rsid w:val="00403EF4"/>
    <w:rsid w:val="004A3A54"/>
    <w:rsid w:val="00573674"/>
    <w:rsid w:val="0057740A"/>
    <w:rsid w:val="00583CB3"/>
    <w:rsid w:val="00595F40"/>
    <w:rsid w:val="005F2A4D"/>
    <w:rsid w:val="006B37E3"/>
    <w:rsid w:val="006C3F6A"/>
    <w:rsid w:val="007C6E76"/>
    <w:rsid w:val="00813340"/>
    <w:rsid w:val="00837830"/>
    <w:rsid w:val="00933990"/>
    <w:rsid w:val="00B230FC"/>
    <w:rsid w:val="00B808CD"/>
    <w:rsid w:val="00BF5279"/>
    <w:rsid w:val="00F129A8"/>
    <w:rsid w:val="00F50F40"/>
    <w:rsid w:val="00FA1E7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5996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it-IT"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674"/>
    <w:pPr>
      <w:suppressAutoHyphens/>
    </w:pPr>
    <w:rPr>
      <w:rFonts w:ascii="Arial" w:eastAsia="Arial Unicode MS" w:hAnsi="Arial" w:cs="Cambria"/>
      <w:lang w:eastAsia="en-US"/>
    </w:rPr>
  </w:style>
  <w:style w:type="paragraph" w:styleId="Heading1">
    <w:name w:val="heading 1"/>
    <w:basedOn w:val="Header"/>
    <w:next w:val="Header"/>
    <w:link w:val="Heading1Char"/>
    <w:qFormat/>
    <w:rsid w:val="007C6E76"/>
    <w:pPr>
      <w:keepNext/>
      <w:keepLines/>
      <w:spacing w:before="240"/>
      <w:outlineLvl w:val="0"/>
    </w:pPr>
    <w:rPr>
      <w:rFonts w:eastAsiaTheme="majorEastAsia" w:cstheme="majorBidi"/>
      <w:color w:val="323232"/>
      <w:sz w:val="42"/>
      <w:szCs w:val="32"/>
    </w:rPr>
  </w:style>
  <w:style w:type="paragraph" w:styleId="Heading2">
    <w:name w:val="heading 2"/>
    <w:basedOn w:val="Header"/>
    <w:link w:val="Heading2Char"/>
    <w:qFormat/>
    <w:rsid w:val="007C6E76"/>
    <w:pPr>
      <w:keepNext/>
      <w:keepLines/>
      <w:spacing w:before="40"/>
      <w:outlineLvl w:val="1"/>
    </w:pPr>
    <w:rPr>
      <w:rFonts w:eastAsiaTheme="majorEastAsia" w:cstheme="majorBidi"/>
      <w:color w:val="323232"/>
      <w:sz w:val="36"/>
      <w:szCs w:val="26"/>
    </w:rPr>
  </w:style>
  <w:style w:type="paragraph" w:styleId="Heading3">
    <w:name w:val="heading 3"/>
    <w:basedOn w:val="Header"/>
    <w:link w:val="Heading3Char"/>
    <w:qFormat/>
    <w:rsid w:val="007C6E76"/>
    <w:pPr>
      <w:keepNext/>
      <w:keepLines/>
      <w:spacing w:before="40"/>
      <w:outlineLvl w:val="2"/>
    </w:pPr>
    <w:rPr>
      <w:rFonts w:eastAsiaTheme="majorEastAsia" w:cstheme="majorBidi"/>
      <w:color w:val="323232"/>
      <w:sz w:val="30"/>
    </w:rPr>
  </w:style>
  <w:style w:type="paragraph" w:styleId="Heading4">
    <w:name w:val="heading 4"/>
    <w:basedOn w:val="Header"/>
    <w:link w:val="Heading4Char"/>
    <w:rsid w:val="007C6E76"/>
    <w:pPr>
      <w:keepNext/>
      <w:keepLines/>
      <w:spacing w:before="40"/>
      <w:outlineLvl w:val="3"/>
    </w:pPr>
    <w:rPr>
      <w:rFonts w:eastAsiaTheme="majorEastAsia" w:cstheme="majorBidi"/>
      <w:iCs/>
      <w:color w:val="323232"/>
      <w:sz w:val="28"/>
    </w:rPr>
  </w:style>
  <w:style w:type="paragraph" w:styleId="Heading5">
    <w:name w:val="heading 5"/>
    <w:basedOn w:val="Header"/>
    <w:link w:val="Heading5Char"/>
    <w:rsid w:val="007C6E76"/>
    <w:pPr>
      <w:keepNext/>
      <w:keepLines/>
      <w:spacing w:before="40"/>
      <w:outlineLvl w:val="4"/>
    </w:pPr>
    <w:rPr>
      <w:rFonts w:eastAsiaTheme="majorEastAsia" w:cstheme="majorBidi"/>
      <w:color w:val="323232"/>
      <w:sz w:val="28"/>
    </w:rPr>
  </w:style>
  <w:style w:type="paragraph" w:styleId="Heading6">
    <w:name w:val="heading 6"/>
    <w:basedOn w:val="Header"/>
    <w:link w:val="Heading6Char"/>
    <w:rsid w:val="007C6E76"/>
    <w:pPr>
      <w:keepNext/>
      <w:keepLines/>
      <w:spacing w:before="40"/>
      <w:outlineLvl w:val="5"/>
    </w:pPr>
    <w:rPr>
      <w:rFonts w:eastAsiaTheme="majorEastAsia" w:cstheme="majorBidi"/>
      <w:color w:val="323232"/>
      <w:sz w:val="28"/>
    </w:rPr>
  </w:style>
  <w:style w:type="paragraph" w:styleId="Heading7">
    <w:name w:val="heading 7"/>
    <w:basedOn w:val="Normal"/>
    <w:next w:val="Normal"/>
    <w:link w:val="Heading7Char"/>
    <w:unhideWhenUsed/>
    <w:rsid w:val="007C6E76"/>
    <w:pPr>
      <w:keepNext/>
      <w:keepLines/>
      <w:spacing w:before="40"/>
      <w:outlineLvl w:val="6"/>
    </w:pPr>
    <w:rPr>
      <w:rFonts w:eastAsiaTheme="majorEastAsia" w:cstheme="majorBidi"/>
      <w:iCs/>
      <w:color w:val="323232"/>
    </w:rPr>
  </w:style>
  <w:style w:type="paragraph" w:styleId="Heading8">
    <w:name w:val="heading 8"/>
    <w:basedOn w:val="Header"/>
    <w:next w:val="Heading7"/>
    <w:link w:val="Heading8Char"/>
    <w:semiHidden/>
    <w:unhideWhenUsed/>
    <w:rsid w:val="007C6E76"/>
    <w:pPr>
      <w:keepNext/>
      <w:keepLines/>
      <w:spacing w:before="40"/>
      <w:outlineLvl w:val="7"/>
    </w:pPr>
    <w:rPr>
      <w:rFonts w:eastAsiaTheme="majorEastAsia" w:cstheme="majorBidi"/>
      <w:color w:val="32323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C6E76"/>
    <w:rPr>
      <w:rFonts w:ascii="Arial" w:eastAsiaTheme="majorEastAsia" w:hAnsi="Arial" w:cstheme="majorBidi"/>
      <w:color w:val="323232"/>
      <w:sz w:val="30"/>
      <w:lang w:eastAsia="en-US"/>
    </w:rPr>
  </w:style>
  <w:style w:type="paragraph" w:customStyle="1" w:styleId="CodeBlock">
    <w:name w:val="Code Block"/>
    <w:basedOn w:val="Normal"/>
    <w:qFormat/>
    <w:rsid w:val="00813340"/>
    <w:rPr>
      <w:rFonts w:eastAsia="Arial" w:cs="Arial"/>
      <w:color w:val="424242"/>
    </w:rPr>
  </w:style>
  <w:style w:type="character" w:customStyle="1" w:styleId="Heading4Char">
    <w:name w:val="Heading 4 Char"/>
    <w:basedOn w:val="DefaultParagraphFont"/>
    <w:link w:val="Heading4"/>
    <w:rsid w:val="007C6E76"/>
    <w:rPr>
      <w:rFonts w:ascii="Arial" w:eastAsiaTheme="majorEastAsia" w:hAnsi="Arial" w:cstheme="majorBidi"/>
      <w:iCs/>
      <w:color w:val="323232"/>
      <w:sz w:val="28"/>
      <w:lang w:eastAsia="en-US"/>
    </w:rPr>
  </w:style>
  <w:style w:type="paragraph" w:customStyle="1" w:styleId="Index">
    <w:name w:val="Index"/>
    <w:basedOn w:val="Normal"/>
    <w:rsid w:val="002B7A55"/>
    <w:pPr>
      <w:suppressLineNumbers/>
    </w:pPr>
  </w:style>
  <w:style w:type="paragraph" w:styleId="Header">
    <w:name w:val="header"/>
    <w:basedOn w:val="Normal"/>
    <w:link w:val="HeaderChar"/>
    <w:semiHidden/>
    <w:unhideWhenUsed/>
    <w:rsid w:val="00017BBC"/>
    <w:pPr>
      <w:tabs>
        <w:tab w:val="center" w:pos="4819"/>
        <w:tab w:val="right" w:pos="9638"/>
      </w:tabs>
    </w:pPr>
  </w:style>
  <w:style w:type="character" w:customStyle="1" w:styleId="HeaderChar">
    <w:name w:val="Header Char"/>
    <w:basedOn w:val="DefaultParagraphFont"/>
    <w:link w:val="Header"/>
    <w:semiHidden/>
    <w:rsid w:val="00017BBC"/>
    <w:rPr>
      <w:rFonts w:ascii="Cambria" w:eastAsia="Arial Unicode MS" w:hAnsi="Cambria" w:cs="Cambria"/>
      <w:lang w:eastAsia="en-US"/>
    </w:rPr>
  </w:style>
  <w:style w:type="character" w:customStyle="1" w:styleId="Heading5Char">
    <w:name w:val="Heading 5 Char"/>
    <w:basedOn w:val="DefaultParagraphFont"/>
    <w:link w:val="Heading5"/>
    <w:rsid w:val="007C6E76"/>
    <w:rPr>
      <w:rFonts w:ascii="Arial" w:eastAsiaTheme="majorEastAsia" w:hAnsi="Arial" w:cstheme="majorBidi"/>
      <w:color w:val="323232"/>
      <w:sz w:val="28"/>
      <w:lang w:eastAsia="en-US"/>
    </w:rPr>
  </w:style>
  <w:style w:type="character" w:customStyle="1" w:styleId="Heading2Char">
    <w:name w:val="Heading 2 Char"/>
    <w:basedOn w:val="DefaultParagraphFont"/>
    <w:link w:val="Heading2"/>
    <w:rsid w:val="007C6E76"/>
    <w:rPr>
      <w:rFonts w:ascii="Arial" w:eastAsiaTheme="majorEastAsia" w:hAnsi="Arial" w:cstheme="majorBidi"/>
      <w:color w:val="323232"/>
      <w:sz w:val="36"/>
      <w:szCs w:val="26"/>
      <w:lang w:eastAsia="en-US"/>
    </w:rPr>
  </w:style>
  <w:style w:type="character" w:customStyle="1" w:styleId="Heading1Char">
    <w:name w:val="Heading 1 Char"/>
    <w:basedOn w:val="DefaultParagraphFont"/>
    <w:link w:val="Heading1"/>
    <w:rsid w:val="007C6E76"/>
    <w:rPr>
      <w:rFonts w:ascii="Arial" w:eastAsiaTheme="majorEastAsia" w:hAnsi="Arial" w:cstheme="majorBidi"/>
      <w:color w:val="323232"/>
      <w:sz w:val="42"/>
      <w:szCs w:val="32"/>
      <w:lang w:eastAsia="en-US"/>
    </w:rPr>
  </w:style>
  <w:style w:type="character" w:customStyle="1" w:styleId="Heading6Char">
    <w:name w:val="Heading 6 Char"/>
    <w:basedOn w:val="DefaultParagraphFont"/>
    <w:link w:val="Heading6"/>
    <w:rsid w:val="007C6E76"/>
    <w:rPr>
      <w:rFonts w:ascii="Arial" w:eastAsiaTheme="majorEastAsia" w:hAnsi="Arial" w:cstheme="majorBidi"/>
      <w:color w:val="323232"/>
      <w:sz w:val="28"/>
      <w:lang w:eastAsia="en-US"/>
    </w:rPr>
  </w:style>
  <w:style w:type="character" w:customStyle="1" w:styleId="Heading7Char">
    <w:name w:val="Heading 7 Char"/>
    <w:basedOn w:val="DefaultParagraphFont"/>
    <w:link w:val="Heading7"/>
    <w:rsid w:val="007C6E76"/>
    <w:rPr>
      <w:rFonts w:ascii="Arial" w:eastAsiaTheme="majorEastAsia" w:hAnsi="Arial" w:cstheme="majorBidi"/>
      <w:iCs/>
      <w:color w:val="323232"/>
      <w:lang w:eastAsia="en-US"/>
    </w:rPr>
  </w:style>
  <w:style w:type="character" w:customStyle="1" w:styleId="Heading8Char">
    <w:name w:val="Heading 8 Char"/>
    <w:basedOn w:val="DefaultParagraphFont"/>
    <w:link w:val="Heading8"/>
    <w:semiHidden/>
    <w:rsid w:val="007C6E76"/>
    <w:rPr>
      <w:rFonts w:ascii="Arial" w:eastAsiaTheme="majorEastAsia" w:hAnsi="Arial" w:cstheme="majorBidi"/>
      <w:color w:val="323232"/>
      <w:sz w:val="21"/>
      <w:szCs w:val="21"/>
      <w:lang w:eastAsia="en-US"/>
    </w:rPr>
  </w:style>
  <w:style w:type="character" w:styleId="Hyperlink">
    <w:name w:val="Hyperlink"/>
    <w:basedOn w:val="DefaultParagraphFont"/>
    <w:qFormat/>
    <w:rsid w:val="0057740A"/>
    <w:rPr>
      <w:color w:val="0000FF" w:themeColor="hyperlink"/>
      <w:u w:val="single"/>
    </w:rPr>
  </w:style>
  <w:style w:type="paragraph" w:styleId="ListParagraph">
    <w:name w:val="List Paragraph"/>
    <w:basedOn w:val="Normal"/>
    <w:rsid w:val="00B808CD"/>
    <w:pPr>
      <w:ind w:left="720"/>
      <w:contextualSpacing/>
    </w:pPr>
  </w:style>
  <w:style w:type="paragraph" w:styleId="Quote">
    <w:name w:val="Quote"/>
    <w:basedOn w:val="Normal"/>
    <w:next w:val="Normal"/>
    <w:link w:val="QuoteChar"/>
    <w:rsid w:val="00595F4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595F40"/>
    <w:rPr>
      <w:rFonts w:ascii="Arial" w:eastAsia="Arial Unicode MS" w:hAnsi="Arial" w:cs="Cambria"/>
      <w:i/>
      <w:iCs/>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Words>
  <Characters>1683</Characters>
  <Application>Microsoft Macintosh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8</cp:revision>
  <dcterms:created xsi:type="dcterms:W3CDTF">2017-01-18T09:28:00Z</dcterms:created>
  <dcterms:modified xsi:type="dcterms:W3CDTF">2018-05-18T10:38:00Z</dcterms:modified>
</cp:coreProperties>
</file>