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New England Journal of Medicine 2018</w:t>
      </w:r>
    </w:p>
    <w:p>
      <w:pPr>
        <w:pStyle w:val="Heading2"/>
      </w:pPr>
      <w:r>
        <w:t xml:space="preserve">NEJM 2018; Vol 378—379; Issues 1-26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Balanced Crystalloids versus Saline in Noncritically Ill Adults.</w:t>
      </w:r>
    </w:p>
    <w:p/>
    <w:p>
      <w:pPr>
        <w:pStyle w:val="Normal"/>
      </w:pPr>
      <w:r>
        <w:rPr>
          <w:color w:val="323232"/>
        </w:rPr>
        <w:t xml:space="preserve">Wesley H Self, Matthew W Semler, Jonathan P Wanderer, Li Wang, Daniel W Byrne, Sean P Collins, Corey M Slovis, Christopher J Lindsell, Jesse M Ehrenfeld, Edward D Siew, Andrew D Shaw, Gordon R Bernard, Todd W Rice, and SALT-ED Investigators.</w:t>
      </w:r>
    </w:p>
    <w:p/>
    <w:p>
      <w:pPr>
        <w:pStyle w:val="Normal"/>
      </w:pPr>
      <w:r>
        <w:rPr>
          <w:color w:val="323232"/>
        </w:rPr>
        <w:t xml:space="preserve">BACKGROUND:Comparative clinical effects of balanced crystalloids and saline are uncertain, particularly in noncritically ill patients cared for outside an intensive care unit (ICU).</w:t>
      </w:r>
    </w:p>
    <w:p/>
    <w:p>
      <w:pPr>
        <w:pStyle w:val="Normal"/>
      </w:pPr>
      <w:r>
        <w:rPr>
          <w:color w:val="323232"/>
        </w:rPr>
        <w:t xml:space="preserve">METHODS:We conducted a single-center, pragmatic, multiple-crossover trial comparing balanced crystalloids (lactated Ringer's solution or Plasma-Lyte A) with saline among adults who were treated with intravenous crystalloids in the emergency department and were subsequently hospitalized outside an ICU. The type of crystalloid that was administered in the emergency department was assigned to each patient on the basis of calendar month, with the entire emergency department crossing over between balanced crystalloids and saline monthly during the 16-month trial. The primary outcome was hospital-free days (days alive after discharge before day 28). Secondary outcomes included major adverse kidney events within 30 days - a composite of death from any cause, new renal-replacement therapy, or persistent renal dysfunction (defined as an elevation of the creatinine level to ≥200% of baseline) - all censored at hospital discharge or 30 days, whichever occurred first.</w:t>
      </w:r>
    </w:p>
    <w:p/>
    <w:p>
      <w:pPr>
        <w:pStyle w:val="Normal"/>
      </w:pPr>
      <w:r>
        <w:rPr>
          <w:color w:val="323232"/>
        </w:rPr>
        <w:t xml:space="preserve">RESULTS:A total of 13,347 patients were enrolled, with a median crystalloid volume administered in the emergency department of 1079 ml and 88.3% of the patients exclusively receiving the assigned crystalloid. The number of hospital-free days did not differ between the balanced-crystalloids and saline groups (median, 25 days in each group; adjusted odds ratio with balanced crystalloids, 0.98; 95% confidence interval [CI], 0.92 to 1.04; P=0.41). Balanced crystalloids resulted in a lower incidence of major adverse kidney events within 30 days than saline (4.7% vs. 5.6%; adjusted odds ratio, 0.82; 95% CI, 0.70 to 0.95; P=0.01).</w:t>
      </w:r>
    </w:p>
    <w:p/>
    <w:p>
      <w:pPr>
        <w:pStyle w:val="Normal"/>
      </w:pPr>
      <w:r>
        <w:rPr>
          <w:color w:val="323232"/>
        </w:rPr>
        <w:t xml:space="preserve">CONCLUSIONS:Among noncritically ill adults treated with intravenous fluids in the emergency department, there was no difference in hospital-free days between treatment with balanced crystalloids and treatment with saline. (Funded by the Vanderbilt Institute for Clinical and Translational Research and others; SALT-ED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NCT02614040 .).</w:t>
      </w:r>
    </w:p>
    <w:p/>
    <w:p>
      <w:pPr>
        <w:pStyle w:val="Normal"/>
      </w:pPr>
      <w:r>
        <w:rPr>
          <w:color w:val="323232"/>
        </w:rPr>
        <w:t xml:space="preserve">N Engl J Med, 2018 vol. 378 (9) pp. 819-828.</w:t>
      </w:r>
    </w:p>
    <w:p>
      <w:r>
        <w:rPr>
          <w:rStyle w:val="Hyperlink"/>
        </w:rPr>
        <w:fldChar w:fldCharType="begin"/>
      </w:r>
      <w:r>
        <w:rPr>
          <w:rStyle w:val="Hyperlink"/>
        </w:rPr>
        <w:instrText xml:space="preserve"> HYPERLINK "http://eutils.ncbi.nlm.nih.gov/entrez/eutils/elink.fcgi?dbfrom=pubmed&amp;id=29485926&amp;retmode=ref&amp;cmd=prlinks"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http://eutils.ncbi.nlm.nih.gov/entrez/eutils/elink.fcgi?dbfrom=pubmed&amp;id=29485926&amp;retmode=ref&amp;cmd=prlinks</w:t>
      </w:r>
      <w:r>
        <w:rPr>
          <w:rStyle w:val="Hyperlink"/>
        </w:rPr>
        <w:fldChar w:fldCharType="end"/>
      </w:r>
    </w:p>
    <w:p>
      <w:pPr>
        <w:pStyle w:val="Normal"/>
      </w:pPr>
      <w:r>
        <w:rPr>
          <w:color w:val="323232"/>
        </w:rPr>
        <w:t xml:space="preserve">————————</w:t>
      </w:r>
    </w:p>
    <w:p>
      <w:pPr>
        <w:pStyle w:val="Heading4"/>
      </w:pPr>
      <w:r>
        <w:t xml:space="preserve">Hydrocortisone plus Fludrocortisone for Adults with Septic Shock.</w:t>
      </w:r>
    </w:p>
    <w:p/>
    <w:p>
      <w:pPr>
        <w:pStyle w:val="Normal"/>
      </w:pPr>
      <w:r>
        <w:rPr>
          <w:color w:val="323232"/>
        </w:rPr>
        <w:t xml:space="preserve">Djillali Annane, Alain Renault, Christian Brun-Buisson, Bruno Megarbane, Jean-Pierre Quenot, Shidasp Siami, Alain Cariou, Xavier Forceville, Carole Schwebel, Claude Martin, Jean-François Timsit, Benoît Misset, Mohamed Ali Benali, Gwenhael Colin, Bertrand Souweine, Karim Asehnoune, Emmanuelle Mercier, Loïc Chimot, Claire Charpentier, Bruno François, Thierry Boulain, Franck Petitpas, Jean-Michel Constantin, Gilles Dhonneur, François Baudin, Alain Combes, Julien Bohé, Jean-François Loriferne, Roland Amathieu, Fabrice Cook, Michel Slama, Olivier Leroy, Gilles Capellier, Auguste Dargent, Tarik Hissem, Virginie Maxime, Eric Bellissant, and CRICS-TRIGGERSEP Network.</w:t>
      </w:r>
    </w:p>
    <w:p/>
    <w:p>
      <w:pPr>
        <w:pStyle w:val="Normal"/>
      </w:pPr>
      <w:r>
        <w:rPr>
          <w:color w:val="323232"/>
        </w:rPr>
        <w:t xml:space="preserve">BACKGROUND:Septic shock is characterized by dysregulation of the host response to infection, with circulatory, cellular, and metabolic abnormalities. We hypothesized that therapy with hydrocortisone plus fludrocortisone or with drotrecogin alfa (activated), which can modulate the host response, would improve the clinical outcomes of patients with septic shock.</w:t>
      </w:r>
    </w:p>
    <w:p/>
    <w:p>
      <w:pPr>
        <w:pStyle w:val="Normal"/>
      </w:pPr>
      <w:r>
        <w:rPr>
          <w:color w:val="323232"/>
        </w:rPr>
        <w:t xml:space="preserve">METHODS:In this multicenter, double-blind, randomized trial with a 2-by-2 factorial design, we evaluated the effect of hydrocortisone-plus-fludrocortisone therapy, drotrecogin alfa (activated), the combination of the three drugs, or their respective placebos. The primary outcome was 90-day all-cause mortality. Secondary outcomes included mortality at intensive care unit (ICU) discharge and hospital discharge and at day 28 and day 180 and the number of days alive and free of vasopressors, mechanical ventilation, or organ failure. After drotrecogin alfa (activated) was withdrawn from the market, the trial continued with a two-group parallel design. The analysis compared patients who received hydrocortisone plus fludrocortisone with those who did not (placebo group).</w:t>
      </w:r>
    </w:p>
    <w:p/>
    <w:p>
      <w:pPr>
        <w:pStyle w:val="Normal"/>
      </w:pPr>
      <w:r>
        <w:rPr>
          <w:color w:val="323232"/>
        </w:rPr>
        <w:t xml:space="preserve">RESULTS:Among the 1241 patients included in the trial, the 90-day mortality was 43.0% (264 of 614 patients) in the hydrocortisone-plus-fludrocortisone group and 49.1% (308 of 627 patients) in the placebo group (P=0.03). The relative risk of death in the hydrocortisone-plus-fludrocortisone group was 0.88 (95% confidence interval, 0.78 to 0.99). Mortality was significantly lower in the hydrocortisone-plus-fludrocortisone group than in the placebo group at ICU discharge (35.4% vs. 41.0%, P=0.04), hospital discharge (39.0% vs. 45.3%, P=0.02), and day 180 (46.6% vs. 52.5%, P=0.04) but not at day 28 (33.7% and 38.9%, respectively; P=0.06). The number of vasopressor-free days to day 28 was significantly higher in the hydrocortisone-plus-fludrocortisone group than in the placebo group (17 vs. 15 days, P&lt;0.001), as was the number of organ-failure-free days (14 vs. 12 days, P=0.003). The number of ventilator-free days was similar in the two groups (11 days in the hydrocortisone-plus-fludrocortisone group and 10 in the placebo group, P=0.07). The rate of serious adverse events did not differ significantly between the two groups, but hyperglycemia was more common in hydrocortisone-plus-fludrocortisone group.</w:t>
      </w:r>
    </w:p>
    <w:p/>
    <w:p>
      <w:pPr>
        <w:pStyle w:val="Normal"/>
      </w:pPr>
      <w:r>
        <w:rPr>
          <w:color w:val="323232"/>
        </w:rPr>
        <w:t xml:space="preserve">CONCLUSIONS:In this trial involving patients with septic shock, 90-day all-cause mortality was lower among those who received hydrocortisone plus fludrocortisone than among those who received placebo. (Funded by Programme Hospitalier de Recherche Clinique 2007 of the French Ministry of Social Affairs and Health; APROCCHSS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NCT00625209 .).</w:t>
      </w:r>
    </w:p>
    <w:p/>
    <w:p>
      <w:pPr>
        <w:pStyle w:val="Normal"/>
      </w:pPr>
      <w:r>
        <w:rPr>
          <w:color w:val="323232"/>
        </w:rPr>
        <w:t xml:space="preserve">N Engl J Med, 2018 vol. 378 (9) pp. 809-818.</w:t>
      </w:r>
    </w:p>
    <w:p>
      <w:r>
        <w:rPr>
          <w:rStyle w:val="Hyperlink"/>
        </w:rPr>
        <w:fldChar w:fldCharType="begin"/>
      </w:r>
      <w:r>
        <w:rPr>
          <w:rStyle w:val="Hyperlink"/>
        </w:rPr>
        <w:instrText xml:space="preserve"> HYPERLINK "http://eutils.ncbi.nlm.nih.gov/entrez/eutils/elink.fcgi?dbfrom=pubmed&amp;id=29490185&amp;retmode=ref&amp;cmd=prlinks"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http://eutils.ncbi.nlm.nih.gov/entrez/eutils/elink.fcgi?dbfrom=pubmed&amp;id=29490185&amp;retmode=ref&amp;cmd=prlinks</w:t>
      </w:r>
      <w:r>
        <w:rPr>
          <w:rStyle w:val="Hyperlink"/>
        </w:rPr>
        <w:fldChar w:fldCharType="end"/>
      </w:r>
    </w:p>
    <w:p>
      <w:pPr>
        <w:pStyle w:val="Normal"/>
      </w:pPr>
      <w:r>
        <w:rPr>
          <w:color w:val="323232"/>
        </w:rPr>
        <w:t xml:space="preserve">————————</w:t>
      </w:r>
    </w:p>
    <w:p>
      <w:pPr>
        <w:pStyle w:val="Heading4"/>
      </w:pPr>
      <w:r>
        <w:t xml:space="preserve">Tenecteplase versus Alteplase before Thrombectomy for Ischemic Stroke.</w:t>
      </w:r>
    </w:p>
    <w:p/>
    <w:p>
      <w:pPr>
        <w:pStyle w:val="Normal"/>
      </w:pPr>
      <w:r>
        <w:rPr>
          <w:color w:val="323232"/>
        </w:rPr>
        <w:t xml:space="preserve">Bruce C V Campbell, Peter J Mitchell, Leonid Churilov, Nawaf Yassi, Timothy J Kleinig, Richard J Dowling, Bernard Yan, Steven J Bush, Helen M Dewey, Vincent Thijs, Rebecca Scroop, Marion Simpson, Mark Brooks, Hamed Asadi, Teddy Y Wu, Darshan G Shah, Tissa Wijeratne, Timothy Ang, Ferdinand Miteff, Christopher R Levi, Edrich Rodrigues, Henry Zhao, Patrick Salvaris, Carlos Garcia-Esperon, Peter Bailey, Henry Rice, Laetitia de Villiers, Helen Brown, Kendal Redmond, David Leggett, John N Fink, Wayne Collecutt, Andrew A Wong, Claire Muller, Alan Coulthard, Ken Mitchell, John Clouston, Kate Mahady, Deborah Field, Henry Ma, Thanh G Phan, Winston Chong, Ronil V Chandra, Lee-Anne Slater, Martin Krause, Timothy J Harrington, Kenneth C Faulder, Brendan S Steinfort, Christopher F Bladin, Gagan Sharma, Patricia M Desmond, Mark W Parsons, Geoffrey A Donnan, Stephen M Davis, and EXTEND-IA TNK Investigators.</w:t>
      </w:r>
    </w:p>
    <w:p/>
    <w:p>
      <w:pPr>
        <w:pStyle w:val="Normal"/>
      </w:pPr>
      <w:r>
        <w:rPr>
          <w:color w:val="323232"/>
        </w:rPr>
        <w:t xml:space="preserve">BACKGROUND:Intravenous infusion of alteplase is used for thrombolysis before endovascular thrombectomy for ischemic stroke. Tenecteplase, which is more fibrin-specific and has longer activity than alteplase, is given as a bolus and may increase the incidence of vascular reperfusion.</w:t>
      </w:r>
    </w:p>
    <w:p/>
    <w:p>
      <w:pPr>
        <w:pStyle w:val="Normal"/>
      </w:pPr>
      <w:r>
        <w:rPr>
          <w:color w:val="323232"/>
        </w:rPr>
        <w:t xml:space="preserve">METHODS:We randomly assigned patients with ischemic stroke who had occlusion of the internal carotid, basilar, or middle cerebral artery and who were eligible to undergo thrombectomy to receive tenecteplase (at a dose of 0.25 mg per kilogram of body weight; maximum dose, 25 mg) or alteplase (at a dose of 0.9 mg per kilogram; maximum dose, 90 mg) within 4.5 hours after symptom onset. The primary outcome was reperfusion of greater than 50% of the involved ischemic territory or an absence of retrievable thrombus at the time of the initial angiographic assessment. Noninferiority of tenecteplase was tested, followed by superiority. Secondary outcomes included the modified Rankin scale score (on a scale from 0 [no neurologic deficit] to 6 [death]) at 90 days. Safety outcomes were death and symptomatic intracerebral hemorrhage.</w:t>
      </w:r>
    </w:p>
    <w:p/>
    <w:p>
      <w:pPr>
        <w:pStyle w:val="Normal"/>
      </w:pPr>
      <w:r>
        <w:rPr>
          <w:color w:val="323232"/>
        </w:rPr>
        <w:t xml:space="preserve">RESULTS:Of 202 patients enrolled, 101 were assigned to receive tenecteplase and 101 to receive alteplase. The primary outcome occurred in 22% of the patients treated with tenecteplase versus 10% of those treated with alteplase (incidence difference, 12 percentage points; 95% confidence interval [CI], 2 to 21; incidence ratio, 2.2; 95% CI, 1.1 to 4.4; P=0.002 for noninferiority; P=0.03 for superiority). Tenecteplase resulted in a better 90-day functional outcome than alteplase (median modified Rankin scale score, 2 vs. 3; common odds ratio, 1.7; 95% CI, 1.0 to 2.8; P=0.04). Symptomatic intracerebral hemorrhage occurred in 1% of the patients in each group.</w:t>
      </w:r>
    </w:p>
    <w:p/>
    <w:p>
      <w:pPr>
        <w:pStyle w:val="Normal"/>
      </w:pPr>
      <w:r>
        <w:rPr>
          <w:color w:val="323232"/>
        </w:rPr>
        <w:t xml:space="preserve">CONCLUSIONS:Tenecteplase before thrombectomy was associated with a higher incidence of reperfusion and better functional outcome than alteplase among patients with ischemic stroke treated within 4.5 hours after symptom onset. (Funded by the National Health and Medical Research Council of Australia and others; EXTEND-IA TNK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NCT02388061 .).</w:t>
      </w:r>
    </w:p>
    <w:p/>
    <w:p>
      <w:pPr>
        <w:pStyle w:val="Normal"/>
      </w:pPr>
      <w:r>
        <w:rPr>
          <w:color w:val="323232"/>
        </w:rPr>
        <w:t xml:space="preserve">N Engl J Med, 2018 vol. 378 (17) pp. 1573-1582.</w:t>
      </w:r>
    </w:p>
    <w:p>
      <w:r>
        <w:rPr>
          <w:rStyle w:val="Hyperlink"/>
        </w:rPr>
        <w:fldChar w:fldCharType="begin"/>
      </w:r>
      <w:r>
        <w:rPr>
          <w:rStyle w:val="Hyperlink"/>
        </w:rPr>
        <w:instrText xml:space="preserve"> HYPERLINK "http://eutils.ncbi.nlm.nih.gov/entrez/eutils/elink.fcgi?dbfrom=pubmed&amp;id=29694815&amp;retmode=ref&amp;cmd=prlinks"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http://eutils.ncbi.nlm.nih.gov/entrez/eutils/elink.fcgi?dbfrom=pubmed&amp;id=29694815&amp;retmode=ref&amp;cmd=prlinks</w:t>
      </w:r>
      <w:r>
        <w:rPr>
          <w:rStyle w:val="Hyperlink"/>
        </w:rPr>
        <w:fldChar w:fldCharType="end"/>
      </w:r>
    </w:p>
    <w:p>
      <w:pPr>
        <w:pStyle w:val="Normal"/>
      </w:pPr>
      <w:r>
        <w:rPr>
          <w:color w:val="323232"/>
        </w:rPr>
        <w:t xml:space="preserve">————————</w:t>
      </w:r>
    </w:p>
    <w:p>
      <w:pPr>
        <w:pStyle w:val="Heading4"/>
      </w:pPr>
      <w:r>
        <w:t xml:space="preserve">Restrictive versus Liberal Fluid Therapy for Major Abdominal Surgery.</w:t>
      </w:r>
    </w:p>
    <w:p/>
    <w:p>
      <w:pPr>
        <w:pStyle w:val="Normal"/>
      </w:pPr>
      <w:r>
        <w:rPr>
          <w:color w:val="323232"/>
        </w:rPr>
        <w:t xml:space="preserve">Paul S Myles, Rinaldo Bellomo, Tomas Corcoran, Andrew Forbes, Philip Peyton, David Story, Chris Christophi, Kate Leslie, Shay McGuinness, Rachael Parke, Jonathan Serpell, Matthew T V Chan, Thomas Painter, Stuart McCluskey, Gary Minto, Sophie Wallace, and Australian and New Zealand College of Anaesthetists Clinical Trials Network and the Australian and New Zealand Intensive Care Society Clinical Trials Group.</w:t>
      </w:r>
    </w:p>
    <w:p/>
    <w:p>
      <w:pPr>
        <w:pStyle w:val="Normal"/>
      </w:pPr>
      <w:r>
        <w:rPr>
          <w:color w:val="323232"/>
        </w:rPr>
        <w:t xml:space="preserve">BACKGROUND:Guidelines to promote the early recovery of patients undergoing major surgery recommend a restrictive intravenous-fluid strategy for abdominal surgery. However, the supporting evidence is limited, and there is concern about impaired organ perfusion.</w:t>
      </w:r>
    </w:p>
    <w:p/>
    <w:p>
      <w:pPr>
        <w:pStyle w:val="Normal"/>
      </w:pPr>
      <w:r>
        <w:rPr>
          <w:color w:val="323232"/>
        </w:rPr>
        <w:t xml:space="preserve">METHODS:In a pragmatic, international trial, we randomly assigned 3000 patients who had an increased risk of complications while undergoing major abdominal surgery to receive a restrictive or liberal intravenous-fluid regimen during and up to 24 hours after surgery. The primary outcome was disability-free survival at 1 year. Key secondary outcomes were acute kidney injury at 30 days, renal-replacement therapy at 90 days, and a composite of septic complications, surgical-site infection, or death.</w:t>
      </w:r>
    </w:p>
    <w:p/>
    <w:p>
      <w:pPr>
        <w:pStyle w:val="Normal"/>
      </w:pPr>
      <w:r>
        <w:rPr>
          <w:color w:val="323232"/>
        </w:rPr>
        <w:t xml:space="preserve">RESULTS:During and up to 24 hours after surgery, 1490 patients in the restrictive fluid group had a median intravenous-fluid intake of 3.7 liters (interquartile range, 2.9 to 4.9), as compared with 6.1 liters (interquartile range, 5.0 to 7.4) in 1493 patients in the liberal fluid group (P&lt;0.001). The rate of disability-free survival at 1 year was 81.9% in the restrictive fluid group and 82.3% in the liberal fluid group (hazard ratio for death or disability, 1.05; 95% confidence interval, 0.88 to 1.24; P=0.61). The rate of acute kidney injury was 8.6% in the restrictive fluid group and 5.0% in the liberal fluid group (P&lt;0.001). The rate of septic complications or death was 21.8% in the restrictive fluid group and 19.8% in the liberal fluid group (P=0.19); rates of surgical-site infection (16.5% vs. 13.6%, P=0.02) and renal-replacement therapy (0.9% vs. 0.3%, P=0.048) were higher in the restrictive fluid group, but the between-group difference was not significant after adjustment for multiple testing.</w:t>
      </w:r>
    </w:p>
    <w:p/>
    <w:p>
      <w:pPr>
        <w:pStyle w:val="Normal"/>
      </w:pPr>
      <w:r>
        <w:rPr>
          <w:color w:val="323232"/>
        </w:rPr>
        <w:t xml:space="preserve">CONCLUSIONS:Among patients at increased risk for complications during major abdominal surgery, a restrictive fluid regimen was not associated with a higher rate of disability-free survival than a liberal fluid regimen and was associated with a higher rate of acute kidney injury. (Funded by the Australian National Health and Medical Research Council and others; RELIEF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NCT01424150 .).</w:t>
      </w:r>
    </w:p>
    <w:p/>
    <w:p>
      <w:pPr>
        <w:pStyle w:val="Normal"/>
      </w:pPr>
      <w:r>
        <w:rPr>
          <w:color w:val="323232"/>
        </w:rPr>
        <w:t xml:space="preserve">N Engl J Med, 2018 vol. 378 (24) pp. 2263-2274.</w:t>
      </w:r>
    </w:p>
    <w:p>
      <w:r>
        <w:rPr>
          <w:rStyle w:val="Hyperlink"/>
        </w:rPr>
        <w:fldChar w:fldCharType="begin"/>
      </w:r>
      <w:r>
        <w:rPr>
          <w:rStyle w:val="Hyperlink"/>
        </w:rPr>
        <w:instrText xml:space="preserve"> HYPERLINK "http://eutils.ncbi.nlm.nih.gov/entrez/eutils/elink.fcgi?dbfrom=pubmed&amp;id=29742967&amp;retmode=ref&amp;cmd=prlinks"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http://eutils.ncbi.nlm.nih.gov/entrez/eutils/elink.fcgi?dbfrom=pubmed&amp;id=29742967&amp;retmode=ref&amp;cmd=prlinks</w:t>
      </w:r>
      <w:r>
        <w:rPr>
          <w:rStyle w:val="Hyperlink"/>
        </w:rPr>
        <w:fldChar w:fldCharType="end"/>
      </w:r>
    </w:p>
    <w:p>
      <w:pPr>
        <w:pStyle w:val="Normal"/>
      </w:pPr>
      <w:r>
        <w:rPr>
          <w:color w:val="323232"/>
        </w:rPr>
        <w:t xml:space="preserve">————————</w:t>
      </w:r>
    </w:p>
    <w:p>
      <w:pPr>
        <w:pStyle w:val="Heading4"/>
      </w:pPr>
      <w:r>
        <w:t xml:space="preserve">Clopidogrel and Aspirin in Acute Ischemic Stroke and High-Risk TIA.</w:t>
      </w:r>
    </w:p>
    <w:p/>
    <w:p>
      <w:pPr>
        <w:pStyle w:val="Normal"/>
      </w:pPr>
      <w:r>
        <w:rPr>
          <w:color w:val="323232"/>
        </w:rPr>
        <w:t xml:space="preserve">S Claiborne Johnston, J Donald Easton, Mary Farrant, William Barsan, Robin A Conwit, Jordan J Elm, Anthony S Kim, Anne S Lindblad, Yuko Y Palesch, and Clinical Research Collaboration, Neurological Emergencies Treatment Trials Network, and the POINT Investigators.</w:t>
      </w:r>
    </w:p>
    <w:p/>
    <w:p>
      <w:pPr>
        <w:pStyle w:val="Normal"/>
      </w:pPr>
      <w:r>
        <w:rPr>
          <w:color w:val="323232"/>
        </w:rPr>
        <w:t xml:space="preserve">BACKGROUND:Combination antiplatelet therapy with clopidogrel and aspirin may reduce the rate of recurrent stroke during the first 3 months after a minor ischemic stroke or transient ischemic attack (TIA). A trial of combination antiplatelet therapy in a Chinese population has shown a reduction in the risk of recurrent stroke. We tested this combination in an international population.</w:t>
      </w:r>
    </w:p>
    <w:p/>
    <w:p>
      <w:pPr>
        <w:pStyle w:val="Normal"/>
      </w:pPr>
      <w:r>
        <w:rPr>
          <w:color w:val="323232"/>
        </w:rPr>
        <w:t xml:space="preserve">METHODS:In a randomized trial, we assigned patients with minor ischemic stroke or high-risk TIA to receive either clopidogrel at a loading dose of 600 mg on day 1, followed by 75 mg per day, plus aspirin (at a dose of 50 to 325 mg per day) or the same range of doses of aspirin alone. The dose of aspirin in each group was selected by the site investigator. The primary efficacy outcome in a time-to-event analysis was the risk of a composite of major ischemic events, which was defined as ischemic stroke, myocardial infarction, or death from an ischemic vascular event, at 90 days.</w:t>
      </w:r>
    </w:p>
    <w:p/>
    <w:p>
      <w:pPr>
        <w:pStyle w:val="Normal"/>
      </w:pPr>
      <w:r>
        <w:rPr>
          <w:color w:val="323232"/>
        </w:rPr>
        <w:t xml:space="preserve">RESULTS:A total of 4881 patients were enrolled at 269 international sites. The trial was halted after 84% of the anticipated number of patients had been enrolled because the data and safety monitoring board had determined that the combination of clopidogrel and aspirin was associated with both a lower risk of major ischemic events and a higher risk of major hemorrhage than aspirin alone at 90 days. Major ischemic events occurred in 121 of 2432 patients (5.0%) receiving clopidogrel plus aspirin and in 160 of 2449 patients (6.5%) receiving aspirin plus placebo (hazard ratio, 0.75; 95% confidence interval [CI], 0.59 to 0.95; P=0.02), with most events occurring during the first week after the initial event. Major hemorrhage occurred in 23 patients (0.9%) receiving clopidogrel plus aspirin and in 10 patients (0.4%) receiving aspirin plus placebo (hazard ratio, 2.32; 95% CI, 1.10 to 4.87; P=0.02).</w:t>
      </w:r>
    </w:p>
    <w:p/>
    <w:p>
      <w:pPr>
        <w:pStyle w:val="Normal"/>
      </w:pPr>
      <w:r>
        <w:rPr>
          <w:color w:val="323232"/>
        </w:rPr>
        <w:t xml:space="preserve">CONCLUSIONS:In patients with minor ischemic stroke or high-risk TIA, those who received a combination of clopidogrel and aspirin had a lower risk of major ischemic events but a higher risk of major hemorrhage at 90 days than those who received aspirin alone. (Funded by the National Institute of Neurological Disorders and Stroke; POINT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NCT00991029 .).</w:t>
      </w:r>
    </w:p>
    <w:p/>
    <w:p>
      <w:pPr>
        <w:pStyle w:val="Normal"/>
      </w:pPr>
      <w:r>
        <w:rPr>
          <w:color w:val="323232"/>
        </w:rPr>
        <w:t xml:space="preserve">N Engl J Med, 2018 vol. 379 (3) pp. 215-225.</w:t>
      </w:r>
    </w:p>
    <w:p>
      <w:r>
        <w:rPr>
          <w:rStyle w:val="Hyperlink"/>
        </w:rPr>
        <w:fldChar w:fldCharType="begin"/>
      </w:r>
      <w:r>
        <w:rPr>
          <w:rStyle w:val="Hyperlink"/>
        </w:rPr>
        <w:instrText xml:space="preserve"> HYPERLINK "http://eutils.ncbi.nlm.nih.gov/entrez/eutils/elink.fcgi?dbfrom=pubmed&amp;id=29766750&amp;retmode=ref&amp;cmd=prlinks"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http://eutils.ncbi.nlm.nih.gov/entrez/eutils/elink.fcgi?dbfrom=pubmed&amp;id=29766750&amp;retmode=ref&amp;cmd=prlinks</w:t>
      </w:r>
      <w:r>
        <w:rPr>
          <w:rStyle w:val="Hyperlink"/>
        </w:rPr>
        <w:fldChar w:fldCharType="end"/>
      </w:r>
    </w:p>
    <w:p>
      <w:pPr>
        <w:pStyle w:val="Normal"/>
      </w:pPr>
      <w:r>
        <w:rPr>
          <w:color w:val="323232"/>
        </w:rPr>
        <w:t xml:space="preserve">————————</w:t>
      </w:r>
    </w:p>
    <w:p>
      <w:pPr>
        <w:pStyle w:val="Heading4"/>
      </w:pPr>
      <w:r>
        <w:t xml:space="preserve">A Randomized Trial of Epinephrine in Out-of-Hospital Cardiac Arrest.</w:t>
      </w:r>
    </w:p>
    <w:p/>
    <w:p>
      <w:pPr>
        <w:pStyle w:val="Normal"/>
      </w:pPr>
      <w:r>
        <w:rPr>
          <w:color w:val="323232"/>
        </w:rPr>
        <w:t xml:space="preserve">Gavin D Perkins, Chen Ji, Charles D Deakin, Tom Quinn, Jerry P Nolan, Charlotte Scomparin, Scott Regan, John Long, Anne Slowther, Helen Pocock, John J M Black, Fionna Moore, Rachael T Fothergill, Nigel Rees, Lyndsey O'Shea, Mark Docherty, Imogen Gunson, Kyee Han, Karl Charlton, Judith Finn, Stavros Petrou, Nigel Stallard, Simon Gates, Ranjit Lall, and PARAMEDIC2 Collaborators.</w:t>
      </w:r>
    </w:p>
    <w:p/>
    <w:p>
      <w:pPr>
        <w:pStyle w:val="Normal"/>
      </w:pPr>
      <w:r>
        <w:rPr>
          <w:color w:val="323232"/>
        </w:rPr>
        <w:t xml:space="preserve">BACKGROUND:Concern about the use of epinephrine as a treatment for out-of-hospital cardiac arrest led the International Liaison Committee on Resuscitation to call for a placebo-controlled trial to determine whether the use of epinephrine is safe and effective in such patients.</w:t>
      </w:r>
    </w:p>
    <w:p/>
    <w:p>
      <w:pPr>
        <w:pStyle w:val="Normal"/>
      </w:pPr>
      <w:r>
        <w:rPr>
          <w:color w:val="323232"/>
        </w:rPr>
        <w:t xml:space="preserve">METHODS:In a randomized, double-blind trial involving 8014 patients with out-of-hospital cardiac arrest in the United Kingdom, paramedics at five National Health Service ambulance services administered either parenteral epinephrine (4015 patients) or saline placebo (3999 patients), along with standard care. The primary outcome was the rate of survival at 30 days. Secondary outcomes included the rate of survival until hospital discharge with a favorable neurologic outcome, as indicated by a score of 3 or less on the modified Rankin scale (which ranges from 0 [no symptoms] to 6 [death]).</w:t>
      </w:r>
    </w:p>
    <w:p/>
    <w:p>
      <w:pPr>
        <w:pStyle w:val="Normal"/>
      </w:pPr>
      <w:r>
        <w:rPr>
          <w:color w:val="323232"/>
        </w:rPr>
        <w:t xml:space="preserve">RESULTS:At 30 days, 130 patients (3.2%) in the epinephrine group and 94 (2.4%) in the placebo group were alive (unadjusted odds ratio for survival, 1.39; 95% confidence interval [CI], 1.06 to 1.82; P=0.02). There was no evidence of a significant difference in the proportion of patients who survived until hospital discharge with a favorable neurologic outcome (87 of 4007 patients [2.2%] vs. 74 of 3994 patients [1.9%]; unadjusted odds ratio, 1.18; 95% CI, 0.86 to 1.61). At the time of hospital discharge, severe neurologic impairment (a score of 4 or 5 on the modified Rankin scale) had occurred in more of the survivors in the epinephrine group than in the placebo group (39 of 126 patients [31.0%] vs. 16 of 90 patients [17.8%]).</w:t>
      </w:r>
    </w:p>
    <w:p/>
    <w:p>
      <w:pPr>
        <w:pStyle w:val="Normal"/>
      </w:pPr>
      <w:r>
        <w:rPr>
          <w:color w:val="323232"/>
        </w:rPr>
        <w:t xml:space="preserve">CONCLUSIONS:In adults with out-of-hospital cardiac arrest, the use of epinephrine resulted in a significantly higher rate of 30-day survival than the use of placebo, but there was no significant between-group difference in the rate of a favorable neurologic outcome because more survivors had severe neurologic impairment in the epinephrine group. (Funded by the U.K. National Institute for Health Research and others; Current Controlled Trials number, ISRCTN73485024 .).</w:t>
      </w:r>
    </w:p>
    <w:p/>
    <w:p>
      <w:pPr>
        <w:pStyle w:val="Normal"/>
      </w:pPr>
      <w:r>
        <w:rPr>
          <w:color w:val="323232"/>
        </w:rPr>
        <w:t xml:space="preserve">N Engl J Med, 2018 vol. 379 (8) pp. 711-721.</w:t>
      </w:r>
    </w:p>
    <w:p>
      <w:r>
        <w:rPr>
          <w:rStyle w:val="Hyperlink"/>
        </w:rPr>
        <w:fldChar w:fldCharType="begin"/>
      </w:r>
      <w:r>
        <w:rPr>
          <w:rStyle w:val="Hyperlink"/>
        </w:rPr>
        <w:instrText xml:space="preserve"> HYPERLINK "http://eutils.ncbi.nlm.nih.gov/entrez/eutils/elink.fcgi?dbfrom=pubmed&amp;id=30021076&amp;retmode=ref&amp;cmd=prlinks"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http://eutils.ncbi.nlm.nih.gov/entrez/eutils/elink.fcgi?dbfrom=pubmed&amp;id=30021076&amp;retmode=ref&amp;cmd=prlinks</w:t>
      </w:r>
      <w:r>
        <w:rPr>
          <w:rStyle w:val="Hyperlink"/>
        </w:rPr>
        <w:fldChar w:fldCharType="end"/>
      </w:r>
    </w:p>
    <w:p>
      <w:pPr>
        <w:pStyle w:val="Normal"/>
      </w:pPr>
      <w:r>
        <w:rPr>
          <w:color w:val="323232"/>
        </w:rPr>
        <w:t xml:space="preserve">————————</w:t>
      </w:r>
    </w:p>
    <w:p>
      <w:pPr>
        <w:pStyle w:val="Heading4"/>
      </w:pPr>
      <w:r>
        <w:t xml:space="preserve">Rivaroxaban for Thromboprophylaxis after Hospitalization for Medical Illness.</w:t>
      </w:r>
    </w:p>
    <w:p/>
    <w:p>
      <w:pPr>
        <w:pStyle w:val="Normal"/>
      </w:pPr>
      <w:r>
        <w:rPr>
          <w:color w:val="323232"/>
        </w:rPr>
        <w:t xml:space="preserve">Alex C Spyropoulos, Walter Ageno, Gregory W Albers, C Gregory Elliott, Jonathan L Halperin, William R Hiatt, Gregory A Maynard, P Gabriel Steg, Jeffrey I Weitz, Eunyoung Suh, Theodore E Spiro, Elliot S Barnathan, Gary E Raskob, and MARINER Investigators.</w:t>
      </w:r>
    </w:p>
    <w:p/>
    <w:p>
      <w:pPr>
        <w:pStyle w:val="Normal"/>
      </w:pPr>
      <w:r>
        <w:rPr>
          <w:color w:val="323232"/>
        </w:rPr>
        <w:t xml:space="preserve">BACKGROUND:Patients who are hospitalized for medical illness remain at risk for venous thromboembolism after discharge, but the role of extended thromboprophylaxis in the treatment of such patients is a subject of controversy.</w:t>
      </w:r>
    </w:p>
    <w:p/>
    <w:p>
      <w:pPr>
        <w:pStyle w:val="Normal"/>
      </w:pPr>
      <w:r>
        <w:rPr>
          <w:color w:val="323232"/>
        </w:rPr>
        <w:t xml:space="preserve">METHODS:In this randomized, double-blind trial, medically ill patients who were at increased risk for venous thromboembolism on the basis of a modified International Medical Prevention Registry on Venous Thromboembolism (IMPROVE) score of 4 or higher (scores range from 0 to 10, with higher scores indicating a higher risk of venous thromboembolism) or a score of 2 or 3 plus a plasma d-dimer level of more than twice the upper limit of the normal range (defined according to local laboratory criteria) were assigned at hospital discharge to either once-daily rivaroxaban at a dose of 10 mg (with the dose adjusted for renal insufficiency) or placebo for 45 days. The primary efficacy outcome was a composite of symptomatic venous thromboembolism or death due to venous thromboembolism. The principal safety outcome was major bleeding.</w:t>
      </w:r>
    </w:p>
    <w:p/>
    <w:p>
      <w:pPr>
        <w:pStyle w:val="Normal"/>
      </w:pPr>
      <w:r>
        <w:rPr>
          <w:color w:val="323232"/>
        </w:rPr>
        <w:t xml:space="preserve">RESULTS:Of the 12,024 patients who underwent randomization, 12,019 were included in the intention-to-treat analysis. The primary efficacy outcome occurred in 50 of 6007 patients (0.83%) who were given rivaroxaban and in 66 of 6012 patients (1.10%) who were given placebo (hazard ratio, 0.76; 95% confidence interval [CI], 0.52 to 1.09; P=0.14). The prespecified secondary outcome of symptomatic nonfatal venous thromboembolism occurred in 0.18% of patients in the rivaroxaban group and 0.42% of patients in the placebo group (hazard ratio, 0.44; 95% CI, 0.22 to 0.89). Major bleeding occurred in 17 of 5982 patients (0.28%) in the rivaroxaban group and in 9 of 5980 patients (0.15%) in the placebo group (hazard ratio, 1.88; 95% CI, 0.84 to 4.23).</w:t>
      </w:r>
    </w:p>
    <w:p/>
    <w:p>
      <w:pPr>
        <w:pStyle w:val="Normal"/>
      </w:pPr>
      <w:r>
        <w:rPr>
          <w:color w:val="323232"/>
        </w:rPr>
        <w:t xml:space="preserve">CONCLUSIONS:Rivaroxaban, given to medical patients for 45 days after hospital discharge, was not associated with a significantly lower risk of symptomatic venous thromboembolism and death due to venous thromboembolism than placebo. The incidence of major bleeding was low. (Funded by Janssen Research and Development; MARINER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NCT02111564 .).</w:t>
      </w:r>
    </w:p>
    <w:p/>
    <w:p>
      <w:pPr>
        <w:pStyle w:val="Normal"/>
      </w:pPr>
      <w:r>
        <w:rPr>
          <w:color w:val="323232"/>
        </w:rPr>
        <w:t xml:space="preserve">N Engl J Med, 2018 vol. 379 (12) pp. 1118-1127.</w:t>
      </w:r>
    </w:p>
    <w:p>
      <w:r>
        <w:rPr>
          <w:rStyle w:val="Hyperlink"/>
        </w:rPr>
        <w:fldChar w:fldCharType="begin"/>
      </w:r>
      <w:r>
        <w:rPr>
          <w:rStyle w:val="Hyperlink"/>
        </w:rPr>
        <w:instrText xml:space="preserve"> HYPERLINK "http://eutils.ncbi.nlm.nih.gov/entrez/eutils/elink.fcgi?dbfrom=pubmed&amp;id=30145946&amp;retmode=ref&amp;cmd=prlinks"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http://eutils.ncbi.nlm.nih.gov/entrez/eutils/elink.fcgi?dbfrom=pubmed&amp;id=30145946&amp;retmode=ref&amp;cmd=prlinks</w:t>
      </w:r>
      <w:r>
        <w:rPr>
          <w:rStyle w:val="Hyperlink"/>
        </w:rPr>
        <w:fldChar w:fldCharType="end"/>
      </w:r>
    </w:p>
    <w:p>
      <w:pPr>
        <w:pStyle w:val="Normal"/>
      </w:pPr>
      <w:r>
        <w:rPr>
          <w:color w:val="323232"/>
        </w:rPr>
        <w:t xml:space="preserve">————————</w:t>
      </w:r>
    </w:p>
    <w:p>
      <w:pPr>
        <w:pStyle w:val="Heading4"/>
      </w:pPr>
      <w:r>
        <w:t xml:space="preserve">Pantoprazole in Patients at Risk for Gastrointestinal Bleeding in the ICU.</w:t>
      </w:r>
    </w:p>
    <w:p/>
    <w:p>
      <w:pPr>
        <w:pStyle w:val="Normal"/>
      </w:pPr>
      <w:r>
        <w:rPr>
          <w:color w:val="323232"/>
        </w:rPr>
        <w:t xml:space="preserve">Mette Krag, Søren Marker, Anders Perner, Jørn Wetterslev, Matt P Wise, Joerg C Schefold, Frederik Keus, Anne B Guttormsen, Stepani Bendel, Mark Borthwick, Theis Lange, Bodil S Rasmussen, Martin Siegemund, Helle Bundgaard, Thomas Elkmann, Jacob V Jensen, Rune D Nielsen, Lisbeth Liboriussen, Morten H Bestle, Jeanie M Elkjær, Dorte F Palmqvist, Minna Bäcklund, Jon H Laake, Per M Bådstøløkken, Juha Grönlund, Olena Breum, Akil Walli, Robert Winding, Susanne Iversen, Inge-Lise Jarnvig, Jonathan O White, Björn Brand, Martin B Madsen, Lars Quist, Klaus J Thornberg, Anders Møller, Jørgen Wiis, Anders Granholm, Carl T Anthon, Tine S Meyhoff, Peter B Hjortrup, Søren R Aagaard, Jo B Andreasen, Christina A Sørensen, Pernille Haure, Jacob Hauge, Alexa Hollinger, Jonas Scheuzger, Daniel Tuchscherer, Thierry Vuilliomenet, Jukka Takala, Stephan M Jakob, Marianne L Vang, Kim B Pælestik, Karen L D Andersen, Iwan C C van der Horst, Willem Dieperink, Jesper Fjølner, Cilia K W Kjer, Christine Sølling, Christoffer G Sølling, Johanna Karttunen, Matt P G Morgan, Brit Sjøbø, Janus Engstrøm, Birgit Agerholm-Larsen, Morten H Møller, and SUP-ICU trial group.</w:t>
      </w:r>
    </w:p>
    <w:p/>
    <w:p>
      <w:pPr>
        <w:pStyle w:val="Normal"/>
      </w:pPr>
      <w:r>
        <w:rPr>
          <w:color w:val="323232"/>
        </w:rPr>
        <w:t xml:space="preserve">BACKGROUND:Prophylaxis for gastrointestinal stress ulceration is frequently given to patients in the intensive care unit (ICU), but its risks and benefits are unclear.</w:t>
      </w:r>
    </w:p>
    <w:p/>
    <w:p>
      <w:pPr>
        <w:pStyle w:val="Normal"/>
      </w:pPr>
      <w:r>
        <w:rPr>
          <w:color w:val="323232"/>
        </w:rPr>
        <w:t xml:space="preserve">METHODS:In this European, multicenter, parallel-group, blinded trial, we randomly assigned adults who had been admitted to the ICU for an acute condition (i.e., an unplanned admission) and who were at risk for gastrointestinal bleeding to receive 40 mg of intravenous pantoprazole (a proton-pump inhibitor) or placebo daily during the ICU stay. The primary outcome was death by 90 days after randomization.</w:t>
      </w:r>
    </w:p>
    <w:p/>
    <w:p>
      <w:pPr>
        <w:pStyle w:val="Normal"/>
      </w:pPr>
      <w:r>
        <w:rPr>
          <w:color w:val="323232"/>
        </w:rPr>
        <w:t xml:space="preserve">RESULTS:A total of 3298 patients were enrolled; 1645 were randomly assigned to the pantoprazole group and 1653 to the placebo group. Data on the primary outcome were available for 3282 patients (99.5%). At 90 days, 510 patients (31.1%) in the pantoprazole group and 499 (30.4%) in the placebo group had died (relative risk, 1.02; 95% confidence interval [CI], 0.91 to 1.13; P=0.76). During the ICU stay, at least one clinically important event (a composite of clinically important gastrointestinal bleeding, pneumonia, Clostridium difficile infection, or myocardial ischemia) had occurred in 21.9% of patients assigned to pantoprazole and 22.6% of those assigned to placebo (relative risk, 0.96; 95% CI, 0.83 to 1.11). In the pantoprazole group, 2.5% of patients had clinically important gastrointestinal bleeding, as compared with 4.2% in the placebo group. The number of patients with infections or serious adverse reactions and the percentage of days alive without life support within 90 days were similar in the two groups.</w:t>
      </w:r>
    </w:p>
    <w:p/>
    <w:p>
      <w:pPr>
        <w:pStyle w:val="Normal"/>
      </w:pPr>
      <w:r>
        <w:rPr>
          <w:color w:val="323232"/>
        </w:rPr>
        <w:t xml:space="preserve">CONCLUSIONS:Among adult patients in the ICU who were at risk for gastrointestinal bleeding, mortality at 90 days and the number of clinically important events were similar in those assigned to pantoprazole and those assigned to placebo. (Funded by Innovation Fund Denmark and others; SUP-ICU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number, NCT02467621 .).</w:t>
      </w:r>
    </w:p>
    <w:p/>
    <w:p>
      <w:pPr>
        <w:pStyle w:val="Normal"/>
      </w:pPr>
      <w:r>
        <w:rPr>
          <w:color w:val="323232"/>
        </w:rPr>
        <w:t xml:space="preserve">N Engl J Med, 2018 vol. 379 (23) pp. 2199-2208.</w:t>
      </w:r>
    </w:p>
    <w:p>
      <w:r>
        <w:rPr>
          <w:rStyle w:val="Hyperlink"/>
        </w:rPr>
        <w:fldChar w:fldCharType="begin"/>
      </w:r>
      <w:r>
        <w:rPr>
          <w:rStyle w:val="Hyperlink"/>
        </w:rPr>
        <w:instrText xml:space="preserve"> HYPERLINK "http://eutils.ncbi.nlm.nih.gov/entrez/eutils/elink.fcgi?dbfrom=pubmed&amp;id=30354950&amp;retmode=ref&amp;cmd=prlinks"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http://eutils.ncbi.nlm.nih.gov/entrez/eutils/elink.fcgi?dbfrom=pubmed&amp;id=30354950&amp;retmode=ref&amp;cmd=prlinks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