
<file path=[Content_Types].xml><?xml version="1.0" encoding="utf-8"?>
<Types xmlns="http://schemas.openxmlformats.org/package/2006/content-types">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Default Extension="xml" ContentType="application/xml"/>
  <Default Extension="jpg" ContentType="image/jpeg"/>
  <Default Extension="jpeg" ContentType="image/jpeg"/>
  <Default Extension="png" ContentType="image/png"/>
  <Default Extension="gif" ContentType="image/gif"/>
  <Default Extension="bmp" ContentType="image/bmp"/>
  <Default Extension="rels" ContentType="application/vnd.openxmlformats-package.relationship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10="urn:schemas-microsoft-com:office:word" xmlns:o="urn:schemas-microsoft-com:office:office" xmlns:r="http://schemas.openxmlformats.org/officeDocument/2006/relationships" xmlns:v="urn:schemas-microsoft-com:vml" xmlns:wp="http://schemas.openxmlformats.org/drawingml/2006/wordprocessingDrawing" xmlns:w="http://schemas.openxmlformats.org/wordprocessingml/2006/main">
  <w:body>
    <w:p>
      <w:pPr>
        <w:pStyle w:val="Heading2"/>
      </w:pPr>
      <w:r>
        <w:t xml:space="preserve">New England Journal of Medicine 2017</w:t>
      </w:r>
    </w:p>
    <w:p>
      <w:pPr>
        <w:pStyle w:val="Heading2"/>
      </w:pPr>
      <w:r>
        <w:t xml:space="preserve">NEJM 2017; Vol 376-377; Issues 1-26</w:t>
      </w:r>
    </w:p>
    <w:p/>
    <w:p>
      <w:pPr>
        <w:pStyle w:val="Normal"/>
      </w:pPr>
      <w:r>
        <w:rPr>
          <w:color w:val="323232"/>
        </w:rPr>
        <w:t xml:space="preserve">#</w:t>
      </w:r>
      <w:r>
        <w:rPr>
          <w:color w:val="323232"/>
        </w:rPr>
        <w:t xml:space="preserve">LitReview</w:t>
      </w:r>
    </w:p>
    <w:p>
      <w:pPr>
        <w:pStyle w:val="Normal"/>
      </w:pPr>
      <w:r>
        <w:rPr>
          <w:color w:val="323232"/>
        </w:rPr>
        <w:t xml:space="preserve">————————</w:t>
      </w:r>
    </w:p>
    <w:p>
      <w:pPr>
        <w:pStyle w:val="Heading4"/>
      </w:pPr>
      <w:r>
        <w:t xml:space="preserve">Therapeutic Hypothermia after In-Hospital Cardiac Arrest in Children.</w:t>
      </w:r>
    </w:p>
    <w:p/>
    <w:p>
      <w:pPr>
        <w:pStyle w:val="Normal"/>
      </w:pPr>
      <w:r>
        <w:rPr>
          <w:color w:val="323232"/>
        </w:rPr>
        <w:t xml:space="preserve">Frank W Moler, Faye S Silverstein, Richard Holubkov, Beth S Slomine, James R Christensen, Vinay M Nadkarni, Kathleen L Meert, Brittan Browning, Victoria L Pemberton, Kent Page, Marianne R Gildea, Barnaby R Scholefield, Seetha Shankaran, Jamie S Hutchison, John T Berger, George Ofori-Amanfo, Christopher J L Newth, Alexis Topjian, Kimberly S Bennett, Joshua D Koch, Nga Pham, Nikhil K Chanani, Jose A Pineda, Rick Harrison, Heidi J Dalton, Jeffrey Alten, Charles L Schleien, Denise M Goodman, Jerry J Zimmerman, Utpal S Bhalala, Adam J Schwarz, Melissa B Porter, Samir Shah, Ericka L Fink, Patrick McQuillen, Theodore Wu, Sophie Skellett, Neal J Thomas, Jeffrey E Nowak, Paul B Baines, John Pappachan, Mudit Mathur, Eric Lloyd, Elise W van der Jagt, Emily L Dobyns, Michael T Meyer, Ronald C Sanders, Amy E Clark, J Michael Dean, and THAPCA Trial Investigators.</w:t>
      </w:r>
    </w:p>
    <w:p/>
    <w:p>
      <w:pPr>
        <w:pStyle w:val="Normal"/>
      </w:pPr>
      <w:r>
        <w:rPr>
          <w:color w:val="323232"/>
        </w:rPr>
        <w:t xml:space="preserve">BACKGROUND:Targeted temperature management is recommended for comatose adults and children after out-of-hospital cardiac arrest; however, data on temperature management after in-hospital cardiac arrest are limited.</w:t>
      </w:r>
    </w:p>
    <w:p/>
    <w:p>
      <w:pPr>
        <w:pStyle w:val="Normal"/>
      </w:pPr>
      <w:r>
        <w:rPr>
          <w:color w:val="323232"/>
        </w:rPr>
        <w:t xml:space="preserve">METHODS:In a trial conducted at 37 children's hospitals, we compared two temperature interventions in children who had had in-hospital cardiac arrest. Within 6 hours after the return of circulation, comatose children older than 48 hours and younger than 18 years of age were randomly assigned to therapeutic hypothermia (target temperature, 33.0°C) or therapeutic normothermia (target temperature, 36.8°C). The primary efficacy outcome, survival at 12 months after cardiac arrest with a score of 70 or higher on the Vineland Adaptive Behavior Scales, second edition (VABS-II, on which scores range from 20 to 160, with higher scores indicating better function), was evaluated among patients who had had a VABS-II score of at least 70 before the cardiac arrest.</w:t>
      </w:r>
    </w:p>
    <w:p/>
    <w:p>
      <w:pPr>
        <w:pStyle w:val="Normal"/>
      </w:pPr>
      <w:r>
        <w:rPr>
          <w:color w:val="323232"/>
        </w:rPr>
        <w:t xml:space="preserve">RESULTS:The trial was terminated because of futility after 329 patients had undergone randomization. Among the 257 patients who had a VABS-II score of at least 70 before cardiac arrest and who could be evaluated, the rate of the primary efficacy outcome did not differ significantly between the hypothermia group and the normothermia group (36% [48 of 133 patients] and 39% [48 of 124 patients], respectively; relative risk, 0.92; 95% confidence interval [CI], 0.67 to 1.27; P=0.63). Among 317 patients who could be evaluated for change in neurobehavioral function, the change in VABS-II score from baseline to 12 months did not differ significantly between the groups (P=0.70). Among 327 patients who could be evaluated for 1-year survival, the rate of 1-year survival did not differ significantly between the hypothermia group and the normothermia group (49% [81 of 166 patients] and 46% [74 of 161 patients], respectively; relative risk, 1.07; 95% CI, 0.85 to 1.34; P=0.56). The incidences of blood-product use, infection, and serious adverse events, as well as 28-day mortality, did not differ significantly between groups.</w:t>
      </w:r>
    </w:p>
    <w:p/>
    <w:p>
      <w:pPr>
        <w:pStyle w:val="Normal"/>
      </w:pPr>
      <w:r>
        <w:rPr>
          <w:color w:val="323232"/>
        </w:rPr>
        <w:t xml:space="preserve">CONCLUSIONS:Among comatose children who survived in-hospital cardiac arrest, therapeutic hypothermia, as compared with therapeutic normothermia, did not confer a significant benefit in survival with a favorable functional outcome at 1 year. (Funded by the National Heart, Lung, and Blood Institute; THAPCA-IH </w:t>
      </w:r>
      <w:r>
        <w:rPr>
          <w:rStyle w:val="Hyperlink"/>
        </w:rPr>
        <w:fldChar w:fldCharType="begin"/>
      </w:r>
      <w:r>
        <w:rPr>
          <w:rStyle w:val="Hyperlink"/>
        </w:rPr>
        <w:instrText xml:space="preserve"> HYPERLINK "http://ClinicalTrials.gov" </w:instrText>
      </w:r>
      <w:r>
        <w:rPr>
          <w:rStyle w:val="Hyperlink"/>
        </w:rPr>
      </w:r>
      <w:r>
        <w:rPr>
          <w:rStyle w:val="Hyperlink"/>
        </w:rPr>
        <w:fldChar w:fldCharType="separate"/>
      </w:r>
      <w:r>
        <w:rPr>
          <w:rStyle w:val="Hyperlink"/>
        </w:rPr>
        <w:t xml:space="preserve">ClinicalTrials.gov</w:t>
      </w:r>
      <w:r>
        <w:rPr>
          <w:rStyle w:val="Hyperlink"/>
        </w:rPr>
        <w:fldChar w:fldCharType="end"/>
      </w:r>
      <w:r>
        <w:rPr>
          <w:color w:val="323232"/>
        </w:rPr>
        <w:t xml:space="preserve"> number, NCT00880087 .).</w:t>
      </w:r>
    </w:p>
    <w:p/>
    <w:p>
      <w:pPr>
        <w:pStyle w:val="Normal"/>
      </w:pPr>
      <w:r>
        <w:rPr>
          <w:color w:val="323232"/>
        </w:rPr>
        <w:t xml:space="preserve">N Engl J Med, 2017 vol. 376 (4) pp. 318-329.</w:t>
      </w:r>
    </w:p>
    <w:p>
      <w:r>
        <w:rPr>
          <w:rStyle w:val="Hyperlink"/>
        </w:rPr>
        <w:fldChar w:fldCharType="begin"/>
      </w:r>
      <w:r>
        <w:rPr>
          <w:rStyle w:val="Hyperlink"/>
        </w:rPr>
        <w:instrText xml:space="preserve"> HYPERLINK "http://eutils.ncbi.nlm.nih.gov/entrez/eutils/elink.fcgi?dbfrom=pubmed&amp;id=28118559&amp;retmode=ref&amp;cmd=prlinks"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http://eutils.ncbi.nlm.nih.gov/entrez/eutils/elink.fcgi?dbfrom=pubmed&amp;id=28118559&amp;retmode=ref&amp;cmd=prlinks</w:t>
      </w:r>
      <w:r>
        <w:rPr>
          <w:rStyle w:val="Hyperlink"/>
        </w:rPr>
        <w:fldChar w:fldCharType="end"/>
      </w:r>
    </w:p>
    <w:p>
      <w:pPr>
        <w:pStyle w:val="Normal"/>
      </w:pPr>
      <w:r>
        <w:rPr>
          <w:color w:val="323232"/>
        </w:rPr>
        <w:t xml:space="preserve">————————</w:t>
      </w:r>
    </w:p>
    <w:p>
      <w:pPr>
        <w:pStyle w:val="Heading4"/>
      </w:pPr>
      <w:r>
        <w:t xml:space="preserve">Tight Glycemic Control in Critically Ill Children.</w:t>
      </w:r>
    </w:p>
    <w:p/>
    <w:p>
      <w:pPr>
        <w:pStyle w:val="Normal"/>
      </w:pPr>
      <w:r>
        <w:rPr>
          <w:color w:val="323232"/>
        </w:rPr>
        <w:t xml:space="preserve">Michael S D Agus, David Wypij, Eliotte L Hirshberg, Vijay Srinivasan, E Vincent Faustino, Peter M Luckett, Jamin L Alexander, Lisa A Asaro, Martha A Q Curley, Garry M Steil, Vinay M Nadkarni, and HALF-PINT Study Investigators and the PALISI Network.</w:t>
      </w:r>
    </w:p>
    <w:p/>
    <w:p>
      <w:pPr>
        <w:pStyle w:val="Normal"/>
      </w:pPr>
      <w:r>
        <w:rPr>
          <w:color w:val="323232"/>
        </w:rPr>
        <w:t xml:space="preserve">BACKGROUND:In multicenter studies, tight glycemic control targeting a normal blood glucose level has not been shown to improve outcomes in critically ill adults or children after cardiac surgery. Studies involving critically ill children who have not undergone cardiac surgery are lacking.</w:t>
      </w:r>
    </w:p>
    <w:p/>
    <w:p>
      <w:pPr>
        <w:pStyle w:val="Normal"/>
      </w:pPr>
      <w:r>
        <w:rPr>
          <w:color w:val="323232"/>
        </w:rPr>
        <w:t xml:space="preserve">METHODS:In a 35-center trial, we randomly assigned critically ill children with confirmed hyperglycemia (excluding patients who had undergone cardiac surgery) to one of two ranges of glycemic control: 80 to 110 mg per deciliter (4.4 to 6.1 mmol per liter; lower-target group) or 150 to 180 mg per deciliter (8.3 to 10.0 mmol per liter; higher-target group). Clinicians were guided by continuous glucose monitoring and explicit methods for insulin adjustment. The primary outcome was the number of intensive care unit (ICU)-free days to day 28.</w:t>
      </w:r>
    </w:p>
    <w:p/>
    <w:p>
      <w:pPr>
        <w:pStyle w:val="Normal"/>
      </w:pPr>
      <w:r>
        <w:rPr>
          <w:color w:val="323232"/>
        </w:rPr>
        <w:t xml:space="preserve">RESULTS:The trial was stopped early, on the recommendation of the data and safety monitoring board, owing to a low likelihood of benefit and evidence of the possibility of harm. Of 713 patients, 360 were randomly assigned to the lower-target group and 353 to the higher-target group. In the intention-to-treat analysis, the median number of ICU-free days did not differ significantly between the lower-target group and the higher-target group (19.4 days [interquartile range {IQR}, 0 to 24.2] and 19.4 days [IQR, 6.7 to 23.9], respectively; P=0.58). In per-protocol analyses, the median time-weighted average glucose level was significantly lower in the lower-target group (109 mg per deciliter [IQR, 102 to 118]; 6.1 mmol per liter [IQR, 5.7 to 6.6]) than in the higher-target group (123 mg per deciliter [IQR, 108 to 142]; 6.8 mmol per liter [IQR, 6.0 to 7.9]; P&lt;0.001). Patients in the lower-target group also had higher rates of health care-associated infections than those in the higher-target group (12 of 349 patients [3.4%] vs. 4 of 349 [1.1%], P=0.04), as well as higher rates of severe hypoglycemia, defined as a blood glucose level below 40 mg per deciliter (2.2 mmol per liter) (18 patients [5.2%] vs. 7 [2.0%], P=0.03). No significant differences were observed in mortality, severity of organ dysfunction, or the number of ventilator-free days.</w:t>
      </w:r>
    </w:p>
    <w:p/>
    <w:p>
      <w:pPr>
        <w:pStyle w:val="Normal"/>
      </w:pPr>
      <w:r>
        <w:rPr>
          <w:color w:val="323232"/>
        </w:rPr>
        <w:t xml:space="preserve">CONCLUSIONS:Critically ill children with hyperglycemia did not benefit from tight glycemic control targeted to a blood glucose level of 80 to 110 mg per deciliter, as compared with a level of 150 to 180 mg per deciliter. (Funded by the National Heart, Lung, and Blood Institute and others; HALF-PINT </w:t>
      </w:r>
      <w:r>
        <w:rPr>
          <w:rStyle w:val="Hyperlink"/>
        </w:rPr>
        <w:fldChar w:fldCharType="begin"/>
      </w:r>
      <w:r>
        <w:rPr>
          <w:rStyle w:val="Hyperlink"/>
        </w:rPr>
        <w:instrText xml:space="preserve"> HYPERLINK "http://ClinicalTrials.gov" </w:instrText>
      </w:r>
      <w:r>
        <w:rPr>
          <w:rStyle w:val="Hyperlink"/>
        </w:rPr>
      </w:r>
      <w:r>
        <w:rPr>
          <w:rStyle w:val="Hyperlink"/>
        </w:rPr>
        <w:fldChar w:fldCharType="separate"/>
      </w:r>
      <w:r>
        <w:rPr>
          <w:rStyle w:val="Hyperlink"/>
        </w:rPr>
        <w:t xml:space="preserve">ClinicalTrials.gov</w:t>
      </w:r>
      <w:r>
        <w:rPr>
          <w:rStyle w:val="Hyperlink"/>
        </w:rPr>
        <w:fldChar w:fldCharType="end"/>
      </w:r>
      <w:r>
        <w:rPr>
          <w:color w:val="323232"/>
        </w:rPr>
        <w:t xml:space="preserve"> number, NCT01565941 .).</w:t>
      </w:r>
    </w:p>
    <w:p/>
    <w:p>
      <w:pPr>
        <w:pStyle w:val="Normal"/>
      </w:pPr>
      <w:r>
        <w:rPr>
          <w:color w:val="323232"/>
        </w:rPr>
        <w:t xml:space="preserve">N Engl J Med, 2017 vol. 376 (8) pp. 729-741.</w:t>
      </w:r>
    </w:p>
    <w:p>
      <w:r>
        <w:rPr>
          <w:rStyle w:val="Hyperlink"/>
        </w:rPr>
        <w:fldChar w:fldCharType="begin"/>
      </w:r>
      <w:r>
        <w:rPr>
          <w:rStyle w:val="Hyperlink"/>
        </w:rPr>
        <w:instrText xml:space="preserve"> HYPERLINK "http://eutils.ncbi.nlm.nih.gov/entrez/eutils/elink.fcgi?dbfrom=pubmed&amp;id=28118549&amp;retmode=ref&amp;cmd=prlinks"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http://eutils.ncbi.nlm.nih.gov/entrez/eutils/elink.fcgi?dbfrom=pubmed&amp;id=28118549&amp;retmode=ref&amp;cmd=prlinks</w:t>
      </w:r>
      <w:r>
        <w:rPr>
          <w:rStyle w:val="Hyperlink"/>
        </w:rPr>
        <w:fldChar w:fldCharType="end"/>
      </w:r>
    </w:p>
    <w:p>
      <w:pPr>
        <w:pStyle w:val="Normal"/>
      </w:pPr>
      <w:r>
        <w:rPr>
          <w:color w:val="323232"/>
        </w:rPr>
        <w:t xml:space="preserve">————————</w:t>
      </w:r>
    </w:p>
    <w:p>
      <w:pPr>
        <w:pStyle w:val="Heading4"/>
      </w:pPr>
      <w:r>
        <w:t xml:space="preserve">Rivaroxaban or Aspirin for Extended Treatment of Venous Thromboembolism.</w:t>
      </w:r>
    </w:p>
    <w:p/>
    <w:p>
      <w:pPr>
        <w:pStyle w:val="Normal"/>
      </w:pPr>
      <w:r>
        <w:rPr>
          <w:color w:val="323232"/>
        </w:rPr>
        <w:t xml:space="preserve">Jeffrey I Weitz, Anthonie W A Lensing, Martin H Prins, Rupert Bauersachs, Jan Beyer-Westendorf, Henri Bounameaux, Timothy A Brighton, Alexander T Cohen, Bruce L Davidson, Hervé Decousus, Maria C S Freitas, Gerlind Holberg, Ajay K Kakkar, Lloyd Haskell, Bonno van Bellen, Akos F Pap, Scott D Berkowitz, Peter Verhamme, Philip S Wells, Paolo Prandoni, and EINSTEIN CHOICE Investigators.</w:t>
      </w:r>
    </w:p>
    <w:p/>
    <w:p>
      <w:pPr>
        <w:pStyle w:val="Normal"/>
      </w:pPr>
      <w:r>
        <w:rPr>
          <w:color w:val="323232"/>
        </w:rPr>
        <w:t xml:space="preserve">BACKGROUND:Although many patients with venous thromboembolism require extended treatment, it is uncertain whether it is better to use full- or lower-intensity anticoagulation therapy or aspirin.</w:t>
      </w:r>
    </w:p>
    <w:p/>
    <w:p>
      <w:pPr>
        <w:pStyle w:val="Normal"/>
      </w:pPr>
      <w:r>
        <w:rPr>
          <w:color w:val="323232"/>
        </w:rPr>
        <w:t xml:space="preserve">METHODS:In this randomized, double-blind, phase 3 study, we assigned 3396 patients with venous thromboembolism to receive either once-daily rivaroxaban (at doses of 20 mg or 10 mg) or 100 mg of aspirin. All the study patients had completed 6 to 12 months of anticoagulation therapy and were in equipoise regarding the need for continued anticoagulation. Study drugs were administered for up to 12 months. The primary efficacy outcome was symptomatic recurrent fatal or nonfatal venous thromboembolism, and the principal safety outcome was major bleeding.</w:t>
      </w:r>
    </w:p>
    <w:p/>
    <w:p>
      <w:pPr>
        <w:pStyle w:val="Normal"/>
      </w:pPr>
      <w:r>
        <w:rPr>
          <w:color w:val="323232"/>
        </w:rPr>
        <w:t xml:space="preserve">RESULTS:A total of 3365 patients were included in the intention-to-treat analyses (median treatment duration, 351 days). The primary efficacy outcome occurred in 17 of 1107 patients (1.5%) receiving 20 mg of rivaroxaban and in 13 of 1127 patients (1.2%) receiving 10 mg of rivaroxaban, as compared with 50 of 1131 patients (4.4%) receiving aspirin (hazard ratio for 20 mg of rivaroxaban vs. aspirin, 0.34; 95% confidence interval [CI], 0.20 to 0.59; hazard ratio for 10 mg of rivaroxaban vs. aspirin, 0.26; 95% CI, 0.14 to 0.47; P&lt;0.001 for both comparisons). Rates of major bleeding were 0.5% in the group receiving 20 mg of rivaroxaban, 0.4% in the group receiving 10 mg of rivaroxaban, and 0.3% in the aspirin group; the rates of clinically relevant nonmajor bleeding were 2.7%, 2.0%, and 1.8%, respectively. The incidence of adverse events was similar in all three groups.</w:t>
      </w:r>
    </w:p>
    <w:p/>
    <w:p>
      <w:pPr>
        <w:pStyle w:val="Normal"/>
      </w:pPr>
      <w:r>
        <w:rPr>
          <w:color w:val="323232"/>
        </w:rPr>
        <w:t xml:space="preserve">CONCLUSIONS:Among patients with venous thromboembolism in equipoise for continued anticoagulation, the risk of a recurrent event was significantly lower with rivaroxaban at either a treatment dose (20 mg) or a prophylactic dose (10 mg) than with aspirin, without a significant increase in bleeding rates. (Funded by Bayer Pharmaceuticals; EINSTEIN CHOICE </w:t>
      </w:r>
      <w:r>
        <w:rPr>
          <w:rStyle w:val="Hyperlink"/>
        </w:rPr>
        <w:fldChar w:fldCharType="begin"/>
      </w:r>
      <w:r>
        <w:rPr>
          <w:rStyle w:val="Hyperlink"/>
        </w:rPr>
        <w:instrText xml:space="preserve"> HYPERLINK "http://ClinicalTrials.gov" </w:instrText>
      </w:r>
      <w:r>
        <w:rPr>
          <w:rStyle w:val="Hyperlink"/>
        </w:rPr>
      </w:r>
      <w:r>
        <w:rPr>
          <w:rStyle w:val="Hyperlink"/>
        </w:rPr>
        <w:fldChar w:fldCharType="separate"/>
      </w:r>
      <w:r>
        <w:rPr>
          <w:rStyle w:val="Hyperlink"/>
        </w:rPr>
        <w:t xml:space="preserve">ClinicalTrials.gov</w:t>
      </w:r>
      <w:r>
        <w:rPr>
          <w:rStyle w:val="Hyperlink"/>
        </w:rPr>
        <w:fldChar w:fldCharType="end"/>
      </w:r>
      <w:r>
        <w:rPr>
          <w:color w:val="323232"/>
        </w:rPr>
        <w:t xml:space="preserve"> number, NCT02064439 .).</w:t>
      </w:r>
    </w:p>
    <w:p/>
    <w:p>
      <w:pPr>
        <w:pStyle w:val="Normal"/>
      </w:pPr>
      <w:r>
        <w:rPr>
          <w:color w:val="323232"/>
        </w:rPr>
        <w:t xml:space="preserve">N Engl J Med, 2017 vol. 376 (13) pp. 1211-1222.</w:t>
      </w:r>
    </w:p>
    <w:p>
      <w:r>
        <w:rPr>
          <w:rStyle w:val="Hyperlink"/>
        </w:rPr>
        <w:fldChar w:fldCharType="begin"/>
      </w:r>
      <w:r>
        <w:rPr>
          <w:rStyle w:val="Hyperlink"/>
        </w:rPr>
        <w:instrText xml:space="preserve"> HYPERLINK "http://eutils.ncbi.nlm.nih.gov/entrez/eutils/elink.fcgi?dbfrom=pubmed&amp;id=28316279&amp;retmode=ref&amp;cmd=prlinks"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http://eutils.ncbi.nlm.nih.gov/entrez/eutils/elink.fcgi?dbfrom=pubmed&amp;id=28316279&amp;retmode=ref&amp;cmd=prlinks</w:t>
      </w:r>
      <w:r>
        <w:rPr>
          <w:rStyle w:val="Hyperlink"/>
        </w:rPr>
        <w:fldChar w:fldCharType="end"/>
      </w:r>
    </w:p>
    <w:p>
      <w:pPr>
        <w:pStyle w:val="Normal"/>
      </w:pPr>
      <w:r>
        <w:rPr>
          <w:color w:val="323232"/>
        </w:rPr>
        <w:t xml:space="preserve">————————</w:t>
      </w:r>
    </w:p>
    <w:p>
      <w:pPr>
        <w:pStyle w:val="Heading4"/>
      </w:pPr>
      <w:r>
        <w:t xml:space="preserve">Early, Goal-Directed Therapy for Septic Shock - A Patient-Level Meta-Analysis.</w:t>
      </w:r>
    </w:p>
    <w:p/>
    <w:p>
      <w:pPr>
        <w:pStyle w:val="Normal"/>
      </w:pPr>
      <w:r>
        <w:rPr>
          <w:color w:val="323232"/>
        </w:rPr>
        <w:t xml:space="preserve">PRISM Investigators, Kathryn M Rowan, Derek C Angus, Michael Bailey, Amber E Barnato, Rinaldo Bellomo, Ruth R Canter, Timothy J Coats, Anthony Delaney, Elizabeth Gimbel, Richard D Grieve, David A Harrison, Alisa M Higgins, Belinda Howe, David T Huang, John A Kellum, Paul R Mouncey, Edvin Music, Sandra L Peake, Francis Pike, Michael C Reade, M Zia Sadique, Mervyn Singer, and Donald M Yealy.</w:t>
      </w:r>
    </w:p>
    <w:p/>
    <w:p>
      <w:pPr>
        <w:pStyle w:val="Normal"/>
      </w:pPr>
      <w:r>
        <w:rPr>
          <w:color w:val="323232"/>
        </w:rPr>
        <w:t xml:space="preserve">BACKGROUND:After a single-center trial and observational studies suggesting that early, goal-directed therapy (EGDT) reduced mortality from septic shock, three multicenter trials (ProCESS, ARISE, and ProMISe) showed no benefit. This meta-analysis of individual patient data from the three recent trials was designed prospectively to improve statistical power and explore heterogeneity of treatment effect of EGDT.</w:t>
      </w:r>
    </w:p>
    <w:p/>
    <w:p>
      <w:pPr>
        <w:pStyle w:val="Normal"/>
      </w:pPr>
      <w:r>
        <w:rPr>
          <w:color w:val="323232"/>
        </w:rPr>
        <w:t xml:space="preserve">METHODS:We harmonized entry criteria, intervention protocols, outcomes, resource-use measures, and data collection across the trials and specified all analyses before unblinding. After completion of the trials, we pooled data, excluding the protocol-based standard-therapy group from the ProCESS trial, and resolved residual differences. The primary outcome was 90-day mortality. Secondary outcomes included 1-year survival, organ support, and hospitalization costs. We tested for treatment-by-subgroup interactions for 16 patient characteristics and 6 care-delivery characteristics.</w:t>
      </w:r>
    </w:p>
    <w:p/>
    <w:p>
      <w:pPr>
        <w:pStyle w:val="Normal"/>
      </w:pPr>
      <w:r>
        <w:rPr>
          <w:color w:val="323232"/>
        </w:rPr>
        <w:t xml:space="preserve">RESULTS:We studied 3723 patients at 138 hospitals in seven countries. Mortality at 90 days was similar for EGDT (462 of 1852 patients [24.9%]) and usual care (475 of 1871 patients [25.4%]); the adjusted odds ratio was 0.97 (95% confidence interval, 0.82 to 1.14; P=0.68). EGDT was associated with greater mean (±SD) use of intensive care (5.3±7.1 vs. 4.9±7.0 days, P=0.04) and cardiovascular support (1.9±3.7 vs. 1.6±2.9 days, P=0.01) than was usual care; other outcomes did not differ significantly, although average costs were higher with EGDT. Subgroup analyses showed no benefit from EGDT for patients with worse shock (higher serum lactate level, combined hypotension and hyperlactatemia, or higher predicted risk of death) or for hospitals with a lower propensity to use vasopressors or fluids during usual resuscitation.</w:t>
      </w:r>
    </w:p>
    <w:p/>
    <w:p>
      <w:pPr>
        <w:pStyle w:val="Normal"/>
      </w:pPr>
      <w:r>
        <w:rPr>
          <w:color w:val="323232"/>
        </w:rPr>
        <w:t xml:space="preserve">CONCLUSIONS:In this meta-analysis of individual patient data, EGDT did not result in better outcomes than usual care and was associated with higher hospitalization costs across a broad range of patient and hospital characteristics. (Funded by the National Institute of General Medical Sciences and others; PRISM </w:t>
      </w:r>
      <w:r>
        <w:rPr>
          <w:rStyle w:val="Hyperlink"/>
        </w:rPr>
        <w:fldChar w:fldCharType="begin"/>
      </w:r>
      <w:r>
        <w:rPr>
          <w:rStyle w:val="Hyperlink"/>
        </w:rPr>
        <w:instrText xml:space="preserve"> HYPERLINK "http://ClinicalTrials.gov" </w:instrText>
      </w:r>
      <w:r>
        <w:rPr>
          <w:rStyle w:val="Hyperlink"/>
        </w:rPr>
      </w:r>
      <w:r>
        <w:rPr>
          <w:rStyle w:val="Hyperlink"/>
        </w:rPr>
        <w:fldChar w:fldCharType="separate"/>
      </w:r>
      <w:r>
        <w:rPr>
          <w:rStyle w:val="Hyperlink"/>
        </w:rPr>
        <w:t xml:space="preserve">ClinicalTrials.gov</w:t>
      </w:r>
      <w:r>
        <w:rPr>
          <w:rStyle w:val="Hyperlink"/>
        </w:rPr>
        <w:fldChar w:fldCharType="end"/>
      </w:r>
      <w:r>
        <w:rPr>
          <w:color w:val="323232"/>
        </w:rPr>
        <w:t xml:space="preserve"> number, NCT02030158 .).</w:t>
      </w:r>
    </w:p>
    <w:p/>
    <w:p>
      <w:pPr>
        <w:pStyle w:val="Normal"/>
      </w:pPr>
      <w:r>
        <w:rPr>
          <w:color w:val="323232"/>
        </w:rPr>
        <w:t xml:space="preserve">N Engl J Med, 2017 vol. 376 (23) pp. 2223-2234.</w:t>
      </w:r>
    </w:p>
    <w:p>
      <w:r>
        <w:rPr>
          <w:rStyle w:val="Hyperlink"/>
        </w:rPr>
        <w:fldChar w:fldCharType="begin"/>
      </w:r>
      <w:r>
        <w:rPr>
          <w:rStyle w:val="Hyperlink"/>
        </w:rPr>
        <w:instrText xml:space="preserve"> HYPERLINK "http://eutils.ncbi.nlm.nih.gov/entrez/eutils/elink.fcgi?dbfrom=pubmed&amp;id=28320242&amp;retmode=ref&amp;cmd=prlinks"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http://eutils.ncbi.nlm.nih.gov/entrez/eutils/elink.fcgi?dbfrom=pubmed&amp;id=28320242&amp;retmode=ref&amp;cmd=prlinks</w:t>
      </w:r>
      <w:r>
        <w:rPr>
          <w:rStyle w:val="Hyperlink"/>
        </w:rPr>
        <w:fldChar w:fldCharType="end"/>
      </w:r>
    </w:p>
    <w:p>
      <w:pPr>
        <w:pStyle w:val="Normal"/>
      </w:pPr>
      <w:r>
        <w:rPr>
          <w:color w:val="323232"/>
        </w:rPr>
        <w:t xml:space="preserve">————————</w:t>
      </w:r>
    </w:p>
    <w:p>
      <w:pPr>
        <w:pStyle w:val="Heading4"/>
      </w:pPr>
      <w:r>
        <w:t xml:space="preserve">Angiotensin II for the Treatment of Vasodilatory Shock.</w:t>
      </w:r>
    </w:p>
    <w:p/>
    <w:p>
      <w:pPr>
        <w:pStyle w:val="Normal"/>
      </w:pPr>
      <w:r>
        <w:rPr>
          <w:color w:val="323232"/>
        </w:rPr>
        <w:t xml:space="preserve">Ashish Khanna, Shane W English, Xueyuan S Wang, Kealy Ham, James Tumlin, Harold Szerlip, Laurence W Busse, Laith Altaweel, Timothy E Albertson, Caleb Mackey, Michael T McCurdy, David W Boldt, Stefan Chock, Paul J Young, Kenneth Krell, Richard G Wunderink, Marlies Ostermann, Raghavan Murugan, Michelle N Gong, Rakshit Panwar, Johanna Hästbacka, Raphael Favory, Balasubramanian Venkatesh, B Taylor Thompson, Rinaldo Bellomo, Jeffrey Jensen, Stew Kroll, Lakhmir S Chawla, George F Tidmarsh, Adam M Deane, and ATHOS-3 Investigators.</w:t>
      </w:r>
    </w:p>
    <w:p/>
    <w:p>
      <w:pPr>
        <w:pStyle w:val="Normal"/>
      </w:pPr>
      <w:r>
        <w:rPr>
          <w:color w:val="323232"/>
        </w:rPr>
        <w:t xml:space="preserve">BACKGROUND:Vasodilatory shock that does not respond to high-dose vasopressors is associated with high mortality. We investigated the effectiveness of angiotensin II for the treatment of patients with this condition.</w:t>
      </w:r>
    </w:p>
    <w:p/>
    <w:p>
      <w:pPr>
        <w:pStyle w:val="Normal"/>
      </w:pPr>
      <w:r>
        <w:rPr>
          <w:color w:val="323232"/>
        </w:rPr>
        <w:t xml:space="preserve">METHODS:We randomly assigned patients with vasodilatory shock who were receiving more than 0.2 μg of norepinephrine per kilogram of body weight per minute or the equivalent dose of another vasopressor to receive infusions of either angiotensin II or placebo. The primary end point was a response with respect to mean arterial pressure at hour 3 after the start of infusion, with response defined as an increase from baseline of at least 10 mm Hg or an increase to at least 75 mm Hg, without an increase in the dose of background vasopressors.</w:t>
      </w:r>
    </w:p>
    <w:p/>
    <w:p>
      <w:pPr>
        <w:pStyle w:val="Normal"/>
      </w:pPr>
      <w:r>
        <w:rPr>
          <w:color w:val="323232"/>
        </w:rPr>
        <w:t xml:space="preserve">RESULTS:A total of 344 patients were assigned to one of the two regimens; 321 received a study intervention (163 received angiotensin II, and 158 received placebo) and were included in the analysis. The primary end point was reached by more patients in the angiotensin II group (114 of 163 patients, 69.9%) than in the placebo group (37 of 158 patients, 23.4%) (odds ratio, 7.95; 95% confidence interval [CI], 4.76 to 13.3; P&lt;0.001). At 48 hours, the mean improvement in the cardiovascular Sequential Organ Failure Assessment (SOFA) score (scores range from 0 to 4, with higher scores indicating more severe dysfunction) was greater in the angiotensin II group than in the placebo group (-1.75 vs. -1.28, P=0.01). Serious adverse events were reported in 60.7% of the patients in the angiotensin II group and in 67.1% in the placebo group. Death by day 28 occurred in 75 of 163 patients (46%) in the angiotensin II group and in 85 of 158 patients (54%) in the placebo group (hazard ratio, 0.78; 95% CI, 0.57 to 1.07; P=0.12).</w:t>
      </w:r>
    </w:p>
    <w:p/>
    <w:p>
      <w:pPr>
        <w:pStyle w:val="Normal"/>
      </w:pPr>
      <w:r>
        <w:rPr>
          <w:color w:val="323232"/>
        </w:rPr>
        <w:t xml:space="preserve">CONCLUSIONS:Angiotensin II effectively increased blood pressure in patients with vasodilatory shock that did not respond to high doses of conventional vasopressors. (Funded by La Jolla Pharmaceutical Company; ATHOS-3 </w:t>
      </w:r>
      <w:r>
        <w:rPr>
          <w:rStyle w:val="Hyperlink"/>
        </w:rPr>
        <w:fldChar w:fldCharType="begin"/>
      </w:r>
      <w:r>
        <w:rPr>
          <w:rStyle w:val="Hyperlink"/>
        </w:rPr>
        <w:instrText xml:space="preserve"> HYPERLINK "http://ClinicalTrials.gov" </w:instrText>
      </w:r>
      <w:r>
        <w:rPr>
          <w:rStyle w:val="Hyperlink"/>
        </w:rPr>
      </w:r>
      <w:r>
        <w:rPr>
          <w:rStyle w:val="Hyperlink"/>
        </w:rPr>
        <w:fldChar w:fldCharType="separate"/>
      </w:r>
      <w:r>
        <w:rPr>
          <w:rStyle w:val="Hyperlink"/>
        </w:rPr>
        <w:t xml:space="preserve">ClinicalTrials.gov</w:t>
      </w:r>
      <w:r>
        <w:rPr>
          <w:rStyle w:val="Hyperlink"/>
        </w:rPr>
        <w:fldChar w:fldCharType="end"/>
      </w:r>
      <w:r>
        <w:rPr>
          <w:color w:val="323232"/>
        </w:rPr>
        <w:t xml:space="preserve"> number, NCT02338843 .).</w:t>
      </w:r>
    </w:p>
    <w:p/>
    <w:p>
      <w:pPr>
        <w:pStyle w:val="Normal"/>
      </w:pPr>
      <w:r>
        <w:rPr>
          <w:color w:val="323232"/>
        </w:rPr>
        <w:t xml:space="preserve">N Engl J Med, 2017 vol. 377 (5) pp. 419-430.</w:t>
      </w:r>
    </w:p>
    <w:p>
      <w:r>
        <w:rPr>
          <w:rStyle w:val="Hyperlink"/>
        </w:rPr>
        <w:fldChar w:fldCharType="begin"/>
      </w:r>
      <w:r>
        <w:rPr>
          <w:rStyle w:val="Hyperlink"/>
        </w:rPr>
        <w:instrText xml:space="preserve"> HYPERLINK "http://eutils.ncbi.nlm.nih.gov/entrez/eutils/elink.fcgi?dbfrom=pubmed&amp;id=28528561&amp;retmode=ref&amp;cmd=prlinks"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http://eutils.ncbi.nlm.nih.gov/entrez/eutils/elink.fcgi?dbfrom=pubmed&amp;id=28528561&amp;retmode=ref&amp;cmd=prlinks</w:t>
      </w:r>
      <w:r>
        <w:rPr>
          <w:rStyle w:val="Hyperlink"/>
        </w:rPr>
        <w:fldChar w:fldCharType="end"/>
      </w:r>
    </w:p>
    <w:p>
      <w:pPr>
        <w:pStyle w:val="Normal"/>
      </w:pPr>
      <w:r>
        <w:rPr>
          <w:color w:val="323232"/>
        </w:rPr>
        <w:t xml:space="preserve">————————</w:t>
      </w:r>
    </w:p>
    <w:p>
      <w:pPr>
        <w:pStyle w:val="Heading4"/>
      </w:pPr>
      <w:r>
        <w:t xml:space="preserve">Rivaroxaban with or without Aspirin in Stable Cardiovascular Disease.</w:t>
      </w:r>
    </w:p>
    <w:p/>
    <w:p>
      <w:pPr>
        <w:pStyle w:val="Normal"/>
      </w:pPr>
      <w:r>
        <w:rPr>
          <w:color w:val="323232"/>
        </w:rPr>
        <w:t xml:space="preserve">John W Eikelboom, Stuart J Connolly, Jackie Bosch, Gilles R Dagenais, Robert G Hart, Olga Shestakovska, Rafael Diaz, Marco Alings, Eva M Lonn, Sonia S Anand, Petr Widimsky, Masatsugu Hori, Alvaro Avezum, Leopoldo S Piegas, Kelley R H Branch, Jeffrey Probstfield, Deepak L Bhatt, Jun Zhu, Yan Liang, Aldo P Maggioni, Patricio Lopez-Jaramillo, Martin O'Donnell, Ajay K Kakkar, Keith A A Fox, Alexander N Parkhomenko, Georg Ertl, Stefan Störk, Matyas Keltai, Lars Ryden, Nana Pogosova, Antonio L Dans, Fernando Lanas, Patrick J Commerford, Christian Torp-Pedersen, Tomek J Guzik, Peter B Verhamme, Dragos Vinereanu, Jae-Hyung Kim, Andrew M Tonkin, Basil S Lewis, Camilo Felix, Khalid Yusoff, P Gabriel Steg, Kaj P Metsarinne, Nancy Cook Bruns, Frank Misselwitz, Edmond Chen, Darryl Leong, Salim Yusuf, and COMPASS Investigators.</w:t>
      </w:r>
    </w:p>
    <w:p/>
    <w:p>
      <w:pPr>
        <w:pStyle w:val="Normal"/>
      </w:pPr>
      <w:r>
        <w:rPr>
          <w:color w:val="323232"/>
        </w:rPr>
        <w:t xml:space="preserve">BACKGROUND:We evaluated whether rivaroxaban alone or in combination with aspirin would be more effective than aspirin alone for secondary cardiovascular prevention.</w:t>
      </w:r>
    </w:p>
    <w:p/>
    <w:p>
      <w:pPr>
        <w:pStyle w:val="Normal"/>
      </w:pPr>
      <w:r>
        <w:rPr>
          <w:color w:val="323232"/>
        </w:rPr>
        <w:t xml:space="preserve">METHODS:In this double-blind trial, we randomly assigned 27,395 participants with stable atherosclerotic vascular disease to receive rivaroxaban (2.5 mg twice daily) plus aspirin (100 mg once daily), rivaroxaban (5 mg twice daily), or aspirin (100 mg once daily). The primary outcome was a composite of cardiovascular death, stroke, or myocardial infarction. The study was stopped for superiority of the rivaroxaban-plus-aspirin group after a mean follow-up of 23 months.</w:t>
      </w:r>
    </w:p>
    <w:p/>
    <w:p>
      <w:pPr>
        <w:pStyle w:val="Normal"/>
      </w:pPr>
      <w:r>
        <w:rPr>
          <w:color w:val="323232"/>
        </w:rPr>
        <w:t xml:space="preserve">RESULTS:The primary outcome occurred in fewer patients in the rivaroxaban-plus-aspirin group than in the aspirin-alone group (379 patients [4.1%] vs. 496 patients [5.4%]; hazard ratio, 0.76; 95% confidence interval [CI], 0.66 to 0.86; P&lt;0.001; z=-4.126), but major bleeding events occurred in more patients in the rivaroxaban-plus-aspirin group (288 patients [3.1%] vs. 170 patients [1.9%]; hazard ratio, 1.70; 95% CI, 1.40 to 2.05; P&lt;0.001). There was no significant difference in intracranial or fatal bleeding between these two groups. There were 313 deaths (3.4%) in the rivaroxaban-plus-aspirin group as compared with 378 (4.1%) in the aspirin-alone group (hazard ratio, 0.82; 95% CI, 0.71 to 0.96; P=0.01; threshold P value for significance, 0.0025). The primary outcome did not occur in significantly fewer patients in the rivaroxaban-alone group than in the aspirin-alone group, but major bleeding events occurred in more patients in the rivaroxaban-alone group.</w:t>
      </w:r>
    </w:p>
    <w:p/>
    <w:p>
      <w:pPr>
        <w:pStyle w:val="Normal"/>
      </w:pPr>
      <w:r>
        <w:rPr>
          <w:color w:val="323232"/>
        </w:rPr>
        <w:t xml:space="preserve">CONCLUSIONS:Among patients with stable atherosclerotic vascular disease, those assigned to rivaroxaban (2.5 mg twice daily) plus aspirin had better cardiovascular outcomes and more major bleeding events than those assigned to aspirin alone. Rivaroxaban (5 mg twice daily) alone did not result in better cardiovascular outcomes than aspirin alone and resulted in more major bleeding events. (Funded by Bayer; COMPASS </w:t>
      </w:r>
      <w:r>
        <w:rPr>
          <w:rStyle w:val="Hyperlink"/>
        </w:rPr>
        <w:fldChar w:fldCharType="begin"/>
      </w:r>
      <w:r>
        <w:rPr>
          <w:rStyle w:val="Hyperlink"/>
        </w:rPr>
        <w:instrText xml:space="preserve"> HYPERLINK "http://ClinicalTrials.gov" </w:instrText>
      </w:r>
      <w:r>
        <w:rPr>
          <w:rStyle w:val="Hyperlink"/>
        </w:rPr>
      </w:r>
      <w:r>
        <w:rPr>
          <w:rStyle w:val="Hyperlink"/>
        </w:rPr>
        <w:fldChar w:fldCharType="separate"/>
      </w:r>
      <w:r>
        <w:rPr>
          <w:rStyle w:val="Hyperlink"/>
        </w:rPr>
        <w:t xml:space="preserve">ClinicalTrials.gov</w:t>
      </w:r>
      <w:r>
        <w:rPr>
          <w:rStyle w:val="Hyperlink"/>
        </w:rPr>
        <w:fldChar w:fldCharType="end"/>
      </w:r>
      <w:r>
        <w:rPr>
          <w:color w:val="323232"/>
        </w:rPr>
        <w:t xml:space="preserve"> number, NCT01776424 .).</w:t>
      </w:r>
    </w:p>
    <w:p/>
    <w:p>
      <w:pPr>
        <w:pStyle w:val="Normal"/>
      </w:pPr>
      <w:r>
        <w:rPr>
          <w:color w:val="323232"/>
        </w:rPr>
        <w:t xml:space="preserve">N Engl J Med, 2017 vol. 377 (14) pp. 1319-1330.</w:t>
      </w:r>
    </w:p>
    <w:p>
      <w:r>
        <w:rPr>
          <w:rStyle w:val="Hyperlink"/>
        </w:rPr>
        <w:fldChar w:fldCharType="begin"/>
      </w:r>
      <w:r>
        <w:rPr>
          <w:rStyle w:val="Hyperlink"/>
        </w:rPr>
        <w:instrText xml:space="preserve"> HYPERLINK "http://eutils.ncbi.nlm.nih.gov/entrez/eutils/elink.fcgi?dbfrom=pubmed&amp;id=28844192&amp;retmode=ref&amp;cmd=prlinks"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http://eutils.ncbi.nlm.nih.gov/entrez/eutils/elink.fcgi?dbfrom=pubmed&amp;id=28844192&amp;retmode=ref&amp;cmd=prlinks</w:t>
      </w:r>
      <w:r>
        <w:rPr>
          <w:rStyle w:val="Hyperlink"/>
        </w:rPr>
        <w:fldChar w:fldCharType="end"/>
      </w:r>
    </w:p>
    <w:p>
      <w:pPr>
        <w:pStyle w:val="Normal"/>
      </w:pPr>
      <w:r>
        <w:rPr>
          <w:color w:val="323232"/>
        </w:rPr>
        <w:t xml:space="preserve">————————</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mo="http://schemas.microsoft.com/office/mac/office/2008/main" xmlns:mv="urn:schemas-microsoft-com:vml" xmlns:w10="urn:schemas-microsoft-com:office:word" xmlns:w="http://schemas.openxmlformats.org/wordprocessingml/2006/main" xmlns:wne="http://schemas.microsoft.com/office/word/2006/wordml" xmlns:wp="http://schemas.openxmlformats.org/drawingml/2006/wordprocessingDrawing" xmlns:wp14="http://schemas.microsoft.com/office/word/2010/wordprocessingDrawing" xmlns:wpc="http://schemas.microsoft.com/office/word/2010/wordprocessingCanvas"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activeWritingStyle w:appName="MSWord" w:lang="en-US" w:vendorID="64" w:dllVersion="131078" w:nlCheck="1" w:checkStyle="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A55"/>
    <w:rsid w:val="00017BBC"/>
    <w:rsid w:val="000B0D42"/>
    <w:rsid w:val="00185B30"/>
    <w:rsid w:val="002B7A55"/>
    <w:rsid w:val="002D272D"/>
    <w:rsid w:val="0032417C"/>
    <w:rsid w:val="003A634A"/>
    <w:rsid w:val="003B458B"/>
    <w:rsid w:val="003F7B03"/>
    <w:rsid w:val="00403EF4"/>
    <w:rsid w:val="004A3A54"/>
    <w:rsid w:val="00573674"/>
    <w:rsid w:val="0057740A"/>
    <w:rsid w:val="00583CB3"/>
    <w:rsid w:val="00595F40"/>
    <w:rsid w:val="005F2A4D"/>
    <w:rsid w:val="006B37E3"/>
    <w:rsid w:val="006C3F6A"/>
    <w:rsid w:val="007C6E76"/>
    <w:rsid w:val="00813340"/>
    <w:rsid w:val="00837830"/>
    <w:rsid w:val="00933990"/>
    <w:rsid w:val="00B230FC"/>
    <w:rsid w:val="00B808CD"/>
    <w:rsid w:val="00BF5279"/>
    <w:rsid w:val="00F129A8"/>
    <w:rsid w:val="00F50F40"/>
    <w:rsid w:val="00FA1E7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5996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it-IT"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674"/>
    <w:pPr>
      <w:suppressAutoHyphens/>
    </w:pPr>
    <w:rPr>
      <w:rFonts w:ascii="Arial" w:eastAsia="Arial Unicode MS" w:hAnsi="Arial" w:cs="Cambria"/>
      <w:lang w:eastAsia="en-US"/>
    </w:rPr>
  </w:style>
  <w:style w:type="paragraph" w:styleId="Heading1">
    <w:name w:val="heading 1"/>
    <w:basedOn w:val="Header"/>
    <w:next w:val="Header"/>
    <w:link w:val="Heading1Char"/>
    <w:qFormat/>
    <w:rsid w:val="007C6E76"/>
    <w:pPr>
      <w:keepNext/>
      <w:keepLines/>
      <w:spacing w:before="240"/>
      <w:outlineLvl w:val="0"/>
    </w:pPr>
    <w:rPr>
      <w:rFonts w:eastAsiaTheme="majorEastAsia" w:cstheme="majorBidi"/>
      <w:color w:val="323232"/>
      <w:sz w:val="42"/>
      <w:szCs w:val="32"/>
    </w:rPr>
  </w:style>
  <w:style w:type="paragraph" w:styleId="Heading2">
    <w:name w:val="heading 2"/>
    <w:basedOn w:val="Header"/>
    <w:link w:val="Heading2Char"/>
    <w:qFormat/>
    <w:rsid w:val="007C6E76"/>
    <w:pPr>
      <w:keepNext/>
      <w:keepLines/>
      <w:spacing w:before="40"/>
      <w:outlineLvl w:val="1"/>
    </w:pPr>
    <w:rPr>
      <w:rFonts w:eastAsiaTheme="majorEastAsia" w:cstheme="majorBidi"/>
      <w:color w:val="323232"/>
      <w:sz w:val="36"/>
      <w:szCs w:val="26"/>
    </w:rPr>
  </w:style>
  <w:style w:type="paragraph" w:styleId="Heading3">
    <w:name w:val="heading 3"/>
    <w:basedOn w:val="Header"/>
    <w:link w:val="Heading3Char"/>
    <w:qFormat/>
    <w:rsid w:val="007C6E76"/>
    <w:pPr>
      <w:keepNext/>
      <w:keepLines/>
      <w:spacing w:before="40"/>
      <w:outlineLvl w:val="2"/>
    </w:pPr>
    <w:rPr>
      <w:rFonts w:eastAsiaTheme="majorEastAsia" w:cstheme="majorBidi"/>
      <w:color w:val="323232"/>
      <w:sz w:val="30"/>
    </w:rPr>
  </w:style>
  <w:style w:type="paragraph" w:styleId="Heading4">
    <w:name w:val="heading 4"/>
    <w:basedOn w:val="Header"/>
    <w:link w:val="Heading4Char"/>
    <w:rsid w:val="007C6E76"/>
    <w:pPr>
      <w:keepNext/>
      <w:keepLines/>
      <w:spacing w:before="40"/>
      <w:outlineLvl w:val="3"/>
    </w:pPr>
    <w:rPr>
      <w:rFonts w:eastAsiaTheme="majorEastAsia" w:cstheme="majorBidi"/>
      <w:iCs/>
      <w:color w:val="323232"/>
      <w:sz w:val="28"/>
    </w:rPr>
  </w:style>
  <w:style w:type="paragraph" w:styleId="Heading5">
    <w:name w:val="heading 5"/>
    <w:basedOn w:val="Header"/>
    <w:link w:val="Heading5Char"/>
    <w:rsid w:val="007C6E76"/>
    <w:pPr>
      <w:keepNext/>
      <w:keepLines/>
      <w:spacing w:before="40"/>
      <w:outlineLvl w:val="4"/>
    </w:pPr>
    <w:rPr>
      <w:rFonts w:eastAsiaTheme="majorEastAsia" w:cstheme="majorBidi"/>
      <w:color w:val="323232"/>
      <w:sz w:val="28"/>
    </w:rPr>
  </w:style>
  <w:style w:type="paragraph" w:styleId="Heading6">
    <w:name w:val="heading 6"/>
    <w:basedOn w:val="Header"/>
    <w:link w:val="Heading6Char"/>
    <w:rsid w:val="007C6E76"/>
    <w:pPr>
      <w:keepNext/>
      <w:keepLines/>
      <w:spacing w:before="40"/>
      <w:outlineLvl w:val="5"/>
    </w:pPr>
    <w:rPr>
      <w:rFonts w:eastAsiaTheme="majorEastAsia" w:cstheme="majorBidi"/>
      <w:color w:val="323232"/>
      <w:sz w:val="28"/>
    </w:rPr>
  </w:style>
  <w:style w:type="paragraph" w:styleId="Heading7">
    <w:name w:val="heading 7"/>
    <w:basedOn w:val="Normal"/>
    <w:next w:val="Normal"/>
    <w:link w:val="Heading7Char"/>
    <w:unhideWhenUsed/>
    <w:rsid w:val="007C6E76"/>
    <w:pPr>
      <w:keepNext/>
      <w:keepLines/>
      <w:spacing w:before="40"/>
      <w:outlineLvl w:val="6"/>
    </w:pPr>
    <w:rPr>
      <w:rFonts w:eastAsiaTheme="majorEastAsia" w:cstheme="majorBidi"/>
      <w:iCs/>
      <w:color w:val="323232"/>
    </w:rPr>
  </w:style>
  <w:style w:type="paragraph" w:styleId="Heading8">
    <w:name w:val="heading 8"/>
    <w:basedOn w:val="Header"/>
    <w:next w:val="Heading7"/>
    <w:link w:val="Heading8Char"/>
    <w:semiHidden/>
    <w:unhideWhenUsed/>
    <w:rsid w:val="007C6E76"/>
    <w:pPr>
      <w:keepNext/>
      <w:keepLines/>
      <w:spacing w:before="40"/>
      <w:outlineLvl w:val="7"/>
    </w:pPr>
    <w:rPr>
      <w:rFonts w:eastAsiaTheme="majorEastAsia" w:cstheme="majorBidi"/>
      <w:color w:val="32323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C6E76"/>
    <w:rPr>
      <w:rFonts w:ascii="Arial" w:eastAsiaTheme="majorEastAsia" w:hAnsi="Arial" w:cstheme="majorBidi"/>
      <w:color w:val="323232"/>
      <w:sz w:val="30"/>
      <w:lang w:eastAsia="en-US"/>
    </w:rPr>
  </w:style>
  <w:style w:type="paragraph" w:customStyle="1" w:styleId="CodeBlock">
    <w:name w:val="Code Block"/>
    <w:basedOn w:val="Normal"/>
    <w:qFormat/>
    <w:rsid w:val="00813340"/>
    <w:rPr>
      <w:rFonts w:eastAsia="Arial" w:cs="Arial"/>
      <w:color w:val="424242"/>
    </w:rPr>
  </w:style>
  <w:style w:type="character" w:customStyle="1" w:styleId="Heading4Char">
    <w:name w:val="Heading 4 Char"/>
    <w:basedOn w:val="DefaultParagraphFont"/>
    <w:link w:val="Heading4"/>
    <w:rsid w:val="007C6E76"/>
    <w:rPr>
      <w:rFonts w:ascii="Arial" w:eastAsiaTheme="majorEastAsia" w:hAnsi="Arial" w:cstheme="majorBidi"/>
      <w:iCs/>
      <w:color w:val="323232"/>
      <w:sz w:val="28"/>
      <w:lang w:eastAsia="en-US"/>
    </w:rPr>
  </w:style>
  <w:style w:type="paragraph" w:customStyle="1" w:styleId="Index">
    <w:name w:val="Index"/>
    <w:basedOn w:val="Normal"/>
    <w:rsid w:val="002B7A55"/>
    <w:pPr>
      <w:suppressLineNumbers/>
    </w:pPr>
  </w:style>
  <w:style w:type="paragraph" w:styleId="Header">
    <w:name w:val="header"/>
    <w:basedOn w:val="Normal"/>
    <w:link w:val="HeaderChar"/>
    <w:semiHidden/>
    <w:unhideWhenUsed/>
    <w:rsid w:val="00017BBC"/>
    <w:pPr>
      <w:tabs>
        <w:tab w:val="center" w:pos="4819"/>
        <w:tab w:val="right" w:pos="9638"/>
      </w:tabs>
    </w:pPr>
  </w:style>
  <w:style w:type="character" w:customStyle="1" w:styleId="HeaderChar">
    <w:name w:val="Header Char"/>
    <w:basedOn w:val="DefaultParagraphFont"/>
    <w:link w:val="Header"/>
    <w:semiHidden/>
    <w:rsid w:val="00017BBC"/>
    <w:rPr>
      <w:rFonts w:ascii="Cambria" w:eastAsia="Arial Unicode MS" w:hAnsi="Cambria" w:cs="Cambria"/>
      <w:lang w:eastAsia="en-US"/>
    </w:rPr>
  </w:style>
  <w:style w:type="character" w:customStyle="1" w:styleId="Heading5Char">
    <w:name w:val="Heading 5 Char"/>
    <w:basedOn w:val="DefaultParagraphFont"/>
    <w:link w:val="Heading5"/>
    <w:rsid w:val="007C6E76"/>
    <w:rPr>
      <w:rFonts w:ascii="Arial" w:eastAsiaTheme="majorEastAsia" w:hAnsi="Arial" w:cstheme="majorBidi"/>
      <w:color w:val="323232"/>
      <w:sz w:val="28"/>
      <w:lang w:eastAsia="en-US"/>
    </w:rPr>
  </w:style>
  <w:style w:type="character" w:customStyle="1" w:styleId="Heading2Char">
    <w:name w:val="Heading 2 Char"/>
    <w:basedOn w:val="DefaultParagraphFont"/>
    <w:link w:val="Heading2"/>
    <w:rsid w:val="007C6E76"/>
    <w:rPr>
      <w:rFonts w:ascii="Arial" w:eastAsiaTheme="majorEastAsia" w:hAnsi="Arial" w:cstheme="majorBidi"/>
      <w:color w:val="323232"/>
      <w:sz w:val="36"/>
      <w:szCs w:val="26"/>
      <w:lang w:eastAsia="en-US"/>
    </w:rPr>
  </w:style>
  <w:style w:type="character" w:customStyle="1" w:styleId="Heading1Char">
    <w:name w:val="Heading 1 Char"/>
    <w:basedOn w:val="DefaultParagraphFont"/>
    <w:link w:val="Heading1"/>
    <w:rsid w:val="007C6E76"/>
    <w:rPr>
      <w:rFonts w:ascii="Arial" w:eastAsiaTheme="majorEastAsia" w:hAnsi="Arial" w:cstheme="majorBidi"/>
      <w:color w:val="323232"/>
      <w:sz w:val="42"/>
      <w:szCs w:val="32"/>
      <w:lang w:eastAsia="en-US"/>
    </w:rPr>
  </w:style>
  <w:style w:type="character" w:customStyle="1" w:styleId="Heading6Char">
    <w:name w:val="Heading 6 Char"/>
    <w:basedOn w:val="DefaultParagraphFont"/>
    <w:link w:val="Heading6"/>
    <w:rsid w:val="007C6E76"/>
    <w:rPr>
      <w:rFonts w:ascii="Arial" w:eastAsiaTheme="majorEastAsia" w:hAnsi="Arial" w:cstheme="majorBidi"/>
      <w:color w:val="323232"/>
      <w:sz w:val="28"/>
      <w:lang w:eastAsia="en-US"/>
    </w:rPr>
  </w:style>
  <w:style w:type="character" w:customStyle="1" w:styleId="Heading7Char">
    <w:name w:val="Heading 7 Char"/>
    <w:basedOn w:val="DefaultParagraphFont"/>
    <w:link w:val="Heading7"/>
    <w:rsid w:val="007C6E76"/>
    <w:rPr>
      <w:rFonts w:ascii="Arial" w:eastAsiaTheme="majorEastAsia" w:hAnsi="Arial" w:cstheme="majorBidi"/>
      <w:iCs/>
      <w:color w:val="323232"/>
      <w:lang w:eastAsia="en-US"/>
    </w:rPr>
  </w:style>
  <w:style w:type="character" w:customStyle="1" w:styleId="Heading8Char">
    <w:name w:val="Heading 8 Char"/>
    <w:basedOn w:val="DefaultParagraphFont"/>
    <w:link w:val="Heading8"/>
    <w:semiHidden/>
    <w:rsid w:val="007C6E76"/>
    <w:rPr>
      <w:rFonts w:ascii="Arial" w:eastAsiaTheme="majorEastAsia" w:hAnsi="Arial" w:cstheme="majorBidi"/>
      <w:color w:val="323232"/>
      <w:sz w:val="21"/>
      <w:szCs w:val="21"/>
      <w:lang w:eastAsia="en-US"/>
    </w:rPr>
  </w:style>
  <w:style w:type="character" w:styleId="Hyperlink">
    <w:name w:val="Hyperlink"/>
    <w:basedOn w:val="DefaultParagraphFont"/>
    <w:qFormat/>
    <w:rsid w:val="0057740A"/>
    <w:rPr>
      <w:color w:val="0000FF" w:themeColor="hyperlink"/>
      <w:u w:val="single"/>
    </w:rPr>
  </w:style>
  <w:style w:type="paragraph" w:styleId="ListParagraph">
    <w:name w:val="List Paragraph"/>
    <w:basedOn w:val="Normal"/>
    <w:rsid w:val="00B808CD"/>
    <w:pPr>
      <w:ind w:left="720"/>
      <w:contextualSpacing/>
    </w:pPr>
  </w:style>
  <w:style w:type="paragraph" w:styleId="Quote">
    <w:name w:val="Quote"/>
    <w:basedOn w:val="Normal"/>
    <w:next w:val="Normal"/>
    <w:link w:val="QuoteChar"/>
    <w:rsid w:val="00595F4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595F40"/>
    <w:rPr>
      <w:rFonts w:ascii="Arial" w:eastAsia="Arial Unicode MS" w:hAnsi="Arial" w:cs="Cambria"/>
      <w:i/>
      <w:iCs/>
      <w:color w:val="404040" w:themeColor="text1" w:themeTint="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295</Words>
  <Characters>1683</Characters>
  <Application>Microsoft Macintosh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8</cp:revision>
  <dcterms:created xsi:type="dcterms:W3CDTF">2017-01-18T09:28:00Z</dcterms:created>
  <dcterms:modified xsi:type="dcterms:W3CDTF">2018-05-18T10:38:00Z</dcterms:modified>
</cp:coreProperties>
</file>