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6705C" w14:textId="6FFAE7BA" w:rsidR="009D449F" w:rsidRDefault="00A14B04">
      <w:r>
        <w:rPr>
          <w:noProof/>
        </w:rPr>
        <w:drawing>
          <wp:inline distT="0" distB="0" distL="0" distR="0" wp14:anchorId="3657BAA7" wp14:editId="62FBC67F">
            <wp:extent cx="5943600" cy="47675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1C6B0" w14:textId="77777777" w:rsidR="004F5BD1" w:rsidRPr="002277FE" w:rsidRDefault="004F5BD1" w:rsidP="004F5BD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F</w:t>
      </w:r>
      <w:r w:rsidR="00A14B04"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eline blood collection volume is too small for standard 450 mL human closed-collection systems</w:t>
      </w: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</w:t>
      </w: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sym w:font="Wingdings" w:char="F0E0"/>
      </w:r>
      <w:r w:rsidR="00A14B04"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open or semi-closed collection systems </w:t>
      </w: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used </w:t>
      </w:r>
      <w:r w:rsidR="00A14B04"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(anticoagulant must be added before collection) </w:t>
      </w:r>
    </w:p>
    <w:p w14:paraId="16983D85" w14:textId="77777777" w:rsidR="004F5BD1" w:rsidRPr="002277FE" w:rsidRDefault="004F5BD1" w:rsidP="004F5BD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B</w:t>
      </w:r>
      <w:r w:rsidR="00A14B04"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lood usually collected into a syringe through a butterfly catheter and transferred aseptically to a 50–150 mL transfer-pack container and sealed to prevent bacterial contamination</w:t>
      </w: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sym w:font="Wingdings" w:char="F0E0"/>
      </w: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</w:t>
      </w:r>
      <w:r w:rsidR="00A14B04"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small volume</w:t>
      </w: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</w:t>
      </w:r>
      <w:r w:rsidR="00A14B04"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collected (</w:t>
      </w: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approx. </w:t>
      </w:r>
      <w:r w:rsidR="00A14B04"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50–60 mL) poses challenges for separation of the whole bloo</w:t>
      </w: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d </w:t>
      </w:r>
      <w:r w:rsidR="00A14B04"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into components</w:t>
      </w: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</w:t>
      </w: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sym w:font="Wingdings" w:char="F0E0"/>
      </w:r>
      <w:r w:rsidR="00A14B04"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WB i</w:t>
      </w: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s</w:t>
      </w:r>
      <w:r w:rsidR="00A14B04"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commonly use</w:t>
      </w: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d</w:t>
      </w:r>
    </w:p>
    <w:p w14:paraId="0A384383" w14:textId="77777777" w:rsidR="004F5BD1" w:rsidRPr="002277FE" w:rsidRDefault="004F5BD1" w:rsidP="004F5BD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F</w:t>
      </w:r>
      <w:r w:rsidR="00A14B04"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eline WB units are usually stored for 21</w:t>
      </w:r>
    </w:p>
    <w:p w14:paraId="1C065C8D" w14:textId="3CF92B5A" w:rsidR="00A14B04" w:rsidRPr="002277FE" w:rsidRDefault="004F5BD1" w:rsidP="004F5BD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By convention, e</w:t>
      </w:r>
      <w:r w:rsidR="00A14B04"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fficacy and safety</w:t>
      </w: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measured by </w:t>
      </w:r>
      <w:r w:rsidR="00A14B04"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hemolysis &lt;1% at the end of the approved storage period</w:t>
      </w:r>
    </w:p>
    <w:p w14:paraId="6CE69FFD" w14:textId="024AC9F1" w:rsidR="004F5BD1" w:rsidRPr="002277FE" w:rsidRDefault="004F5BD1" w:rsidP="004F5BD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Study goals were to look at </w:t>
      </w:r>
      <w:r w:rsidR="00A14B04"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storage lesions</w:t>
      </w: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for feline WB Day 0-35 (</w:t>
      </w:r>
      <w:r w:rsidR="002277FE"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generally accepted </w:t>
      </w: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max shelf life) and changes with respect to time since collection</w:t>
      </w:r>
    </w:p>
    <w:p w14:paraId="0A31CF96" w14:textId="0A7A7161" w:rsidR="002277FE" w:rsidRPr="002277FE" w:rsidRDefault="002277FE" w:rsidP="002277FE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More important changes - increased hemolysis and echinocyte transformation</w:t>
      </w:r>
    </w:p>
    <w:p w14:paraId="6511046C" w14:textId="6FD975EE" w:rsidR="004F5BD1" w:rsidRPr="002277FE" w:rsidRDefault="004F5BD1" w:rsidP="004F5BD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S</w:t>
      </w:r>
      <w:r w:rsidR="00A14B04"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ignificant increase in hemolysis</w:t>
      </w: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</w:t>
      </w:r>
      <w:r w:rsidR="00A14B04"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from D21 onwards (</w:t>
      </w:r>
      <w:r w:rsidR="00A14B04" w:rsidRPr="002277FE">
        <w:rPr>
          <w:rStyle w:val="Emphasis"/>
          <w:rFonts w:asciiTheme="majorHAnsi" w:hAnsiTheme="majorHAnsi" w:cstheme="majorHAnsi"/>
          <w:color w:val="2E2E2E"/>
          <w:sz w:val="20"/>
          <w:szCs w:val="20"/>
        </w:rPr>
        <w:t>P</w:t>
      </w:r>
      <w:r w:rsidR="00A14B04"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 &lt; 0.0001)</w:t>
      </w: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; stor</w:t>
      </w:r>
      <w:r w:rsidR="00A14B04"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age time and hemolysis were positively correlated</w:t>
      </w:r>
    </w:p>
    <w:p w14:paraId="030B74D7" w14:textId="0AF740A4" w:rsidR="002277FE" w:rsidRPr="002277FE" w:rsidRDefault="00A14B04" w:rsidP="002277FE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Glucose decreased significantly from D21 onwards (</w:t>
      </w:r>
      <w:r w:rsidRPr="002277FE">
        <w:rPr>
          <w:rStyle w:val="Emphasis"/>
          <w:rFonts w:asciiTheme="majorHAnsi" w:hAnsiTheme="majorHAnsi" w:cstheme="majorHAnsi"/>
          <w:color w:val="2E2E2E"/>
          <w:sz w:val="20"/>
          <w:szCs w:val="20"/>
        </w:rPr>
        <w:t>P</w:t>
      </w: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 = 0.003). </w:t>
      </w:r>
      <w:r w:rsidR="002277FE"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Na</w:t>
      </w: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increased significantly at D28 (</w:t>
      </w:r>
      <w:r w:rsidRPr="002277FE">
        <w:rPr>
          <w:rStyle w:val="Emphasis"/>
          <w:rFonts w:asciiTheme="majorHAnsi" w:hAnsiTheme="majorHAnsi" w:cstheme="majorHAnsi"/>
          <w:color w:val="2E2E2E"/>
          <w:sz w:val="20"/>
          <w:szCs w:val="20"/>
        </w:rPr>
        <w:t>P</w:t>
      </w: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 = 0.009). Significant increases </w:t>
      </w:r>
      <w:r w:rsidR="002277FE"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K+</w:t>
      </w: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occurred from D7 (</w:t>
      </w:r>
      <w:r w:rsidRPr="002277FE">
        <w:rPr>
          <w:rStyle w:val="Emphasis"/>
          <w:rFonts w:asciiTheme="majorHAnsi" w:hAnsiTheme="majorHAnsi" w:cstheme="majorHAnsi"/>
          <w:color w:val="2E2E2E"/>
          <w:sz w:val="20"/>
          <w:szCs w:val="20"/>
        </w:rPr>
        <w:t>P</w:t>
      </w: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 = 0.001).</w:t>
      </w:r>
      <w:r w:rsidR="004F5BD1"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 Unlikely to be clinically significant.</w:t>
      </w:r>
    </w:p>
    <w:p w14:paraId="6CAC77B5" w14:textId="77777777" w:rsidR="002277FE" w:rsidRPr="002277FE" w:rsidRDefault="00A14B04" w:rsidP="002277FE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No aerobic and anaerobic bacteria were cultured </w:t>
      </w:r>
    </w:p>
    <w:p w14:paraId="712D3C18" w14:textId="22BC5B6D" w:rsidR="005C0E03" w:rsidRDefault="005C0E03" w:rsidP="002277FE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WB unit stored for &gt;3 weeks should be evaluated for hemolysis as an indicator of its viability. However,</w:t>
      </w:r>
      <w:r w:rsidR="002277FE"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r</w:t>
      </w:r>
      <w:r w:rsidRPr="002277F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esults do not support the practice of disposing of units after &gt;3 weeks, as almost half of the feline WB units studied had acceptable hemolysis values for up to 5 weeks of storage</w:t>
      </w:r>
    </w:p>
    <w:p w14:paraId="2F0C2C15" w14:textId="64D49008" w:rsidR="002277FE" w:rsidRDefault="002277FE" w:rsidP="002277FE">
      <w:pPr>
        <w:ind w:left="360"/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09544A94" wp14:editId="4764105D">
            <wp:extent cx="5943600" cy="41078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6715A" w14:textId="77777777" w:rsidR="002277FE" w:rsidRPr="002277FE" w:rsidRDefault="002277FE" w:rsidP="002277FE">
      <w:pPr>
        <w:ind w:left="360"/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</w:p>
    <w:p w14:paraId="41698814" w14:textId="08962FCD" w:rsidR="001A6F46" w:rsidRDefault="001A6F46">
      <w:pPr>
        <w:rPr>
          <w:rFonts w:ascii="Georgia" w:hAnsi="Georgia"/>
          <w:color w:val="2E2E2E"/>
          <w:sz w:val="27"/>
          <w:szCs w:val="27"/>
          <w:shd w:val="clear" w:color="auto" w:fill="FFFFFF"/>
        </w:rPr>
      </w:pPr>
      <w:bookmarkStart w:id="0" w:name="_GoBack"/>
      <w:bookmarkEnd w:id="0"/>
    </w:p>
    <w:p w14:paraId="04B4785C" w14:textId="77777777" w:rsidR="001A6F46" w:rsidRDefault="001A6F46">
      <w:pPr>
        <w:rPr>
          <w:rFonts w:ascii="Georgia" w:hAnsi="Georgia"/>
          <w:color w:val="2E2E2E"/>
          <w:sz w:val="27"/>
          <w:szCs w:val="27"/>
          <w:shd w:val="clear" w:color="auto" w:fill="FFFFFF"/>
        </w:rPr>
      </w:pPr>
    </w:p>
    <w:p w14:paraId="5538E7F1" w14:textId="4294115A" w:rsidR="001A6F46" w:rsidRDefault="001A6F46">
      <w:pPr>
        <w:rPr>
          <w:rFonts w:ascii="Georgia" w:hAnsi="Georgia"/>
          <w:color w:val="2E2E2E"/>
          <w:sz w:val="27"/>
          <w:szCs w:val="27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E5BEFE6" wp14:editId="18E34D86">
            <wp:extent cx="6140345" cy="36861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0792" cy="3692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A815D" w14:textId="77777777" w:rsidR="001A6F46" w:rsidRDefault="001A6F46">
      <w:pPr>
        <w:rPr>
          <w:rFonts w:ascii="Georgia" w:hAnsi="Georgia"/>
          <w:color w:val="2E2E2E"/>
          <w:sz w:val="27"/>
          <w:szCs w:val="27"/>
          <w:shd w:val="clear" w:color="auto" w:fill="FFFFFF"/>
        </w:rPr>
      </w:pPr>
    </w:p>
    <w:p w14:paraId="4709158D" w14:textId="77777777" w:rsidR="005A5AAA" w:rsidRDefault="001A6F46" w:rsidP="005A5AAA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bookmarkStart w:id="1" w:name="_Hlk31863521"/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Neutrophil gelatinase-associated lipocalin (NGAL) </w:t>
      </w:r>
      <w:r w:rsid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- </w:t>
      </w: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early renal biomarker for </w:t>
      </w:r>
      <w:r w:rsid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AKI and CKD</w:t>
      </w:r>
    </w:p>
    <w:p w14:paraId="1D7C3D4D" w14:textId="77777777" w:rsidR="005A5AAA" w:rsidRDefault="001A6F46" w:rsidP="005A5AAA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NGAL is found in neutrophils, renal </w:t>
      </w:r>
      <w:proofErr w:type="spellStart"/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tubuli</w:t>
      </w:r>
      <w:proofErr w:type="spellEnd"/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and other </w:t>
      </w:r>
      <w:r w:rsid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tissues</w:t>
      </w:r>
    </w:p>
    <w:p w14:paraId="45A0356C" w14:textId="77777777" w:rsidR="005A5AAA" w:rsidRDefault="001A6F46" w:rsidP="005A5AAA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Kidney damage leads to lower reabsorption of NGAL at the proximal </w:t>
      </w:r>
      <w:proofErr w:type="spellStart"/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tubulus</w:t>
      </w:r>
      <w:proofErr w:type="spellEnd"/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and/or higher expression of NGAL mRNA at the </w:t>
      </w:r>
      <w:proofErr w:type="spellStart"/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tubuli</w:t>
      </w:r>
      <w:proofErr w:type="spellEnd"/>
      <w:r w:rsid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=</w:t>
      </w: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increased urinary NGAL</w:t>
      </w:r>
    </w:p>
    <w:p w14:paraId="3953465E" w14:textId="77777777" w:rsidR="005A5AAA" w:rsidRDefault="005A5AAA" w:rsidP="005A5AAA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Serum creatinine</w:t>
      </w:r>
      <w:r w:rsidR="001A6F46"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is insensitive and non-specific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- results</w:t>
      </w:r>
      <w:r w:rsidR="001A6F46"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in delayed recognition of renal disease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</w:t>
      </w: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sym w:font="Wingdings" w:char="F0E0"/>
      </w:r>
      <w:r w:rsidR="001A6F46"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need for novel renal damage biomarkers like NGAL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</w:t>
      </w:r>
      <w:r w:rsidR="001A6F46"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to facilitate earlier detection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and intervention</w:t>
      </w:r>
      <w:r w:rsidR="001A6F46"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of renal injury</w:t>
      </w:r>
    </w:p>
    <w:p w14:paraId="6A1C2D37" w14:textId="725B0DA8" w:rsidR="0033191B" w:rsidRDefault="005A5AAA" w:rsidP="005A5AAA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Study goal: </w:t>
      </w:r>
      <w:r w:rsidR="0033191B"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compare NGAL between healthy dogs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, dogs in </w:t>
      </w: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IRIS grade ≥II AKI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(various causes), and </w:t>
      </w:r>
      <w:proofErr w:type="gramStart"/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At Risk</w:t>
      </w:r>
      <w:proofErr w:type="gramEnd"/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AKI grade I dogs (snake envenomation), and </w:t>
      </w:r>
      <w:r w:rsidR="0033191B"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effect of hemoglobin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</w:t>
      </w:r>
      <w:r w:rsidR="0033191B"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on NGAL measurement using Hb spiked urine and plasma from healthy dogs</w:t>
      </w:r>
    </w:p>
    <w:p w14:paraId="717A1610" w14:textId="77777777" w:rsidR="005A5AAA" w:rsidRDefault="005A5AAA" w:rsidP="005A5AAA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Results/discussion:</w:t>
      </w:r>
    </w:p>
    <w:p w14:paraId="1A5806B1" w14:textId="77777777" w:rsidR="005A5AAA" w:rsidRDefault="008277DB" w:rsidP="005A5AAA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Almost all samples of the IRIS grade ≥II AKI study group had mild/moderate proteinuria and hematuria, with significant proteinuria and inactive sediment in two dogs and severe hematuria in</w:t>
      </w:r>
    </w:p>
    <w:p w14:paraId="7A3DBB6F" w14:textId="77777777" w:rsidR="00C269AE" w:rsidRDefault="008277DB" w:rsidP="00C269AE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Median </w:t>
      </w:r>
      <w:proofErr w:type="spellStart"/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sCr</w:t>
      </w:r>
      <w:proofErr w:type="spellEnd"/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values for the IRIS grade ≥ II AKI study group was 644.5 </w:t>
      </w:r>
      <w:proofErr w:type="spellStart"/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μmol</w:t>
      </w:r>
      <w:proofErr w:type="spellEnd"/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/L (</w:t>
      </w:r>
      <w:r w:rsid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7.29 mg/dL)</w:t>
      </w: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) which was significantly higher than the </w:t>
      </w:r>
      <w:proofErr w:type="spellStart"/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sCr</w:t>
      </w:r>
      <w:proofErr w:type="spellEnd"/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values (median 88.0 </w:t>
      </w:r>
      <w:proofErr w:type="spellStart"/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μmol</w:t>
      </w:r>
      <w:proofErr w:type="spellEnd"/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/L</w:t>
      </w:r>
      <w:r w:rsid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</w:t>
      </w:r>
      <w:r w:rsidR="00C269AE"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sym w:font="Wingdings" w:char="F0E0"/>
      </w:r>
      <w:r w:rsid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1.0 mg/d</w:t>
      </w: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L) in the At Risk IRIS grade I AKI group (</w:t>
      </w:r>
      <w:r w:rsidRPr="005A5AAA">
        <w:rPr>
          <w:rStyle w:val="Emphasis"/>
          <w:rFonts w:asciiTheme="majorHAnsi" w:hAnsiTheme="majorHAnsi" w:cstheme="majorHAnsi"/>
          <w:color w:val="2E2E2E"/>
          <w:sz w:val="20"/>
          <w:szCs w:val="20"/>
        </w:rPr>
        <w:t>P</w:t>
      </w: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 &lt; 0.00</w:t>
      </w:r>
      <w:r w:rsid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1)</w:t>
      </w:r>
    </w:p>
    <w:p w14:paraId="05C3783E" w14:textId="77777777" w:rsidR="00C269AE" w:rsidRDefault="008277DB" w:rsidP="00C269AE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Within the IRIS grade ≥ II AKI 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substudy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the median USG values differed significantly between the affected dogs and controls (</w:t>
      </w:r>
      <w:r w:rsidRPr="00C269AE">
        <w:rPr>
          <w:rStyle w:val="Emphasis"/>
          <w:rFonts w:asciiTheme="majorHAnsi" w:hAnsiTheme="majorHAnsi" w:cstheme="majorHAnsi"/>
          <w:color w:val="2E2E2E"/>
          <w:sz w:val="20"/>
          <w:szCs w:val="20"/>
        </w:rPr>
        <w:t>P</w:t>
      </w: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 &lt; 0.001</w:t>
      </w:r>
      <w:proofErr w:type="gram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)</w:t>
      </w:r>
      <w:r w:rsid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 USG</w:t>
      </w:r>
      <w:proofErr w:type="gramEnd"/>
      <w:r w:rsid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AKI &gt;II – 1.014</w:t>
      </w:r>
    </w:p>
    <w:p w14:paraId="677E58B0" w14:textId="77777777" w:rsidR="00C269AE" w:rsidRDefault="008277DB" w:rsidP="00C269AE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IRIS grade ≥ II AKI study group had significantly higher median 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and 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/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uCr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values than the </w:t>
      </w:r>
      <w:proofErr w:type="gram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At Risk</w:t>
      </w:r>
      <w:proofErr w:type="gram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IRIS grade I AKI study group</w:t>
      </w:r>
    </w:p>
    <w:p w14:paraId="07D29FDB" w14:textId="77777777" w:rsidR="00C269AE" w:rsidRDefault="00C269AE" w:rsidP="00C269AE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S</w:t>
      </w:r>
      <w:r w:rsidR="008277DB"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ignificant difference in </w:t>
      </w:r>
      <w:proofErr w:type="spellStart"/>
      <w:r w:rsidR="008277DB"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="008277DB"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and </w:t>
      </w:r>
      <w:proofErr w:type="spellStart"/>
      <w:r w:rsidR="008277DB"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="008277DB"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/</w:t>
      </w:r>
      <w:proofErr w:type="spellStart"/>
      <w:r w:rsidR="008277DB"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uCr</w:t>
      </w:r>
      <w:proofErr w:type="spellEnd"/>
      <w:r w:rsidR="008277DB"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values between both AKI study groups and their respective controls</w:t>
      </w:r>
    </w:p>
    <w:p w14:paraId="577F500B" w14:textId="77777777" w:rsidR="00C269AE" w:rsidRDefault="008277DB" w:rsidP="00C269AE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ROC curve</w:t>
      </w:r>
      <w:r w:rsid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-</w:t>
      </w: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detection of dogs at risk for or with AKI using 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showed that 2.69 ng/mL was the optimal cut-off value</w:t>
      </w:r>
      <w:r w:rsid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(</w:t>
      </w: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sensitivity</w:t>
      </w:r>
      <w:r w:rsid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100%,</w:t>
      </w: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specificity 88%</w:t>
      </w:r>
      <w:r w:rsid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)</w:t>
      </w:r>
      <w:bookmarkStart w:id="2" w:name="_Hlk31863119"/>
    </w:p>
    <w:p w14:paraId="28B5973C" w14:textId="24F49535" w:rsidR="001A6F46" w:rsidRDefault="00C269AE" w:rsidP="00C269AE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lastRenderedPageBreak/>
        <w:t xml:space="preserve">ROC </w:t>
      </w:r>
      <w:proofErr w:type="spellStart"/>
      <w:r w:rsidR="008277DB"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="008277DB"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/</w:t>
      </w:r>
      <w:proofErr w:type="spellStart"/>
      <w:r w:rsidR="008277DB"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uCr</w:t>
      </w:r>
      <w:proofErr w:type="spellEnd"/>
      <w:r w:rsidR="008277DB"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two cut-off values (1.35 ng/mg and 2.08 ng/mg) were comparable, with a sensitivity and specificity of 95% and 77%, and 93% and 85%, respectively</w:t>
      </w:r>
    </w:p>
    <w:p w14:paraId="43E4DEC7" w14:textId="77777777" w:rsidR="00C269AE" w:rsidRDefault="00C269AE" w:rsidP="00C269AE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For </w:t>
      </w: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AKI study groups together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- </w:t>
      </w: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no significant correlation between 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and 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/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uCr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, and IRIS grade</w:t>
      </w:r>
    </w:p>
    <w:p w14:paraId="3E434B64" w14:textId="77777777" w:rsidR="00C269AE" w:rsidRDefault="00C269AE" w:rsidP="00C269AE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Study </w:t>
      </w: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demonstrated significantly higher 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concentrations in the </w:t>
      </w:r>
      <w:proofErr w:type="gram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At Risk</w:t>
      </w:r>
      <w:proofErr w:type="gram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IRIS grade I AKI study group when compared control groups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; 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sCr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did not differ between groups</w:t>
      </w:r>
    </w:p>
    <w:p w14:paraId="36AFFFAA" w14:textId="2ECCE647" w:rsidR="00C269AE" w:rsidRPr="00C269AE" w:rsidRDefault="00C269AE" w:rsidP="00C269AE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ROC analysis showed high sensitivity and specificity values for 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and 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/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uCr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making it a good tool to detect dogs at risk for or with AKI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– values are</w:t>
      </w: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similar to or higher than sensitivity and specificity of the standard renal biomarker 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sCr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, and 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SDMA </w:t>
      </w: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sym w:font="Wingdings" w:char="F0E0"/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</w:t>
      </w: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suggest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ing</w:t>
      </w: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is a superior biomarker</w:t>
      </w:r>
    </w:p>
    <w:bookmarkEnd w:id="2"/>
    <w:p w14:paraId="2588FF46" w14:textId="77777777" w:rsidR="00BD14EB" w:rsidRDefault="008277DB" w:rsidP="00BD14EB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proofErr w:type="spellStart"/>
      <w:r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</w:t>
      </w:r>
      <w:r w:rsid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higher in AKI &gt; II group compared to At Risk IRIS grade I = </w:t>
      </w:r>
      <w:r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more pronounced renal inflammation and local stress in the kidneys with increasing IRIS grade, resulting in a more pronounced renal tubular damage.</w:t>
      </w:r>
    </w:p>
    <w:p w14:paraId="080AF55E" w14:textId="77777777" w:rsidR="00BD14EB" w:rsidRDefault="00BD14EB" w:rsidP="00BD14EB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S</w:t>
      </w:r>
      <w:r w:rsidR="008277DB"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tudy was able to confirm that </w:t>
      </w:r>
      <w:proofErr w:type="spellStart"/>
      <w:r w:rsidR="008277DB"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="008277DB"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is more sensitive than the routine functional biomarker </w:t>
      </w:r>
      <w:proofErr w:type="spellStart"/>
      <w:r w:rsidR="008277DB"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sCr</w:t>
      </w:r>
      <w:proofErr w:type="spellEnd"/>
    </w:p>
    <w:p w14:paraId="3EA211F2" w14:textId="77777777" w:rsidR="00BD14EB" w:rsidRDefault="00BD14EB" w:rsidP="00BD14EB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</w:t>
      </w:r>
      <w:r w:rsidR="008277DB"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se of </w:t>
      </w:r>
      <w:proofErr w:type="spellStart"/>
      <w:r w:rsidR="008277DB"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="008277DB"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value was more reliable than the use of </w:t>
      </w:r>
      <w:proofErr w:type="spellStart"/>
      <w:r w:rsidR="008277DB"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="008277DB"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/</w:t>
      </w:r>
      <w:proofErr w:type="spellStart"/>
      <w:r w:rsidR="008277DB"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uCr</w:t>
      </w:r>
      <w:proofErr w:type="spellEnd"/>
      <w:r w:rsidR="008277DB"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value in the diagnosis of AKI</w:t>
      </w:r>
    </w:p>
    <w:p w14:paraId="38A4DCBF" w14:textId="10DD100E" w:rsidR="008277DB" w:rsidRPr="00BD14EB" w:rsidRDefault="00BD14EB" w:rsidP="00BD14EB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P</w:t>
      </w:r>
      <w:r w:rsidR="008277DB"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resence of Hb did not interfere with the measurement of NGA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L</w:t>
      </w:r>
    </w:p>
    <w:bookmarkEnd w:id="1"/>
    <w:p w14:paraId="534D91C1" w14:textId="77777777" w:rsidR="008277DB" w:rsidRPr="005A5AAA" w:rsidRDefault="008277DB">
      <w:p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</w:p>
    <w:p w14:paraId="41CF9CCE" w14:textId="77777777" w:rsidR="002277FE" w:rsidRPr="005A5AAA" w:rsidRDefault="002277FE">
      <w:pPr>
        <w:rPr>
          <w:rFonts w:asciiTheme="majorHAnsi" w:hAnsiTheme="majorHAnsi" w:cstheme="majorHAnsi"/>
          <w:sz w:val="20"/>
          <w:szCs w:val="20"/>
        </w:rPr>
      </w:pPr>
    </w:p>
    <w:sectPr w:rsidR="002277FE" w:rsidRPr="005A5A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86538"/>
    <w:multiLevelType w:val="hybridMultilevel"/>
    <w:tmpl w:val="CCB83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20200F"/>
    <w:multiLevelType w:val="hybridMultilevel"/>
    <w:tmpl w:val="52725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B04"/>
    <w:rsid w:val="001770E0"/>
    <w:rsid w:val="001A6F46"/>
    <w:rsid w:val="002277FE"/>
    <w:rsid w:val="0033191B"/>
    <w:rsid w:val="004D257C"/>
    <w:rsid w:val="004F5BD1"/>
    <w:rsid w:val="005A5AAA"/>
    <w:rsid w:val="005C0E03"/>
    <w:rsid w:val="008166F2"/>
    <w:rsid w:val="008277DB"/>
    <w:rsid w:val="009D449F"/>
    <w:rsid w:val="00A14B04"/>
    <w:rsid w:val="00BD14EB"/>
    <w:rsid w:val="00C2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9D975"/>
  <w15:chartTrackingRefBased/>
  <w15:docId w15:val="{97358C7E-73D2-485B-B1BE-A181E08D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14B0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14B04"/>
    <w:rPr>
      <w:i/>
      <w:iCs/>
    </w:rPr>
  </w:style>
  <w:style w:type="paragraph" w:styleId="ListParagraph">
    <w:name w:val="List Paragraph"/>
    <w:basedOn w:val="Normal"/>
    <w:uiPriority w:val="34"/>
    <w:qFormat/>
    <w:rsid w:val="004F5BD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6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4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Gradilla</dc:creator>
  <cp:keywords/>
  <dc:description/>
  <cp:lastModifiedBy>Sarah Gradilla</cp:lastModifiedBy>
  <cp:revision>4</cp:revision>
  <dcterms:created xsi:type="dcterms:W3CDTF">2020-02-06T01:03:00Z</dcterms:created>
  <dcterms:modified xsi:type="dcterms:W3CDTF">2020-03-09T01:59:00Z</dcterms:modified>
</cp:coreProperties>
</file>