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5704D" w14:textId="77777777" w:rsidR="00203911" w:rsidRDefault="008D16A2">
      <w:r>
        <w:rPr>
          <w:noProof/>
        </w:rPr>
        <w:drawing>
          <wp:inline distT="0" distB="0" distL="0" distR="0" wp14:anchorId="76C67B0C" wp14:editId="376B7C50">
            <wp:extent cx="5943600" cy="168675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4966" cy="169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0D97" w14:textId="77777777" w:rsidR="005A0B09" w:rsidRPr="005A0B09" w:rsidRDefault="005A0B09" w:rsidP="005A0B09">
      <w:p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Background:</w:t>
      </w:r>
    </w:p>
    <w:p w14:paraId="2F604EF8" w14:textId="77777777" w:rsidR="008D16A2" w:rsidRPr="005A0B09" w:rsidRDefault="008D16A2" w:rsidP="008D16A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With the increasing need for feline blood donors an appropriate screening system is needed to </w:t>
      </w:r>
      <w:r w:rsidR="008067D9" w:rsidRPr="005A0B09">
        <w:rPr>
          <w:rFonts w:ascii="Arial" w:hAnsi="Arial" w:cs="Arial"/>
          <w:sz w:val="20"/>
          <w:szCs w:val="20"/>
        </w:rPr>
        <w:t xml:space="preserve">identify risk factors and characteristics of “low risk” donors to help </w:t>
      </w:r>
      <w:r w:rsidRPr="005A0B09">
        <w:rPr>
          <w:rFonts w:ascii="Arial" w:hAnsi="Arial" w:cs="Arial"/>
          <w:sz w:val="20"/>
          <w:szCs w:val="20"/>
        </w:rPr>
        <w:t xml:space="preserve">prevent transfusion transmissible infections </w:t>
      </w:r>
      <w:r w:rsidR="008067D9" w:rsidRPr="005A0B09">
        <w:rPr>
          <w:rFonts w:ascii="Arial" w:hAnsi="Arial" w:cs="Arial"/>
          <w:sz w:val="20"/>
          <w:szCs w:val="20"/>
        </w:rPr>
        <w:t>(TTI)</w:t>
      </w:r>
    </w:p>
    <w:p w14:paraId="1CC25644" w14:textId="77777777" w:rsidR="005A0B09" w:rsidRPr="005A0B09" w:rsidRDefault="00053312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Several guidelines (GLs) are used for testing protocols in veterinary medicine. GLs are generally developed according to the circumstances and needs of each country. </w:t>
      </w:r>
      <w:r w:rsidR="005A0B09" w:rsidRPr="005A0B09">
        <w:rPr>
          <w:rFonts w:ascii="Arial" w:hAnsi="Arial" w:cs="Arial"/>
          <w:sz w:val="20"/>
          <w:szCs w:val="20"/>
        </w:rPr>
        <w:t xml:space="preserve">GLs </w:t>
      </w:r>
      <w:r w:rsidR="005A0B09">
        <w:rPr>
          <w:rFonts w:ascii="Arial" w:hAnsi="Arial" w:cs="Arial"/>
          <w:sz w:val="20"/>
          <w:szCs w:val="20"/>
        </w:rPr>
        <w:t xml:space="preserve">may </w:t>
      </w:r>
      <w:r w:rsidR="005A0B09" w:rsidRPr="005A0B09">
        <w:rPr>
          <w:rFonts w:ascii="Arial" w:hAnsi="Arial" w:cs="Arial"/>
          <w:sz w:val="20"/>
          <w:szCs w:val="20"/>
        </w:rPr>
        <w:t>differ in some aspects, such as the microorganism to be screened or the screening methods used.</w:t>
      </w:r>
    </w:p>
    <w:p w14:paraId="66741DD5" w14:textId="77777777" w:rsidR="005A0B09" w:rsidRDefault="005A0B09" w:rsidP="005A0B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0FA957E3" w14:textId="77777777" w:rsidR="005A0B09" w:rsidRDefault="005C19EA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Italian GL applied to 31 feline candidate blood donors</w:t>
      </w:r>
      <w:r w:rsidR="002B07F1" w:rsidRPr="005A0B09">
        <w:rPr>
          <w:rFonts w:ascii="Arial" w:hAnsi="Arial" w:cs="Arial"/>
          <w:sz w:val="20"/>
          <w:szCs w:val="20"/>
        </w:rPr>
        <w:t xml:space="preserve"> voluntarily</w:t>
      </w:r>
      <w:r w:rsidRPr="005A0B09">
        <w:rPr>
          <w:rFonts w:ascii="Arial" w:hAnsi="Arial" w:cs="Arial"/>
          <w:sz w:val="20"/>
          <w:szCs w:val="20"/>
        </w:rPr>
        <w:t xml:space="preserve"> enrolled over a 1 year period</w:t>
      </w:r>
      <w:r w:rsidR="005A0B09">
        <w:rPr>
          <w:rFonts w:ascii="Arial" w:hAnsi="Arial" w:cs="Arial"/>
          <w:sz w:val="20"/>
          <w:szCs w:val="20"/>
        </w:rPr>
        <w:t>.</w:t>
      </w:r>
    </w:p>
    <w:p w14:paraId="6E9D5B54" w14:textId="77777777" w:rsidR="005A0B09" w:rsidRDefault="005C19EA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GL tests from Europe and US not currently utilized in Italy’s screening process</w:t>
      </w:r>
      <w:r w:rsidR="005A0B09">
        <w:rPr>
          <w:rFonts w:ascii="Arial" w:hAnsi="Arial" w:cs="Arial"/>
          <w:sz w:val="20"/>
          <w:szCs w:val="20"/>
        </w:rPr>
        <w:t xml:space="preserve"> were also included</w:t>
      </w:r>
      <w:r w:rsidRPr="005A0B09">
        <w:rPr>
          <w:rFonts w:ascii="Arial" w:hAnsi="Arial" w:cs="Arial"/>
          <w:sz w:val="20"/>
          <w:szCs w:val="20"/>
        </w:rPr>
        <w:t xml:space="preserve">.  </w:t>
      </w:r>
    </w:p>
    <w:p w14:paraId="25C5AABD" w14:textId="77777777" w:rsidR="005A0B09" w:rsidRDefault="005A0B09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Based on Italian, European and American GLs: hemoplasmas, feline leukemia virus (FeLV), feline immunodeficiency virus (FIV), </w:t>
      </w:r>
      <w:proofErr w:type="spellStart"/>
      <w:r w:rsidRPr="005A0B09">
        <w:rPr>
          <w:rFonts w:ascii="Arial" w:hAnsi="Arial" w:cs="Arial"/>
          <w:sz w:val="20"/>
          <w:szCs w:val="20"/>
        </w:rPr>
        <w:t>Anaplasma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phagocytophilum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A0B09">
        <w:rPr>
          <w:rFonts w:ascii="Arial" w:hAnsi="Arial" w:cs="Arial"/>
          <w:sz w:val="20"/>
          <w:szCs w:val="20"/>
        </w:rPr>
        <w:t>Ehrlichia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Bartonella species, Babesia species, </w:t>
      </w:r>
      <w:proofErr w:type="spellStart"/>
      <w:r w:rsidRPr="005A0B09">
        <w:rPr>
          <w:rFonts w:ascii="Arial" w:hAnsi="Arial" w:cs="Arial"/>
          <w:sz w:val="20"/>
          <w:szCs w:val="20"/>
        </w:rPr>
        <w:t>Theileria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Cytauxzoon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Leishmania </w:t>
      </w:r>
      <w:proofErr w:type="spellStart"/>
      <w:r w:rsidRPr="005A0B09">
        <w:rPr>
          <w:rFonts w:ascii="Arial" w:hAnsi="Arial" w:cs="Arial"/>
          <w:sz w:val="20"/>
          <w:szCs w:val="20"/>
        </w:rPr>
        <w:t>donovani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sensu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lato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and feline coronavirus (</w:t>
      </w:r>
      <w:proofErr w:type="spellStart"/>
      <w:r w:rsidRPr="005A0B09">
        <w:rPr>
          <w:rFonts w:ascii="Arial" w:hAnsi="Arial" w:cs="Arial"/>
          <w:sz w:val="20"/>
          <w:szCs w:val="20"/>
        </w:rPr>
        <w:t>FCoV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), were screened. </w:t>
      </w:r>
    </w:p>
    <w:p w14:paraId="2B33ED01" w14:textId="77777777" w:rsidR="00354EDC" w:rsidRDefault="00354EDC" w:rsidP="00354ED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54EDC">
        <w:rPr>
          <w:rFonts w:ascii="Arial" w:hAnsi="Arial" w:cs="Arial"/>
          <w:sz w:val="20"/>
          <w:szCs w:val="20"/>
        </w:rPr>
        <w:t xml:space="preserve">Rapid antigen and serological tests and biomolecular </w:t>
      </w:r>
      <w:r>
        <w:rPr>
          <w:rFonts w:ascii="Arial" w:hAnsi="Arial" w:cs="Arial"/>
          <w:sz w:val="20"/>
          <w:szCs w:val="20"/>
        </w:rPr>
        <w:t>investigations (PCR) were used.</w:t>
      </w:r>
    </w:p>
    <w:p w14:paraId="0217F8C3" w14:textId="77777777" w:rsidR="00886600" w:rsidRDefault="00354EDC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6600">
        <w:rPr>
          <w:rFonts w:ascii="Arial" w:hAnsi="Arial" w:cs="Arial"/>
          <w:sz w:val="20"/>
          <w:szCs w:val="20"/>
        </w:rPr>
        <w:t xml:space="preserve">Several PCR protocols for </w:t>
      </w:r>
      <w:proofErr w:type="spellStart"/>
      <w:r w:rsidRPr="00886600">
        <w:rPr>
          <w:rFonts w:ascii="Arial" w:hAnsi="Arial" w:cs="Arial"/>
          <w:sz w:val="20"/>
          <w:szCs w:val="20"/>
        </w:rPr>
        <w:t>haemopl</w:t>
      </w:r>
      <w:r w:rsidR="00886600">
        <w:rPr>
          <w:rFonts w:ascii="Arial" w:hAnsi="Arial" w:cs="Arial"/>
          <w:sz w:val="20"/>
          <w:szCs w:val="20"/>
        </w:rPr>
        <w:t>asma</w:t>
      </w:r>
      <w:proofErr w:type="spellEnd"/>
      <w:r w:rsidR="00886600">
        <w:rPr>
          <w:rFonts w:ascii="Arial" w:hAnsi="Arial" w:cs="Arial"/>
          <w:sz w:val="20"/>
          <w:szCs w:val="20"/>
        </w:rPr>
        <w:t xml:space="preserve"> and FeLV DNA were compared – nest PCR always more sensitive</w:t>
      </w:r>
    </w:p>
    <w:p w14:paraId="6CAF098F" w14:textId="77777777" w:rsidR="00257178" w:rsidRPr="00886600" w:rsidRDefault="005A0B09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6600">
        <w:rPr>
          <w:rFonts w:ascii="Arial" w:hAnsi="Arial" w:cs="Arial"/>
          <w:sz w:val="20"/>
          <w:szCs w:val="20"/>
        </w:rPr>
        <w:t>Found that s</w:t>
      </w:r>
      <w:r w:rsidR="005C19EA" w:rsidRPr="00886600">
        <w:rPr>
          <w:rFonts w:ascii="Arial" w:hAnsi="Arial" w:cs="Arial"/>
          <w:sz w:val="20"/>
          <w:szCs w:val="20"/>
        </w:rPr>
        <w:t xml:space="preserve">ome of the enrolled cats, while clinically healthy, had risk factors for </w:t>
      </w:r>
      <w:r w:rsidR="00E9415F" w:rsidRPr="00886600">
        <w:rPr>
          <w:rFonts w:ascii="Arial" w:hAnsi="Arial" w:cs="Arial"/>
          <w:sz w:val="20"/>
          <w:szCs w:val="20"/>
        </w:rPr>
        <w:t>harboring</w:t>
      </w:r>
      <w:r w:rsidR="005C19EA" w:rsidRPr="00886600">
        <w:rPr>
          <w:rFonts w:ascii="Arial" w:hAnsi="Arial" w:cs="Arial"/>
          <w:sz w:val="20"/>
          <w:szCs w:val="20"/>
        </w:rPr>
        <w:t xml:space="preserve"> TTIs.  </w:t>
      </w:r>
    </w:p>
    <w:p w14:paraId="120EA00D" w14:textId="77777777" w:rsidR="001D76B2" w:rsidRDefault="001D76B2" w:rsidP="0088660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Results for FIV and FeLV infections were negative using rapid tests however when tested </w:t>
      </w:r>
      <w:r w:rsidRPr="00886600">
        <w:rPr>
          <w:rFonts w:ascii="Arial" w:hAnsi="Arial" w:cs="Arial"/>
          <w:sz w:val="20"/>
          <w:szCs w:val="20"/>
        </w:rPr>
        <w:t>with the most sensitive PCR protocol – 1 cat tested positive for FeLV provirus</w:t>
      </w:r>
    </w:p>
    <w:p w14:paraId="561EC8E5" w14:textId="77777777" w:rsidR="00886600" w:rsidRDefault="00886600" w:rsidP="0088660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4/31 (</w:t>
      </w:r>
      <w:r w:rsidRPr="00886600">
        <w:rPr>
          <w:rFonts w:ascii="Arial" w:hAnsi="Arial" w:cs="Arial"/>
          <w:sz w:val="20"/>
          <w:szCs w:val="20"/>
        </w:rPr>
        <w:t>12.9%</w:t>
      </w:r>
      <w:r>
        <w:rPr>
          <w:rFonts w:ascii="Arial" w:hAnsi="Arial" w:cs="Arial"/>
          <w:sz w:val="20"/>
          <w:szCs w:val="20"/>
        </w:rPr>
        <w:t>)</w:t>
      </w:r>
      <w:r w:rsidRPr="00886600">
        <w:rPr>
          <w:rFonts w:ascii="Arial" w:hAnsi="Arial" w:cs="Arial"/>
          <w:sz w:val="20"/>
          <w:szCs w:val="20"/>
        </w:rPr>
        <w:t xml:space="preserve"> of cats were </w:t>
      </w:r>
      <w:r w:rsidRPr="005A0B09">
        <w:rPr>
          <w:rFonts w:ascii="Arial" w:hAnsi="Arial" w:cs="Arial"/>
          <w:sz w:val="20"/>
          <w:szCs w:val="20"/>
        </w:rPr>
        <w:t xml:space="preserve">PCR positive for hemoplasma DNA </w:t>
      </w:r>
      <w:r w:rsidRPr="00886600">
        <w:rPr>
          <w:rFonts w:ascii="Arial" w:hAnsi="Arial" w:cs="Arial"/>
          <w:sz w:val="20"/>
          <w:szCs w:val="20"/>
        </w:rPr>
        <w:t>positive</w:t>
      </w:r>
      <w:r>
        <w:rPr>
          <w:rFonts w:ascii="Arial" w:hAnsi="Arial" w:cs="Arial"/>
          <w:sz w:val="20"/>
          <w:szCs w:val="20"/>
        </w:rPr>
        <w:t xml:space="preserve"> despite a normal blood smear</w:t>
      </w:r>
    </w:p>
    <w:p w14:paraId="760DDF8A" w14:textId="77777777" w:rsidR="00886600" w:rsidRPr="00886600" w:rsidRDefault="00886600" w:rsidP="00886600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886600">
        <w:rPr>
          <w:rFonts w:ascii="Arial" w:hAnsi="Arial" w:cs="Arial"/>
          <w:sz w:val="20"/>
          <w:szCs w:val="20"/>
        </w:rPr>
        <w:t>ll the PCR protocols id</w:t>
      </w:r>
      <w:r>
        <w:rPr>
          <w:rFonts w:ascii="Arial" w:hAnsi="Arial" w:cs="Arial"/>
          <w:sz w:val="20"/>
          <w:szCs w:val="20"/>
        </w:rPr>
        <w:t>entified the positive cats</w:t>
      </w:r>
      <w:r w:rsidRPr="00886600">
        <w:rPr>
          <w:rFonts w:ascii="Arial" w:hAnsi="Arial" w:cs="Arial"/>
          <w:sz w:val="20"/>
          <w:szCs w:val="20"/>
        </w:rPr>
        <w:t xml:space="preserve"> but the nested PCR was 10-fold more sensitive </w:t>
      </w:r>
    </w:p>
    <w:p w14:paraId="0D45B5FC" w14:textId="77777777" w:rsidR="001D76B2" w:rsidRPr="005A0B09" w:rsidRDefault="001D76B2" w:rsidP="001D76B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Five cats were positive for </w:t>
      </w:r>
      <w:proofErr w:type="spellStart"/>
      <w:r w:rsidRPr="005A0B09">
        <w:rPr>
          <w:rFonts w:ascii="Arial" w:hAnsi="Arial" w:cs="Arial"/>
          <w:sz w:val="20"/>
          <w:szCs w:val="20"/>
        </w:rPr>
        <w:t>FCoV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antibodies using a more sensitive PCR test</w:t>
      </w:r>
    </w:p>
    <w:p w14:paraId="466339F8" w14:textId="77777777" w:rsidR="00172205" w:rsidRP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Conclusions:</w:t>
      </w:r>
    </w:p>
    <w:p w14:paraId="67B3CC7D" w14:textId="77777777" w:rsidR="00257178" w:rsidRPr="005A0B09" w:rsidRDefault="00257178" w:rsidP="0025717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The inclusion of tests to screen microorganisms in other GLs caught diseases that otherwise would not have been identified through their (Italian) GL alone.</w:t>
      </w:r>
    </w:p>
    <w:p w14:paraId="77B8B8BD" w14:textId="77777777" w:rsidR="00EE7949" w:rsidRDefault="002B07F1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Authors recommend</w:t>
      </w:r>
      <w:r w:rsidR="005C19EA" w:rsidRPr="005A0B09">
        <w:rPr>
          <w:rFonts w:ascii="Arial" w:hAnsi="Arial" w:cs="Arial"/>
          <w:sz w:val="20"/>
          <w:szCs w:val="20"/>
        </w:rPr>
        <w:t xml:space="preserve"> biomolecular methods should be</w:t>
      </w:r>
      <w:r w:rsidR="001D76B2" w:rsidRPr="005A0B09">
        <w:rPr>
          <w:rFonts w:ascii="Arial" w:hAnsi="Arial" w:cs="Arial"/>
          <w:sz w:val="20"/>
          <w:szCs w:val="20"/>
        </w:rPr>
        <w:t xml:space="preserve"> used to identify </w:t>
      </w:r>
      <w:proofErr w:type="spellStart"/>
      <w:r w:rsidR="001D76B2" w:rsidRPr="005A0B09">
        <w:rPr>
          <w:rFonts w:ascii="Arial" w:hAnsi="Arial" w:cs="Arial"/>
          <w:sz w:val="20"/>
          <w:szCs w:val="20"/>
        </w:rPr>
        <w:t>proviral</w:t>
      </w:r>
      <w:proofErr w:type="spellEnd"/>
      <w:r w:rsidR="001D76B2" w:rsidRPr="005A0B09">
        <w:rPr>
          <w:rFonts w:ascii="Arial" w:hAnsi="Arial" w:cs="Arial"/>
          <w:sz w:val="20"/>
          <w:szCs w:val="20"/>
        </w:rPr>
        <w:t xml:space="preserve"> FeLV DNA and </w:t>
      </w:r>
      <w:r w:rsidR="00E9415F" w:rsidRPr="005A0B09">
        <w:rPr>
          <w:rFonts w:ascii="Arial" w:hAnsi="Arial" w:cs="Arial"/>
          <w:sz w:val="20"/>
          <w:szCs w:val="20"/>
        </w:rPr>
        <w:t>hemoplasma</w:t>
      </w:r>
      <w:r w:rsidR="001D76B2" w:rsidRPr="005A0B09">
        <w:rPr>
          <w:rFonts w:ascii="Arial" w:hAnsi="Arial" w:cs="Arial"/>
          <w:sz w:val="20"/>
          <w:szCs w:val="20"/>
        </w:rPr>
        <w:t xml:space="preserve">.  </w:t>
      </w:r>
    </w:p>
    <w:p w14:paraId="049428FE" w14:textId="77777777" w:rsidR="005C19EA" w:rsidRPr="005A0B09" w:rsidRDefault="001D76B2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Also recommend a</w:t>
      </w:r>
      <w:r w:rsidR="005C19EA" w:rsidRPr="005A0B09">
        <w:rPr>
          <w:rFonts w:ascii="Arial" w:hAnsi="Arial" w:cs="Arial"/>
          <w:sz w:val="20"/>
          <w:szCs w:val="20"/>
        </w:rPr>
        <w:t>ppropriate recruitment protocols currently not considered in GLs</w:t>
      </w:r>
      <w:r w:rsidRPr="005A0B09">
        <w:rPr>
          <w:rFonts w:ascii="Arial" w:hAnsi="Arial" w:cs="Arial"/>
          <w:sz w:val="20"/>
          <w:szCs w:val="20"/>
        </w:rPr>
        <w:t xml:space="preserve"> (life style questions, travel) and</w:t>
      </w:r>
      <w:r w:rsidR="005C19EA" w:rsidRPr="005A0B09">
        <w:rPr>
          <w:rFonts w:ascii="Arial" w:hAnsi="Arial" w:cs="Arial"/>
          <w:sz w:val="20"/>
          <w:szCs w:val="20"/>
        </w:rPr>
        <w:t xml:space="preserve"> </w:t>
      </w:r>
      <w:r w:rsidRPr="005A0B09">
        <w:rPr>
          <w:rFonts w:ascii="Arial" w:hAnsi="Arial" w:cs="Arial"/>
          <w:sz w:val="20"/>
          <w:szCs w:val="20"/>
        </w:rPr>
        <w:t>educational courses for owners.</w:t>
      </w:r>
    </w:p>
    <w:p w14:paraId="42F55557" w14:textId="77777777" w:rsidR="001D76B2" w:rsidRPr="005A0B09" w:rsidRDefault="001D76B2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The cost and time of the screening procedures may be reduced if appropriate tests are selected.</w:t>
      </w:r>
    </w:p>
    <w:p w14:paraId="58D7C5DE" w14:textId="77777777" w:rsidR="005C19EA" w:rsidRPr="005A0B09" w:rsidRDefault="005C19EA" w:rsidP="005C19EA">
      <w:pPr>
        <w:rPr>
          <w:rFonts w:ascii="Arial" w:hAnsi="Arial" w:cs="Arial"/>
          <w:sz w:val="20"/>
          <w:szCs w:val="20"/>
        </w:rPr>
      </w:pPr>
    </w:p>
    <w:p w14:paraId="68CEB8A0" w14:textId="77777777" w:rsidR="002B07F1" w:rsidRPr="005A0B09" w:rsidRDefault="002B07F1" w:rsidP="005C19EA">
      <w:pPr>
        <w:rPr>
          <w:rFonts w:ascii="Arial" w:hAnsi="Arial" w:cs="Arial"/>
          <w:sz w:val="20"/>
          <w:szCs w:val="20"/>
        </w:rPr>
      </w:pPr>
    </w:p>
    <w:p w14:paraId="5D8DD04E" w14:textId="77777777" w:rsidR="002B07F1" w:rsidRDefault="002B07F1" w:rsidP="005C19EA"/>
    <w:p w14:paraId="247D15AE" w14:textId="77777777" w:rsidR="002B07F1" w:rsidRDefault="002B07F1" w:rsidP="005C19EA">
      <w:r>
        <w:rPr>
          <w:noProof/>
        </w:rPr>
        <w:drawing>
          <wp:inline distT="0" distB="0" distL="0" distR="0" wp14:anchorId="318CD3C4" wp14:editId="02A4E3B8">
            <wp:extent cx="5943600" cy="1692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89C7" w14:textId="77777777" w:rsid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687381C4" w14:textId="77777777" w:rsidR="000D3C21" w:rsidRPr="00172205" w:rsidRDefault="002B07F1" w:rsidP="0017220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 xml:space="preserve">Cerebrovascular accidents (CVAs) are defined as a disruption in cerebral blood supply leading to neurological dysfunction and are classically associated with clinical signs that are </w:t>
      </w:r>
      <w:proofErr w:type="spellStart"/>
      <w:r w:rsidRPr="00172205">
        <w:rPr>
          <w:rFonts w:ascii="Arial" w:hAnsi="Arial" w:cs="Arial"/>
          <w:sz w:val="20"/>
          <w:szCs w:val="20"/>
        </w:rPr>
        <w:t>peracute</w:t>
      </w:r>
      <w:proofErr w:type="spellEnd"/>
      <w:r w:rsidRPr="00172205">
        <w:rPr>
          <w:rFonts w:ascii="Arial" w:hAnsi="Arial" w:cs="Arial"/>
          <w:sz w:val="20"/>
          <w:szCs w:val="20"/>
        </w:rPr>
        <w:t xml:space="preserve"> in onset </w:t>
      </w:r>
      <w:r w:rsidR="000D3C21" w:rsidRPr="00172205">
        <w:rPr>
          <w:rFonts w:ascii="Arial" w:hAnsi="Arial" w:cs="Arial"/>
          <w:sz w:val="20"/>
          <w:szCs w:val="20"/>
        </w:rPr>
        <w:t>and non-progressive after 24 h.</w:t>
      </w:r>
    </w:p>
    <w:p w14:paraId="32461A64" w14:textId="77777777" w:rsidR="00172205" w:rsidRDefault="000D3C2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C</w:t>
      </w:r>
      <w:r w:rsidR="002B07F1" w:rsidRPr="00172205">
        <w:rPr>
          <w:rFonts w:ascii="Arial" w:hAnsi="Arial" w:cs="Arial"/>
          <w:sz w:val="20"/>
          <w:szCs w:val="20"/>
        </w:rPr>
        <w:t>erebrovascular disease is the subject of multipl</w:t>
      </w:r>
      <w:r w:rsidRPr="00172205">
        <w:rPr>
          <w:rFonts w:ascii="Arial" w:hAnsi="Arial" w:cs="Arial"/>
          <w:sz w:val="20"/>
          <w:szCs w:val="20"/>
        </w:rPr>
        <w:t>e reviews in canine patients</w:t>
      </w:r>
      <w:r w:rsidR="002B07F1" w:rsidRPr="00172205">
        <w:rPr>
          <w:rFonts w:ascii="Arial" w:hAnsi="Arial" w:cs="Arial"/>
          <w:sz w:val="20"/>
          <w:szCs w:val="20"/>
        </w:rPr>
        <w:t xml:space="preserve"> it has rarely been reported in the cat</w:t>
      </w:r>
      <w:r w:rsidR="00172205">
        <w:rPr>
          <w:rFonts w:ascii="Arial" w:hAnsi="Arial" w:cs="Arial"/>
          <w:sz w:val="20"/>
          <w:szCs w:val="20"/>
        </w:rPr>
        <w:t xml:space="preserve">. </w:t>
      </w:r>
    </w:p>
    <w:p w14:paraId="466F2E2B" w14:textId="77777777" w:rsidR="000D3C21" w:rsidRPr="00172205" w:rsidRDefault="002B07F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MRI characteristics of CVAs in dogs are w</w:t>
      </w:r>
      <w:r w:rsidR="000D3C21" w:rsidRPr="00172205">
        <w:rPr>
          <w:rFonts w:ascii="Arial" w:hAnsi="Arial" w:cs="Arial"/>
          <w:sz w:val="20"/>
          <w:szCs w:val="20"/>
        </w:rPr>
        <w:t>ell described, but</w:t>
      </w:r>
      <w:r w:rsidRPr="00172205">
        <w:rPr>
          <w:rFonts w:ascii="Arial" w:hAnsi="Arial" w:cs="Arial"/>
          <w:sz w:val="20"/>
          <w:szCs w:val="20"/>
        </w:rPr>
        <w:t xml:space="preserve"> in cats they are limited to a single report of two cases of </w:t>
      </w:r>
      <w:r w:rsidR="000D3C21" w:rsidRPr="00172205">
        <w:rPr>
          <w:rFonts w:ascii="Arial" w:hAnsi="Arial" w:cs="Arial"/>
          <w:sz w:val="20"/>
          <w:szCs w:val="20"/>
        </w:rPr>
        <w:t xml:space="preserve">rostral cerebellar infarction.  </w:t>
      </w:r>
    </w:p>
    <w:p w14:paraId="324AF82C" w14:textId="77777777" w:rsidR="000D3C21" w:rsidRPr="00172205" w:rsidRDefault="000D3C2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There are s</w:t>
      </w:r>
      <w:r w:rsidR="002B07F1" w:rsidRPr="00172205">
        <w:rPr>
          <w:rFonts w:ascii="Arial" w:hAnsi="Arial" w:cs="Arial"/>
          <w:sz w:val="20"/>
          <w:szCs w:val="20"/>
        </w:rPr>
        <w:t>pecies-specific adaptations in cerebral b</w:t>
      </w:r>
      <w:r w:rsidRPr="00172205">
        <w:rPr>
          <w:rFonts w:ascii="Arial" w:hAnsi="Arial" w:cs="Arial"/>
          <w:sz w:val="20"/>
          <w:szCs w:val="20"/>
        </w:rPr>
        <w:t>lood supply.</w:t>
      </w:r>
    </w:p>
    <w:p w14:paraId="011F6D94" w14:textId="77777777" w:rsidR="000D3C21" w:rsidRDefault="00172205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Aim of</w:t>
      </w:r>
      <w:r w:rsidR="002B07F1" w:rsidRPr="00172205">
        <w:rPr>
          <w:rFonts w:ascii="Arial" w:hAnsi="Arial" w:cs="Arial"/>
          <w:sz w:val="20"/>
          <w:szCs w:val="20"/>
        </w:rPr>
        <w:t xml:space="preserve"> study is to report the MRI features, clinical characteristics (inclusive of concurrent systemic disease), and short- and long-term outcome of CVAs in the feline population</w:t>
      </w:r>
    </w:p>
    <w:p w14:paraId="2DBB8615" w14:textId="77777777" w:rsidR="00172205" w:rsidRP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0E1399C4" w14:textId="77777777" w:rsidR="000D3C21" w:rsidRPr="00172205" w:rsidRDefault="00172205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242E0" w:rsidRPr="00172205">
        <w:rPr>
          <w:rFonts w:ascii="Arial" w:hAnsi="Arial" w:cs="Arial"/>
          <w:sz w:val="20"/>
          <w:szCs w:val="20"/>
        </w:rPr>
        <w:t xml:space="preserve">ats presenting to a single referral hospital (Queen Mother Hospital for Animals, Royal Veterinary College) between January 2005 and September 2016 with acute onset, non-progressive (after 24 h) intracranial signs were retrospectively </w:t>
      </w:r>
      <w:r w:rsidR="000D3C21" w:rsidRPr="00172205">
        <w:rPr>
          <w:rFonts w:ascii="Arial" w:hAnsi="Arial" w:cs="Arial"/>
          <w:sz w:val="20"/>
          <w:szCs w:val="20"/>
        </w:rPr>
        <w:t>reviewed.</w:t>
      </w:r>
    </w:p>
    <w:p w14:paraId="20FEB3C8" w14:textId="77777777" w:rsidR="00E9415F" w:rsidRPr="00172205" w:rsidRDefault="00BE202F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242E0" w:rsidRPr="00172205">
        <w:rPr>
          <w:rFonts w:ascii="Arial" w:hAnsi="Arial" w:cs="Arial"/>
          <w:sz w:val="20"/>
          <w:szCs w:val="20"/>
        </w:rPr>
        <w:t xml:space="preserve">ats that presented within 48 h of onset of clinical signs, had full physical and neurological examinations and underwent MRI within 72 h of presentation were included. </w:t>
      </w:r>
    </w:p>
    <w:p w14:paraId="6643CAFF" w14:textId="77777777" w:rsidR="002B3E34" w:rsidRPr="00172205" w:rsidRDefault="00BE202F" w:rsidP="002B3E3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9</w:t>
      </w:r>
    </w:p>
    <w:p w14:paraId="51CF77D5" w14:textId="77777777" w:rsidR="00E9415F" w:rsidRPr="00172205" w:rsidRDefault="00E9415F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Reviewers</w:t>
      </w:r>
      <w:r w:rsidR="00A242E0" w:rsidRPr="00172205">
        <w:rPr>
          <w:rFonts w:ascii="Arial" w:hAnsi="Arial" w:cs="Arial"/>
          <w:sz w:val="20"/>
          <w:szCs w:val="20"/>
        </w:rPr>
        <w:t xml:space="preserve"> defined </w:t>
      </w:r>
      <w:r w:rsidR="00172205">
        <w:rPr>
          <w:rFonts w:ascii="Arial" w:hAnsi="Arial" w:cs="Arial"/>
          <w:sz w:val="20"/>
          <w:szCs w:val="20"/>
        </w:rPr>
        <w:t>infarcts according to location</w:t>
      </w:r>
    </w:p>
    <w:p w14:paraId="1F350AC9" w14:textId="77777777" w:rsidR="00172205" w:rsidRDefault="00BE202F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</w:t>
      </w:r>
      <w:r w:rsidR="00172205">
        <w:rPr>
          <w:rFonts w:ascii="Arial" w:hAnsi="Arial" w:cs="Arial"/>
          <w:sz w:val="20"/>
          <w:szCs w:val="20"/>
        </w:rPr>
        <w:t>Conclusions:</w:t>
      </w:r>
    </w:p>
    <w:p w14:paraId="50EB83C8" w14:textId="77777777" w:rsidR="00BE202F" w:rsidRPr="00172205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When CVA occur in cats they are most commonly located c</w:t>
      </w:r>
      <w:r>
        <w:rPr>
          <w:rFonts w:ascii="Arial" w:hAnsi="Arial" w:cs="Arial"/>
          <w:sz w:val="20"/>
          <w:szCs w:val="20"/>
        </w:rPr>
        <w:t xml:space="preserve">audal to the tentorium, and </w:t>
      </w:r>
      <w:r w:rsidRPr="00172205">
        <w:rPr>
          <w:rFonts w:ascii="Arial" w:hAnsi="Arial" w:cs="Arial"/>
          <w:sz w:val="20"/>
          <w:szCs w:val="20"/>
        </w:rPr>
        <w:t>particular</w:t>
      </w:r>
      <w:r>
        <w:rPr>
          <w:rFonts w:ascii="Arial" w:hAnsi="Arial" w:cs="Arial"/>
          <w:sz w:val="20"/>
          <w:szCs w:val="20"/>
        </w:rPr>
        <w:t>ly</w:t>
      </w:r>
      <w:r w:rsidRPr="00172205">
        <w:rPr>
          <w:rFonts w:ascii="Arial" w:hAnsi="Arial" w:cs="Arial"/>
          <w:sz w:val="20"/>
          <w:szCs w:val="20"/>
        </w:rPr>
        <w:t>, the cerebellum.</w:t>
      </w:r>
    </w:p>
    <w:p w14:paraId="762B636C" w14:textId="77777777" w:rsidR="00BE202F" w:rsidRPr="00172205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all cases</w:t>
      </w:r>
      <w:r w:rsidRPr="00172205">
        <w:rPr>
          <w:rFonts w:ascii="Arial" w:hAnsi="Arial" w:cs="Arial"/>
          <w:sz w:val="20"/>
          <w:szCs w:val="20"/>
        </w:rPr>
        <w:t xml:space="preserve"> clinical signs reflected neurological dysfunction and varied dependent on the location of the CVA. </w:t>
      </w:r>
    </w:p>
    <w:p w14:paraId="79922948" w14:textId="77777777" w:rsidR="00BE202F" w:rsidRPr="00172205" w:rsidRDefault="00BE202F" w:rsidP="00BE202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Middle cerebral artery and</w:t>
      </w:r>
      <w:r w:rsidRPr="00172205">
        <w:rPr>
          <w:rFonts w:ascii="Arial" w:hAnsi="Arial" w:cs="Arial"/>
          <w:sz w:val="20"/>
          <w:szCs w:val="20"/>
        </w:rPr>
        <w:t xml:space="preserve"> caudal cerebral artery exhibited signs of forebrain dysfunction</w:t>
      </w:r>
    </w:p>
    <w:p w14:paraId="7746A384" w14:textId="77777777" w:rsidR="00BE202F" w:rsidRPr="00172205" w:rsidRDefault="00BE202F" w:rsidP="00BE202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72205">
        <w:rPr>
          <w:rFonts w:ascii="Arial" w:hAnsi="Arial" w:cs="Arial"/>
          <w:sz w:val="20"/>
          <w:szCs w:val="20"/>
        </w:rPr>
        <w:t>ostral and caudal cerebellar arteries exhibited signs of cerebellar dysfunction</w:t>
      </w:r>
    </w:p>
    <w:p w14:paraId="6BFC029A" w14:textId="77777777" w:rsidR="00BE202F" w:rsidRPr="00BE202F" w:rsidRDefault="00BE202F" w:rsidP="0017220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172205">
        <w:rPr>
          <w:rFonts w:ascii="Arial" w:hAnsi="Arial" w:cs="Arial"/>
          <w:sz w:val="20"/>
          <w:szCs w:val="20"/>
        </w:rPr>
        <w:t>asilar artery exhibited signs of brainstem dysfunction</w:t>
      </w:r>
    </w:p>
    <w:p w14:paraId="3DFCAD54" w14:textId="77777777"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CVAs in cats occur in the same vascular territories as in dogs and have similar MRI features.</w:t>
      </w:r>
    </w:p>
    <w:p w14:paraId="21925233" w14:textId="77777777" w:rsidR="00E9415F" w:rsidRPr="00172205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Concurren</w:t>
      </w:r>
      <w:r w:rsidR="00E9415F" w:rsidRPr="00172205">
        <w:rPr>
          <w:rFonts w:ascii="Arial" w:hAnsi="Arial" w:cs="Arial"/>
          <w:sz w:val="20"/>
          <w:szCs w:val="20"/>
        </w:rPr>
        <w:t>t systemic disease was common</w:t>
      </w:r>
      <w:r w:rsidR="005F27D2" w:rsidRPr="00172205">
        <w:rPr>
          <w:rFonts w:ascii="Arial" w:hAnsi="Arial" w:cs="Arial"/>
          <w:sz w:val="20"/>
          <w:szCs w:val="20"/>
        </w:rPr>
        <w:t xml:space="preserve"> (8/9 cats</w:t>
      </w:r>
      <w:r w:rsidR="00E9415F" w:rsidRPr="00172205">
        <w:rPr>
          <w:rFonts w:ascii="Arial" w:hAnsi="Arial" w:cs="Arial"/>
          <w:sz w:val="20"/>
          <w:szCs w:val="20"/>
        </w:rPr>
        <w:t xml:space="preserve"> – </w:t>
      </w:r>
      <w:r w:rsidR="005F27D2" w:rsidRPr="00172205">
        <w:rPr>
          <w:rFonts w:ascii="Arial" w:hAnsi="Arial" w:cs="Arial"/>
          <w:sz w:val="20"/>
          <w:szCs w:val="20"/>
        </w:rPr>
        <w:t xml:space="preserve">4 HCM, 2 pulmonary masses, 1 hyperthyroid diagnosed and treated 1 </w:t>
      </w:r>
      <w:proofErr w:type="spellStart"/>
      <w:r w:rsidR="005F27D2" w:rsidRPr="00172205">
        <w:rPr>
          <w:rFonts w:ascii="Arial" w:hAnsi="Arial" w:cs="Arial"/>
          <w:sz w:val="20"/>
          <w:szCs w:val="20"/>
        </w:rPr>
        <w:t>yr</w:t>
      </w:r>
      <w:proofErr w:type="spellEnd"/>
      <w:r w:rsidR="005F27D2" w:rsidRPr="00172205">
        <w:rPr>
          <w:rFonts w:ascii="Arial" w:hAnsi="Arial" w:cs="Arial"/>
          <w:sz w:val="20"/>
          <w:szCs w:val="20"/>
        </w:rPr>
        <w:t xml:space="preserve"> prior to CVA)</w:t>
      </w:r>
    </w:p>
    <w:p w14:paraId="05682A79" w14:textId="77777777" w:rsidR="00196941" w:rsidRPr="00172205" w:rsidRDefault="00196941" w:rsidP="0019694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A cat presenting with signs consistent with a CVA warrants a full systemic investigation.</w:t>
      </w:r>
    </w:p>
    <w:p w14:paraId="0832236D" w14:textId="77777777" w:rsidR="00643DE4" w:rsidRPr="00172205" w:rsidRDefault="002B3E34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 xml:space="preserve">Short term survival </w:t>
      </w:r>
      <w:r w:rsidR="00E9415F" w:rsidRPr="00172205">
        <w:rPr>
          <w:rFonts w:ascii="Arial" w:hAnsi="Arial" w:cs="Arial"/>
          <w:sz w:val="20"/>
          <w:szCs w:val="20"/>
        </w:rPr>
        <w:t>was favorable</w:t>
      </w:r>
      <w:r w:rsidR="00643DE4" w:rsidRPr="00172205">
        <w:rPr>
          <w:rFonts w:ascii="Arial" w:hAnsi="Arial" w:cs="Arial"/>
          <w:sz w:val="20"/>
          <w:szCs w:val="20"/>
        </w:rPr>
        <w:t xml:space="preserve"> </w:t>
      </w:r>
      <w:r w:rsidR="00257178" w:rsidRPr="00172205">
        <w:rPr>
          <w:rFonts w:ascii="Arial" w:hAnsi="Arial" w:cs="Arial"/>
          <w:sz w:val="20"/>
          <w:szCs w:val="20"/>
        </w:rPr>
        <w:t xml:space="preserve">(8/9 cats </w:t>
      </w:r>
      <w:r w:rsidRPr="00172205">
        <w:rPr>
          <w:rFonts w:ascii="Arial" w:hAnsi="Arial" w:cs="Arial"/>
          <w:sz w:val="20"/>
          <w:szCs w:val="20"/>
        </w:rPr>
        <w:t xml:space="preserve">survived 48hr to hospital discharge); information on only 2/7 cats 5-10 weeks after discharge was available (one had complete recovery, the other had good recovery with some persistent neurologic signs – head tilt, vestibular </w:t>
      </w:r>
      <w:r w:rsidR="00196941" w:rsidRPr="00172205">
        <w:rPr>
          <w:rFonts w:ascii="Arial" w:hAnsi="Arial" w:cs="Arial"/>
          <w:sz w:val="20"/>
          <w:szCs w:val="20"/>
        </w:rPr>
        <w:t>ataxia</w:t>
      </w:r>
      <w:r w:rsidRPr="00172205">
        <w:rPr>
          <w:rFonts w:ascii="Arial" w:hAnsi="Arial" w:cs="Arial"/>
          <w:sz w:val="20"/>
          <w:szCs w:val="20"/>
        </w:rPr>
        <w:t xml:space="preserve">)  </w:t>
      </w:r>
    </w:p>
    <w:p w14:paraId="0685BA4F" w14:textId="77777777" w:rsidR="00196941" w:rsidRPr="00172205" w:rsidRDefault="00196941" w:rsidP="00172205">
      <w:pPr>
        <w:pStyle w:val="ListParagraph"/>
        <w:rPr>
          <w:rFonts w:ascii="Arial" w:hAnsi="Arial" w:cs="Arial"/>
          <w:sz w:val="20"/>
          <w:szCs w:val="20"/>
        </w:rPr>
      </w:pPr>
    </w:p>
    <w:p w14:paraId="53491488" w14:textId="77777777" w:rsidR="00643DE4" w:rsidRDefault="00643DE4" w:rsidP="00A242E0">
      <w:r>
        <w:rPr>
          <w:noProof/>
        </w:rPr>
        <w:lastRenderedPageBreak/>
        <w:drawing>
          <wp:inline distT="0" distB="0" distL="0" distR="0" wp14:anchorId="0AC0B156" wp14:editId="1D5FD928">
            <wp:extent cx="5943600" cy="1811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58936" w14:textId="77777777" w:rsidR="00E141DF" w:rsidRDefault="00E141D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2A8DB45C" w14:textId="77777777" w:rsidR="00E9415F" w:rsidRPr="00E141DF" w:rsidRDefault="00643DE4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Gastrointestinal (GI) perforation is a well described complication of GI lymphoma in people, commonly occurring within days of initiation of chemotherapy. </w:t>
      </w:r>
    </w:p>
    <w:p w14:paraId="194CFBCD" w14:textId="77777777"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There are no studies documenting the prevalence of GI perforation in cats with intermediate- or large-cell GI lymphoma or whether it is associated with induction of chemotherapy. </w:t>
      </w:r>
    </w:p>
    <w:p w14:paraId="39649ACD" w14:textId="77777777"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The objectives of this study were to document the prevalence and timing of post-chemotherapy perforation in cats with discrete GI masses caused by intermediat</w:t>
      </w:r>
      <w:r w:rsidR="00E9415F" w:rsidRPr="00E141DF">
        <w:rPr>
          <w:rFonts w:ascii="Arial" w:hAnsi="Arial" w:cs="Arial"/>
          <w:sz w:val="20"/>
          <w:szCs w:val="20"/>
        </w:rPr>
        <w:t>e- or large-cell lymphoma.</w:t>
      </w:r>
    </w:p>
    <w:p w14:paraId="63936E35" w14:textId="77777777" w:rsidR="00522A3C" w:rsidRDefault="00522A3C" w:rsidP="00522A3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Authors hypothesized that tumor size, suppurative inflammation within the mass at the time of diagnosis and presence of hypoproteinemia would be associated with perforation.</w:t>
      </w:r>
    </w:p>
    <w:p w14:paraId="29F7C8E3" w14:textId="77777777" w:rsidR="00E141DF" w:rsidRPr="00E141DF" w:rsidRDefault="00E141D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21E279F1" w14:textId="77777777"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Retrospective:</w:t>
      </w:r>
      <w:r w:rsidRPr="00E141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records reviewed </w:t>
      </w:r>
      <w:r w:rsidRPr="00E141DF">
        <w:rPr>
          <w:rFonts w:ascii="Arial" w:hAnsi="Arial" w:cs="Arial"/>
          <w:sz w:val="20"/>
          <w:szCs w:val="20"/>
        </w:rPr>
        <w:t>Ju</w:t>
      </w:r>
      <w:r>
        <w:rPr>
          <w:rFonts w:ascii="Arial" w:hAnsi="Arial" w:cs="Arial"/>
          <w:sz w:val="20"/>
          <w:szCs w:val="20"/>
        </w:rPr>
        <w:t xml:space="preserve">ne 2006 and May 2012 </w:t>
      </w:r>
      <w:r w:rsidRPr="00E141DF">
        <w:rPr>
          <w:rFonts w:ascii="Arial" w:hAnsi="Arial" w:cs="Arial"/>
          <w:sz w:val="20"/>
          <w:szCs w:val="20"/>
        </w:rPr>
        <w:t>Veterinary Specialty Hospital San Diego and the Veterinary Specialty Hos</w:t>
      </w:r>
      <w:r>
        <w:rPr>
          <w:rFonts w:ascii="Arial" w:hAnsi="Arial" w:cs="Arial"/>
          <w:sz w:val="20"/>
          <w:szCs w:val="20"/>
        </w:rPr>
        <w:t xml:space="preserve">pital North County. </w:t>
      </w:r>
      <w:r w:rsidRPr="00E141DF">
        <w:rPr>
          <w:rFonts w:ascii="Arial" w:hAnsi="Arial" w:cs="Arial"/>
          <w:sz w:val="20"/>
          <w:szCs w:val="20"/>
        </w:rPr>
        <w:t>December 2007 and May 2015</w:t>
      </w:r>
      <w:r>
        <w:rPr>
          <w:rFonts w:ascii="Arial" w:hAnsi="Arial" w:cs="Arial"/>
          <w:sz w:val="20"/>
          <w:szCs w:val="20"/>
        </w:rPr>
        <w:t xml:space="preserve"> Angell Animal Medical Center</w:t>
      </w:r>
    </w:p>
    <w:p w14:paraId="086CE55A" w14:textId="77777777"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Cats with a diagnosis of intermediate- or large-cell lymphoma based on cytologic or histopathologic examination of a mass lesion of the GI tract and treated with chemotherapy w</w:t>
      </w:r>
      <w:r w:rsidR="00E141DF">
        <w:rPr>
          <w:rFonts w:ascii="Arial" w:hAnsi="Arial" w:cs="Arial"/>
          <w:sz w:val="20"/>
          <w:szCs w:val="20"/>
        </w:rPr>
        <w:t>ere identified</w:t>
      </w:r>
      <w:r w:rsidRPr="00E141DF">
        <w:rPr>
          <w:rFonts w:ascii="Arial" w:hAnsi="Arial" w:cs="Arial"/>
          <w:sz w:val="20"/>
          <w:szCs w:val="20"/>
        </w:rPr>
        <w:t xml:space="preserve">. </w:t>
      </w:r>
      <w:r w:rsidR="00E9415F" w:rsidRPr="00E141DF">
        <w:rPr>
          <w:rFonts w:ascii="Arial" w:hAnsi="Arial" w:cs="Arial"/>
          <w:sz w:val="20"/>
          <w:szCs w:val="20"/>
        </w:rPr>
        <w:t>If the mass was surgically excised, the case was excluded.</w:t>
      </w:r>
    </w:p>
    <w:p w14:paraId="54A75628" w14:textId="77777777"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A clinical diagnosis of GI perforation was made using ultrasound findings and analysis of abdominal </w:t>
      </w:r>
      <w:r w:rsidR="00E9415F" w:rsidRPr="00E141DF">
        <w:rPr>
          <w:rFonts w:ascii="Arial" w:hAnsi="Arial" w:cs="Arial"/>
          <w:sz w:val="20"/>
          <w:szCs w:val="20"/>
        </w:rPr>
        <w:t>fluid.</w:t>
      </w:r>
    </w:p>
    <w:p w14:paraId="32A119AB" w14:textId="77777777"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</w:t>
      </w:r>
      <w:r w:rsidR="00643DE4" w:rsidRPr="00E141DF">
        <w:rPr>
          <w:rFonts w:ascii="Arial" w:hAnsi="Arial" w:cs="Arial"/>
          <w:sz w:val="20"/>
          <w:szCs w:val="20"/>
        </w:rPr>
        <w:t xml:space="preserve"> cats with intermediate- (n = 3) or large-cell (n = 20) lym</w:t>
      </w:r>
      <w:r w:rsidR="002B2849" w:rsidRPr="00E141DF">
        <w:rPr>
          <w:rFonts w:ascii="Arial" w:hAnsi="Arial" w:cs="Arial"/>
          <w:sz w:val="20"/>
          <w:szCs w:val="20"/>
        </w:rPr>
        <w:t>phoma were included</w:t>
      </w:r>
      <w:r w:rsidR="00643DE4" w:rsidRPr="00E141DF">
        <w:rPr>
          <w:rFonts w:ascii="Arial" w:hAnsi="Arial" w:cs="Arial"/>
          <w:sz w:val="20"/>
          <w:szCs w:val="20"/>
        </w:rPr>
        <w:t xml:space="preserve">. </w:t>
      </w:r>
    </w:p>
    <w:p w14:paraId="6962867E" w14:textId="77777777" w:rsidR="00E141DF" w:rsidRP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18 cats were treated with a COP </w:t>
      </w:r>
      <w:r w:rsidR="00257178" w:rsidRPr="00E141DF">
        <w:rPr>
          <w:rFonts w:ascii="Arial" w:hAnsi="Arial" w:cs="Arial"/>
          <w:sz w:val="20"/>
          <w:szCs w:val="20"/>
        </w:rPr>
        <w:t>or CHOP</w:t>
      </w:r>
      <w:r w:rsidRPr="00E141DF">
        <w:rPr>
          <w:rFonts w:ascii="Arial" w:hAnsi="Arial" w:cs="Arial"/>
          <w:sz w:val="20"/>
          <w:szCs w:val="20"/>
        </w:rPr>
        <w:t xml:space="preserve"> based chemotherapy</w:t>
      </w:r>
    </w:p>
    <w:p w14:paraId="03CE73A8" w14:textId="77777777"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 </w:t>
      </w:r>
      <w:r w:rsidR="00257178" w:rsidRPr="00E141DF">
        <w:rPr>
          <w:rFonts w:ascii="Arial" w:hAnsi="Arial" w:cs="Arial"/>
          <w:sz w:val="20"/>
          <w:szCs w:val="20"/>
        </w:rPr>
        <w:t>cats received prednisolone at a cytotox</w:t>
      </w:r>
      <w:r>
        <w:rPr>
          <w:rFonts w:ascii="Arial" w:hAnsi="Arial" w:cs="Arial"/>
          <w:sz w:val="20"/>
          <w:szCs w:val="20"/>
        </w:rPr>
        <w:t>ic dose (1.2–1.9 mg/kg/day)</w:t>
      </w:r>
    </w:p>
    <w:p w14:paraId="2237AC61" w14:textId="77777777"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257178" w:rsidRPr="00E141DF">
        <w:rPr>
          <w:rFonts w:ascii="Arial" w:hAnsi="Arial" w:cs="Arial"/>
          <w:sz w:val="20"/>
          <w:szCs w:val="20"/>
        </w:rPr>
        <w:t xml:space="preserve"> cats were treated with oral </w:t>
      </w:r>
      <w:proofErr w:type="spellStart"/>
      <w:r w:rsidR="00257178" w:rsidRPr="00E141DF">
        <w:rPr>
          <w:rFonts w:ascii="Arial" w:hAnsi="Arial" w:cs="Arial"/>
          <w:sz w:val="20"/>
          <w:szCs w:val="20"/>
        </w:rPr>
        <w:t>lomustine</w:t>
      </w:r>
      <w:proofErr w:type="spellEnd"/>
      <w:r w:rsidR="00257178" w:rsidRPr="00E141DF">
        <w:rPr>
          <w:rFonts w:ascii="Arial" w:hAnsi="Arial" w:cs="Arial"/>
          <w:sz w:val="20"/>
          <w:szCs w:val="20"/>
        </w:rPr>
        <w:t xml:space="preserve"> (10 mg/cat or 34–43 mg/m2) and either subcutaneous methylprednisolone acetate (4.2 mg/kg every 14 days) or oral prednisolon</w:t>
      </w:r>
      <w:r>
        <w:rPr>
          <w:rFonts w:ascii="Arial" w:hAnsi="Arial" w:cs="Arial"/>
          <w:sz w:val="20"/>
          <w:szCs w:val="20"/>
        </w:rPr>
        <w:t xml:space="preserve">e (2.9 mg/kg/day). </w:t>
      </w:r>
    </w:p>
    <w:p w14:paraId="4CDCCF7E" w14:textId="77777777"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r</w:t>
      </w:r>
      <w:r w:rsidR="00257178" w:rsidRPr="00E141DF">
        <w:rPr>
          <w:rFonts w:ascii="Arial" w:hAnsi="Arial" w:cs="Arial"/>
          <w:sz w:val="20"/>
          <w:szCs w:val="20"/>
        </w:rPr>
        <w:t xml:space="preserve">eceived L-asparaginase as an adjunct to treatment or a rescue therapy </w:t>
      </w:r>
      <w:r>
        <w:rPr>
          <w:rFonts w:ascii="Arial" w:hAnsi="Arial" w:cs="Arial"/>
          <w:sz w:val="20"/>
          <w:szCs w:val="20"/>
        </w:rPr>
        <w:t>during their treatment.</w:t>
      </w:r>
    </w:p>
    <w:p w14:paraId="4E10EED6" w14:textId="77777777" w:rsidR="00257178" w:rsidRPr="00BE202F" w:rsidRDefault="00BE202F" w:rsidP="0025717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1AA4C0" wp14:editId="762EFA14">
            <wp:simplePos x="0" y="0"/>
            <wp:positionH relativeFrom="column">
              <wp:posOffset>-44450</wp:posOffset>
            </wp:positionH>
            <wp:positionV relativeFrom="paragraph">
              <wp:posOffset>434975</wp:posOffset>
            </wp:positionV>
            <wp:extent cx="5943600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531" y="21381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41DF">
        <w:rPr>
          <w:rFonts w:ascii="Arial" w:hAnsi="Arial" w:cs="Arial"/>
          <w:sz w:val="20"/>
          <w:szCs w:val="20"/>
        </w:rPr>
        <w:t>2</w:t>
      </w:r>
      <w:r w:rsidR="00257178" w:rsidRPr="00E141DF">
        <w:rPr>
          <w:rFonts w:ascii="Arial" w:hAnsi="Arial" w:cs="Arial"/>
          <w:sz w:val="20"/>
          <w:szCs w:val="20"/>
        </w:rPr>
        <w:t xml:space="preserve"> treated with a CHOP-based protocol received intravenous (IV) mitoxantrone (6 mg/m2) as a rescue therapy in addition to the standard protocol.</w:t>
      </w:r>
    </w:p>
    <w:p w14:paraId="7AA76E51" w14:textId="77777777" w:rsidR="00E141DF" w:rsidRDefault="00BE202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Results/</w:t>
      </w:r>
      <w:r w:rsidR="00E141DF">
        <w:rPr>
          <w:rFonts w:ascii="Arial" w:hAnsi="Arial" w:cs="Arial"/>
          <w:sz w:val="20"/>
          <w:szCs w:val="20"/>
        </w:rPr>
        <w:t>Conclusions:</w:t>
      </w:r>
    </w:p>
    <w:p w14:paraId="04400CD2" w14:textId="77777777" w:rsid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GI perforation was confirmed in 4/23 cats (17%), and occurred at 23, 56, 59 and 87 days after induction of chemotherapy.   </w:t>
      </w:r>
    </w:p>
    <w:p w14:paraId="28387D47" w14:textId="77777777" w:rsidR="00BE202F" w:rsidRP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Perforation occurred 1 day after receiving vincristine, 19 days after receiving </w:t>
      </w:r>
      <w:proofErr w:type="spellStart"/>
      <w:r w:rsidRPr="00E141DF">
        <w:rPr>
          <w:rFonts w:ascii="Arial" w:hAnsi="Arial" w:cs="Arial"/>
          <w:sz w:val="20"/>
          <w:szCs w:val="20"/>
        </w:rPr>
        <w:t>lomustine</w:t>
      </w:r>
      <w:proofErr w:type="spellEnd"/>
      <w:r w:rsidRPr="00E141DF">
        <w:rPr>
          <w:rFonts w:ascii="Arial" w:hAnsi="Arial" w:cs="Arial"/>
          <w:sz w:val="20"/>
          <w:szCs w:val="20"/>
        </w:rPr>
        <w:t>, 3 days after receiving mitoxantrone and 3 days after rece</w:t>
      </w:r>
      <w:r>
        <w:rPr>
          <w:rFonts w:ascii="Arial" w:hAnsi="Arial" w:cs="Arial"/>
          <w:sz w:val="20"/>
          <w:szCs w:val="20"/>
        </w:rPr>
        <w:t>iving vincristine.</w:t>
      </w:r>
    </w:p>
    <w:p w14:paraId="1A2ACDFC" w14:textId="77777777" w:rsidR="00BE202F" w:rsidRPr="00BE202F" w:rsidRDefault="00BE202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The median time to perforation after induction of chemotherapy was 57.5 days (range 23–87 days).</w:t>
      </w:r>
    </w:p>
    <w:p w14:paraId="772CF112" w14:textId="77777777" w:rsidR="00E141DF" w:rsidRDefault="00E141DF" w:rsidP="00A329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is </w:t>
      </w:r>
      <w:r w:rsidR="00A329BD" w:rsidRPr="00E141DF">
        <w:rPr>
          <w:rFonts w:ascii="Arial" w:hAnsi="Arial" w:cs="Arial"/>
          <w:sz w:val="20"/>
          <w:szCs w:val="20"/>
        </w:rPr>
        <w:t xml:space="preserve">unlikely that apoptosis and cell death associated with </w:t>
      </w:r>
      <w:r w:rsidR="00A329BD" w:rsidRPr="00E141DF">
        <w:rPr>
          <w:rFonts w:ascii="Arial" w:hAnsi="Arial" w:cs="Arial"/>
          <w:sz w:val="20"/>
          <w:szCs w:val="20"/>
          <w:u w:val="single"/>
        </w:rPr>
        <w:t>induction</w:t>
      </w:r>
      <w:r>
        <w:rPr>
          <w:rFonts w:ascii="Arial" w:hAnsi="Arial" w:cs="Arial"/>
          <w:sz w:val="20"/>
          <w:szCs w:val="20"/>
        </w:rPr>
        <w:t xml:space="preserve"> of chemotherapy</w:t>
      </w:r>
      <w:r w:rsidR="00A329BD" w:rsidRPr="00E141DF">
        <w:rPr>
          <w:rFonts w:ascii="Arial" w:hAnsi="Arial" w:cs="Arial"/>
          <w:sz w:val="20"/>
          <w:szCs w:val="20"/>
        </w:rPr>
        <w:t xml:space="preserve"> caused GI perforation in these cats. </w:t>
      </w:r>
    </w:p>
    <w:p w14:paraId="1229260B" w14:textId="77777777" w:rsidR="00A329BD" w:rsidRPr="00E141DF" w:rsidRDefault="00A329BD" w:rsidP="00A329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Howe</w:t>
      </w:r>
      <w:r w:rsidR="00171511">
        <w:rPr>
          <w:rFonts w:ascii="Arial" w:hAnsi="Arial" w:cs="Arial"/>
          <w:sz w:val="20"/>
          <w:szCs w:val="20"/>
        </w:rPr>
        <w:t xml:space="preserve">ver, </w:t>
      </w:r>
      <w:r w:rsidRPr="00E141DF">
        <w:rPr>
          <w:rFonts w:ascii="Arial" w:hAnsi="Arial" w:cs="Arial"/>
          <w:sz w:val="20"/>
          <w:szCs w:val="20"/>
        </w:rPr>
        <w:t>GI perforation occur</w:t>
      </w:r>
      <w:r w:rsidR="00171511">
        <w:rPr>
          <w:rFonts w:ascii="Arial" w:hAnsi="Arial" w:cs="Arial"/>
          <w:sz w:val="20"/>
          <w:szCs w:val="20"/>
        </w:rPr>
        <w:t xml:space="preserve">red 1–3 days after a recent chemotherapy treatment or </w:t>
      </w:r>
      <w:r w:rsidRPr="00E141DF">
        <w:rPr>
          <w:rFonts w:ascii="Arial" w:hAnsi="Arial" w:cs="Arial"/>
          <w:sz w:val="20"/>
          <w:szCs w:val="20"/>
        </w:rPr>
        <w:t>after the introduction of a novel chemoth</w:t>
      </w:r>
      <w:r w:rsidR="00171511">
        <w:rPr>
          <w:rFonts w:ascii="Arial" w:hAnsi="Arial" w:cs="Arial"/>
          <w:sz w:val="20"/>
          <w:szCs w:val="20"/>
        </w:rPr>
        <w:t>erapy drug as a rescue therapy in 3 of 4 cats.</w:t>
      </w:r>
    </w:p>
    <w:p w14:paraId="4FA53A0E" w14:textId="77777777" w:rsidR="00522A3C" w:rsidRPr="00E141DF" w:rsidRDefault="00522A3C" w:rsidP="0017151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a combination of tumor cell death and progressive disease may have contributed to GI perforation.</w:t>
      </w:r>
    </w:p>
    <w:p w14:paraId="10B0FE8F" w14:textId="77777777" w:rsidR="002B2849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There was no association between tumor size, the presence of hypoproteinemia or suppurative inflammation within the mass at the time of diagnosis and subsequent perforation. </w:t>
      </w:r>
    </w:p>
    <w:p w14:paraId="712274C2" w14:textId="77777777" w:rsidR="00643DE4" w:rsidRPr="00BE202F" w:rsidRDefault="002B2849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M</w:t>
      </w:r>
      <w:r w:rsidR="00643DE4" w:rsidRPr="00E141DF">
        <w:rPr>
          <w:rFonts w:ascii="Arial" w:hAnsi="Arial" w:cs="Arial"/>
          <w:sz w:val="20"/>
          <w:szCs w:val="20"/>
        </w:rPr>
        <w:t xml:space="preserve">agnitude of weight loss </w:t>
      </w:r>
      <w:r w:rsidR="00171511">
        <w:rPr>
          <w:rFonts w:ascii="Arial" w:hAnsi="Arial" w:cs="Arial"/>
          <w:sz w:val="20"/>
          <w:szCs w:val="20"/>
        </w:rPr>
        <w:t>(&gt;5%) within 15–28 days of induction of chemo</w:t>
      </w:r>
      <w:r w:rsidR="00643DE4" w:rsidRPr="00E141DF">
        <w:rPr>
          <w:rFonts w:ascii="Arial" w:hAnsi="Arial" w:cs="Arial"/>
          <w:sz w:val="20"/>
          <w:szCs w:val="20"/>
        </w:rPr>
        <w:t xml:space="preserve"> </w:t>
      </w:r>
      <w:r w:rsidR="00522A3C" w:rsidRPr="00E141DF">
        <w:rPr>
          <w:rFonts w:ascii="Arial" w:hAnsi="Arial" w:cs="Arial"/>
          <w:sz w:val="20"/>
          <w:szCs w:val="20"/>
        </w:rPr>
        <w:t>was found to be significantly associated with perforation.</w:t>
      </w:r>
      <w:r w:rsidR="00171511" w:rsidRPr="00171511">
        <w:rPr>
          <w:rFonts w:ascii="Arial" w:hAnsi="Arial" w:cs="Arial"/>
          <w:sz w:val="20"/>
          <w:szCs w:val="20"/>
        </w:rPr>
        <w:t xml:space="preserve"> </w:t>
      </w:r>
    </w:p>
    <w:p w14:paraId="51E63B40" w14:textId="77777777" w:rsidR="001E4D50" w:rsidRDefault="001E4D50" w:rsidP="00A242E0"/>
    <w:p w14:paraId="087BDAFF" w14:textId="77777777" w:rsidR="00EE1F60" w:rsidRDefault="00EE1F60" w:rsidP="00A242E0"/>
    <w:p w14:paraId="128D2CD3" w14:textId="77777777" w:rsidR="003C017C" w:rsidRDefault="00EE1F60" w:rsidP="00A242E0">
      <w:r>
        <w:rPr>
          <w:noProof/>
        </w:rPr>
        <w:drawing>
          <wp:inline distT="0" distB="0" distL="0" distR="0" wp14:anchorId="033CCCCA" wp14:editId="4E891DD9">
            <wp:extent cx="5943600" cy="1348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D595E" w14:textId="77777777" w:rsidR="00171511" w:rsidRPr="00171511" w:rsidRDefault="00171511" w:rsidP="001715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2E5A4643" w14:textId="77777777" w:rsidR="001A72A1" w:rsidRPr="00171511" w:rsidRDefault="001A72A1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Hypoglycemia is also a significant concern when pursuing insulin therapy in cats with diabetes mellitus. </w:t>
      </w:r>
    </w:p>
    <w:p w14:paraId="58464D62" w14:textId="77777777"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In a quality-of-life study, &gt;50% of diabetic cat owners worried that a hypoglycemic episode might occur and 35% of owners indicated hypoglycemic episodes could possibly be occurring in their cats.</w:t>
      </w:r>
    </w:p>
    <w:p w14:paraId="1C1388AA" w14:textId="77777777"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Investigational studies have found that asymptomatic hypoglycemia is common in cats on insulin therapy.</w:t>
      </w:r>
    </w:p>
    <w:p w14:paraId="346E8FFD" w14:textId="77777777" w:rsidR="001A72A1" w:rsidRPr="00171511" w:rsidRDefault="001A72A1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As </w:t>
      </w:r>
      <w:r w:rsidR="00301DE4" w:rsidRPr="00171511">
        <w:rPr>
          <w:rFonts w:ascii="Arial" w:hAnsi="Arial" w:cs="Arial"/>
          <w:sz w:val="20"/>
          <w:szCs w:val="20"/>
        </w:rPr>
        <w:t>recommendations for treating DM and the types in insulin has changed over the last 25</w:t>
      </w:r>
      <w:r w:rsidRPr="00171511">
        <w:rPr>
          <w:rFonts w:ascii="Arial" w:hAnsi="Arial" w:cs="Arial"/>
          <w:sz w:val="20"/>
          <w:szCs w:val="20"/>
        </w:rPr>
        <w:t xml:space="preserve"> years</w:t>
      </w:r>
      <w:r w:rsidR="00301DE4" w:rsidRPr="00171511">
        <w:rPr>
          <w:rFonts w:ascii="Arial" w:hAnsi="Arial" w:cs="Arial"/>
          <w:sz w:val="20"/>
          <w:szCs w:val="20"/>
        </w:rPr>
        <w:t>,</w:t>
      </w:r>
      <w:r w:rsidRPr="00171511">
        <w:rPr>
          <w:rFonts w:ascii="Arial" w:hAnsi="Arial" w:cs="Arial"/>
          <w:sz w:val="20"/>
          <w:szCs w:val="20"/>
        </w:rPr>
        <w:t xml:space="preserve"> and </w:t>
      </w:r>
      <w:r w:rsidR="00301DE4" w:rsidRPr="00171511">
        <w:rPr>
          <w:rFonts w:ascii="Arial" w:hAnsi="Arial" w:cs="Arial"/>
          <w:sz w:val="20"/>
          <w:szCs w:val="20"/>
        </w:rPr>
        <w:t>as clinicians may be using more intensive treatment protocols to</w:t>
      </w:r>
      <w:r w:rsidRPr="00171511">
        <w:rPr>
          <w:rFonts w:ascii="Arial" w:hAnsi="Arial" w:cs="Arial"/>
          <w:sz w:val="20"/>
          <w:szCs w:val="20"/>
        </w:rPr>
        <w:t xml:space="preserve"> help patients achieve diabetic remission, this study wanted to:</w:t>
      </w:r>
    </w:p>
    <w:p w14:paraId="1096B986" w14:textId="77777777"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1) </w:t>
      </w:r>
      <w:r w:rsidR="003C017C" w:rsidRPr="00171511">
        <w:rPr>
          <w:rFonts w:ascii="Arial" w:hAnsi="Arial" w:cs="Arial"/>
          <w:sz w:val="20"/>
          <w:szCs w:val="20"/>
        </w:rPr>
        <w:t>review the characteristics of diabetic cats receiving insulin therapy presenting to a specialty and emergency center for clinical signs</w:t>
      </w:r>
      <w:r w:rsidRPr="00171511">
        <w:rPr>
          <w:rFonts w:ascii="Arial" w:hAnsi="Arial" w:cs="Arial"/>
          <w:sz w:val="20"/>
          <w:szCs w:val="20"/>
        </w:rPr>
        <w:t xml:space="preserve"> attributed to hypoglycemia and</w:t>
      </w:r>
    </w:p>
    <w:p w14:paraId="015810A4" w14:textId="77777777" w:rsidR="001A72A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2)</w:t>
      </w:r>
      <w:r w:rsidR="003C017C" w:rsidRPr="00171511">
        <w:rPr>
          <w:rFonts w:ascii="Arial" w:hAnsi="Arial" w:cs="Arial"/>
          <w:sz w:val="20"/>
          <w:szCs w:val="20"/>
        </w:rPr>
        <w:t xml:space="preserve"> identify the factors that may have contributed to the hypoglycemic episode, the patient’s clinical signs and laboratory findings, and the response of hypoglycemic cats to therapy.</w:t>
      </w:r>
    </w:p>
    <w:p w14:paraId="2A831794" w14:textId="77777777" w:rsidR="00171511" w:rsidRPr="00171511" w:rsidRDefault="00171511" w:rsidP="001715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022C64DC" w14:textId="77777777"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Prospective study</w:t>
      </w:r>
    </w:p>
    <w:p w14:paraId="7C25ED99" w14:textId="77777777" w:rsidR="00171511" w:rsidRDefault="001A72A1" w:rsidP="002F2A8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lastRenderedPageBreak/>
        <w:t>28</w:t>
      </w:r>
      <w:r w:rsidR="00301DE4" w:rsidRPr="00171511">
        <w:rPr>
          <w:rFonts w:ascii="Arial" w:hAnsi="Arial" w:cs="Arial"/>
          <w:sz w:val="20"/>
          <w:szCs w:val="20"/>
        </w:rPr>
        <w:t xml:space="preserve"> cats were presented a specialty and emergency facility a </w:t>
      </w:r>
      <w:r w:rsidR="003C017C" w:rsidRPr="00171511">
        <w:rPr>
          <w:rFonts w:ascii="Arial" w:hAnsi="Arial" w:cs="Arial"/>
          <w:sz w:val="20"/>
          <w:szCs w:val="20"/>
        </w:rPr>
        <w:t>total of 30 tim</w:t>
      </w:r>
      <w:r w:rsidR="00301DE4" w:rsidRPr="00171511">
        <w:rPr>
          <w:rFonts w:ascii="Arial" w:hAnsi="Arial" w:cs="Arial"/>
          <w:sz w:val="20"/>
          <w:szCs w:val="20"/>
        </w:rPr>
        <w:t>es for symptomatic hypoglycemia between March 2013 and Dec 2015. (</w:t>
      </w:r>
      <w:proofErr w:type="spellStart"/>
      <w:r w:rsidR="00301DE4" w:rsidRPr="00171511">
        <w:rPr>
          <w:rFonts w:ascii="Arial" w:hAnsi="Arial" w:cs="Arial"/>
          <w:sz w:val="20"/>
          <w:szCs w:val="20"/>
        </w:rPr>
        <w:t>hypoBG</w:t>
      </w:r>
      <w:proofErr w:type="spellEnd"/>
      <w:r w:rsidR="00301DE4" w:rsidRPr="00171511">
        <w:rPr>
          <w:rFonts w:ascii="Arial" w:hAnsi="Arial" w:cs="Arial"/>
          <w:sz w:val="20"/>
          <w:szCs w:val="20"/>
        </w:rPr>
        <w:t xml:space="preserve"> defined as &lt;65mg/dL)</w:t>
      </w:r>
      <w:r w:rsidR="00B30A2A" w:rsidRPr="00171511">
        <w:rPr>
          <w:rFonts w:ascii="Arial" w:hAnsi="Arial" w:cs="Arial"/>
          <w:sz w:val="20"/>
          <w:szCs w:val="20"/>
        </w:rPr>
        <w:t xml:space="preserve">.  </w:t>
      </w:r>
    </w:p>
    <w:p w14:paraId="56190C71" w14:textId="77777777" w:rsidR="002F2A88" w:rsidRPr="00171511" w:rsidRDefault="00171511" w:rsidP="002F2A8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Cats c</w:t>
      </w:r>
      <w:r w:rsidR="00B30A2A" w:rsidRPr="00171511">
        <w:rPr>
          <w:rFonts w:ascii="Arial" w:hAnsi="Arial" w:cs="Arial"/>
          <w:sz w:val="20"/>
          <w:szCs w:val="20"/>
        </w:rPr>
        <w:t>ategorized into:</w:t>
      </w:r>
    </w:p>
    <w:p w14:paraId="19FF3BF8" w14:textId="77777777"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Mentally dull, weak, ataxic but responsive (n= 14)</w:t>
      </w:r>
      <w:r w:rsidR="00171511">
        <w:rPr>
          <w:rFonts w:ascii="Arial" w:hAnsi="Arial" w:cs="Arial"/>
          <w:sz w:val="20"/>
          <w:szCs w:val="20"/>
        </w:rPr>
        <w:t xml:space="preserve"> at presentation</w:t>
      </w:r>
    </w:p>
    <w:p w14:paraId="6FAC68AA" w14:textId="77777777"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Stupor or coma (n= 15)</w:t>
      </w:r>
    </w:p>
    <w:p w14:paraId="44383E37" w14:textId="77777777"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Normal (n=1)</w:t>
      </w:r>
    </w:p>
    <w:p w14:paraId="3CB79295" w14:textId="77777777"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BG ‘low’ &lt; 20mg/dL subcategorized (n= 10 with stupor/coma; n=4 dull, weak, ataxic)</w:t>
      </w:r>
    </w:p>
    <w:p w14:paraId="697F265C" w14:textId="77777777"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13 on glargine, 10 on protamine zinc insulin, 6 NPH, 1 porcine insulin; all cats dosed 2x daily</w:t>
      </w:r>
    </w:p>
    <w:p w14:paraId="4DEF7528" w14:textId="77777777"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Median dose was 0.8 U/kg</w:t>
      </w:r>
      <w:r w:rsidR="00F53E59" w:rsidRPr="00171511">
        <w:rPr>
          <w:rFonts w:ascii="Arial" w:hAnsi="Arial" w:cs="Arial"/>
          <w:sz w:val="20"/>
          <w:szCs w:val="20"/>
        </w:rPr>
        <w:t xml:space="preserve"> (range 0.2–1.8 U/kg)</w:t>
      </w:r>
    </w:p>
    <w:p w14:paraId="766E6249" w14:textId="77777777" w:rsidR="00F53E59" w:rsidRPr="00171511" w:rsidRDefault="00F53E59" w:rsidP="003E1E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7 cats (23%) had had their insulin dose increased within 3 months of their initial presentation, 3 cats (10%) had had their dose decreased. 2 cats presented twice during the study period - insulin dose had been decreased from an average 1.2 U/kg to 0.6 U/kg per dose prior to the second presentation.  6 had a previous hypoglycemic event prior to study.</w:t>
      </w:r>
    </w:p>
    <w:p w14:paraId="03BD73CC" w14:textId="77777777" w:rsidR="00761438" w:rsidRPr="00761438" w:rsidRDefault="00761438" w:rsidP="007614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Conclusions:</w:t>
      </w:r>
    </w:p>
    <w:p w14:paraId="16101488" w14:textId="77777777" w:rsidR="00BE202F" w:rsidRP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16/30 </w:t>
      </w:r>
      <w:r>
        <w:rPr>
          <w:rFonts w:ascii="Arial" w:hAnsi="Arial" w:cs="Arial"/>
          <w:sz w:val="20"/>
          <w:szCs w:val="20"/>
        </w:rPr>
        <w:t xml:space="preserve">cases </w:t>
      </w:r>
      <w:r w:rsidRPr="00171511">
        <w:rPr>
          <w:rFonts w:ascii="Arial" w:hAnsi="Arial" w:cs="Arial"/>
          <w:sz w:val="20"/>
          <w:szCs w:val="20"/>
        </w:rPr>
        <w:t xml:space="preserve">attributed </w:t>
      </w:r>
      <w:r>
        <w:rPr>
          <w:rFonts w:ascii="Arial" w:hAnsi="Arial" w:cs="Arial"/>
          <w:sz w:val="20"/>
          <w:szCs w:val="20"/>
        </w:rPr>
        <w:t xml:space="preserve">hypoglycemic event </w:t>
      </w:r>
      <w:r w:rsidRPr="00171511">
        <w:rPr>
          <w:rFonts w:ascii="Arial" w:hAnsi="Arial" w:cs="Arial"/>
          <w:sz w:val="20"/>
          <w:szCs w:val="20"/>
        </w:rPr>
        <w:t xml:space="preserve">to reduced ingestion or subsequent vomiting of a meal after insulin had been administered or the accidental double-dosing of insulin. </w:t>
      </w:r>
    </w:p>
    <w:p w14:paraId="01F05A76" w14:textId="77777777" w:rsidR="00761438" w:rsidRDefault="00761438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Cause of hypoglycemia unknown in 14/30 cases.  </w:t>
      </w:r>
    </w:p>
    <w:p w14:paraId="7CCB050E" w14:textId="77777777"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18/30 cats has resolved signs within 2 </w:t>
      </w:r>
      <w:proofErr w:type="spellStart"/>
      <w:r w:rsidRPr="00171511">
        <w:rPr>
          <w:rFonts w:ascii="Arial" w:hAnsi="Arial" w:cs="Arial"/>
          <w:sz w:val="20"/>
          <w:szCs w:val="20"/>
        </w:rPr>
        <w:t>hrs</w:t>
      </w:r>
      <w:proofErr w:type="spellEnd"/>
    </w:p>
    <w:p w14:paraId="138DE007" w14:textId="77777777"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13/14 dull, weak, ataxic cats had neurologic improvement in 12 hours and complete resolution w/in 48hr</w:t>
      </w:r>
    </w:p>
    <w:p w14:paraId="44D8335A" w14:textId="77777777"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9/15 stupor/coma cats had improvement at 12hr and </w:t>
      </w:r>
      <w:r>
        <w:rPr>
          <w:rFonts w:ascii="Arial" w:hAnsi="Arial" w:cs="Arial"/>
          <w:sz w:val="20"/>
          <w:szCs w:val="20"/>
        </w:rPr>
        <w:t xml:space="preserve">were </w:t>
      </w:r>
      <w:r w:rsidRPr="00171511">
        <w:rPr>
          <w:rFonts w:ascii="Arial" w:hAnsi="Arial" w:cs="Arial"/>
          <w:sz w:val="20"/>
          <w:szCs w:val="20"/>
        </w:rPr>
        <w:t>discharged within 96 hours; 6 others were euthanized</w:t>
      </w:r>
      <w:r>
        <w:rPr>
          <w:rFonts w:ascii="Arial" w:hAnsi="Arial" w:cs="Arial"/>
          <w:sz w:val="20"/>
          <w:szCs w:val="20"/>
        </w:rPr>
        <w:t xml:space="preserve"> for lack of improvement</w:t>
      </w:r>
    </w:p>
    <w:p w14:paraId="3536D020" w14:textId="77777777" w:rsidR="0075139D" w:rsidRPr="00171511" w:rsidRDefault="0075139D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10 cats had concurrent illness </w:t>
      </w:r>
      <w:r w:rsidR="00761438">
        <w:rPr>
          <w:rFonts w:ascii="Arial" w:hAnsi="Arial" w:cs="Arial"/>
          <w:sz w:val="20"/>
          <w:szCs w:val="20"/>
        </w:rPr>
        <w:t>– this</w:t>
      </w:r>
      <w:r w:rsidRPr="00171511">
        <w:rPr>
          <w:rFonts w:ascii="Arial" w:hAnsi="Arial" w:cs="Arial"/>
          <w:sz w:val="20"/>
          <w:szCs w:val="20"/>
        </w:rPr>
        <w:t xml:space="preserve"> may have been a cause of change of insulin requirement</w:t>
      </w:r>
    </w:p>
    <w:p w14:paraId="12DB1998" w14:textId="77777777" w:rsidR="0075139D" w:rsidRPr="00171511" w:rsidRDefault="0075139D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If </w:t>
      </w:r>
      <w:r w:rsidR="00761438">
        <w:rPr>
          <w:rFonts w:ascii="Arial" w:hAnsi="Arial" w:cs="Arial"/>
          <w:sz w:val="20"/>
          <w:szCs w:val="20"/>
        </w:rPr>
        <w:t xml:space="preserve">neurologic </w:t>
      </w:r>
      <w:r w:rsidRPr="00171511">
        <w:rPr>
          <w:rFonts w:ascii="Arial" w:hAnsi="Arial" w:cs="Arial"/>
          <w:sz w:val="20"/>
          <w:szCs w:val="20"/>
        </w:rPr>
        <w:t xml:space="preserve">improvement was seen within 12 hours of treatment, the more likely the cat was to recover despite </w:t>
      </w:r>
      <w:r w:rsidR="0050116D" w:rsidRPr="00171511">
        <w:rPr>
          <w:rFonts w:ascii="Arial" w:hAnsi="Arial" w:cs="Arial"/>
          <w:sz w:val="20"/>
          <w:szCs w:val="20"/>
        </w:rPr>
        <w:t>mental status or glucose level at presentation.</w:t>
      </w:r>
    </w:p>
    <w:p w14:paraId="7A719802" w14:textId="77777777" w:rsidR="0075139D" w:rsidRDefault="0075139D" w:rsidP="0075139D"/>
    <w:p w14:paraId="72E182FA" w14:textId="77777777" w:rsidR="00196941" w:rsidRDefault="0050116D" w:rsidP="00A242E0">
      <w:r>
        <w:rPr>
          <w:noProof/>
        </w:rPr>
        <w:drawing>
          <wp:inline distT="0" distB="0" distL="0" distR="0" wp14:anchorId="7D4AFE13" wp14:editId="4102137E">
            <wp:extent cx="5943600" cy="25228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B392" w14:textId="77777777" w:rsidR="0050116D" w:rsidRPr="00761438" w:rsidRDefault="00761438" w:rsidP="00A242E0">
      <w:p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Background:</w:t>
      </w:r>
    </w:p>
    <w:p w14:paraId="2877C088" w14:textId="77777777" w:rsidR="00C27A6F" w:rsidRPr="00761438" w:rsidRDefault="0050116D" w:rsidP="0050116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Thermography is a painless, non-invasive, non- </w:t>
      </w:r>
      <w:r w:rsidR="00C27A6F" w:rsidRPr="00761438">
        <w:rPr>
          <w:rFonts w:ascii="Arial" w:hAnsi="Arial" w:cs="Arial"/>
          <w:sz w:val="20"/>
          <w:szCs w:val="20"/>
        </w:rPr>
        <w:t>ionizing</w:t>
      </w:r>
      <w:r w:rsidRPr="00761438">
        <w:rPr>
          <w:rFonts w:ascii="Arial" w:hAnsi="Arial" w:cs="Arial"/>
          <w:sz w:val="20"/>
          <w:szCs w:val="20"/>
        </w:rPr>
        <w:t xml:space="preserve"> diagno</w:t>
      </w:r>
      <w:r w:rsidR="00C27A6F" w:rsidRPr="00761438">
        <w:rPr>
          <w:rFonts w:ascii="Arial" w:hAnsi="Arial" w:cs="Arial"/>
          <w:sz w:val="20"/>
          <w:szCs w:val="20"/>
        </w:rPr>
        <w:t>stic imaging technique that records</w:t>
      </w:r>
      <w:r w:rsidRPr="00761438">
        <w:rPr>
          <w:rFonts w:ascii="Arial" w:hAnsi="Arial" w:cs="Arial"/>
          <w:sz w:val="20"/>
          <w:szCs w:val="20"/>
        </w:rPr>
        <w:t xml:space="preserve"> the cutaneous thermal patterns generated by</w:t>
      </w:r>
      <w:r w:rsidR="00C27A6F" w:rsidRPr="00761438">
        <w:rPr>
          <w:rFonts w:ascii="Arial" w:hAnsi="Arial" w:cs="Arial"/>
          <w:sz w:val="20"/>
          <w:szCs w:val="20"/>
        </w:rPr>
        <w:t xml:space="preserve"> the emission of surface heat.</w:t>
      </w:r>
    </w:p>
    <w:p w14:paraId="1521E8BE" w14:textId="77777777"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H</w:t>
      </w:r>
      <w:r w:rsidR="0050116D" w:rsidRPr="00761438">
        <w:rPr>
          <w:rFonts w:ascii="Arial" w:hAnsi="Arial" w:cs="Arial"/>
          <w:sz w:val="20"/>
          <w:szCs w:val="20"/>
        </w:rPr>
        <w:t xml:space="preserve">as been used in dogs for the diagnosis </w:t>
      </w:r>
      <w:r w:rsidRPr="00761438">
        <w:rPr>
          <w:rFonts w:ascii="Arial" w:hAnsi="Arial" w:cs="Arial"/>
          <w:sz w:val="20"/>
          <w:szCs w:val="20"/>
        </w:rPr>
        <w:t xml:space="preserve">of femoral arterial thrombosis, mammary tumor, thoracolumbar disc disease, </w:t>
      </w:r>
      <w:r w:rsidR="0050116D" w:rsidRPr="00761438">
        <w:rPr>
          <w:rFonts w:ascii="Arial" w:hAnsi="Arial" w:cs="Arial"/>
          <w:sz w:val="20"/>
          <w:szCs w:val="20"/>
        </w:rPr>
        <w:t>and crani</w:t>
      </w:r>
      <w:r w:rsidRPr="00761438">
        <w:rPr>
          <w:rFonts w:ascii="Arial" w:hAnsi="Arial" w:cs="Arial"/>
          <w:sz w:val="20"/>
          <w:szCs w:val="20"/>
        </w:rPr>
        <w:t>al cruciate ligament rupture.</w:t>
      </w:r>
    </w:p>
    <w:p w14:paraId="50EA7180" w14:textId="77777777" w:rsidR="00C27A6F" w:rsidRPr="00761438" w:rsidRDefault="0093307A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 humans,</w:t>
      </w:r>
      <w:r w:rsidR="0050116D" w:rsidRPr="00761438">
        <w:rPr>
          <w:rFonts w:ascii="Arial" w:hAnsi="Arial" w:cs="Arial"/>
          <w:sz w:val="20"/>
          <w:szCs w:val="20"/>
        </w:rPr>
        <w:t xml:space="preserve"> is an accurate imaging technique for diagn</w:t>
      </w:r>
      <w:r>
        <w:rPr>
          <w:rFonts w:ascii="Arial" w:hAnsi="Arial" w:cs="Arial"/>
          <w:sz w:val="20"/>
          <w:szCs w:val="20"/>
        </w:rPr>
        <w:t>osis of ATE</w:t>
      </w:r>
      <w:r w:rsidR="0050116D" w:rsidRPr="00761438">
        <w:rPr>
          <w:rFonts w:ascii="Arial" w:hAnsi="Arial" w:cs="Arial"/>
          <w:sz w:val="20"/>
          <w:szCs w:val="20"/>
        </w:rPr>
        <w:t xml:space="preserve"> in infants and deep v</w:t>
      </w:r>
      <w:r>
        <w:rPr>
          <w:rFonts w:ascii="Arial" w:hAnsi="Arial" w:cs="Arial"/>
          <w:sz w:val="20"/>
          <w:szCs w:val="20"/>
        </w:rPr>
        <w:t>enous thrombosis</w:t>
      </w:r>
      <w:r w:rsidR="00C27A6F" w:rsidRPr="00761438">
        <w:rPr>
          <w:rFonts w:ascii="Arial" w:hAnsi="Arial" w:cs="Arial"/>
          <w:sz w:val="20"/>
          <w:szCs w:val="20"/>
        </w:rPr>
        <w:t xml:space="preserve"> in adults.</w:t>
      </w:r>
    </w:p>
    <w:p w14:paraId="4D112958" w14:textId="77777777" w:rsidR="00C27A6F" w:rsidRPr="00761438" w:rsidRDefault="0050116D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 purpose of this study was to evaluate the diagnostic accuracy of infrared thermography as</w:t>
      </w:r>
      <w:r w:rsidR="0093307A">
        <w:rPr>
          <w:rFonts w:ascii="Arial" w:hAnsi="Arial" w:cs="Arial"/>
          <w:sz w:val="20"/>
          <w:szCs w:val="20"/>
        </w:rPr>
        <w:t xml:space="preserve"> a new diagnostic tool for FATE cats.  </w:t>
      </w:r>
      <w:r w:rsidRPr="00761438">
        <w:rPr>
          <w:rFonts w:ascii="Arial" w:hAnsi="Arial" w:cs="Arial"/>
          <w:sz w:val="20"/>
          <w:szCs w:val="20"/>
        </w:rPr>
        <w:t xml:space="preserve"> </w:t>
      </w:r>
      <w:r w:rsidR="00C27A6F" w:rsidRPr="00761438">
        <w:rPr>
          <w:rFonts w:ascii="Arial" w:hAnsi="Arial" w:cs="Arial"/>
          <w:sz w:val="20"/>
          <w:szCs w:val="20"/>
        </w:rPr>
        <w:tab/>
      </w:r>
    </w:p>
    <w:p w14:paraId="266BF9C0" w14:textId="77777777" w:rsidR="0093307A" w:rsidRPr="0093307A" w:rsidRDefault="0093307A" w:rsidP="009330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1758F9FE" w14:textId="77777777" w:rsidR="00C27A6F" w:rsidRPr="00761438" w:rsidRDefault="00C27A6F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Prospective study between June 2015 and April 2017 for cats admitted to ICU for acute hind limb paralysis</w:t>
      </w:r>
    </w:p>
    <w:p w14:paraId="4B7B4470" w14:textId="77777777"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FATE (n=10) diagnosed via ultrasound</w:t>
      </w:r>
    </w:p>
    <w:p w14:paraId="52FD5B3F" w14:textId="77777777"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Control (n= ) paralysis not related to ischemic process, diagnosed by XR, CT, MRI, CSF</w:t>
      </w:r>
    </w:p>
    <w:p w14:paraId="5CA26291" w14:textId="77777777" w:rsidR="00C27A6F" w:rsidRPr="00761438" w:rsidRDefault="00C27A6F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Thermal imaging was performed on all FATE and control cats (3 views taken – all 4 limbs, ipsilateral forelimb/hindlimb view right and left side)</w:t>
      </w:r>
    </w:p>
    <w:p w14:paraId="5CAC36FB" w14:textId="77777777" w:rsidR="00C17983" w:rsidRPr="00761438" w:rsidRDefault="008F0D99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 maximum (</w:t>
      </w:r>
      <w:proofErr w:type="spellStart"/>
      <w:r w:rsidRPr="00761438">
        <w:rPr>
          <w:rFonts w:ascii="Arial" w:hAnsi="Arial" w:cs="Arial"/>
          <w:sz w:val="20"/>
          <w:szCs w:val="20"/>
        </w:rPr>
        <w:t>Tmax</w:t>
      </w:r>
      <w:proofErr w:type="spellEnd"/>
      <w:r w:rsidRPr="00761438">
        <w:rPr>
          <w:rFonts w:ascii="Arial" w:hAnsi="Arial" w:cs="Arial"/>
          <w:sz w:val="20"/>
          <w:szCs w:val="20"/>
        </w:rPr>
        <w:t>), minimum (</w:t>
      </w:r>
      <w:proofErr w:type="spellStart"/>
      <w:r w:rsidRPr="00761438">
        <w:rPr>
          <w:rFonts w:ascii="Arial" w:hAnsi="Arial" w:cs="Arial"/>
          <w:sz w:val="20"/>
          <w:szCs w:val="20"/>
        </w:rPr>
        <w:t>Tmin</w:t>
      </w:r>
      <w:proofErr w:type="spellEnd"/>
      <w:r w:rsidRPr="00761438">
        <w:rPr>
          <w:rFonts w:ascii="Arial" w:hAnsi="Arial" w:cs="Arial"/>
          <w:sz w:val="20"/>
          <w:szCs w:val="20"/>
        </w:rPr>
        <w:t>) and average (</w:t>
      </w:r>
      <w:proofErr w:type="spellStart"/>
      <w:r w:rsidRPr="00761438">
        <w:rPr>
          <w:rFonts w:ascii="Arial" w:hAnsi="Arial" w:cs="Arial"/>
          <w:sz w:val="20"/>
          <w:szCs w:val="20"/>
        </w:rPr>
        <w:t>Tav</w:t>
      </w:r>
      <w:proofErr w:type="spellEnd"/>
      <w:r w:rsidRPr="00761438">
        <w:rPr>
          <w:rFonts w:ascii="Arial" w:hAnsi="Arial" w:cs="Arial"/>
          <w:sz w:val="20"/>
          <w:szCs w:val="20"/>
        </w:rPr>
        <w:t>) temperatures were determined for each of the four limbs within a hand-drawn region of interest on the dorsal limb extremity.</w:t>
      </w:r>
    </w:p>
    <w:p w14:paraId="55C62103" w14:textId="77777777" w:rsidR="00797C0F" w:rsidRPr="00761438" w:rsidRDefault="0093307A" w:rsidP="00797C0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97C0F" w:rsidRPr="00761438">
        <w:rPr>
          <w:rFonts w:ascii="Arial" w:hAnsi="Arial" w:cs="Arial"/>
          <w:sz w:val="20"/>
          <w:szCs w:val="20"/>
        </w:rPr>
        <w:t xml:space="preserve">emperature differences between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Tmax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Tmin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Tav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of forelimb (non-affected) and hindlimb (affected) were calculated between: (1) ΔT – the forelimb with the highest temperature and the hindlimb with the highest </w:t>
      </w:r>
      <w:r>
        <w:rPr>
          <w:rFonts w:ascii="Arial" w:hAnsi="Arial" w:cs="Arial"/>
          <w:sz w:val="20"/>
          <w:szCs w:val="20"/>
        </w:rPr>
        <w:t>temperature</w:t>
      </w:r>
      <w:r w:rsidR="00797C0F" w:rsidRPr="00761438">
        <w:rPr>
          <w:rFonts w:ascii="Arial" w:hAnsi="Arial" w:cs="Arial"/>
          <w:sz w:val="20"/>
          <w:szCs w:val="20"/>
        </w:rPr>
        <w:t xml:space="preserve">; (2)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forelimb with the lowest temperature and the hindlimb with the lowest </w:t>
      </w:r>
      <w:r>
        <w:rPr>
          <w:rFonts w:ascii="Arial" w:hAnsi="Arial" w:cs="Arial"/>
          <w:sz w:val="20"/>
          <w:szCs w:val="20"/>
        </w:rPr>
        <w:t>temperature;</w:t>
      </w:r>
      <w:r w:rsidR="00797C0F" w:rsidRPr="00761438">
        <w:rPr>
          <w:rFonts w:ascii="Arial" w:hAnsi="Arial" w:cs="Arial"/>
          <w:sz w:val="20"/>
          <w:szCs w:val="20"/>
        </w:rPr>
        <w:t xml:space="preserve">; (3)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RightΔT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right for</w:t>
      </w:r>
      <w:r>
        <w:rPr>
          <w:rFonts w:ascii="Arial" w:hAnsi="Arial" w:cs="Arial"/>
          <w:sz w:val="20"/>
          <w:szCs w:val="20"/>
        </w:rPr>
        <w:t>elimb and the right hindlimb</w:t>
      </w:r>
      <w:r w:rsidR="00797C0F" w:rsidRPr="00761438">
        <w:rPr>
          <w:rFonts w:ascii="Arial" w:hAnsi="Arial" w:cs="Arial"/>
          <w:sz w:val="20"/>
          <w:szCs w:val="20"/>
        </w:rPr>
        <w:t xml:space="preserve">; (4)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LeftΔT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left </w:t>
      </w:r>
      <w:r>
        <w:rPr>
          <w:rFonts w:ascii="Arial" w:hAnsi="Arial" w:cs="Arial"/>
          <w:sz w:val="20"/>
          <w:szCs w:val="20"/>
        </w:rPr>
        <w:t>forelimb and the left hindlimb</w:t>
      </w:r>
    </w:p>
    <w:p w14:paraId="2CED4429" w14:textId="77777777" w:rsidR="0093307A" w:rsidRDefault="0093307A" w:rsidP="0093307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Results/Conclusion:</w:t>
      </w:r>
    </w:p>
    <w:p w14:paraId="255CAB18" w14:textId="77777777" w:rsidR="00C17983" w:rsidRPr="0093307A" w:rsidRDefault="00C17983" w:rsidP="0093307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3307A">
        <w:rPr>
          <w:rFonts w:ascii="Arial" w:hAnsi="Arial" w:cs="Arial"/>
          <w:sz w:val="20"/>
          <w:szCs w:val="20"/>
        </w:rPr>
        <w:t xml:space="preserve">A difference of at least 2.4 degree Celsius between the ipsilateral non-affected and affected limbs had 100% specificity and PPV for detecting FATE </w:t>
      </w:r>
    </w:p>
    <w:p w14:paraId="6F1C7528" w14:textId="77777777" w:rsidR="00C17983" w:rsidRPr="00761438" w:rsidRDefault="00C17983" w:rsidP="0093307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This temperature difference may be too low to detect on PE but can be picked up on thermography </w:t>
      </w:r>
    </w:p>
    <w:p w14:paraId="31C77DA3" w14:textId="77777777" w:rsidR="00C17983" w:rsidRPr="00761438" w:rsidRDefault="00C17983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Due to small populatio</w:t>
      </w:r>
      <w:r w:rsidR="00797C0F" w:rsidRPr="00761438">
        <w:rPr>
          <w:rFonts w:ascii="Arial" w:hAnsi="Arial" w:cs="Arial"/>
          <w:sz w:val="20"/>
          <w:szCs w:val="20"/>
        </w:rPr>
        <w:t xml:space="preserve">n size, a larger pool is needed for confirmation.  </w:t>
      </w:r>
    </w:p>
    <w:p w14:paraId="4D2BA4AA" w14:textId="77777777" w:rsidR="00797C0F" w:rsidRPr="00761438" w:rsidRDefault="00797C0F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Thermography may be a promising </w:t>
      </w:r>
      <w:proofErr w:type="spellStart"/>
      <w:r w:rsidRPr="00761438">
        <w:rPr>
          <w:rFonts w:ascii="Arial" w:hAnsi="Arial" w:cs="Arial"/>
          <w:sz w:val="20"/>
          <w:szCs w:val="20"/>
        </w:rPr>
        <w:t>non invasive</w:t>
      </w:r>
      <w:proofErr w:type="spellEnd"/>
      <w:r w:rsidRPr="00761438">
        <w:rPr>
          <w:rFonts w:ascii="Arial" w:hAnsi="Arial" w:cs="Arial"/>
          <w:sz w:val="20"/>
          <w:szCs w:val="20"/>
        </w:rPr>
        <w:t xml:space="preserve"> diagnostic tool for FATE.</w:t>
      </w:r>
    </w:p>
    <w:p w14:paraId="1E58EE6B" w14:textId="77777777" w:rsidR="0093307A" w:rsidRDefault="0093307A" w:rsidP="005A0B09"/>
    <w:p w14:paraId="54BF3E7C" w14:textId="77777777" w:rsidR="003C0225" w:rsidRDefault="003C0225" w:rsidP="005A0B09">
      <w:r>
        <w:rPr>
          <w:noProof/>
        </w:rPr>
        <w:drawing>
          <wp:inline distT="0" distB="0" distL="0" distR="0" wp14:anchorId="07B29488" wp14:editId="68F8CB05">
            <wp:extent cx="5943600" cy="18389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FD0E" w14:textId="77777777" w:rsidR="003C0225" w:rsidRDefault="003C0225" w:rsidP="005A0B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1E14CC0B" w14:textId="77777777"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 xml:space="preserve">The classification of effusions as transudates, modified transudates and exudates is traditionally based on measurement of protein concentration, specific gravity and total nucleated cell counts, in order to </w:t>
      </w:r>
      <w:r w:rsidR="00FC69E2" w:rsidRPr="003C0225">
        <w:rPr>
          <w:rFonts w:ascii="Arial" w:hAnsi="Arial" w:cs="Arial"/>
          <w:sz w:val="20"/>
          <w:szCs w:val="20"/>
        </w:rPr>
        <w:t>characterize</w:t>
      </w:r>
      <w:r w:rsidRPr="003C0225">
        <w:rPr>
          <w:rFonts w:ascii="Arial" w:hAnsi="Arial" w:cs="Arial"/>
          <w:sz w:val="20"/>
          <w:szCs w:val="20"/>
        </w:rPr>
        <w:t xml:space="preserve"> them as transudates, modi</w:t>
      </w:r>
      <w:r>
        <w:rPr>
          <w:rFonts w:ascii="Arial" w:hAnsi="Arial" w:cs="Arial"/>
          <w:sz w:val="20"/>
          <w:szCs w:val="20"/>
        </w:rPr>
        <w:t>fied transudates and exudates.</w:t>
      </w:r>
    </w:p>
    <w:p w14:paraId="1EE48030" w14:textId="77777777"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>Non-</w:t>
      </w:r>
      <w:proofErr w:type="spellStart"/>
      <w:r w:rsidRPr="003C0225">
        <w:rPr>
          <w:rFonts w:ascii="Arial" w:hAnsi="Arial" w:cs="Arial"/>
          <w:sz w:val="20"/>
          <w:szCs w:val="20"/>
        </w:rPr>
        <w:t>chylous</w:t>
      </w:r>
      <w:proofErr w:type="spellEnd"/>
      <w:r w:rsidRPr="003C02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0225">
        <w:rPr>
          <w:rFonts w:ascii="Arial" w:hAnsi="Arial" w:cs="Arial"/>
          <w:sz w:val="20"/>
          <w:szCs w:val="20"/>
        </w:rPr>
        <w:t>lymphorrhagic</w:t>
      </w:r>
      <w:proofErr w:type="spellEnd"/>
      <w:r w:rsidRPr="003C0225">
        <w:rPr>
          <w:rFonts w:ascii="Arial" w:hAnsi="Arial" w:cs="Arial"/>
          <w:sz w:val="20"/>
          <w:szCs w:val="20"/>
        </w:rPr>
        <w:t xml:space="preserve"> effusions are transudate forms due to leakage of lymph, but do not contain chylomicrons, and therefore do not show the classical milky as</w:t>
      </w:r>
      <w:r>
        <w:rPr>
          <w:rFonts w:ascii="Arial" w:hAnsi="Arial" w:cs="Arial"/>
          <w:sz w:val="20"/>
          <w:szCs w:val="20"/>
        </w:rPr>
        <w:t xml:space="preserve">pect of true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effusion.</w:t>
      </w:r>
    </w:p>
    <w:p w14:paraId="3F168223" w14:textId="77777777" w:rsidR="003C0225" w:rsidRDefault="003C0225" w:rsidP="00A27E9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>lymphocyte-rich transudate (LRT) might represent an alternative and more appropriate designati</w:t>
      </w:r>
      <w:r w:rsidR="00A27E90">
        <w:rPr>
          <w:rFonts w:ascii="Arial" w:hAnsi="Arial" w:cs="Arial"/>
          <w:sz w:val="20"/>
          <w:szCs w:val="20"/>
        </w:rPr>
        <w:t>on for these kind of effusions</w:t>
      </w:r>
    </w:p>
    <w:p w14:paraId="5D8B443E" w14:textId="77777777"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lastRenderedPageBreak/>
        <w:t>One of the most common causes of pleural effusion in cats is an increased hydrostatic pressure of the vascular or lymph</w:t>
      </w:r>
      <w:r>
        <w:rPr>
          <w:rFonts w:ascii="Arial" w:hAnsi="Arial" w:cs="Arial"/>
          <w:sz w:val="20"/>
          <w:szCs w:val="20"/>
        </w:rPr>
        <w:t xml:space="preserve">atic system </w:t>
      </w:r>
      <w:r w:rsidRPr="003C0225">
        <w:rPr>
          <w:rFonts w:ascii="Arial" w:hAnsi="Arial" w:cs="Arial"/>
          <w:sz w:val="20"/>
          <w:szCs w:val="20"/>
        </w:rPr>
        <w:t xml:space="preserve">often caused by congestive heart failure (CHF). </w:t>
      </w:r>
    </w:p>
    <w:p w14:paraId="42C5DBF6" w14:textId="77777777"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 xml:space="preserve">The aim of this study was to retrospectively investigate the clinical features and </w:t>
      </w:r>
      <w:r w:rsidR="00A27E90" w:rsidRPr="003C0225">
        <w:rPr>
          <w:rFonts w:ascii="Arial" w:hAnsi="Arial" w:cs="Arial"/>
          <w:sz w:val="20"/>
          <w:szCs w:val="20"/>
        </w:rPr>
        <w:t>etiology</w:t>
      </w:r>
      <w:r w:rsidRPr="003C0225">
        <w:rPr>
          <w:rFonts w:ascii="Arial" w:hAnsi="Arial" w:cs="Arial"/>
          <w:sz w:val="20"/>
          <w:szCs w:val="20"/>
        </w:rPr>
        <w:t xml:space="preserve"> of feline pleural LRTs, and to assess the association between this condition and heart diseases in the cat.</w:t>
      </w:r>
    </w:p>
    <w:p w14:paraId="3B943340" w14:textId="77777777" w:rsidR="00A27E90" w:rsidRDefault="00A27E90" w:rsidP="00A27E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3F7EF1A5" w14:textId="77777777"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Retrospective, 2013-2016</w:t>
      </w:r>
    </w:p>
    <w:p w14:paraId="04092727" w14:textId="77777777"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27E90">
        <w:rPr>
          <w:rFonts w:ascii="Arial" w:hAnsi="Arial" w:cs="Arial"/>
          <w:sz w:val="20"/>
          <w:szCs w:val="20"/>
        </w:rPr>
        <w:t xml:space="preserve">All transudative effusions with a predominance of lymphocytes on cytology that were considered non- </w:t>
      </w:r>
      <w:proofErr w:type="spellStart"/>
      <w:r w:rsidRPr="00A27E90">
        <w:rPr>
          <w:rFonts w:ascii="Arial" w:hAnsi="Arial" w:cs="Arial"/>
          <w:sz w:val="20"/>
          <w:szCs w:val="20"/>
        </w:rPr>
        <w:t>chylous</w:t>
      </w:r>
      <w:proofErr w:type="spellEnd"/>
      <w:r w:rsidRPr="00A27E90">
        <w:rPr>
          <w:rFonts w:ascii="Arial" w:hAnsi="Arial" w:cs="Arial"/>
          <w:sz w:val="20"/>
          <w:szCs w:val="20"/>
        </w:rPr>
        <w:t xml:space="preserve"> based on visual appearance were included. Pleural effusions classified as neoplastic, exudate</w:t>
      </w:r>
      <w:r>
        <w:rPr>
          <w:rFonts w:ascii="Arial" w:hAnsi="Arial" w:cs="Arial"/>
          <w:sz w:val="20"/>
          <w:szCs w:val="20"/>
        </w:rPr>
        <w:t xml:space="preserve">s or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were excluded</w:t>
      </w:r>
      <w:r w:rsidR="00D72704">
        <w:rPr>
          <w:rFonts w:ascii="Arial" w:hAnsi="Arial" w:cs="Arial"/>
          <w:sz w:val="20"/>
          <w:szCs w:val="20"/>
        </w:rPr>
        <w:t>.</w:t>
      </w:r>
    </w:p>
    <w:p w14:paraId="6E2FBF55" w14:textId="77777777" w:rsidR="00A27E90" w:rsidRPr="00D72704" w:rsidRDefault="00D72704" w:rsidP="00D7270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72704">
        <w:rPr>
          <w:rFonts w:ascii="Arial" w:hAnsi="Arial" w:cs="Arial"/>
          <w:sz w:val="20"/>
          <w:szCs w:val="20"/>
        </w:rPr>
        <w:t>Only cats that received a complete clinical examination, thoracic radiography and echocardiog</w:t>
      </w:r>
      <w:r>
        <w:rPr>
          <w:rFonts w:ascii="Arial" w:hAnsi="Arial" w:cs="Arial"/>
          <w:sz w:val="20"/>
          <w:szCs w:val="20"/>
        </w:rPr>
        <w:t>raphy were included -</w:t>
      </w:r>
      <w:r w:rsidR="00A27E90" w:rsidRPr="00D72704">
        <w:rPr>
          <w:rFonts w:ascii="Arial" w:hAnsi="Arial" w:cs="Arial"/>
          <w:sz w:val="20"/>
          <w:szCs w:val="20"/>
        </w:rPr>
        <w:t xml:space="preserve"> diagnosis and classification of cardiac disease was primarily based on echocardiography criteria</w:t>
      </w:r>
    </w:p>
    <w:p w14:paraId="38CC1A9D" w14:textId="77777777"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 ef</w:t>
      </w:r>
      <w:r w:rsidR="00D72704">
        <w:rPr>
          <w:rFonts w:ascii="Arial" w:hAnsi="Arial" w:cs="Arial"/>
          <w:sz w:val="20"/>
          <w:szCs w:val="20"/>
        </w:rPr>
        <w:t>fusion samples met the criteria</w:t>
      </w:r>
    </w:p>
    <w:p w14:paraId="0925C0E5" w14:textId="77777777" w:rsidR="00FC69E2" w:rsidRDefault="00FC69E2" w:rsidP="00FC69E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C69E2">
        <w:rPr>
          <w:rFonts w:ascii="Arial" w:hAnsi="Arial" w:cs="Arial"/>
          <w:sz w:val="20"/>
          <w:szCs w:val="20"/>
        </w:rPr>
        <w:t>Triglyceride and cholesterol concentration were a</w:t>
      </w:r>
      <w:r>
        <w:rPr>
          <w:rFonts w:ascii="Arial" w:hAnsi="Arial" w:cs="Arial"/>
          <w:sz w:val="20"/>
          <w:szCs w:val="20"/>
        </w:rPr>
        <w:t xml:space="preserve">vailable for 19 cases and was consistent with non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effusion</w:t>
      </w:r>
    </w:p>
    <w:p w14:paraId="0865CC17" w14:textId="77777777" w:rsidR="00D72704" w:rsidRPr="00D72704" w:rsidRDefault="00FC69E2" w:rsidP="00FC69E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C69E2">
        <w:rPr>
          <w:rFonts w:ascii="Arial" w:hAnsi="Arial" w:cs="Arial"/>
          <w:sz w:val="20"/>
          <w:szCs w:val="20"/>
        </w:rPr>
        <w:t>Lymphocytes comprised &gt;80% of all nucleated cells in 20/33 cases, 60–79% in 8/34 cases and &lt;60% in five cases.</w:t>
      </w:r>
    </w:p>
    <w:p w14:paraId="445338FD" w14:textId="77777777" w:rsidR="00FC69E2" w:rsidRDefault="00EB4BA8" w:rsidP="00FC69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</w:t>
      </w:r>
      <w:r w:rsidR="00FC69E2">
        <w:rPr>
          <w:rFonts w:ascii="Arial" w:hAnsi="Arial" w:cs="Arial"/>
          <w:sz w:val="20"/>
          <w:szCs w:val="20"/>
        </w:rPr>
        <w:t>Conclusions:</w:t>
      </w:r>
    </w:p>
    <w:p w14:paraId="47BE2950" w14:textId="77777777" w:rsidR="00EB4BA8" w:rsidRPr="00EB4BA8" w:rsidRDefault="00EB4BA8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72704">
        <w:rPr>
          <w:rFonts w:ascii="Arial" w:hAnsi="Arial" w:cs="Arial"/>
          <w:sz w:val="20"/>
          <w:szCs w:val="20"/>
        </w:rPr>
        <w:t>23/33 cases (69.7%) ha</w:t>
      </w:r>
      <w:r>
        <w:rPr>
          <w:rFonts w:ascii="Arial" w:hAnsi="Arial" w:cs="Arial"/>
          <w:sz w:val="20"/>
          <w:szCs w:val="20"/>
        </w:rPr>
        <w:t>d a concurrent cardiac disease; 9/23 had intra-thoracic mass/neoplasia; 1/23 developed LRT secondary to previous pyothorax</w:t>
      </w:r>
    </w:p>
    <w:p w14:paraId="6543AF03" w14:textId="77777777" w:rsidR="00FC69E2" w:rsidRDefault="00FC69E2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Authors propose that when a clear lymphatic origin of pleural fluid can</w:t>
      </w:r>
      <w:r w:rsidRPr="00FC69E2">
        <w:rPr>
          <w:rFonts w:ascii="Arial" w:hAnsi="Arial" w:cs="Arial"/>
          <w:sz w:val="20"/>
          <w:szCs w:val="20"/>
        </w:rPr>
        <w:t>not be demonstrated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chyle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FC69E2">
        <w:rPr>
          <w:rFonts w:ascii="Arial" w:hAnsi="Arial" w:cs="Arial"/>
          <w:sz w:val="20"/>
          <w:szCs w:val="20"/>
        </w:rPr>
        <w:t>, lymphocyte</w:t>
      </w:r>
      <w:r>
        <w:rPr>
          <w:rFonts w:ascii="Arial" w:hAnsi="Arial" w:cs="Arial"/>
          <w:sz w:val="20"/>
          <w:szCs w:val="20"/>
        </w:rPr>
        <w:t xml:space="preserve"> </w:t>
      </w:r>
      <w:r w:rsidRPr="00FC69E2">
        <w:rPr>
          <w:rFonts w:ascii="Arial" w:hAnsi="Arial" w:cs="Arial"/>
          <w:sz w:val="20"/>
          <w:szCs w:val="20"/>
        </w:rPr>
        <w:t>rich transudate</w:t>
      </w:r>
      <w:r>
        <w:rPr>
          <w:rFonts w:ascii="Arial" w:hAnsi="Arial" w:cs="Arial"/>
          <w:sz w:val="20"/>
          <w:szCs w:val="20"/>
        </w:rPr>
        <w:t xml:space="preserve"> (LRT)</w:t>
      </w:r>
      <w:r w:rsidRPr="00FC69E2">
        <w:rPr>
          <w:rFonts w:ascii="Arial" w:hAnsi="Arial" w:cs="Arial"/>
          <w:sz w:val="20"/>
          <w:szCs w:val="20"/>
        </w:rPr>
        <w:t xml:space="preserve"> might be considered a </w:t>
      </w:r>
      <w:r>
        <w:rPr>
          <w:rFonts w:ascii="Arial" w:hAnsi="Arial" w:cs="Arial"/>
          <w:sz w:val="20"/>
          <w:szCs w:val="20"/>
        </w:rPr>
        <w:t>better name</w:t>
      </w:r>
      <w:r w:rsidRPr="00FC69E2">
        <w:rPr>
          <w:rFonts w:ascii="Arial" w:hAnsi="Arial" w:cs="Arial"/>
          <w:sz w:val="20"/>
          <w:szCs w:val="20"/>
        </w:rPr>
        <w:t xml:space="preserve"> for these kinds of effusions rather than </w:t>
      </w:r>
      <w:r>
        <w:rPr>
          <w:rFonts w:ascii="Arial" w:hAnsi="Arial" w:cs="Arial"/>
          <w:sz w:val="20"/>
          <w:szCs w:val="20"/>
        </w:rPr>
        <w:t>“</w:t>
      </w:r>
      <w:r w:rsidRPr="00FC69E2">
        <w:rPr>
          <w:rFonts w:ascii="Arial" w:hAnsi="Arial" w:cs="Arial"/>
          <w:sz w:val="20"/>
          <w:szCs w:val="20"/>
        </w:rPr>
        <w:t>non-</w:t>
      </w:r>
      <w:proofErr w:type="spellStart"/>
      <w:r w:rsidRPr="00FC69E2">
        <w:rPr>
          <w:rFonts w:ascii="Arial" w:hAnsi="Arial" w:cs="Arial"/>
          <w:sz w:val="20"/>
          <w:szCs w:val="20"/>
        </w:rPr>
        <w:t>chylous</w:t>
      </w:r>
      <w:proofErr w:type="spellEnd"/>
      <w:r w:rsidRPr="00FC6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69E2">
        <w:rPr>
          <w:rFonts w:ascii="Arial" w:hAnsi="Arial" w:cs="Arial"/>
          <w:sz w:val="20"/>
          <w:szCs w:val="20"/>
        </w:rPr>
        <w:t>lymphorrhagic</w:t>
      </w:r>
      <w:proofErr w:type="spellEnd"/>
      <w:r w:rsidRPr="00FC69E2">
        <w:rPr>
          <w:rFonts w:ascii="Arial" w:hAnsi="Arial" w:cs="Arial"/>
          <w:sz w:val="20"/>
          <w:szCs w:val="20"/>
        </w:rPr>
        <w:t xml:space="preserve"> effusions.</w:t>
      </w:r>
      <w:r>
        <w:rPr>
          <w:rFonts w:ascii="Arial" w:hAnsi="Arial" w:cs="Arial"/>
          <w:sz w:val="20"/>
          <w:szCs w:val="20"/>
        </w:rPr>
        <w:t>”</w:t>
      </w:r>
    </w:p>
    <w:p w14:paraId="709DF4D5" w14:textId="1AF6F38C" w:rsidR="00FC69E2" w:rsidRDefault="00FC69E2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FC69E2">
        <w:rPr>
          <w:rFonts w:ascii="Arial" w:hAnsi="Arial" w:cs="Arial"/>
          <w:sz w:val="20"/>
          <w:szCs w:val="20"/>
        </w:rPr>
        <w:t>he presence of a pleural lymphocyte-rich transudate in a cat should prompt the search for cardiac disease or intrathoracic neoplasia.</w:t>
      </w:r>
    </w:p>
    <w:p w14:paraId="50EE957C" w14:textId="77777777" w:rsidR="002701EE" w:rsidRDefault="002701EE" w:rsidP="002701EE">
      <w:r>
        <w:rPr>
          <w:noProof/>
        </w:rPr>
        <w:lastRenderedPageBreak/>
        <w:drawing>
          <wp:inline distT="0" distB="0" distL="0" distR="0" wp14:anchorId="68F20EFA" wp14:editId="2935848F">
            <wp:extent cx="5943600" cy="54330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99295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Replicated findings in two other studies – site of BP measurement (radial vs coccygeal a.) impacted the SBP results using Doppler </w:t>
      </w:r>
      <w:proofErr w:type="spellStart"/>
      <w:r w:rsidRPr="00482FE5">
        <w:rPr>
          <w:sz w:val="20"/>
          <w:szCs w:val="20"/>
        </w:rPr>
        <w:t>syphgmomamanometry</w:t>
      </w:r>
      <w:proofErr w:type="spellEnd"/>
      <w:r w:rsidRPr="00482FE5">
        <w:rPr>
          <w:sz w:val="20"/>
          <w:szCs w:val="20"/>
        </w:rPr>
        <w:t xml:space="preserve"> </w:t>
      </w:r>
    </w:p>
    <w:p w14:paraId="7AA9447A" w14:textId="77777777" w:rsidR="002701EE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Mean SBP measurements were only moderately correlated (r=0.519)</w:t>
      </w:r>
    </w:p>
    <w:p w14:paraId="4AB50151" w14:textId="77777777" w:rsidR="002701EE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Readings on tail were on average 18.7mmHg higher than on forelimb</w:t>
      </w:r>
    </w:p>
    <w:p w14:paraId="1D006A27" w14:textId="77777777" w:rsidR="002701EE" w:rsidRPr="00CC774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Discrepancies in SBP were significantly greater in cats with a BCS &gt; 4 (5 </w:t>
      </w:r>
      <w:proofErr w:type="spellStart"/>
      <w:r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scale)</w:t>
      </w:r>
    </w:p>
    <w:p w14:paraId="33F518F5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14/25 cats that were categorized as hypertensive based on SBP obtained from coccygeal a. were categorized as mildly hypertensive to normotensive with radial a. measurement </w:t>
      </w:r>
    </w:p>
    <w:p w14:paraId="5CCB5115" w14:textId="77777777" w:rsidR="002701EE" w:rsidRPr="00482FE5" w:rsidRDefault="002701EE" w:rsidP="002701EE">
      <w:pPr>
        <w:pStyle w:val="ListParagraph"/>
        <w:numPr>
          <w:ilvl w:val="1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 if sole result of coccygeal measurement was used this would have impacted treatment decisions (</w:t>
      </w:r>
      <w:proofErr w:type="spellStart"/>
      <w:r w:rsidRPr="00482FE5">
        <w:rPr>
          <w:sz w:val="20"/>
          <w:szCs w:val="20"/>
        </w:rPr>
        <w:t>i.e</w:t>
      </w:r>
      <w:proofErr w:type="spellEnd"/>
      <w:r w:rsidRPr="00482FE5">
        <w:rPr>
          <w:sz w:val="20"/>
          <w:szCs w:val="20"/>
        </w:rPr>
        <w:t xml:space="preserve"> initiation of anti-hypertensive medication)</w:t>
      </w:r>
    </w:p>
    <w:p w14:paraId="7EF289E9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Differences attributed to cuff shape / fit, difference in peripheral pulse pressure at different body sites, BCS</w:t>
      </w:r>
    </w:p>
    <w:p w14:paraId="39A1B671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Authors recommend documenting BP measurement site and interpret them with caution.</w:t>
      </w:r>
    </w:p>
    <w:p w14:paraId="0BE0DE34" w14:textId="77777777" w:rsidR="002701EE" w:rsidRDefault="002701EE" w:rsidP="002701EE">
      <w:pPr>
        <w:pStyle w:val="ListParagraph"/>
      </w:pPr>
      <w:r>
        <w:rPr>
          <w:noProof/>
        </w:rPr>
        <w:lastRenderedPageBreak/>
        <w:drawing>
          <wp:inline distT="0" distB="0" distL="0" distR="0" wp14:anchorId="052B1F78" wp14:editId="6262F6F0">
            <wp:extent cx="5943600" cy="5829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1980" w14:textId="77777777" w:rsidR="002701EE" w:rsidRDefault="002701EE" w:rsidP="002701EE">
      <w:pPr>
        <w:pStyle w:val="ListParagraph"/>
      </w:pPr>
    </w:p>
    <w:p w14:paraId="74142E92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Adequate sedation achieved with both protocols</w:t>
      </w:r>
    </w:p>
    <w:p w14:paraId="454B8688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Sedation time with </w:t>
      </w:r>
      <w:proofErr w:type="spellStart"/>
      <w:r w:rsidRPr="00482FE5">
        <w:rPr>
          <w:sz w:val="20"/>
          <w:szCs w:val="20"/>
        </w:rPr>
        <w:t>alfaxalone</w:t>
      </w:r>
      <w:proofErr w:type="spellEnd"/>
      <w:r w:rsidRPr="00482FE5">
        <w:rPr>
          <w:sz w:val="20"/>
          <w:szCs w:val="20"/>
        </w:rPr>
        <w:t xml:space="preserve"> was significantly shorter</w:t>
      </w:r>
    </w:p>
    <w:p w14:paraId="7D74F408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No differences in the two groups were observed with respect to quality of sedation, recovery and cardiovascular effects</w:t>
      </w:r>
    </w:p>
    <w:p w14:paraId="0AC2D4F0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Hypoxemia occurred more frequently in the ketamine group was but was also observed in a few cats in the </w:t>
      </w:r>
      <w:proofErr w:type="spellStart"/>
      <w:r w:rsidRPr="00482FE5">
        <w:rPr>
          <w:sz w:val="20"/>
          <w:szCs w:val="20"/>
        </w:rPr>
        <w:t>alfaxalone</w:t>
      </w:r>
      <w:proofErr w:type="spellEnd"/>
      <w:r w:rsidRPr="00482FE5">
        <w:rPr>
          <w:sz w:val="20"/>
          <w:szCs w:val="20"/>
        </w:rPr>
        <w:t xml:space="preserve"> group however hypoventilation was not observed – attributed to V/Q mismatch from atelectasis from positioning  </w:t>
      </w:r>
    </w:p>
    <w:p w14:paraId="6F6FC2BE" w14:textId="77777777" w:rsidR="002701EE" w:rsidRPr="00482FE5" w:rsidRDefault="002701EE" w:rsidP="002701EE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All sedated cats should receive supplemental oxygen</w:t>
      </w:r>
    </w:p>
    <w:p w14:paraId="2D8EDEC6" w14:textId="77777777" w:rsidR="002701EE" w:rsidRPr="00482FE5" w:rsidRDefault="002701EE" w:rsidP="002701E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>In conclusion, there is evidence that Small Jaw and Impact</w:t>
      </w:r>
    </w:p>
    <w:p w14:paraId="5D050D32" w14:textId="77777777" w:rsidR="002701EE" w:rsidRPr="00482FE5" w:rsidRDefault="002701EE" w:rsidP="002701E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proofErr w:type="spellStart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LigaSures</w:t>
      </w:r>
      <w:proofErr w:type="spellEnd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 xml:space="preserve"> can be reused for a limited number of cycles with-</w:t>
      </w:r>
    </w:p>
    <w:p w14:paraId="25D82B01" w14:textId="77777777" w:rsidR="002701EE" w:rsidRPr="00482FE5" w:rsidRDefault="002701EE" w:rsidP="002701E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>out deterioration of the vascular seal quality, but they should</w:t>
      </w:r>
    </w:p>
    <w:p w14:paraId="70F69828" w14:textId="77777777" w:rsidR="002701EE" w:rsidRPr="00482FE5" w:rsidRDefault="002701EE" w:rsidP="002701E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 xml:space="preserve">be immediately discarded as soon as any intraoperative </w:t>
      </w:r>
      <w:proofErr w:type="spellStart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evi</w:t>
      </w:r>
      <w:proofErr w:type="spellEnd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-</w:t>
      </w:r>
    </w:p>
    <w:p w14:paraId="3F382BB8" w14:textId="77777777" w:rsidR="002701EE" w:rsidRPr="00482FE5" w:rsidRDefault="002701EE" w:rsidP="002701E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pacing w:val="-21"/>
          <w:sz w:val="20"/>
          <w:szCs w:val="20"/>
        </w:rPr>
      </w:pPr>
      <w:proofErr w:type="spellStart"/>
      <w:r w:rsidRPr="00482FE5">
        <w:rPr>
          <w:rFonts w:ascii="ff2" w:eastAsia="Times New Roman" w:hAnsi="ff2" w:cs="Times New Roman"/>
          <w:color w:val="000000"/>
          <w:spacing w:val="-21"/>
          <w:sz w:val="20"/>
          <w:szCs w:val="20"/>
        </w:rPr>
        <w:t>dence</w:t>
      </w:r>
      <w:proofErr w:type="spellEnd"/>
      <w:r w:rsidRPr="00482FE5">
        <w:rPr>
          <w:rFonts w:ascii="ff2" w:eastAsia="Times New Roman" w:hAnsi="ff2" w:cs="Times New Roman"/>
          <w:color w:val="000000"/>
          <w:spacing w:val="-21"/>
          <w:sz w:val="20"/>
          <w:szCs w:val="20"/>
        </w:rPr>
        <w:t xml:space="preserve"> of formation of a failed vascular seal is identified.</w:t>
      </w:r>
    </w:p>
    <w:p w14:paraId="7C216763" w14:textId="77777777" w:rsidR="002701EE" w:rsidRDefault="002701EE" w:rsidP="002701EE">
      <w:r>
        <w:rPr>
          <w:noProof/>
        </w:rPr>
        <w:lastRenderedPageBreak/>
        <w:drawing>
          <wp:inline distT="0" distB="0" distL="0" distR="0" wp14:anchorId="04028AE9" wp14:editId="7097B10F">
            <wp:extent cx="5943600" cy="4787265"/>
            <wp:effectExtent l="19050" t="19050" r="19050" b="133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7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884D75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Study looked to analyze</w:t>
      </w:r>
      <w:r w:rsidRPr="00133E21">
        <w:t xml:space="preserve"> the association between electrolyte abn</w:t>
      </w:r>
      <w:r>
        <w:t>ormalities and mortality outcome in cats</w:t>
      </w:r>
    </w:p>
    <w:p w14:paraId="10104B29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133E21">
        <w:t xml:space="preserve">There were prominent non-linear ‘U’ shaped relationships between electrolyte concentrations and case fatality rates for </w:t>
      </w:r>
      <w:r>
        <w:t xml:space="preserve">all four electrolytes assessed (Na, K, Cl – corrected, </w:t>
      </w:r>
      <w:proofErr w:type="spellStart"/>
      <w:r>
        <w:t>iCa</w:t>
      </w:r>
      <w:proofErr w:type="spellEnd"/>
      <w:r>
        <w:t>)</w:t>
      </w:r>
    </w:p>
    <w:p w14:paraId="5C202C93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133E21">
        <w:t>Patients with electrolyte concentrations close to the median value (within reference intervals) had low case fatality rates, while patients with abnormal concentrations had increased case fatality rates proportionat</w:t>
      </w:r>
      <w:r>
        <w:t>e to the degree of abnormality</w:t>
      </w:r>
    </w:p>
    <w:p w14:paraId="595AE495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Patients with more than one disturbance in either direction are at greater risk of a poor outcome irrespective of the combination of electrolyte disturbances present</w:t>
      </w:r>
    </w:p>
    <w:p w14:paraId="0F001886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The strength of the association between death and electrolyte abnormalities suggests such disturbances should be taken seriously and that clinicians should take steps to identify and manage the underlying diseases</w:t>
      </w:r>
    </w:p>
    <w:p w14:paraId="11B991D7" w14:textId="77777777" w:rsidR="002701EE" w:rsidRDefault="002701EE" w:rsidP="002701EE"/>
    <w:p w14:paraId="171CB1AF" w14:textId="77777777" w:rsidR="002701EE" w:rsidRDefault="002701EE" w:rsidP="002701EE"/>
    <w:p w14:paraId="42D9527A" w14:textId="77777777" w:rsidR="002701EE" w:rsidRDefault="002701EE" w:rsidP="002701EE">
      <w:r w:rsidRPr="00CC4CA0">
        <w:rPr>
          <w:noProof/>
          <w:highlight w:val="yellow"/>
        </w:rPr>
        <w:lastRenderedPageBreak/>
        <w:drawing>
          <wp:inline distT="0" distB="0" distL="0" distR="0" wp14:anchorId="067070EF" wp14:editId="22A92444">
            <wp:extent cx="5943600" cy="5090795"/>
            <wp:effectExtent l="19050" t="19050" r="19050" b="146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0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3DEC3C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MST was 69 days with c</w:t>
      </w:r>
      <w:r w:rsidRPr="00874658">
        <w:t>ardiac</w:t>
      </w:r>
      <w:r>
        <w:t xml:space="preserve"> </w:t>
      </w:r>
      <w:r w:rsidRPr="00874658">
        <w:t>rel</w:t>
      </w:r>
      <w:r>
        <w:t>ated death in 83%</w:t>
      </w:r>
    </w:p>
    <w:p w14:paraId="309C9270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R</w:t>
      </w:r>
      <w:r w:rsidRPr="00874658">
        <w:t>espiratory distress showed a statistically significant effec</w:t>
      </w:r>
      <w:r>
        <w:t>t on survival - w</w:t>
      </w:r>
      <w:r w:rsidRPr="00874658">
        <w:t xml:space="preserve">ithout respiratory distress showed </w:t>
      </w:r>
      <w:proofErr w:type="gramStart"/>
      <w:r w:rsidRPr="00874658">
        <w:t>a</w:t>
      </w:r>
      <w:proofErr w:type="gramEnd"/>
      <w:r>
        <w:t xml:space="preserve"> MST of 466 days (very rare), with</w:t>
      </w:r>
      <w:r w:rsidRPr="00874658">
        <w:t xml:space="preserve"> respira</w:t>
      </w:r>
      <w:r>
        <w:t xml:space="preserve">tory distress </w:t>
      </w:r>
      <w:r w:rsidRPr="00874658">
        <w:t xml:space="preserve">MST of 64 days </w:t>
      </w:r>
      <w:r>
        <w:t xml:space="preserve">(range in other studies 1-4 </w:t>
      </w:r>
      <w:proofErr w:type="spellStart"/>
      <w:r>
        <w:t>mo</w:t>
      </w:r>
      <w:proofErr w:type="spellEnd"/>
      <w:r>
        <w:t>)</w:t>
      </w:r>
    </w:p>
    <w:p w14:paraId="01AAA7F6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874658">
        <w:t>RCM is almost exclusively diagnosed at a late stage when cats are referred after the development of</w:t>
      </w:r>
      <w:r>
        <w:t xml:space="preserve"> clinical signs</w:t>
      </w:r>
    </w:p>
    <w:p w14:paraId="0AFA309B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L</w:t>
      </w:r>
      <w:r w:rsidRPr="00874658">
        <w:t>ong-term pr</w:t>
      </w:r>
      <w:r>
        <w:t>ognosis is poor</w:t>
      </w:r>
    </w:p>
    <w:p w14:paraId="3B27728B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874658">
        <w:t>RCM was the second mos</w:t>
      </w:r>
      <w:r>
        <w:t>t commonly diagnosed CM in cats in this population -</w:t>
      </w:r>
      <w:r w:rsidRPr="00874658">
        <w:t xml:space="preserve"> </w:t>
      </w:r>
      <w:proofErr w:type="gramStart"/>
      <w:r w:rsidRPr="00874658">
        <w:t>10 year</w:t>
      </w:r>
      <w:proofErr w:type="gramEnd"/>
      <w:r w:rsidRPr="00874658">
        <w:t xml:space="preserve"> prevalence of 15% in all cats with CM </w:t>
      </w:r>
    </w:p>
    <w:p w14:paraId="73620CDC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H</w:t>
      </w:r>
      <w:r w:rsidRPr="00874658">
        <w:t>eart murmur was rarely identified in cats w</w:t>
      </w:r>
      <w:r>
        <w:t>ith RCM – consistent with</w:t>
      </w:r>
      <w:r w:rsidRPr="00874658">
        <w:t xml:space="preserve"> lack of a hear</w:t>
      </w:r>
      <w:r>
        <w:t>t murmur i</w:t>
      </w:r>
      <w:r w:rsidRPr="00874658">
        <w:t xml:space="preserve">s not a </w:t>
      </w:r>
      <w:r>
        <w:t>useful screening tool in cats</w:t>
      </w:r>
    </w:p>
    <w:p w14:paraId="139444B1" w14:textId="77777777" w:rsidR="002701EE" w:rsidRDefault="002701EE" w:rsidP="002701EE"/>
    <w:p w14:paraId="3A1BFC03" w14:textId="77777777" w:rsidR="002701EE" w:rsidRDefault="002701EE" w:rsidP="002701EE"/>
    <w:p w14:paraId="5E9FE464" w14:textId="77777777" w:rsidR="002701EE" w:rsidRDefault="002701EE" w:rsidP="002701EE"/>
    <w:p w14:paraId="3709C059" w14:textId="77777777" w:rsidR="002701EE" w:rsidRDefault="002701EE" w:rsidP="002701EE">
      <w:r>
        <w:rPr>
          <w:noProof/>
        </w:rPr>
        <w:lastRenderedPageBreak/>
        <w:drawing>
          <wp:inline distT="0" distB="0" distL="0" distR="0" wp14:anchorId="4DE11B52" wp14:editId="4FE1F1BA">
            <wp:extent cx="5943600" cy="4888230"/>
            <wp:effectExtent l="19050" t="19050" r="19050" b="266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14:paraId="0C24DF04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Neuromuscular blocking agents (NMBAs) are commonly used to facilitate tracheal intubation in people - improves the quality of intubation and reduces the incidence of trauma</w:t>
      </w:r>
    </w:p>
    <w:p w14:paraId="7D8C5745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 xml:space="preserve">Non-depolarizing NMBAs at the doses commonly used almost invariably result in apnea of long duration – oxygen desaturation, PPV necessary </w:t>
      </w:r>
    </w:p>
    <w:p w14:paraId="0BFCE276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Study looked to evaluate low dose rocuronium (0.3 mg/kg IV) for ease of intubation</w:t>
      </w:r>
    </w:p>
    <w:p w14:paraId="7F888E06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Number of attempts to intubate and the time to intubate were significantly less in cats receiving rocuronium</w:t>
      </w:r>
    </w:p>
    <w:p w14:paraId="34BD6F1F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3370A2">
        <w:t>PPV was admin</w:t>
      </w:r>
      <w:r>
        <w:t>istered for significantly longer time (~4 min) for cats</w:t>
      </w:r>
      <w:r w:rsidRPr="003370A2">
        <w:t xml:space="preserve"> re</w:t>
      </w:r>
      <w:r>
        <w:t xml:space="preserve">ceiving rocuronium </w:t>
      </w:r>
      <w:r w:rsidRPr="003370A2">
        <w:t>to tho</w:t>
      </w:r>
      <w:r>
        <w:t>se receiving saline control (~2min)</w:t>
      </w:r>
    </w:p>
    <w:p w14:paraId="625CC450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3370A2">
        <w:t>PPV was required for all 15 cat</w:t>
      </w:r>
      <w:r>
        <w:t>s receiving rocuronium and 7/15</w:t>
      </w:r>
      <w:r w:rsidRPr="003370A2">
        <w:t xml:space="preserve"> cats </w:t>
      </w:r>
      <w:r>
        <w:t>receiving saline</w:t>
      </w:r>
    </w:p>
    <w:p w14:paraId="1BE418EA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No cases of hypoxemia (SpO2 &lt;90%) was observed</w:t>
      </w:r>
    </w:p>
    <w:p w14:paraId="189C9969" w14:textId="77777777" w:rsidR="002701EE" w:rsidRDefault="002701EE" w:rsidP="002701EE">
      <w:pPr>
        <w:pStyle w:val="ListParagraph"/>
        <w:numPr>
          <w:ilvl w:val="0"/>
          <w:numId w:val="4"/>
        </w:numPr>
      </w:pPr>
      <w:r w:rsidRPr="00A3313D">
        <w:t>No cases of residual neuromuscula</w:t>
      </w:r>
      <w:r>
        <w:t xml:space="preserve">r block were seen in recovery (all cats had rocuronium reversed with edrophonium after return of spontaneous ventilation during surgery – helps </w:t>
      </w:r>
      <w:r w:rsidRPr="003C0383">
        <w:t>decreases the occurrence of residual muscular weakness during em</w:t>
      </w:r>
      <w:r>
        <w:t>ergence from general anesthesia)</w:t>
      </w:r>
    </w:p>
    <w:p w14:paraId="4AB600CC" w14:textId="77777777" w:rsidR="002701EE" w:rsidRDefault="002701EE" w:rsidP="002701EE">
      <w:pPr>
        <w:pStyle w:val="ListParagraph"/>
      </w:pPr>
    </w:p>
    <w:p w14:paraId="43498008" w14:textId="77777777" w:rsidR="002701EE" w:rsidRDefault="002701EE" w:rsidP="002701EE">
      <w:r>
        <w:rPr>
          <w:noProof/>
        </w:rPr>
        <w:lastRenderedPageBreak/>
        <w:drawing>
          <wp:inline distT="0" distB="0" distL="0" distR="0" wp14:anchorId="2A035DB7" wp14:editId="5E2EF398">
            <wp:extent cx="5943600" cy="5140960"/>
            <wp:effectExtent l="38100" t="38100" r="38100" b="406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096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effectLst>
                      <a:glow rad="254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75C17849" w14:textId="77777777" w:rsidR="002701EE" w:rsidRDefault="002701EE" w:rsidP="002701EE"/>
    <w:p w14:paraId="1A30905E" w14:textId="77777777" w:rsidR="002701EE" w:rsidRDefault="002701EE" w:rsidP="002701EE">
      <w:pPr>
        <w:pStyle w:val="ListParagraph"/>
        <w:numPr>
          <w:ilvl w:val="0"/>
          <w:numId w:val="4"/>
        </w:numPr>
      </w:pPr>
      <w:proofErr w:type="spellStart"/>
      <w:r>
        <w:t>Benazapril</w:t>
      </w:r>
      <w:proofErr w:type="spellEnd"/>
      <w:r>
        <w:t xml:space="preserve"> has not been shown to improve survival benefit and lacks efficacy as an </w:t>
      </w:r>
      <w:proofErr w:type="spellStart"/>
      <w:r>
        <w:t>anti hypertensive</w:t>
      </w:r>
      <w:proofErr w:type="spellEnd"/>
      <w:r>
        <w:t xml:space="preserve"> agent in cats</w:t>
      </w:r>
    </w:p>
    <w:p w14:paraId="541F25C3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 xml:space="preserve">Telmisartan has been found to have </w:t>
      </w:r>
      <w:r w:rsidRPr="00D4489B">
        <w:t>antiproteinuric eff</w:t>
      </w:r>
      <w:r>
        <w:t>ects</w:t>
      </w:r>
      <w:r w:rsidRPr="00D4489B">
        <w:t xml:space="preserve"> non-inferior </w:t>
      </w:r>
      <w:proofErr w:type="gramStart"/>
      <w:r w:rsidRPr="00D4489B">
        <w:t xml:space="preserve">to  </w:t>
      </w:r>
      <w:r>
        <w:t>benazepril</w:t>
      </w:r>
      <w:proofErr w:type="gramEnd"/>
      <w:r>
        <w:t xml:space="preserve"> however antihypertensive efficacy has not been evaluated</w:t>
      </w:r>
    </w:p>
    <w:p w14:paraId="49F88BD9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This study looked at BP effects of Telmisartan in healthy cats at different doses and dosing intervals compared to placebo</w:t>
      </w:r>
    </w:p>
    <w:p w14:paraId="5F19CDC9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 xml:space="preserve">After week 1, the 1mg/kg/day and 1.5mg/kg/day did not significantly drop </w:t>
      </w:r>
      <w:proofErr w:type="gramStart"/>
      <w:r>
        <w:t>BP</w:t>
      </w:r>
      <w:proofErr w:type="gramEnd"/>
      <w:r>
        <w:t xml:space="preserve"> but other doses/intervals did</w:t>
      </w:r>
    </w:p>
    <w:p w14:paraId="7BF87C92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By week 2 all doses and intervals resulted in statistically significant decreases in BP compared to placebo/baseline (25-37mmHg range decrease)</w:t>
      </w:r>
    </w:p>
    <w:p w14:paraId="06CFE41B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>Greatest reduction in week 1 with &gt;2mg/kg/day doses</w:t>
      </w:r>
    </w:p>
    <w:p w14:paraId="706E850C" w14:textId="77777777" w:rsidR="002701EE" w:rsidRDefault="002701EE" w:rsidP="002701EE">
      <w:pPr>
        <w:pStyle w:val="ListParagraph"/>
        <w:numPr>
          <w:ilvl w:val="0"/>
          <w:numId w:val="4"/>
        </w:numPr>
      </w:pPr>
      <w:r>
        <w:t xml:space="preserve">Testing in hypertensive cats needed; duration of BP control not tested in this study </w:t>
      </w:r>
    </w:p>
    <w:p w14:paraId="5AF301C3" w14:textId="77777777" w:rsidR="002701EE" w:rsidRDefault="002701EE" w:rsidP="002701EE"/>
    <w:p w14:paraId="37977EF7" w14:textId="77777777" w:rsidR="002701EE" w:rsidRDefault="002701EE" w:rsidP="002701EE">
      <w:r>
        <w:rPr>
          <w:noProof/>
        </w:rPr>
        <w:lastRenderedPageBreak/>
        <w:drawing>
          <wp:inline distT="0" distB="0" distL="0" distR="0" wp14:anchorId="4A43FE50" wp14:editId="2D8012B6">
            <wp:extent cx="5943600" cy="4034155"/>
            <wp:effectExtent l="38100" t="38100" r="38100" b="425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155"/>
                    </a:xfrm>
                    <a:prstGeom prst="rect">
                      <a:avLst/>
                    </a:prstGeom>
                    <a:effectLst>
                      <a:glow rad="25400">
                        <a:srgbClr val="00B0F0"/>
                      </a:glow>
                    </a:effectLst>
                  </pic:spPr>
                </pic:pic>
              </a:graphicData>
            </a:graphic>
          </wp:inline>
        </w:drawing>
      </w:r>
    </w:p>
    <w:p w14:paraId="49EE9D80" w14:textId="77777777" w:rsidR="002701EE" w:rsidRPr="006A1327" w:rsidRDefault="002701EE" w:rsidP="002701EE">
      <w:pPr>
        <w:pStyle w:val="ListParagraph"/>
        <w:numPr>
          <w:ilvl w:val="0"/>
          <w:numId w:val="4"/>
        </w:numPr>
        <w:rPr>
          <w:rFonts w:cstheme="minorHAnsi"/>
        </w:rPr>
      </w:pPr>
      <w:r>
        <w:t xml:space="preserve">Smaller diameter needle exerts higher shear forces as blood is collected </w:t>
      </w:r>
      <w:r>
        <w:sym w:font="Wingdings" w:char="F0E0"/>
      </w:r>
      <w:r>
        <w:t xml:space="preserve"> can activate both </w:t>
      </w:r>
      <w:r w:rsidRPr="006A1327">
        <w:rPr>
          <w:rFonts w:cstheme="minorHAnsi"/>
        </w:rPr>
        <w:t xml:space="preserve">platelets and coagulation factors </w:t>
      </w:r>
      <w:r w:rsidRPr="006A1327">
        <w:rPr>
          <w:rFonts w:cstheme="minorHAnsi"/>
        </w:rPr>
        <w:sym w:font="Wingdings" w:char="F0E0"/>
      </w:r>
      <w:r w:rsidRPr="006A1327">
        <w:rPr>
          <w:rFonts w:cstheme="minorHAnsi"/>
        </w:rPr>
        <w:t xml:space="preserve"> coagulation variables and platelet count may be altered</w:t>
      </w:r>
    </w:p>
    <w:p w14:paraId="621D142F" w14:textId="77777777" w:rsidR="002701EE" w:rsidRPr="006A1327" w:rsidRDefault="002701EE" w:rsidP="002701EE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6A1327">
        <w:rPr>
          <w:rFonts w:cstheme="minorHAnsi"/>
        </w:rPr>
        <w:t xml:space="preserve">Humans - platelet count but not PT or </w:t>
      </w:r>
      <w:proofErr w:type="spellStart"/>
      <w:r w:rsidRPr="006A1327">
        <w:rPr>
          <w:rFonts w:cstheme="minorHAnsi"/>
        </w:rPr>
        <w:t>aPTT</w:t>
      </w:r>
      <w:proofErr w:type="spellEnd"/>
      <w:r w:rsidRPr="006A1327">
        <w:rPr>
          <w:rFonts w:cstheme="minorHAnsi"/>
        </w:rPr>
        <w:t xml:space="preserve"> has been shown to differ with varying needle sizes; dogs no differences with 21, 21, 25g needles</w:t>
      </w:r>
    </w:p>
    <w:p w14:paraId="109C435E" w14:textId="77777777" w:rsidR="002701EE" w:rsidRDefault="002701EE" w:rsidP="002701EE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6A1327">
        <w:rPr>
          <w:rFonts w:cstheme="minorHAnsi"/>
        </w:rPr>
        <w:t>Cat platelets have greater aggregability in response to shear stress</w:t>
      </w:r>
      <w:proofErr w:type="gramStart"/>
      <w:r w:rsidRPr="006A1327">
        <w:rPr>
          <w:rFonts w:cstheme="minorHAnsi"/>
        </w:rPr>
        <w:t>-  will</w:t>
      </w:r>
      <w:proofErr w:type="gramEnd"/>
      <w:r w:rsidRPr="006A1327">
        <w:rPr>
          <w:rFonts w:cstheme="minorHAnsi"/>
        </w:rPr>
        <w:t xml:space="preserve"> various needle sizes will affect tests of hemostasis in cats</w:t>
      </w:r>
      <w:r>
        <w:rPr>
          <w:rFonts w:cstheme="minorHAnsi"/>
        </w:rPr>
        <w:t xml:space="preserve"> (22 vs 25g)</w:t>
      </w:r>
      <w:r w:rsidRPr="006A1327">
        <w:rPr>
          <w:rFonts w:cstheme="minorHAnsi"/>
        </w:rPr>
        <w:t>?</w:t>
      </w:r>
    </w:p>
    <w:p w14:paraId="55D11D07" w14:textId="77777777" w:rsidR="002701EE" w:rsidRPr="006A1327" w:rsidRDefault="002701EE" w:rsidP="002701EE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>
        <w:rPr>
          <w:rFonts w:cstheme="minorHAnsi"/>
        </w:rPr>
        <w:t>N</w:t>
      </w:r>
      <w:r w:rsidRPr="006A1327">
        <w:rPr>
          <w:rFonts w:cstheme="minorHAnsi"/>
        </w:rPr>
        <w:t>o difference b</w:t>
      </w:r>
      <w:r>
        <w:rPr>
          <w:rFonts w:cstheme="minorHAnsi"/>
        </w:rPr>
        <w:t>etween the two needle gauges</w:t>
      </w:r>
      <w:r w:rsidRPr="006A1327">
        <w:rPr>
          <w:rFonts w:cstheme="minorHAnsi"/>
        </w:rPr>
        <w:t xml:space="preserve"> for platelet count, proportion of samples with platelet clum</w:t>
      </w:r>
      <w:r>
        <w:rPr>
          <w:rFonts w:cstheme="minorHAnsi"/>
        </w:rPr>
        <w:t xml:space="preserve">ping, </w:t>
      </w:r>
      <w:proofErr w:type="spellStart"/>
      <w:r>
        <w:rPr>
          <w:rFonts w:cstheme="minorHAnsi"/>
        </w:rPr>
        <w:t>aPTT</w:t>
      </w:r>
      <w:proofErr w:type="spellEnd"/>
      <w:r>
        <w:rPr>
          <w:rFonts w:cstheme="minorHAnsi"/>
        </w:rPr>
        <w:t>, FDPs or fibrinogen, PT</w:t>
      </w:r>
    </w:p>
    <w:p w14:paraId="52537201" w14:textId="77777777" w:rsidR="002701EE" w:rsidRDefault="002701EE" w:rsidP="002701EE">
      <w:pPr>
        <w:rPr>
          <w:rFonts w:cstheme="minorHAnsi"/>
        </w:rPr>
      </w:pPr>
    </w:p>
    <w:p w14:paraId="66496FBF" w14:textId="77777777" w:rsidR="002701EE" w:rsidRDefault="002701EE" w:rsidP="002701EE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55AAD2E" wp14:editId="22B2881E">
            <wp:extent cx="5943600" cy="3884295"/>
            <wp:effectExtent l="38100" t="38100" r="38100" b="400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295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effectLst>
                      <a:glow rad="12700">
                        <a:srgbClr val="92D050"/>
                      </a:glow>
                      <a:softEdge rad="25400"/>
                    </a:effectLst>
                  </pic:spPr>
                </pic:pic>
              </a:graphicData>
            </a:graphic>
          </wp:inline>
        </w:drawing>
      </w:r>
    </w:p>
    <w:p w14:paraId="2A50D4FE" w14:textId="77777777" w:rsidR="002701EE" w:rsidRDefault="002701EE" w:rsidP="002701EE">
      <w:pPr>
        <w:pStyle w:val="ListParagraph"/>
        <w:numPr>
          <w:ilvl w:val="0"/>
          <w:numId w:val="4"/>
        </w:numPr>
        <w:rPr>
          <w:rFonts w:cstheme="minorHAnsi"/>
        </w:rPr>
      </w:pPr>
      <w:r w:rsidRPr="00257C1A">
        <w:rPr>
          <w:rFonts w:cstheme="minorHAnsi"/>
        </w:rPr>
        <w:t>Minor complications were noted for nine arterial catheters (n = 9/38; 23.7%) of whic</w:t>
      </w:r>
      <w:r>
        <w:rPr>
          <w:rFonts w:cstheme="minorHAnsi"/>
        </w:rPr>
        <w:t>h all were catheter occlusion</w:t>
      </w:r>
    </w:p>
    <w:p w14:paraId="7A07EF9C" w14:textId="77777777" w:rsidR="002701EE" w:rsidRPr="006A1327" w:rsidRDefault="002701EE" w:rsidP="002701EE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O</w:t>
      </w:r>
      <w:r w:rsidRPr="00257C1A">
        <w:rPr>
          <w:rFonts w:cstheme="minorHAnsi"/>
        </w:rPr>
        <w:t xml:space="preserve">ne major complication was noted, with one cat suffering ischemic injury secondary to a coccygeal arterial catheter resulting </w:t>
      </w:r>
      <w:r>
        <w:rPr>
          <w:rFonts w:cstheme="minorHAnsi"/>
        </w:rPr>
        <w:t>in tail amputation (1/38; 2.6%)</w:t>
      </w:r>
    </w:p>
    <w:p w14:paraId="1D801D9F" w14:textId="77777777" w:rsidR="002701EE" w:rsidRDefault="002701EE" w:rsidP="002701EE"/>
    <w:p w14:paraId="56FD309B" w14:textId="77777777" w:rsidR="002701EE" w:rsidRDefault="002701EE" w:rsidP="002701EE"/>
    <w:p w14:paraId="4A3E8DF7" w14:textId="77777777" w:rsidR="002701EE" w:rsidRDefault="002701EE" w:rsidP="002701EE">
      <w:r>
        <w:t>Reviews (Jan 2019):</w:t>
      </w:r>
    </w:p>
    <w:p w14:paraId="5CD90689" w14:textId="77777777" w:rsidR="002701EE" w:rsidRDefault="002701EE" w:rsidP="002701EE">
      <w:pPr>
        <w:pStyle w:val="ListParagraph"/>
        <w:numPr>
          <w:ilvl w:val="0"/>
          <w:numId w:val="3"/>
        </w:numPr>
      </w:pPr>
      <w:r>
        <w:t>HYPERTENSIVE OCULAR DISEASE IN CATS A guide to fundic lesions to facilitate early diagnosis</w:t>
      </w:r>
    </w:p>
    <w:p w14:paraId="0CDC8C64" w14:textId="77777777" w:rsidR="002701EE" w:rsidRDefault="002701EE" w:rsidP="002701EE">
      <w:pPr>
        <w:pStyle w:val="ListParagraph"/>
        <w:numPr>
          <w:ilvl w:val="0"/>
          <w:numId w:val="3"/>
        </w:numPr>
      </w:pPr>
      <w:r>
        <w:t>ACUTE PAIN IN CATS Recent advances in clinical assessment</w:t>
      </w:r>
    </w:p>
    <w:p w14:paraId="0EE9F437" w14:textId="361CA889" w:rsidR="002701EE" w:rsidRDefault="002701EE" w:rsidP="002701EE">
      <w:pPr>
        <w:rPr>
          <w:rFonts w:ascii="Arial" w:hAnsi="Arial" w:cs="Arial"/>
          <w:sz w:val="20"/>
          <w:szCs w:val="20"/>
        </w:rPr>
      </w:pPr>
    </w:p>
    <w:p w14:paraId="0648AB5C" w14:textId="77777777" w:rsidR="002701EE" w:rsidRPr="007D32FE" w:rsidRDefault="002701EE" w:rsidP="002701EE">
      <w:pPr>
        <w:rPr>
          <w:rFonts w:ascii="Arial" w:hAnsi="Arial" w:cs="Arial"/>
          <w:b/>
          <w:u w:val="single"/>
        </w:rPr>
      </w:pPr>
      <w:r w:rsidRPr="007D32FE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30D06BC8" wp14:editId="46C3B158">
            <wp:simplePos x="0" y="0"/>
            <wp:positionH relativeFrom="column">
              <wp:posOffset>3004750</wp:posOffset>
            </wp:positionH>
            <wp:positionV relativeFrom="paragraph">
              <wp:posOffset>4372849</wp:posOffset>
            </wp:positionV>
            <wp:extent cx="3227070" cy="1754505"/>
            <wp:effectExtent l="0" t="0" r="0" b="0"/>
            <wp:wrapTight wrapText="bothSides">
              <wp:wrapPolygon edited="0">
                <wp:start x="0" y="0"/>
                <wp:lineTo x="0" y="21342"/>
                <wp:lineTo x="21421" y="21342"/>
                <wp:lineTo x="2142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32FE">
        <w:rPr>
          <w:rFonts w:ascii="Arial" w:hAnsi="Arial" w:cs="Arial"/>
          <w:b/>
          <w:u w:val="single"/>
        </w:rPr>
        <w:t xml:space="preserve">Journal Feline Medicine &amp; Surgery – Feb 14 – April </w:t>
      </w:r>
      <w:proofErr w:type="gramStart"/>
      <w:r w:rsidRPr="007D32FE">
        <w:rPr>
          <w:rFonts w:ascii="Arial" w:hAnsi="Arial" w:cs="Arial"/>
          <w:b/>
          <w:u w:val="single"/>
        </w:rPr>
        <w:t>4</w:t>
      </w:r>
      <w:proofErr w:type="gramEnd"/>
      <w:r w:rsidRPr="007D32FE">
        <w:rPr>
          <w:rFonts w:ascii="Arial" w:hAnsi="Arial" w:cs="Arial"/>
          <w:b/>
          <w:u w:val="single"/>
        </w:rPr>
        <w:t xml:space="preserve"> 2019</w:t>
      </w:r>
    </w:p>
    <w:p w14:paraId="2CE2AF75" w14:textId="77777777" w:rsidR="002701EE" w:rsidRDefault="002701EE" w:rsidP="002701EE">
      <w:r>
        <w:rPr>
          <w:noProof/>
        </w:rPr>
        <w:drawing>
          <wp:inline distT="0" distB="0" distL="0" distR="0" wp14:anchorId="5C776711" wp14:editId="6BB9D8CE">
            <wp:extent cx="4680642" cy="4085060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0642" cy="40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D67A" w14:textId="77777777" w:rsidR="002701EE" w:rsidRDefault="002701EE" w:rsidP="002701E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 r</w:t>
      </w:r>
      <w:r w:rsidRPr="005849A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sult from HBC, </w:t>
      </w:r>
      <w:r w:rsidRPr="005849A7">
        <w:rPr>
          <w:rFonts w:ascii="Arial" w:hAnsi="Arial" w:cs="Arial"/>
          <w:sz w:val="20"/>
          <w:szCs w:val="20"/>
        </w:rPr>
        <w:t>fight</w:t>
      </w:r>
      <w:r>
        <w:rPr>
          <w:rFonts w:ascii="Arial" w:hAnsi="Arial" w:cs="Arial"/>
          <w:sz w:val="20"/>
          <w:szCs w:val="20"/>
        </w:rPr>
        <w:t>,</w:t>
      </w:r>
      <w:r w:rsidRPr="005849A7">
        <w:rPr>
          <w:rFonts w:ascii="Arial" w:hAnsi="Arial" w:cs="Arial"/>
          <w:sz w:val="20"/>
          <w:szCs w:val="20"/>
        </w:rPr>
        <w:t xml:space="preserve"> or a fall from </w:t>
      </w:r>
      <w:r>
        <w:rPr>
          <w:rFonts w:ascii="Arial" w:hAnsi="Arial" w:cs="Arial"/>
          <w:sz w:val="20"/>
          <w:szCs w:val="20"/>
        </w:rPr>
        <w:t>a height (high-rise syndrome)</w:t>
      </w:r>
    </w:p>
    <w:p w14:paraId="1D3DB7ED" w14:textId="77777777" w:rsidR="002701EE" w:rsidRDefault="002701EE" w:rsidP="002701E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</w:t>
      </w:r>
      <w:r w:rsidRPr="005849A7">
        <w:rPr>
          <w:rFonts w:ascii="Arial" w:hAnsi="Arial" w:cs="Arial"/>
          <w:sz w:val="20"/>
          <w:szCs w:val="20"/>
        </w:rPr>
        <w:t xml:space="preserve"> insufficient to accurately classify maxillofacial injurie</w:t>
      </w:r>
      <w:r>
        <w:rPr>
          <w:rFonts w:ascii="Arial" w:hAnsi="Arial" w:cs="Arial"/>
          <w:sz w:val="20"/>
          <w:szCs w:val="20"/>
        </w:rPr>
        <w:t>s</w:t>
      </w:r>
    </w:p>
    <w:p w14:paraId="63C5BC03" w14:textId="77777777" w:rsidR="002701EE" w:rsidRDefault="002701EE" w:rsidP="002701E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CT imaging superior to XR - </w:t>
      </w:r>
      <w:r w:rsidRPr="005849A7">
        <w:rPr>
          <w:rFonts w:ascii="Arial" w:hAnsi="Arial" w:cs="Arial"/>
          <w:sz w:val="20"/>
          <w:szCs w:val="20"/>
        </w:rPr>
        <w:t>incidence and distrib</w:t>
      </w:r>
      <w:r>
        <w:rPr>
          <w:rFonts w:ascii="Arial" w:hAnsi="Arial" w:cs="Arial"/>
          <w:sz w:val="20"/>
          <w:szCs w:val="20"/>
        </w:rPr>
        <w:t>ution of facial fractures may help</w:t>
      </w:r>
      <w:r w:rsidRPr="005849A7">
        <w:rPr>
          <w:rFonts w:ascii="Arial" w:hAnsi="Arial" w:cs="Arial"/>
          <w:sz w:val="20"/>
          <w:szCs w:val="20"/>
        </w:rPr>
        <w:t xml:space="preserve"> develop an understanding of the most appropriate diagnostic and treatm</w:t>
      </w:r>
      <w:r>
        <w:rPr>
          <w:rFonts w:ascii="Arial" w:hAnsi="Arial" w:cs="Arial"/>
          <w:sz w:val="20"/>
          <w:szCs w:val="20"/>
        </w:rPr>
        <w:t>ent options for these patients</w:t>
      </w:r>
    </w:p>
    <w:p w14:paraId="33CAB2C8" w14:textId="77777777" w:rsidR="002701EE" w:rsidRDefault="002701EE" w:rsidP="002701E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5849A7">
        <w:rPr>
          <w:rFonts w:ascii="Arial" w:hAnsi="Arial" w:cs="Arial"/>
          <w:sz w:val="20"/>
          <w:szCs w:val="20"/>
        </w:rPr>
        <w:t>etrospective study</w:t>
      </w:r>
      <w:r>
        <w:rPr>
          <w:rFonts w:ascii="Arial" w:hAnsi="Arial" w:cs="Arial"/>
          <w:sz w:val="20"/>
          <w:szCs w:val="20"/>
        </w:rPr>
        <w:t xml:space="preserve"> - describes the location,</w:t>
      </w:r>
      <w:r w:rsidRPr="005849A7">
        <w:rPr>
          <w:rFonts w:ascii="Arial" w:hAnsi="Arial" w:cs="Arial"/>
          <w:sz w:val="20"/>
          <w:szCs w:val="20"/>
        </w:rPr>
        <w:t xml:space="preserve"> distribution</w:t>
      </w:r>
      <w:r>
        <w:rPr>
          <w:rFonts w:ascii="Arial" w:hAnsi="Arial" w:cs="Arial"/>
          <w:sz w:val="20"/>
          <w:szCs w:val="20"/>
        </w:rPr>
        <w:t xml:space="preserve">, fracture pattern, and </w:t>
      </w:r>
      <w:r w:rsidRPr="005849A7">
        <w:rPr>
          <w:rFonts w:ascii="Arial" w:hAnsi="Arial" w:cs="Arial"/>
          <w:sz w:val="20"/>
          <w:szCs w:val="20"/>
        </w:rPr>
        <w:t xml:space="preserve">correlation of the </w:t>
      </w:r>
      <w:r>
        <w:rPr>
          <w:rFonts w:ascii="Arial" w:hAnsi="Arial" w:cs="Arial"/>
          <w:sz w:val="20"/>
          <w:szCs w:val="20"/>
        </w:rPr>
        <w:t>with</w:t>
      </w:r>
      <w:r w:rsidRPr="005849A7">
        <w:rPr>
          <w:rFonts w:ascii="Arial" w:hAnsi="Arial" w:cs="Arial"/>
          <w:sz w:val="20"/>
          <w:szCs w:val="20"/>
        </w:rPr>
        <w:t xml:space="preserve"> functional regions and associated ophthalmic and dental injuries in 45 cats </w:t>
      </w:r>
    </w:p>
    <w:p w14:paraId="02396785" w14:textId="77777777" w:rsidR="002701EE" w:rsidRDefault="002701EE" w:rsidP="002701E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RESULTS: </w:t>
      </w:r>
    </w:p>
    <w:p w14:paraId="6F450A04" w14:textId="77777777" w:rsidR="002701EE" w:rsidRDefault="002701EE" w:rsidP="002701EE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HBC most common injury causing fracture</w:t>
      </w:r>
    </w:p>
    <w:p w14:paraId="469E3E35" w14:textId="77777777" w:rsidR="002701EE" w:rsidRDefault="002701EE" w:rsidP="002701EE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5849A7">
        <w:rPr>
          <w:rFonts w:ascii="Arial" w:hAnsi="Arial" w:cs="Arial"/>
          <w:sz w:val="20"/>
          <w:szCs w:val="20"/>
        </w:rPr>
        <w:t xml:space="preserve">80.0% </w:t>
      </w:r>
      <w:r>
        <w:rPr>
          <w:rFonts w:ascii="Arial" w:hAnsi="Arial" w:cs="Arial"/>
          <w:sz w:val="20"/>
          <w:szCs w:val="20"/>
        </w:rPr>
        <w:t>of cats in study had skull fractures (with 81% being bilateral) and 86.7% had mandibular fractures (18% bilateral)</w:t>
      </w:r>
    </w:p>
    <w:p w14:paraId="3FC5404F" w14:textId="77777777" w:rsidR="002701EE" w:rsidRDefault="002701EE" w:rsidP="002701EE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Medium 8 fractures per cat</w:t>
      </w:r>
    </w:p>
    <w:p w14:paraId="0D40F45D" w14:textId="77777777" w:rsidR="002701EE" w:rsidRDefault="002701EE" w:rsidP="002701EE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Skull fracture - f</w:t>
      </w:r>
      <w:r w:rsidRPr="007D32FE">
        <w:rPr>
          <w:rFonts w:ascii="Arial" w:hAnsi="Arial" w:cs="Arial"/>
          <w:sz w:val="20"/>
          <w:szCs w:val="20"/>
        </w:rPr>
        <w:t xml:space="preserve">ractures to the ‘mid-face’ region </w:t>
      </w:r>
      <w:proofErr w:type="gramStart"/>
      <w:r w:rsidRPr="007D32FE">
        <w:rPr>
          <w:rFonts w:ascii="Arial" w:hAnsi="Arial" w:cs="Arial"/>
          <w:sz w:val="20"/>
          <w:szCs w:val="20"/>
        </w:rPr>
        <w:t>were</w:t>
      </w:r>
      <w:proofErr w:type="gramEnd"/>
      <w:r>
        <w:rPr>
          <w:rFonts w:ascii="Arial" w:hAnsi="Arial" w:cs="Arial"/>
          <w:sz w:val="20"/>
          <w:szCs w:val="20"/>
        </w:rPr>
        <w:t xml:space="preserve"> most common (</w:t>
      </w:r>
      <w:r w:rsidRPr="007D32FE">
        <w:rPr>
          <w:rFonts w:ascii="Arial" w:hAnsi="Arial" w:cs="Arial"/>
          <w:sz w:val="20"/>
          <w:szCs w:val="20"/>
        </w:rPr>
        <w:t>nasopharynx (68.9%), orbit (68.9%), nose (51.1%), upper jaw (51.1%), intermaxillary suture (44.</w:t>
      </w:r>
      <w:r>
        <w:rPr>
          <w:rFonts w:ascii="Arial" w:hAnsi="Arial" w:cs="Arial"/>
          <w:sz w:val="20"/>
          <w:szCs w:val="20"/>
        </w:rPr>
        <w:t xml:space="preserve">4%) and zygomatic arch (33.3%)) </w:t>
      </w:r>
    </w:p>
    <w:p w14:paraId="0FEB4936" w14:textId="77777777" w:rsidR="002701EE" w:rsidRDefault="002701EE" w:rsidP="002701EE">
      <w:pPr>
        <w:pStyle w:val="ListParagraph"/>
        <w:numPr>
          <w:ilvl w:val="2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Fractures in </w:t>
      </w:r>
      <w:proofErr w:type="gramStart"/>
      <w:r>
        <w:rPr>
          <w:rFonts w:ascii="Arial" w:hAnsi="Arial" w:cs="Arial"/>
          <w:sz w:val="20"/>
          <w:szCs w:val="20"/>
        </w:rPr>
        <w:t>these region</w:t>
      </w:r>
      <w:proofErr w:type="gramEnd"/>
      <w:r>
        <w:rPr>
          <w:rFonts w:ascii="Arial" w:hAnsi="Arial" w:cs="Arial"/>
          <w:sz w:val="20"/>
          <w:szCs w:val="20"/>
        </w:rPr>
        <w:t xml:space="preserve"> likely to be bilateral and</w:t>
      </w:r>
      <w:r w:rsidRPr="007D32FE">
        <w:rPr>
          <w:rFonts w:ascii="Arial" w:hAnsi="Arial" w:cs="Arial"/>
          <w:sz w:val="20"/>
          <w:szCs w:val="20"/>
        </w:rPr>
        <w:t xml:space="preserve"> occur together</w:t>
      </w:r>
    </w:p>
    <w:p w14:paraId="506463A6" w14:textId="77777777" w:rsidR="002701EE" w:rsidRDefault="002701EE" w:rsidP="002701EE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a cat had a mandibular symphyseal or </w:t>
      </w:r>
      <w:proofErr w:type="spellStart"/>
      <w:r>
        <w:rPr>
          <w:rFonts w:ascii="Arial" w:hAnsi="Arial" w:cs="Arial"/>
          <w:sz w:val="20"/>
          <w:szCs w:val="20"/>
        </w:rPr>
        <w:t>parasymphyseal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fracture</w:t>
      </w:r>
      <w:proofErr w:type="gramEnd"/>
      <w:r>
        <w:rPr>
          <w:rFonts w:ascii="Arial" w:hAnsi="Arial" w:cs="Arial"/>
          <w:sz w:val="20"/>
          <w:szCs w:val="20"/>
        </w:rPr>
        <w:t xml:space="preserve"> there was</w:t>
      </w:r>
      <w:r w:rsidRPr="005849A7">
        <w:rPr>
          <w:rFonts w:ascii="Arial" w:hAnsi="Arial" w:cs="Arial"/>
          <w:sz w:val="20"/>
          <w:szCs w:val="20"/>
        </w:rPr>
        <w:t xml:space="preserve"> an 84.6% chance of another </w:t>
      </w:r>
      <w:r>
        <w:rPr>
          <w:rFonts w:ascii="Arial" w:hAnsi="Arial" w:cs="Arial"/>
          <w:sz w:val="20"/>
          <w:szCs w:val="20"/>
        </w:rPr>
        <w:t xml:space="preserve">mandibular </w:t>
      </w:r>
      <w:r w:rsidRPr="005849A7">
        <w:rPr>
          <w:rFonts w:ascii="Arial" w:hAnsi="Arial" w:cs="Arial"/>
          <w:sz w:val="20"/>
          <w:szCs w:val="20"/>
        </w:rPr>
        <w:t>fract</w:t>
      </w:r>
      <w:r>
        <w:rPr>
          <w:rFonts w:ascii="Arial" w:hAnsi="Arial" w:cs="Arial"/>
          <w:sz w:val="20"/>
          <w:szCs w:val="20"/>
        </w:rPr>
        <w:t xml:space="preserve">ure and a </w:t>
      </w:r>
      <w:r w:rsidRPr="005849A7">
        <w:rPr>
          <w:rFonts w:ascii="Arial" w:hAnsi="Arial" w:cs="Arial"/>
          <w:sz w:val="20"/>
          <w:szCs w:val="20"/>
        </w:rPr>
        <w:t>73.1% chance of a fra</w:t>
      </w:r>
      <w:r>
        <w:rPr>
          <w:rFonts w:ascii="Arial" w:hAnsi="Arial" w:cs="Arial"/>
          <w:sz w:val="20"/>
          <w:szCs w:val="20"/>
        </w:rPr>
        <w:t>cture in the skull</w:t>
      </w:r>
    </w:p>
    <w:p w14:paraId="364FB8A3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3BF4AAD" wp14:editId="6CA0A1CA">
            <wp:extent cx="5366447" cy="4716855"/>
            <wp:effectExtent l="0" t="0" r="5715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83584" cy="473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1D2F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</w:p>
    <w:p w14:paraId="474B50FE" w14:textId="77777777" w:rsidR="002701EE" w:rsidRDefault="002701EE" w:rsidP="002701EE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D32FE">
        <w:rPr>
          <w:rFonts w:ascii="Arial" w:hAnsi="Arial" w:cs="Arial"/>
          <w:sz w:val="20"/>
          <w:szCs w:val="20"/>
        </w:rPr>
        <w:t>Uncontrolled</w:t>
      </w:r>
      <w:r>
        <w:rPr>
          <w:rFonts w:ascii="Arial" w:hAnsi="Arial" w:cs="Arial"/>
          <w:sz w:val="20"/>
          <w:szCs w:val="20"/>
        </w:rPr>
        <w:t xml:space="preserve"> pain is detrimental - QOL</w:t>
      </w:r>
      <w:r w:rsidRPr="007D32FE">
        <w:rPr>
          <w:rFonts w:ascii="Arial" w:hAnsi="Arial" w:cs="Arial"/>
          <w:sz w:val="20"/>
          <w:szCs w:val="20"/>
        </w:rPr>
        <w:t>, increases in cor</w:t>
      </w:r>
      <w:r>
        <w:rPr>
          <w:rFonts w:ascii="Arial" w:hAnsi="Arial" w:cs="Arial"/>
          <w:sz w:val="20"/>
          <w:szCs w:val="20"/>
        </w:rPr>
        <w:t xml:space="preserve">tisol and catecholamines </w:t>
      </w:r>
      <w:r w:rsidRPr="007D32FE">
        <w:rPr>
          <w:rFonts w:ascii="Arial" w:hAnsi="Arial" w:cs="Arial"/>
          <w:sz w:val="20"/>
          <w:szCs w:val="20"/>
        </w:rPr>
        <w:sym w:font="Wingdings" w:char="F0E0"/>
      </w:r>
      <w:r w:rsidRPr="007D32FE">
        <w:rPr>
          <w:rFonts w:ascii="Arial" w:hAnsi="Arial" w:cs="Arial"/>
          <w:sz w:val="20"/>
          <w:szCs w:val="20"/>
        </w:rPr>
        <w:t>predispose to tissue edema, ischemia, hyperglycemia, infect</w:t>
      </w:r>
      <w:r>
        <w:rPr>
          <w:rFonts w:ascii="Arial" w:hAnsi="Arial" w:cs="Arial"/>
          <w:sz w:val="20"/>
          <w:szCs w:val="20"/>
        </w:rPr>
        <w:t>ion and impaired wound healing</w:t>
      </w:r>
    </w:p>
    <w:p w14:paraId="2F6EED9A" w14:textId="77777777" w:rsidR="002701EE" w:rsidRDefault="002701EE" w:rsidP="002701EE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D32FE">
        <w:rPr>
          <w:rFonts w:ascii="Arial" w:hAnsi="Arial" w:cs="Arial"/>
          <w:sz w:val="20"/>
          <w:szCs w:val="20"/>
        </w:rPr>
        <w:t>Behavioral signs of</w:t>
      </w:r>
      <w:r>
        <w:rPr>
          <w:rFonts w:ascii="Arial" w:hAnsi="Arial" w:cs="Arial"/>
          <w:sz w:val="20"/>
          <w:szCs w:val="20"/>
        </w:rPr>
        <w:t xml:space="preserve"> acute pain in cats: </w:t>
      </w:r>
      <w:r w:rsidRPr="007D32FE">
        <w:rPr>
          <w:rFonts w:ascii="Arial" w:hAnsi="Arial" w:cs="Arial"/>
          <w:sz w:val="20"/>
          <w:szCs w:val="20"/>
        </w:rPr>
        <w:t>depression, immobility, remaining in a hunched position with the head down, guarding behaviors, attempting to escape, squinting of the eyes, hissing, growling, and resistance t</w:t>
      </w:r>
      <w:r>
        <w:rPr>
          <w:rFonts w:ascii="Arial" w:hAnsi="Arial" w:cs="Arial"/>
          <w:sz w:val="20"/>
          <w:szCs w:val="20"/>
        </w:rPr>
        <w:t>o palpation or handling</w:t>
      </w:r>
    </w:p>
    <w:p w14:paraId="4D9DF1CE" w14:textId="77777777" w:rsidR="002701EE" w:rsidRDefault="002701EE" w:rsidP="002701EE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also</w:t>
      </w:r>
      <w:r w:rsidRPr="007D32FE">
        <w:rPr>
          <w:rFonts w:ascii="Arial" w:hAnsi="Arial" w:cs="Arial"/>
          <w:sz w:val="20"/>
          <w:szCs w:val="20"/>
        </w:rPr>
        <w:t xml:space="preserve"> appear very similar to signs of distress </w:t>
      </w:r>
      <w:r>
        <w:rPr>
          <w:rFonts w:ascii="Arial" w:hAnsi="Arial" w:cs="Arial"/>
          <w:sz w:val="20"/>
          <w:szCs w:val="20"/>
        </w:rPr>
        <w:t>= overlooked</w:t>
      </w:r>
    </w:p>
    <w:p w14:paraId="3F5242E7" w14:textId="77777777" w:rsidR="002701EE" w:rsidRDefault="002701EE" w:rsidP="002701EE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Current study: </w:t>
      </w:r>
      <w:r w:rsidRPr="007D32FE">
        <w:rPr>
          <w:rFonts w:ascii="Arial" w:hAnsi="Arial" w:cs="Arial"/>
          <w:sz w:val="20"/>
          <w:szCs w:val="20"/>
        </w:rPr>
        <w:t>assess the inter-rater reliability and convergent validity of the CSU-F</w:t>
      </w:r>
      <w:r>
        <w:rPr>
          <w:rFonts w:ascii="Arial" w:hAnsi="Arial" w:cs="Arial"/>
          <w:sz w:val="20"/>
          <w:szCs w:val="20"/>
        </w:rPr>
        <w:t xml:space="preserve">eline </w:t>
      </w:r>
      <w:r w:rsidRPr="007D32F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cute </w:t>
      </w:r>
      <w:r w:rsidRPr="007D32F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ain </w:t>
      </w:r>
      <w:r w:rsidRPr="007D32F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core</w:t>
      </w:r>
      <w:r w:rsidRPr="007D32FE">
        <w:rPr>
          <w:rFonts w:ascii="Arial" w:hAnsi="Arial" w:cs="Arial"/>
          <w:sz w:val="20"/>
          <w:szCs w:val="20"/>
        </w:rPr>
        <w:t xml:space="preserve"> in a clinical/teaching setting</w:t>
      </w:r>
    </w:p>
    <w:p w14:paraId="51DD744E" w14:textId="77777777" w:rsidR="002701EE" w:rsidRDefault="002701EE" w:rsidP="002701EE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14:paraId="37C3ACC1" w14:textId="77777777" w:rsidR="002701EE" w:rsidRDefault="002701EE" w:rsidP="002701EE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110E72">
        <w:rPr>
          <w:rFonts w:ascii="Arial" w:hAnsi="Arial" w:cs="Arial"/>
          <w:sz w:val="20"/>
          <w:szCs w:val="20"/>
        </w:rPr>
        <w:t>CSU-</w:t>
      </w:r>
      <w:r>
        <w:rPr>
          <w:rFonts w:ascii="Arial" w:hAnsi="Arial" w:cs="Arial"/>
          <w:sz w:val="20"/>
          <w:szCs w:val="20"/>
        </w:rPr>
        <w:t>FAPS was simple to use</w:t>
      </w:r>
    </w:p>
    <w:p w14:paraId="68C72879" w14:textId="77777777" w:rsidR="002701EE" w:rsidRDefault="002701EE" w:rsidP="002701EE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Moderate </w:t>
      </w:r>
      <w:r w:rsidRPr="00110E72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</w:t>
      </w:r>
      <w:r w:rsidRPr="00110E72">
        <w:rPr>
          <w:rFonts w:ascii="Arial" w:hAnsi="Arial" w:cs="Arial"/>
          <w:sz w:val="20"/>
          <w:szCs w:val="20"/>
        </w:rPr>
        <w:t>good inter-rater reliability when used by veterinarians with advanced training in an</w:t>
      </w:r>
      <w:r>
        <w:rPr>
          <w:rFonts w:ascii="Arial" w:hAnsi="Arial" w:cs="Arial"/>
          <w:sz w:val="20"/>
          <w:szCs w:val="20"/>
        </w:rPr>
        <w:t>esthesia (residents and anesthesiologists)</w:t>
      </w:r>
    </w:p>
    <w:p w14:paraId="3B68AB49" w14:textId="77777777" w:rsidR="002701EE" w:rsidRDefault="002701EE" w:rsidP="002701EE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convergent validity</w:t>
      </w:r>
      <w:r w:rsidRPr="00110E72">
        <w:rPr>
          <w:rFonts w:ascii="Arial" w:hAnsi="Arial" w:cs="Arial"/>
          <w:sz w:val="20"/>
          <w:szCs w:val="20"/>
        </w:rPr>
        <w:t xml:space="preserve"> of the scale fell short of current guideline</w:t>
      </w:r>
      <w:r>
        <w:rPr>
          <w:rFonts w:ascii="Arial" w:hAnsi="Arial" w:cs="Arial"/>
          <w:sz w:val="20"/>
          <w:szCs w:val="20"/>
        </w:rPr>
        <w:t>s for correlation coefficient (</w:t>
      </w:r>
      <w:proofErr w:type="spellStart"/>
      <w:r>
        <w:rPr>
          <w:rFonts w:ascii="Arial" w:hAnsi="Arial" w:cs="Arial"/>
          <w:sz w:val="20"/>
          <w:szCs w:val="20"/>
        </w:rPr>
        <w:t>Glascow</w:t>
      </w:r>
      <w:proofErr w:type="spellEnd"/>
      <w:r>
        <w:rPr>
          <w:rFonts w:ascii="Arial" w:hAnsi="Arial" w:cs="Arial"/>
          <w:sz w:val="20"/>
          <w:szCs w:val="20"/>
        </w:rPr>
        <w:t xml:space="preserve"> Composite Measure Pain Score – Feline was criterion)</w:t>
      </w:r>
    </w:p>
    <w:p w14:paraId="397FD6A1" w14:textId="77777777" w:rsidR="002701EE" w:rsidRDefault="002701EE" w:rsidP="002701EE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10E72">
        <w:rPr>
          <w:rFonts w:ascii="Arial" w:hAnsi="Arial" w:cs="Arial"/>
          <w:sz w:val="20"/>
          <w:szCs w:val="20"/>
        </w:rPr>
        <w:t>efinement of the scale could be beneficial to increase consistency of results</w:t>
      </w:r>
    </w:p>
    <w:p w14:paraId="7859A06C" w14:textId="77777777" w:rsidR="002701EE" w:rsidRDefault="002701EE" w:rsidP="002701EE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Relatively reliable but not valid measure </w:t>
      </w:r>
    </w:p>
    <w:p w14:paraId="216C4972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</w:p>
    <w:p w14:paraId="524A57C8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</w:p>
    <w:p w14:paraId="0916646F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96BC581" wp14:editId="6684E145">
            <wp:extent cx="5423026" cy="4540046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30026" cy="454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A275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Prognosis for FATE is poor - </w:t>
      </w:r>
      <w:r w:rsidRPr="00110E72">
        <w:rPr>
          <w:rFonts w:ascii="Arial" w:hAnsi="Arial" w:cs="Arial"/>
          <w:sz w:val="20"/>
          <w:szCs w:val="20"/>
        </w:rPr>
        <w:t xml:space="preserve">euthanasia as </w:t>
      </w:r>
      <w:r>
        <w:rPr>
          <w:rFonts w:ascii="Arial" w:hAnsi="Arial" w:cs="Arial"/>
          <w:sz w:val="20"/>
          <w:szCs w:val="20"/>
        </w:rPr>
        <w:t>high as 90% in some reports</w:t>
      </w:r>
    </w:p>
    <w:p w14:paraId="14C03BD2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110E72">
        <w:rPr>
          <w:rFonts w:ascii="Arial" w:hAnsi="Arial" w:cs="Arial"/>
          <w:sz w:val="20"/>
          <w:szCs w:val="20"/>
        </w:rPr>
        <w:t>urrent sta</w:t>
      </w:r>
      <w:r>
        <w:rPr>
          <w:rFonts w:ascii="Arial" w:hAnsi="Arial" w:cs="Arial"/>
          <w:sz w:val="20"/>
          <w:szCs w:val="20"/>
        </w:rPr>
        <w:t xml:space="preserve">ndard treatments = </w:t>
      </w:r>
      <w:r w:rsidRPr="00110E72">
        <w:rPr>
          <w:rFonts w:ascii="Arial" w:hAnsi="Arial" w:cs="Arial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>algesia and thromboprophylaxis -</w:t>
      </w:r>
      <w:r w:rsidRPr="00110E72">
        <w:rPr>
          <w:rFonts w:ascii="Arial" w:hAnsi="Arial" w:cs="Arial"/>
          <w:sz w:val="20"/>
          <w:szCs w:val="20"/>
        </w:rPr>
        <w:t xml:space="preserve"> the prognosis is still</w:t>
      </w:r>
      <w:r>
        <w:rPr>
          <w:rFonts w:ascii="Arial" w:hAnsi="Arial" w:cs="Arial"/>
          <w:sz w:val="20"/>
          <w:szCs w:val="20"/>
        </w:rPr>
        <w:t xml:space="preserve"> guarded (survival with treatment 27–45%)</w:t>
      </w:r>
    </w:p>
    <w:p w14:paraId="2DC3AE8C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Humans, mortality and functional outcome improved if </w:t>
      </w:r>
      <w:proofErr w:type="spellStart"/>
      <w:r>
        <w:rPr>
          <w:rFonts w:ascii="Arial" w:hAnsi="Arial" w:cs="Arial"/>
          <w:sz w:val="20"/>
          <w:szCs w:val="20"/>
        </w:rPr>
        <w:t>tPA</w:t>
      </w:r>
      <w:proofErr w:type="spellEnd"/>
      <w:r>
        <w:rPr>
          <w:rFonts w:ascii="Arial" w:hAnsi="Arial" w:cs="Arial"/>
          <w:sz w:val="20"/>
          <w:szCs w:val="20"/>
        </w:rPr>
        <w:t xml:space="preserve"> given within 6 hours of acute ischemic event</w:t>
      </w:r>
    </w:p>
    <w:p w14:paraId="470C00BC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Veterinary medicine - thrombolysis in FATE has been considered unrewarding (lack of efficacy, </w:t>
      </w:r>
      <w:r w:rsidRPr="00110E72">
        <w:rPr>
          <w:rFonts w:ascii="Arial" w:hAnsi="Arial" w:cs="Arial"/>
          <w:sz w:val="20"/>
          <w:szCs w:val="20"/>
        </w:rPr>
        <w:t>risks of reperfusion injury (RI) with hyperkalemi</w:t>
      </w:r>
      <w:r>
        <w:rPr>
          <w:rFonts w:ascii="Arial" w:hAnsi="Arial" w:cs="Arial"/>
          <w:sz w:val="20"/>
          <w:szCs w:val="20"/>
        </w:rPr>
        <w:t>a)</w:t>
      </w:r>
    </w:p>
    <w:p w14:paraId="3284F7E7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Retrospective study: </w:t>
      </w:r>
      <w:r w:rsidRPr="00110E72">
        <w:rPr>
          <w:rFonts w:ascii="Arial" w:hAnsi="Arial" w:cs="Arial"/>
          <w:sz w:val="20"/>
          <w:szCs w:val="20"/>
        </w:rPr>
        <w:t>report clinical data and outcomes associated with the early use and short-term infusion of TPA in FATE v</w:t>
      </w:r>
      <w:r>
        <w:rPr>
          <w:rFonts w:ascii="Arial" w:hAnsi="Arial" w:cs="Arial"/>
          <w:sz w:val="20"/>
          <w:szCs w:val="20"/>
        </w:rPr>
        <w:t>s SOC without TPA (</w:t>
      </w:r>
      <w:proofErr w:type="gramStart"/>
      <w:r>
        <w:rPr>
          <w:rFonts w:ascii="Arial" w:hAnsi="Arial" w:cs="Arial"/>
          <w:sz w:val="20"/>
          <w:szCs w:val="20"/>
        </w:rPr>
        <w:t>10 year</w:t>
      </w:r>
      <w:proofErr w:type="gramEnd"/>
      <w:r>
        <w:rPr>
          <w:rFonts w:ascii="Arial" w:hAnsi="Arial" w:cs="Arial"/>
          <w:sz w:val="20"/>
          <w:szCs w:val="20"/>
        </w:rPr>
        <w:t xml:space="preserve"> period)</w:t>
      </w:r>
    </w:p>
    <w:p w14:paraId="322716F6" w14:textId="77777777" w:rsidR="002701EE" w:rsidRDefault="002701EE" w:rsidP="002701E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14:paraId="20A89E21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TPA given within 3 hours of presentation (though significant difference in time to presentation between TPA and SOC group)</w:t>
      </w:r>
    </w:p>
    <w:p w14:paraId="7FC72BC1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440A77">
        <w:rPr>
          <w:rFonts w:ascii="Arial" w:hAnsi="Arial" w:cs="Arial"/>
          <w:sz w:val="20"/>
          <w:szCs w:val="20"/>
        </w:rPr>
        <w:t xml:space="preserve">uthanasia rate vs spontaneous death was similar in both groups (55.55% for </w:t>
      </w:r>
      <w:r>
        <w:rPr>
          <w:rFonts w:ascii="Arial" w:hAnsi="Arial" w:cs="Arial"/>
          <w:sz w:val="20"/>
          <w:szCs w:val="20"/>
        </w:rPr>
        <w:t>TPA-treated vs 66.7% in SOC)</w:t>
      </w:r>
    </w:p>
    <w:p w14:paraId="16E68E2A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 w:rsidRPr="00440A77">
        <w:rPr>
          <w:rFonts w:ascii="Arial" w:hAnsi="Arial" w:cs="Arial"/>
          <w:sz w:val="20"/>
          <w:szCs w:val="20"/>
        </w:rPr>
        <w:t>Short-term (48 h) survival proportion were not different between groups (56.25% in the TPA-treated</w:t>
      </w:r>
      <w:r>
        <w:rPr>
          <w:rFonts w:ascii="Arial" w:hAnsi="Arial" w:cs="Arial"/>
          <w:sz w:val="20"/>
          <w:szCs w:val="20"/>
        </w:rPr>
        <w:t xml:space="preserve"> vs 39.5% SOC)</w:t>
      </w:r>
    </w:p>
    <w:p w14:paraId="25E8AF43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4/7 cats in TPA ground had recurrence of FATE (median time 106 days)</w:t>
      </w:r>
    </w:p>
    <w:p w14:paraId="6A98542F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 w:rsidRPr="00440A77">
        <w:rPr>
          <w:rFonts w:ascii="Arial" w:hAnsi="Arial" w:cs="Arial"/>
          <w:sz w:val="20"/>
          <w:szCs w:val="20"/>
        </w:rPr>
        <w:t xml:space="preserve">SOC group </w:t>
      </w:r>
      <w:r>
        <w:rPr>
          <w:rFonts w:ascii="Arial" w:hAnsi="Arial" w:cs="Arial"/>
          <w:sz w:val="20"/>
          <w:szCs w:val="20"/>
        </w:rPr>
        <w:t xml:space="preserve">- </w:t>
      </w:r>
      <w:r w:rsidRPr="00440A77">
        <w:rPr>
          <w:rFonts w:ascii="Arial" w:hAnsi="Arial" w:cs="Arial"/>
          <w:sz w:val="20"/>
          <w:szCs w:val="20"/>
        </w:rPr>
        <w:t xml:space="preserve">25% and 50% developed </w:t>
      </w:r>
      <w:r>
        <w:rPr>
          <w:rFonts w:ascii="Arial" w:hAnsi="Arial" w:cs="Arial"/>
          <w:sz w:val="20"/>
          <w:szCs w:val="20"/>
        </w:rPr>
        <w:t xml:space="preserve">AKI and RI </w:t>
      </w:r>
      <w:proofErr w:type="gramStart"/>
      <w:r>
        <w:rPr>
          <w:rFonts w:ascii="Arial" w:hAnsi="Arial" w:cs="Arial"/>
          <w:sz w:val="20"/>
          <w:szCs w:val="20"/>
        </w:rPr>
        <w:t xml:space="preserve">- </w:t>
      </w:r>
      <w:r w:rsidRPr="00440A77">
        <w:rPr>
          <w:rFonts w:ascii="Arial" w:hAnsi="Arial" w:cs="Arial"/>
          <w:sz w:val="20"/>
          <w:szCs w:val="20"/>
        </w:rPr>
        <w:t xml:space="preserve"> not</w:t>
      </w:r>
      <w:proofErr w:type="gramEnd"/>
      <w:r w:rsidRPr="00440A77">
        <w:rPr>
          <w:rFonts w:ascii="Arial" w:hAnsi="Arial" w:cs="Arial"/>
          <w:sz w:val="20"/>
          <w:szCs w:val="20"/>
        </w:rPr>
        <w:t xml:space="preserve"> statistically different to the TPA-treated grou</w:t>
      </w:r>
      <w:r>
        <w:rPr>
          <w:rFonts w:ascii="Arial" w:hAnsi="Arial" w:cs="Arial"/>
          <w:sz w:val="20"/>
          <w:szCs w:val="20"/>
        </w:rPr>
        <w:t>p</w:t>
      </w:r>
    </w:p>
    <w:p w14:paraId="70E28DC6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TPA group – 7/16 had motor function improvement w/in 12 hours of treatment (none in SOC group did not (no significance noted)</w:t>
      </w:r>
    </w:p>
    <w:p w14:paraId="3E65EB0D" w14:textId="77777777" w:rsidR="002701EE" w:rsidRDefault="002701EE" w:rsidP="002701EE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underpowered – differences may not have been detected</w:t>
      </w:r>
    </w:p>
    <w:p w14:paraId="66F730F4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2C2F421" wp14:editId="5C1C4438">
            <wp:extent cx="5060887" cy="4025460"/>
            <wp:effectExtent l="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68106" cy="403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DFBAD" w14:textId="77777777" w:rsidR="002701EE" w:rsidRDefault="002701EE" w:rsidP="002701EE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proofErr w:type="spellStart"/>
      <w:r w:rsidRPr="00F12705">
        <w:rPr>
          <w:rFonts w:ascii="Arial" w:hAnsi="Arial" w:cs="Arial"/>
          <w:sz w:val="20"/>
          <w:szCs w:val="20"/>
        </w:rPr>
        <w:t>Hypersomatotropism</w:t>
      </w:r>
      <w:proofErr w:type="spellEnd"/>
      <w:r w:rsidRPr="00F127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F12705">
        <w:rPr>
          <w:rFonts w:ascii="Arial" w:hAnsi="Arial" w:cs="Arial"/>
          <w:sz w:val="20"/>
          <w:szCs w:val="20"/>
        </w:rPr>
        <w:t>growth hormone-sec</w:t>
      </w:r>
      <w:r>
        <w:rPr>
          <w:rFonts w:ascii="Arial" w:hAnsi="Arial" w:cs="Arial"/>
          <w:sz w:val="20"/>
          <w:szCs w:val="20"/>
        </w:rPr>
        <w:t>reting pituitary gland adenoma</w:t>
      </w:r>
    </w:p>
    <w:p w14:paraId="7D4CD910" w14:textId="77777777" w:rsidR="002701EE" w:rsidRDefault="002701EE" w:rsidP="002701EE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Though typically s</w:t>
      </w:r>
      <w:r w:rsidRPr="00F12705">
        <w:rPr>
          <w:rFonts w:ascii="Arial" w:hAnsi="Arial" w:cs="Arial"/>
          <w:sz w:val="20"/>
          <w:szCs w:val="20"/>
        </w:rPr>
        <w:t>low-growing</w:t>
      </w:r>
      <w:r>
        <w:rPr>
          <w:rFonts w:ascii="Arial" w:hAnsi="Arial" w:cs="Arial"/>
          <w:sz w:val="20"/>
          <w:szCs w:val="20"/>
        </w:rPr>
        <w:t>,</w:t>
      </w:r>
      <w:r w:rsidRPr="00F12705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eurological disease is possible</w:t>
      </w:r>
    </w:p>
    <w:p w14:paraId="08302404" w14:textId="77777777" w:rsidR="002701EE" w:rsidRDefault="002701EE" w:rsidP="002701EE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Traditionally treated with radiation though more surgeons are performing hypophysectomies </w:t>
      </w:r>
    </w:p>
    <w:p w14:paraId="39E261D4" w14:textId="77777777" w:rsidR="002701EE" w:rsidRDefault="002701EE" w:rsidP="002701EE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 study:</w:t>
      </w:r>
      <w:r w:rsidRPr="00F12705">
        <w:rPr>
          <w:rFonts w:ascii="Arial" w:hAnsi="Arial" w:cs="Arial"/>
          <w:sz w:val="20"/>
          <w:szCs w:val="20"/>
        </w:rPr>
        <w:t xml:space="preserve"> describe the anesthetic management and complications encountered during hypophysectomy surgeries</w:t>
      </w:r>
      <w:r>
        <w:rPr>
          <w:rFonts w:ascii="Arial" w:hAnsi="Arial" w:cs="Arial"/>
          <w:sz w:val="20"/>
          <w:szCs w:val="20"/>
        </w:rPr>
        <w:t>, assess the relationship between</w:t>
      </w:r>
      <w:r w:rsidRPr="00F12705">
        <w:rPr>
          <w:rFonts w:ascii="Arial" w:hAnsi="Arial" w:cs="Arial"/>
          <w:sz w:val="20"/>
          <w:szCs w:val="20"/>
        </w:rPr>
        <w:t xml:space="preserve"> complications and the anesthesia protocol </w:t>
      </w:r>
      <w:r>
        <w:rPr>
          <w:rFonts w:ascii="Arial" w:hAnsi="Arial" w:cs="Arial"/>
          <w:sz w:val="20"/>
          <w:szCs w:val="20"/>
        </w:rPr>
        <w:t xml:space="preserve">used, and the impact </w:t>
      </w:r>
      <w:r w:rsidRPr="00F12705">
        <w:rPr>
          <w:rFonts w:ascii="Arial" w:hAnsi="Arial" w:cs="Arial"/>
          <w:sz w:val="20"/>
          <w:szCs w:val="20"/>
        </w:rPr>
        <w:t>and presence of complicatio</w:t>
      </w:r>
      <w:r>
        <w:rPr>
          <w:rFonts w:ascii="Arial" w:hAnsi="Arial" w:cs="Arial"/>
          <w:sz w:val="20"/>
          <w:szCs w:val="20"/>
        </w:rPr>
        <w:t>ns on the perioperative outcome</w:t>
      </w:r>
    </w:p>
    <w:p w14:paraId="3CCFDA95" w14:textId="77777777" w:rsidR="002701EE" w:rsidRDefault="002701EE" w:rsidP="002701EE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14:paraId="0D01546F" w14:textId="77777777" w:rsidR="002701EE" w:rsidRPr="00F12705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Ax management consisted of methadone +/- midazolam, alpha 2 agonist, </w:t>
      </w:r>
      <w:proofErr w:type="spellStart"/>
      <w:r>
        <w:rPr>
          <w:rFonts w:ascii="Arial" w:hAnsi="Arial" w:cs="Arial"/>
          <w:sz w:val="20"/>
          <w:szCs w:val="20"/>
        </w:rPr>
        <w:t>alfaxalone</w:t>
      </w:r>
      <w:proofErr w:type="spellEnd"/>
      <w:r>
        <w:rPr>
          <w:rFonts w:ascii="Arial" w:hAnsi="Arial" w:cs="Arial"/>
          <w:sz w:val="20"/>
          <w:szCs w:val="20"/>
        </w:rPr>
        <w:t xml:space="preserve">, acepromazine as premed; propofol or </w:t>
      </w:r>
      <w:proofErr w:type="spellStart"/>
      <w:r>
        <w:rPr>
          <w:rFonts w:ascii="Arial" w:hAnsi="Arial" w:cs="Arial"/>
          <w:sz w:val="20"/>
          <w:szCs w:val="20"/>
        </w:rPr>
        <w:t>alfaxalone</w:t>
      </w:r>
      <w:proofErr w:type="spellEnd"/>
      <w:r>
        <w:rPr>
          <w:rFonts w:ascii="Arial" w:hAnsi="Arial" w:cs="Arial"/>
          <w:sz w:val="20"/>
          <w:szCs w:val="20"/>
        </w:rPr>
        <w:t xml:space="preserve"> +/- </w:t>
      </w:r>
      <w:proofErr w:type="spellStart"/>
      <w:r>
        <w:rPr>
          <w:rFonts w:ascii="Arial" w:hAnsi="Arial" w:cs="Arial"/>
          <w:sz w:val="20"/>
          <w:szCs w:val="20"/>
        </w:rPr>
        <w:t>midaz</w:t>
      </w:r>
      <w:proofErr w:type="spellEnd"/>
      <w:r>
        <w:rPr>
          <w:rFonts w:ascii="Arial" w:hAnsi="Arial" w:cs="Arial"/>
          <w:sz w:val="20"/>
          <w:szCs w:val="20"/>
        </w:rPr>
        <w:t xml:space="preserve"> to induce; </w:t>
      </w:r>
      <w:proofErr w:type="spellStart"/>
      <w:r>
        <w:rPr>
          <w:rFonts w:ascii="Arial" w:hAnsi="Arial" w:cs="Arial"/>
          <w:sz w:val="20"/>
          <w:szCs w:val="20"/>
        </w:rPr>
        <w:t>sevo</w:t>
      </w:r>
      <w:proofErr w:type="spellEnd"/>
      <w:r>
        <w:rPr>
          <w:rFonts w:ascii="Arial" w:hAnsi="Arial" w:cs="Arial"/>
          <w:sz w:val="20"/>
          <w:szCs w:val="20"/>
        </w:rPr>
        <w:t xml:space="preserve"> or iso for maintenance with fentanyl or remifentanil; insulin CRI; hydrocortisone CRI; desmopressin conjunctival; buprenorphine post op</w:t>
      </w:r>
    </w:p>
    <w:p w14:paraId="0710D2B0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F12705">
        <w:rPr>
          <w:rFonts w:ascii="Arial" w:hAnsi="Arial" w:cs="Arial"/>
          <w:sz w:val="20"/>
          <w:szCs w:val="20"/>
        </w:rPr>
        <w:t>ats that did not receive an α2 agonist were more likely to suffer hypotension</w:t>
      </w:r>
      <w:r>
        <w:rPr>
          <w:rFonts w:ascii="Arial" w:hAnsi="Arial" w:cs="Arial"/>
          <w:sz w:val="20"/>
          <w:szCs w:val="20"/>
        </w:rPr>
        <w:t xml:space="preserve"> during the anesthetic period</w:t>
      </w:r>
    </w:p>
    <w:p w14:paraId="2B6F4B6F" w14:textId="77777777" w:rsidR="002701EE" w:rsidRPr="00F12705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F12705">
        <w:rPr>
          <w:rFonts w:ascii="Arial" w:hAnsi="Arial" w:cs="Arial"/>
          <w:sz w:val="20"/>
          <w:szCs w:val="20"/>
        </w:rPr>
        <w:t>ats that r</w:t>
      </w:r>
      <w:r>
        <w:rPr>
          <w:rFonts w:ascii="Arial" w:hAnsi="Arial" w:cs="Arial"/>
          <w:sz w:val="20"/>
          <w:szCs w:val="20"/>
        </w:rPr>
        <w:t>eceived a CRI</w:t>
      </w:r>
      <w:r w:rsidRPr="00F12705">
        <w:rPr>
          <w:rFonts w:ascii="Arial" w:hAnsi="Arial" w:cs="Arial"/>
          <w:sz w:val="20"/>
          <w:szCs w:val="20"/>
        </w:rPr>
        <w:t xml:space="preserve"> of remifentanil were less likely to suffer airway complications than cats </w:t>
      </w:r>
      <w:r>
        <w:rPr>
          <w:rFonts w:ascii="Arial" w:hAnsi="Arial" w:cs="Arial"/>
          <w:sz w:val="20"/>
          <w:szCs w:val="20"/>
        </w:rPr>
        <w:t>that received fentanyl infusion</w:t>
      </w:r>
    </w:p>
    <w:p w14:paraId="67AD9C37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Interestingly</w:t>
      </w:r>
      <w:r w:rsidRPr="00F12705">
        <w:rPr>
          <w:rFonts w:ascii="Arial" w:hAnsi="Arial" w:cs="Arial"/>
          <w:sz w:val="20"/>
          <w:szCs w:val="20"/>
        </w:rPr>
        <w:t xml:space="preserve"> cats with recovery described as ‘abnormal’ were discharged quicker from the ICU compared with cats with a recovery quality descri</w:t>
      </w:r>
      <w:r>
        <w:rPr>
          <w:rFonts w:ascii="Arial" w:hAnsi="Arial" w:cs="Arial"/>
          <w:sz w:val="20"/>
          <w:szCs w:val="20"/>
        </w:rPr>
        <w:t>bed as ‘unremarkable’</w:t>
      </w:r>
    </w:p>
    <w:p w14:paraId="0A4EE158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Intraoperative complications: </w:t>
      </w:r>
      <w:r w:rsidRPr="00F12705">
        <w:rPr>
          <w:rFonts w:ascii="Arial" w:hAnsi="Arial" w:cs="Arial"/>
          <w:sz w:val="20"/>
          <w:szCs w:val="20"/>
        </w:rPr>
        <w:t>hypothermia, bradycardia, hyp</w:t>
      </w:r>
      <w:r>
        <w:rPr>
          <w:rFonts w:ascii="Arial" w:hAnsi="Arial" w:cs="Arial"/>
          <w:sz w:val="20"/>
          <w:szCs w:val="20"/>
        </w:rPr>
        <w:t>otension and airway obstruction</w:t>
      </w:r>
    </w:p>
    <w:p w14:paraId="0F27AE03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3/38 (8%) died within 24 hours of anesthetic recovery</w:t>
      </w:r>
    </w:p>
    <w:p w14:paraId="004B4FAF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time in ICU post-op was 6.8 days +/- 3.8</w:t>
      </w:r>
    </w:p>
    <w:p w14:paraId="643C8E97" w14:textId="77777777" w:rsidR="002701EE" w:rsidRDefault="002701EE" w:rsidP="002701EE">
      <w:pPr>
        <w:pStyle w:val="ListParagraph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Mortality rate lower than previous studies</w:t>
      </w:r>
    </w:p>
    <w:p w14:paraId="02372288" w14:textId="77777777" w:rsidR="002701EE" w:rsidRDefault="002701EE" w:rsidP="002701EE">
      <w:pPr>
        <w:rPr>
          <w:rFonts w:ascii="Arial" w:hAnsi="Arial" w:cs="Arial"/>
          <w:sz w:val="20"/>
          <w:szCs w:val="20"/>
        </w:rPr>
      </w:pPr>
    </w:p>
    <w:p w14:paraId="18347DF2" w14:textId="77777777" w:rsidR="002701EE" w:rsidRPr="007D32FE" w:rsidRDefault="002701EE" w:rsidP="002701EE">
      <w:pPr>
        <w:rPr>
          <w:rFonts w:ascii="Arial" w:hAnsi="Arial" w:cs="Arial"/>
          <w:sz w:val="20"/>
          <w:szCs w:val="20"/>
        </w:rPr>
      </w:pPr>
    </w:p>
    <w:p w14:paraId="3F201FF7" w14:textId="77777777" w:rsidR="002701EE" w:rsidRPr="001E4D9C" w:rsidRDefault="002701EE" w:rsidP="002701EE">
      <w:pPr>
        <w:rPr>
          <w:sz w:val="20"/>
          <w:szCs w:val="20"/>
        </w:rPr>
      </w:pPr>
      <w:r w:rsidRPr="001E4D9C">
        <w:rPr>
          <w:noProof/>
          <w:sz w:val="20"/>
          <w:szCs w:val="20"/>
        </w:rPr>
        <w:lastRenderedPageBreak/>
        <w:drawing>
          <wp:inline distT="0" distB="0" distL="0" distR="0" wp14:anchorId="6FFE7E3E" wp14:editId="113E0E68">
            <wp:extent cx="5943600" cy="45377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71A6D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Published ultrasonographic findings in dogs and cats with AKI include increased renal size, increased cortical echogenicity, the presence of perirenal fluid, medullary rim sign,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, increased echogenicity of </w:t>
      </w:r>
      <w:proofErr w:type="gramStart"/>
      <w:r w:rsidRPr="001E4D9C">
        <w:rPr>
          <w:sz w:val="20"/>
          <w:szCs w:val="20"/>
        </w:rPr>
        <w:t>the  perirenal</w:t>
      </w:r>
      <w:proofErr w:type="gramEnd"/>
      <w:r w:rsidRPr="001E4D9C">
        <w:rPr>
          <w:sz w:val="20"/>
          <w:szCs w:val="20"/>
        </w:rPr>
        <w:t xml:space="preserve"> fat and abnormal echogenicity of the urine in the renal pelvis</w:t>
      </w:r>
    </w:p>
    <w:p w14:paraId="4A3D9D51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>Goal of study: identify the ultrasonographic findings in cats with AKI and to assess whether any specific findings had a prognostic value</w:t>
      </w:r>
    </w:p>
    <w:p w14:paraId="38C8FE79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Retrospective descriptive case </w:t>
      </w:r>
      <w:proofErr w:type="gramStart"/>
      <w:r w:rsidRPr="001E4D9C">
        <w:rPr>
          <w:sz w:val="20"/>
          <w:szCs w:val="20"/>
        </w:rPr>
        <w:t>series;</w:t>
      </w:r>
      <w:proofErr w:type="gramEnd"/>
      <w:r w:rsidRPr="001E4D9C">
        <w:rPr>
          <w:sz w:val="20"/>
          <w:szCs w:val="20"/>
        </w:rPr>
        <w:t xml:space="preserve"> AKI based on IRIS guidelines; no history of CKD</w:t>
      </w:r>
    </w:p>
    <w:p w14:paraId="11D73DD4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Nephromegaly was present in 68.9% (31/45) - 35.5% had unilateral nephromegaly; 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 was present in 57.8% (26/45) - unilateral in 11.5%, all cats had been on fluid therapy prior to AUS, 75% (3/4) of patients with severe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 were documented to have uroliths; increased cortical and medullary echogenicity was documented in 40% (18/45) and 51.1% (23/45) respectively</w:t>
      </w:r>
    </w:p>
    <w:p w14:paraId="096BA7A4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>42.2% (19/45) survived to discharge and 35.6% (16/45) were alive at 6 months (all that died were euthanized due to their disease)</w:t>
      </w:r>
    </w:p>
    <w:p w14:paraId="020AE5D8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No single AUS finding or composite score was correlated with survival to discharge </w:t>
      </w:r>
    </w:p>
    <w:p w14:paraId="772049D6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There was a statistically significant association between the total ultrasound score and </w:t>
      </w:r>
      <w:proofErr w:type="gramStart"/>
      <w:r w:rsidRPr="001E4D9C">
        <w:rPr>
          <w:sz w:val="20"/>
          <w:szCs w:val="20"/>
        </w:rPr>
        <w:t>6 month</w:t>
      </w:r>
      <w:proofErr w:type="gramEnd"/>
      <w:r w:rsidRPr="001E4D9C">
        <w:rPr>
          <w:sz w:val="20"/>
          <w:szCs w:val="20"/>
        </w:rPr>
        <w:t xml:space="preserve"> survival time</w:t>
      </w:r>
      <w:r>
        <w:rPr>
          <w:sz w:val="20"/>
          <w:szCs w:val="20"/>
        </w:rPr>
        <w:t xml:space="preserve"> and presence of oliguria/anuria </w:t>
      </w:r>
    </w:p>
    <w:p w14:paraId="2CBD83B1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There was a statistically significant association between </w:t>
      </w:r>
      <w:r>
        <w:rPr>
          <w:sz w:val="20"/>
          <w:szCs w:val="20"/>
        </w:rPr>
        <w:t>the</w:t>
      </w:r>
      <w:r w:rsidRPr="001E4D9C">
        <w:rPr>
          <w:sz w:val="20"/>
          <w:szCs w:val="20"/>
        </w:rPr>
        <w:t xml:space="preserve"> presence of retroperitoneal fluid </w:t>
      </w:r>
      <w:r>
        <w:rPr>
          <w:sz w:val="20"/>
          <w:szCs w:val="20"/>
        </w:rPr>
        <w:t xml:space="preserve">and </w:t>
      </w:r>
      <w:r w:rsidRPr="001E4D9C">
        <w:rPr>
          <w:sz w:val="20"/>
          <w:szCs w:val="20"/>
        </w:rPr>
        <w:t>oliguria/anuria</w:t>
      </w:r>
    </w:p>
    <w:p w14:paraId="7D71EBE6" w14:textId="77777777" w:rsidR="002701EE" w:rsidRDefault="002701EE" w:rsidP="002701EE">
      <w:pPr>
        <w:pStyle w:val="ListParagraph"/>
        <w:rPr>
          <w:sz w:val="20"/>
          <w:szCs w:val="20"/>
        </w:rPr>
      </w:pPr>
      <w:r w:rsidRPr="00536CC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14BB6541" wp14:editId="74282E4D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5495925" cy="4508500"/>
            <wp:effectExtent l="0" t="0" r="9525" b="6350"/>
            <wp:wrapTight wrapText="bothSides">
              <wp:wrapPolygon edited="0">
                <wp:start x="0" y="0"/>
                <wp:lineTo x="0" y="21539"/>
                <wp:lineTo x="21563" y="21539"/>
                <wp:lineTo x="2156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3C527" w14:textId="77777777" w:rsidR="002701EE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</w:p>
    <w:p w14:paraId="725F208A" w14:textId="77777777" w:rsidR="002701EE" w:rsidRPr="00536CC3" w:rsidRDefault="002701EE" w:rsidP="002701EE">
      <w:pPr>
        <w:pStyle w:val="ListParagraph"/>
        <w:rPr>
          <w:sz w:val="20"/>
          <w:szCs w:val="20"/>
        </w:rPr>
      </w:pPr>
    </w:p>
    <w:p w14:paraId="467030E3" w14:textId="77777777" w:rsidR="002701EE" w:rsidRPr="001E4D9C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</w:t>
      </w:r>
      <w:r w:rsidRPr="00536CC3">
        <w:rPr>
          <w:sz w:val="20"/>
          <w:szCs w:val="20"/>
        </w:rPr>
        <w:t>oal of study:  investigate the frequency and efficacy of feline autotransfusion</w:t>
      </w:r>
      <w:r w:rsidRPr="001E4D9C">
        <w:rPr>
          <w:sz w:val="20"/>
          <w:szCs w:val="20"/>
        </w:rPr>
        <w:t xml:space="preserve">, as well as describe the reasons for performance of </w:t>
      </w:r>
      <w:proofErr w:type="spellStart"/>
      <w:r w:rsidRPr="001E4D9C">
        <w:rPr>
          <w:sz w:val="20"/>
          <w:szCs w:val="20"/>
        </w:rPr>
        <w:t>autotranfusion</w:t>
      </w:r>
      <w:proofErr w:type="spellEnd"/>
      <w:r w:rsidRPr="001E4D9C">
        <w:rPr>
          <w:sz w:val="20"/>
          <w:szCs w:val="20"/>
        </w:rPr>
        <w:t xml:space="preserve"> and the methods used (not previously reported in felines)</w:t>
      </w:r>
    </w:p>
    <w:p w14:paraId="59105DE3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Retrospective descriptive </w:t>
      </w:r>
      <w:proofErr w:type="gramStart"/>
      <w:r w:rsidRPr="00536CC3">
        <w:rPr>
          <w:sz w:val="20"/>
          <w:szCs w:val="20"/>
        </w:rPr>
        <w:t>study;</w:t>
      </w:r>
      <w:proofErr w:type="gramEnd"/>
      <w:r w:rsidRPr="00536CC3">
        <w:rPr>
          <w:sz w:val="20"/>
          <w:szCs w:val="20"/>
        </w:rPr>
        <w:t xml:space="preserve"> 8 cats received 12 autotransfusions – 6 type A, 2type B</w:t>
      </w:r>
      <w:r>
        <w:rPr>
          <w:sz w:val="20"/>
          <w:szCs w:val="20"/>
        </w:rPr>
        <w:t xml:space="preserve"> over a 6 year period</w:t>
      </w:r>
    </w:p>
    <w:p w14:paraId="63EEBD1B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Methods of transfusion: blood was collected using a 23 G butterfly catheter and 20 ml syringe (7/12); a 23 G needle, three-way tap and 20 ml syringe (2/12); and directly into syringes from the open abdomen at the time of surgery (3/12) </w:t>
      </w:r>
    </w:p>
    <w:p w14:paraId="58D9A75F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Anticoagulant acid citrate dextrose (ACD-A) was used in 5/12 of the autotransfusions - 0.14 ml of ACD used per 1 ml blood collected, as described in previous studies</w:t>
      </w:r>
    </w:p>
    <w:p w14:paraId="30F6DD4D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All cases the blood was transfused through an 18 </w:t>
      </w:r>
      <w:proofErr w:type="spellStart"/>
      <w:r w:rsidRPr="00536CC3">
        <w:rPr>
          <w:sz w:val="20"/>
          <w:szCs w:val="20"/>
        </w:rPr>
        <w:t>μm</w:t>
      </w:r>
      <w:proofErr w:type="spellEnd"/>
      <w:r w:rsidRPr="00536CC3">
        <w:rPr>
          <w:sz w:val="20"/>
          <w:szCs w:val="20"/>
        </w:rPr>
        <w:t xml:space="preserve"> blood filter</w:t>
      </w:r>
    </w:p>
    <w:p w14:paraId="09949B22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Median volume of 50 ml was collected and administered (median volume of 16.5 ml/kg over a median of 3 h; 3 autotransfusions were given in 1 h or less</w:t>
      </w:r>
      <w:r>
        <w:rPr>
          <w:sz w:val="20"/>
          <w:szCs w:val="20"/>
        </w:rPr>
        <w:t>)</w:t>
      </w:r>
    </w:p>
    <w:p w14:paraId="251017C2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There were no documented reports of urticaria, erythema, increased rectal temperature or other signs of transfusion reaction</w:t>
      </w:r>
    </w:p>
    <w:p w14:paraId="756C2DFD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5/8 cats also received other blood products (FFP, canine blood, feline </w:t>
      </w:r>
      <w:proofErr w:type="spellStart"/>
      <w:r w:rsidRPr="00536CC3">
        <w:rPr>
          <w:sz w:val="20"/>
          <w:szCs w:val="20"/>
        </w:rPr>
        <w:t>pRBC</w:t>
      </w:r>
      <w:proofErr w:type="spellEnd"/>
      <w:r w:rsidRPr="00536CC3">
        <w:rPr>
          <w:sz w:val="20"/>
          <w:szCs w:val="20"/>
        </w:rPr>
        <w:t xml:space="preserve">, whole blood, </w:t>
      </w:r>
      <w:proofErr w:type="spellStart"/>
      <w:r w:rsidRPr="00536CC3">
        <w:rPr>
          <w:sz w:val="20"/>
          <w:szCs w:val="20"/>
        </w:rPr>
        <w:t>oxyglobin</w:t>
      </w:r>
      <w:proofErr w:type="spellEnd"/>
      <w:r w:rsidRPr="00536CC3">
        <w:rPr>
          <w:sz w:val="20"/>
          <w:szCs w:val="20"/>
        </w:rPr>
        <w:t>)</w:t>
      </w:r>
    </w:p>
    <w:p w14:paraId="522D2BCF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Two cats had culture of the abdominal fluid used for autotransfusion – no cytological evidence of bacteria in either sample but one grew enterococcus on culture</w:t>
      </w:r>
    </w:p>
    <w:p w14:paraId="29F6896E" w14:textId="77777777" w:rsidR="002701EE" w:rsidRPr="00536CC3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6/8 cats survived to discharge -no delayed adverse reactions to the autotransfusions were reported in any patient</w:t>
      </w:r>
    </w:p>
    <w:p w14:paraId="720303A5" w14:textId="77777777" w:rsidR="002701EE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536CC3">
        <w:rPr>
          <w:sz w:val="20"/>
          <w:szCs w:val="20"/>
        </w:rPr>
        <w:t>Monitoring for post-transfusion hemolysis, coagulopathy and hypocalcemia are recommended post-transfusion</w:t>
      </w:r>
    </w:p>
    <w:p w14:paraId="78AFC41A" w14:textId="77777777" w:rsidR="002701EE" w:rsidRDefault="002701EE" w:rsidP="002701EE">
      <w:pPr>
        <w:rPr>
          <w:sz w:val="20"/>
          <w:szCs w:val="20"/>
        </w:rPr>
      </w:pPr>
    </w:p>
    <w:p w14:paraId="0A0320B2" w14:textId="77777777" w:rsidR="002701EE" w:rsidRPr="000C05E8" w:rsidRDefault="002701EE" w:rsidP="002701EE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48528F2" wp14:editId="4380B830">
            <wp:extent cx="5395009" cy="4333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16042" cy="435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9FAE5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Frequency and clinical manifestation of sepsis and MODS are less documented in cats</w:t>
      </w:r>
    </w:p>
    <w:p w14:paraId="5AEAFFCD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Biomarkers of feline sepsis - </w:t>
      </w:r>
      <w:proofErr w:type="spellStart"/>
      <w:r w:rsidRPr="00D802AA">
        <w:rPr>
          <w:sz w:val="20"/>
          <w:szCs w:val="20"/>
        </w:rPr>
        <w:t>metarubrocytosis</w:t>
      </w:r>
      <w:proofErr w:type="spellEnd"/>
      <w:r w:rsidRPr="00D802AA">
        <w:rPr>
          <w:sz w:val="20"/>
          <w:szCs w:val="20"/>
        </w:rPr>
        <w:t>, high circulating muscle enzymes (AST, CK), high band neutrophil percentage and elevated serum amyloid A (SAA) concentrations have been investigated though selected organ dysfunctions have been rarely characterized</w:t>
      </w:r>
    </w:p>
    <w:p w14:paraId="046448CC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Goal of study: investigate and characterize organ dysfunctions and MODS in feline sepsis and determine if occurrence is associated with increased mortality</w:t>
      </w:r>
    </w:p>
    <w:p w14:paraId="16496E1D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Prospective study; include ¾ SIRS criteria + confirmed source of infection; numerous diagnostic tests and lab work performed on admission and APPLE(fast) and APPLE(full) score; organ dysfunction determined based on adaptation from human and canine literature; MODS if &gt;2 organ systems dysfunctional simultaneously </w:t>
      </w:r>
    </w:p>
    <w:p w14:paraId="1A120443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43 cats; median age of 5.2yr; major causes of sepsis were pyothorax (13), panleukopenia (11), septic peritonitis (9); other</w:t>
      </w:r>
      <w:r>
        <w:rPr>
          <w:sz w:val="20"/>
          <w:szCs w:val="20"/>
        </w:rPr>
        <w:t>s</w:t>
      </w:r>
      <w:r w:rsidRPr="00D802AA">
        <w:rPr>
          <w:sz w:val="20"/>
          <w:szCs w:val="20"/>
        </w:rPr>
        <w:t xml:space="preserve"> were UT</w:t>
      </w:r>
      <w:r>
        <w:rPr>
          <w:sz w:val="20"/>
          <w:szCs w:val="20"/>
        </w:rPr>
        <w:t>I</w:t>
      </w:r>
      <w:r w:rsidRPr="00D802AA">
        <w:rPr>
          <w:sz w:val="20"/>
          <w:szCs w:val="20"/>
        </w:rPr>
        <w:t xml:space="preserve"> (3), bacterial </w:t>
      </w:r>
      <w:proofErr w:type="spellStart"/>
      <w:r w:rsidRPr="00D802AA">
        <w:rPr>
          <w:sz w:val="20"/>
          <w:szCs w:val="20"/>
        </w:rPr>
        <w:t>cholangiohepatitis</w:t>
      </w:r>
      <w:proofErr w:type="spellEnd"/>
      <w:r w:rsidRPr="00D802AA">
        <w:rPr>
          <w:sz w:val="20"/>
          <w:szCs w:val="20"/>
        </w:rPr>
        <w:t xml:space="preserve"> (2), endocarditis (1), myocarditis (1), septic arthritis (1), pyelonephritis (1) and ocular abscess (1)</w:t>
      </w:r>
    </w:p>
    <w:p w14:paraId="403A3AE2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26/43 survived</w:t>
      </w:r>
    </w:p>
    <w:p w14:paraId="14F1C0F4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Lower body temp, higher </w:t>
      </w:r>
      <w:proofErr w:type="gramStart"/>
      <w:r w:rsidRPr="00D802AA">
        <w:rPr>
          <w:sz w:val="20"/>
          <w:szCs w:val="20"/>
        </w:rPr>
        <w:t>APPLE(</w:t>
      </w:r>
      <w:proofErr w:type="gramEnd"/>
      <w:r w:rsidRPr="00D802AA">
        <w:rPr>
          <w:sz w:val="20"/>
          <w:szCs w:val="20"/>
        </w:rPr>
        <w:t xml:space="preserve">fast) score, lower WBC count, increased volume of fluids given during hospitalization were significantly different for non survivors </w:t>
      </w:r>
    </w:p>
    <w:p w14:paraId="198403BF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25/43 had MODS at presentation; 37/43 developed MODS</w:t>
      </w:r>
    </w:p>
    <w:p w14:paraId="78906537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The presence of MODS, renal and cardiovascular dysfunction at presentation were significantly associated with increased the risk of death</w:t>
      </w:r>
    </w:p>
    <w:p w14:paraId="5687DCF9" w14:textId="77777777" w:rsidR="002701EE" w:rsidRPr="00D802AA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The number of dysfunctional organs was associated with a higher APPLE score </w:t>
      </w:r>
    </w:p>
    <w:p w14:paraId="35352F2C" w14:textId="77777777" w:rsidR="002701EE" w:rsidRDefault="002701EE" w:rsidP="002701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802AA">
        <w:rPr>
          <w:sz w:val="20"/>
          <w:szCs w:val="20"/>
        </w:rPr>
        <w:t>The overall number of dysfunctional organs was the strongest predictor of mortality</w:t>
      </w:r>
    </w:p>
    <w:p w14:paraId="545F8858" w14:textId="77777777" w:rsidR="002701EE" w:rsidRPr="00D802AA" w:rsidRDefault="002701EE" w:rsidP="002701EE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C26CEF9" wp14:editId="37DEEF83">
            <wp:extent cx="5943600" cy="43027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6E1C" w14:textId="77777777" w:rsidR="002701EE" w:rsidRPr="002701EE" w:rsidRDefault="002701EE" w:rsidP="002701E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701EE" w:rsidRPr="00270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A03"/>
    <w:multiLevelType w:val="hybridMultilevel"/>
    <w:tmpl w:val="BFCC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F59C1"/>
    <w:multiLevelType w:val="hybridMultilevel"/>
    <w:tmpl w:val="247E78B4"/>
    <w:lvl w:ilvl="0" w:tplc="035C3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5A9C"/>
    <w:multiLevelType w:val="hybridMultilevel"/>
    <w:tmpl w:val="964082A2"/>
    <w:lvl w:ilvl="0" w:tplc="57748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61647"/>
    <w:multiLevelType w:val="hybridMultilevel"/>
    <w:tmpl w:val="9374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2165"/>
    <w:multiLevelType w:val="hybridMultilevel"/>
    <w:tmpl w:val="9A924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5436"/>
    <w:multiLevelType w:val="hybridMultilevel"/>
    <w:tmpl w:val="9EA0E670"/>
    <w:lvl w:ilvl="0" w:tplc="AD82C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F3DC3"/>
    <w:multiLevelType w:val="hybridMultilevel"/>
    <w:tmpl w:val="681A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1D5"/>
    <w:multiLevelType w:val="hybridMultilevel"/>
    <w:tmpl w:val="64F46D24"/>
    <w:lvl w:ilvl="0" w:tplc="777083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25348"/>
    <w:multiLevelType w:val="hybridMultilevel"/>
    <w:tmpl w:val="B0E84908"/>
    <w:lvl w:ilvl="0" w:tplc="A20409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6A2"/>
    <w:rsid w:val="00053312"/>
    <w:rsid w:val="0009696D"/>
    <w:rsid w:val="000D3C21"/>
    <w:rsid w:val="00171511"/>
    <w:rsid w:val="00172205"/>
    <w:rsid w:val="00196941"/>
    <w:rsid w:val="001A72A1"/>
    <w:rsid w:val="001D76B2"/>
    <w:rsid w:val="001E4D50"/>
    <w:rsid w:val="00203911"/>
    <w:rsid w:val="00257178"/>
    <w:rsid w:val="002701EE"/>
    <w:rsid w:val="002B07F1"/>
    <w:rsid w:val="002B2849"/>
    <w:rsid w:val="002B3E34"/>
    <w:rsid w:val="002F2A88"/>
    <w:rsid w:val="00301DE4"/>
    <w:rsid w:val="00354EDC"/>
    <w:rsid w:val="003C017C"/>
    <w:rsid w:val="003C0225"/>
    <w:rsid w:val="003E1E64"/>
    <w:rsid w:val="0050116D"/>
    <w:rsid w:val="00522A3C"/>
    <w:rsid w:val="005A0B09"/>
    <w:rsid w:val="005A7A05"/>
    <w:rsid w:val="005C19EA"/>
    <w:rsid w:val="005F27D2"/>
    <w:rsid w:val="00643DE4"/>
    <w:rsid w:val="0075139D"/>
    <w:rsid w:val="00761438"/>
    <w:rsid w:val="00797C0F"/>
    <w:rsid w:val="008067D9"/>
    <w:rsid w:val="00886600"/>
    <w:rsid w:val="008D16A2"/>
    <w:rsid w:val="008F0D99"/>
    <w:rsid w:val="0093307A"/>
    <w:rsid w:val="00A242E0"/>
    <w:rsid w:val="00A25E78"/>
    <w:rsid w:val="00A27E90"/>
    <w:rsid w:val="00A329BD"/>
    <w:rsid w:val="00B30A2A"/>
    <w:rsid w:val="00BE202F"/>
    <w:rsid w:val="00C17983"/>
    <w:rsid w:val="00C27A6F"/>
    <w:rsid w:val="00D72704"/>
    <w:rsid w:val="00E141DF"/>
    <w:rsid w:val="00E9415F"/>
    <w:rsid w:val="00EB4BA8"/>
    <w:rsid w:val="00EE1F60"/>
    <w:rsid w:val="00EE7949"/>
    <w:rsid w:val="00F53E59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2A8D"/>
  <w15:chartTrackingRefBased/>
  <w15:docId w15:val="{25A8477B-A71A-4E9D-A445-114D0D8D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23</Pages>
  <Words>4520</Words>
  <Characters>25768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10</cp:revision>
  <dcterms:created xsi:type="dcterms:W3CDTF">2018-09-19T23:47:00Z</dcterms:created>
  <dcterms:modified xsi:type="dcterms:W3CDTF">2020-04-07T13:45:00Z</dcterms:modified>
</cp:coreProperties>
</file>