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Journal of the American Veterinary Medical Association 2019</w:t>
      </w:r>
    </w:p>
    <w:p>
      <w:pPr>
        <w:pStyle w:val="Heading2"/>
      </w:pPr>
      <w:r>
        <w:t xml:space="preserve">JAVMA 2019; Vol 254-255; Issues 1-12</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Qualitative study of owner perceptions of chronic pain in their dogs.</w:t>
      </w:r>
    </w:p>
    <w:p/>
    <w:p>
      <w:pPr>
        <w:pStyle w:val="Normal"/>
      </w:pPr>
      <w:r>
        <w:rPr>
          <w:color w:val="323232"/>
        </w:rPr>
        <w:t xml:space="preserve">Kelly N Davis, Peter W Hellyer, Eloise C J Carr, Jean E Wallace, and Lori R Kogan.</w:t>
      </w:r>
    </w:p>
    <w:p/>
    <w:p>
      <w:pPr>
        <w:pStyle w:val="Normal"/>
      </w:pPr>
      <w:r>
        <w:rPr>
          <w:color w:val="323232"/>
        </w:rPr>
        <w:t xml:space="preserve">OBJECTIVE To understand the experiences of owners of dogs with chronic pain and explore owner perceptions of their pets' pain. DESIGN Observational study. SAMPLE 10 owners of dogs with chronic pain. PROCEDURES Owners were interviewed by means of a semistructured and conversational technique. Interviews were then transcribed and analyzed with standard qualitative methodology to code for major themes. RESULTS Major themes that were identified included changes in owner schedule, effects on owner relationships, and necessary resources when owning a pet with chronic pain. Owners discussed their perceptions of their pets' pain, and several participants referred to empathizing with their pet owing to their own experiences with pain. Owners also suggested ways that veterinarians can support them during the experience of owning a dog with chronic pain. CONCLUSIONS AND CLINICAL RELEVANCE By understanding the impact of chronic pain on dog owners and appreciating how owners perceive pain in their pets, veterinarians may be able to provide better care for patients and clients.</w:t>
      </w:r>
    </w:p>
    <w:p/>
    <w:p>
      <w:pPr>
        <w:pStyle w:val="Normal"/>
      </w:pPr>
      <w:r>
        <w:rPr>
          <w:color w:val="323232"/>
        </w:rPr>
        <w:t xml:space="preserve">J Am Vet Med Assoc, 2019 vol. 254 (1) pp. 88-92.</w:t>
      </w:r>
    </w:p>
    <w:p>
      <w:r>
        <w:rPr>
          <w:rStyle w:val="Hyperlink"/>
        </w:rPr>
        <w:fldChar w:fldCharType="begin"/>
      </w:r>
      <w:r>
        <w:rPr>
          <w:rStyle w:val="Hyperlink"/>
        </w:rPr>
        <w:instrText xml:space="preserve"> HYPERLINK "http://eutils.ncbi.nlm.nih.gov/entrez/eutils/elink.fcgi?dbfrom=pubmed&amp;id=30668288&amp;retmode=ref&amp;cmd=prlinks"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http://eutils.ncbi.nlm.nih.gov/entrez/eutils/elink.fcgi?dbfrom=pubmed&amp;id=30668288&amp;retmode=ref&amp;cmd=prlinks</w:t>
      </w:r>
      <w:r>
        <w:rPr>
          <w:rStyle w:val="Hyperlink"/>
        </w:rPr>
        <w:fldChar w:fldCharType="end"/>
      </w:r>
    </w:p>
    <w:p>
      <w:pPr>
        <w:pStyle w:val="Normal"/>
      </w:pPr>
      <w:r>
        <w:rPr>
          <w:color w:val="323232"/>
        </w:rPr>
        <w:t xml:space="preserve">————————</w:t>
      </w:r>
    </w:p>
    <w:p>
      <w:pPr>
        <w:pStyle w:val="Heading4"/>
      </w:pPr>
      <w:r>
        <w:t xml:space="preserve">Retrospective study of survival time and prognostic factors for dogs with small intestinal adenocarcinoma treated by tumor excision with or without adjuvant chemotherapy.</w:t>
      </w:r>
    </w:p>
    <w:p/>
    <w:p>
      <w:pPr>
        <w:pStyle w:val="Normal"/>
      </w:pPr>
      <w:r>
        <w:rPr>
          <w:color w:val="323232"/>
        </w:rPr>
        <w:t xml:space="preserve">Ashley A Smith, Angela E Frimberger, and Antony S Moore.</w:t>
      </w:r>
    </w:p>
    <w:p/>
    <w:p>
      <w:pPr>
        <w:pStyle w:val="Normal"/>
      </w:pPr>
      <w:r>
        <w:rPr>
          <w:color w:val="323232"/>
        </w:rPr>
        <w:t xml:space="preserve">OBJECTIVE To estimate survival time for dogs with small intestinal adenocarcinoma (SIACA) following tumor excision with or without adjuvant chemotherapy and to identify factors associated with survival time. DESIGN Retrospective case series with a nested cohort study. ANIMALS 29 client-owned dogs with surgically resected, histologically diagnosed SIACA. PROCEDURES Medical records were reviewed and data collected regarding dog signalment; clinical signs; physical examination findings; PCV; serum total solids concentration; diagnostic imaging results; tumor size, location, and histologic characteristics (serosal extension, lymphatic invasion, surgical margins, and lymph node metastasis); type of adjuvant chemotherapy; NSAID administration; and survival time. Variables were assessed for associations with survival time and hazard rate via Kaplan-Meier and Cox proportional hazards analyses. RESULTS Overall median survival time for dogs with SIACA following tumor excision was 544 days (95% confidence interval, 369 to 719 days). Based on Kaplan-Meier estimates, the 1- and 2-year survival rates were 60% and 36%, respectively. On multivariate analysis, only age category was an independent predictor of survival over the follow-up period. Dogs &lt; 8 years of age had a significantly longer median survival time (1,193 days) than dogs ≥ 8 years (488 days). Lymph node metastasis, adjuvant chemotherapy, NSAID administration, and other assessed variables were not associated with survival time. CONCLUSIONS AND CLINICAL RELEVANCE Findings suggested that SIACA in dogs carries a fair prognosis following excision, even when lymph node metastasis is present. Prospective studies are warranted to better characterize the effects of adjuvant chemotherapy or NSAID administration on survival time.</w:t>
      </w:r>
    </w:p>
    <w:p/>
    <w:p>
      <w:pPr>
        <w:pStyle w:val="Normal"/>
      </w:pPr>
      <w:r>
        <w:rPr>
          <w:color w:val="323232"/>
        </w:rPr>
        <w:t xml:space="preserve">J Am Vet Med Assoc, 2019 vol. 254 (2) pp. 243-250.</w:t>
      </w:r>
    </w:p>
    <w:p>
      <w:r>
        <w:rPr>
          <w:rStyle w:val="Hyperlink"/>
        </w:rPr>
        <w:fldChar w:fldCharType="begin"/>
      </w:r>
      <w:r>
        <w:rPr>
          <w:rStyle w:val="Hyperlink"/>
        </w:rPr>
        <w:instrText xml:space="preserve"> HYPERLINK "http://eutils.ncbi.nlm.nih.gov/entrez/eutils/elink.fcgi?dbfrom=pubmed&amp;id=30605388&amp;retmode=ref&amp;cmd=prlinks"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http://eutils.ncbi.nlm.nih.gov/entrez/eutils/elink.fcgi?dbfrom=pubmed&amp;id=30605388&amp;retmode=ref&amp;cmd=prlinks</w:t>
      </w:r>
      <w:r>
        <w:rPr>
          <w:rStyle w:val="Hyperlink"/>
        </w:rPr>
        <w:fldChar w:fldCharType="end"/>
      </w:r>
    </w:p>
    <w:p>
      <w:pPr>
        <w:pStyle w:val="Normal"/>
      </w:pPr>
      <w:r>
        <w:rPr>
          <w:color w:val="323232"/>
        </w:rPr>
        <w:t xml:space="preserve">————————</w:t>
      </w:r>
    </w:p>
    <w:p>
      <w:pPr>
        <w:pStyle w:val="Heading4"/>
      </w:pPr>
      <w:r>
        <w:t xml:space="preserve">Short-, intermediate-, and long-term results for endoluminal stent placement in dogs with tracheal collapse.</w:t>
      </w:r>
    </w:p>
    <w:p/>
    <w:p>
      <w:pPr>
        <w:pStyle w:val="Normal"/>
      </w:pPr>
      <w:r>
        <w:rPr>
          <w:color w:val="323232"/>
        </w:rPr>
        <w:t xml:space="preserve">Chick Weisse, Allyson Berent, Nathaniel Violette, Renee McDougall, and Ken Lamb.</w:t>
      </w:r>
    </w:p>
    <w:p/>
    <w:p>
      <w:pPr>
        <w:pStyle w:val="Normal"/>
      </w:pPr>
      <w:r>
        <w:rPr>
          <w:color w:val="323232"/>
        </w:rPr>
        <w:t xml:space="preserve">OBJECTIVE To evaluate outcomes following endoluminal stent placement for treatment of tracheal collapse (TC) in dogs. DESIGN Retrospective case series with nested observational study. ANIMALS 75 dogs that underwent endoluminal placement of a self-expanding metallic stent to treat TC between September 2009 and August 2015. PROCEDURES Medical records were reviewed to collect data on dog characteristics, clinical signs, TC type, diagnostic test results, peri- and postoperative complications, and outcomes. Complication rates and survival times and rates were compared between various groups. RESULTS The 75 dogs received 119 stents (56% [42/75] received 1 stent and 44% [33/75] received ≥ 2 stents). Thirty-eight (51%) dogs had a malformation type of TC, and 37 (49%) had the traditional type. Ninety-three percent (70/75) of dogs survived to hospital discharge. Median survival time was 1,005 days. Improvement in goose-honking or raspy breathing (89% [42/47]) and dyspnea (84% [43/51]) was reported at final follow-up examination. Major complications requiring additional stent placement procedures occurred in 47% (33/70) of dogs over the follow-up period; stent fracture and tissue ingrowth were the most common types. Male dogs and younger dogs had a significantly longer survival time than other dogs. Mainstem bronchial collapse at the time of stent placement had no significant association with outcome. CONCLUSIONS AND CLINICAL RELEVANCE Endoluminal stent placement provided a high survival rate for dogs with TC, even those with severe clinical signs. This information, as well as the information on potential complications, should be useful for advising owners of affected dogs.</w:t>
      </w:r>
    </w:p>
    <w:p/>
    <w:p>
      <w:pPr>
        <w:pStyle w:val="Normal"/>
      </w:pPr>
      <w:r>
        <w:rPr>
          <w:color w:val="323232"/>
        </w:rPr>
        <w:t xml:space="preserve">J Am Vet Med Assoc, 2019 vol. 254 (3) pp. 380-392.</w:t>
      </w:r>
    </w:p>
    <w:p>
      <w:r>
        <w:rPr>
          <w:rStyle w:val="Hyperlink"/>
        </w:rPr>
        <w:fldChar w:fldCharType="begin"/>
      </w:r>
      <w:r>
        <w:rPr>
          <w:rStyle w:val="Hyperlink"/>
        </w:rPr>
        <w:instrText xml:space="preserve"> HYPERLINK "http://eutils.ncbi.nlm.nih.gov/entrez/eutils/elink.fcgi?dbfrom=pubmed&amp;id=30668235&amp;retmode=ref&amp;cmd=prlinks"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http://eutils.ncbi.nlm.nih.gov/entrez/eutils/elink.fcgi?dbfrom=pubmed&amp;id=30668235&amp;retmode=ref&amp;cmd=prlinks</w:t>
      </w:r>
      <w:r>
        <w:rPr>
          <w:rStyle w:val="Hyperlink"/>
        </w:rPr>
        <w:fldChar w:fldCharType="end"/>
      </w:r>
    </w:p>
    <w:p>
      <w:pPr>
        <w:pStyle w:val="Normal"/>
      </w:pPr>
      <w:r>
        <w:rPr>
          <w:color w:val="323232"/>
        </w:rPr>
        <w:t xml:space="preserve">————————</w:t>
      </w:r>
    </w:p>
    <w:p>
      <w:pPr>
        <w:pStyle w:val="Heading4"/>
      </w:pPr>
      <w:r>
        <w:t xml:space="preserve">Effect of urinary bladder lavage on in-hospital recurrence of urethral obstruction and durations of urinary catheter retention and hospitalization for male cats.</w:t>
      </w:r>
    </w:p>
    <w:p/>
    <w:p>
      <w:pPr>
        <w:pStyle w:val="Normal"/>
      </w:pPr>
      <w:r>
        <w:rPr>
          <w:color w:val="323232"/>
        </w:rPr>
        <w:t xml:space="preserve">Tovah I Dorsey, Kelly N Monaghan, Meghan Respess, Mary A Labato, Jonathan M Babyak, Claire R Sharp, Elizabeth A Rozanski, and Armelle M deLaforcade.</w:t>
      </w:r>
    </w:p>
    <w:p/>
    <w:p>
      <w:pPr>
        <w:pStyle w:val="Normal"/>
      </w:pPr>
      <w:r>
        <w:rPr>
          <w:color w:val="323232"/>
        </w:rPr>
        <w:t xml:space="preserve">OBJECTIVE To evaluate the effect of urinary bladder lavage on in-hospital recurrence of urethral obstruction (UO) and durations of urinary catheter retention and hospitalization for male cats. DESIGN Randomized controlled clinical trial. ANIMALS 137 male cats with UO. PROCEDURES Following random allocation, cats either did (flush group; n = 69) or did not (no-flush group; 68) undergo urinary bladder lavage with saline (0.9% NaCl) solution after alleviation of the obstruction and placement of a urethral catheter. Signalment, prior history of UO, presence of crystalluria, difficulty of urinary tract catheterization, in-hospital UO recurrence rate, and durations of urinary catheter retention and hospitalization were compared between the flush and no-flush groups. RESULTS Baseline characteristics did not differ significantly between the 2 treatment groups. The in-hospital UO recurrence rate (9/69 [13%]) and median durations of urinary catheter retention (37 hours; range, 3 to 172 hours) and hospitalization (3 days; range, 0.5 to 12 days) for the flush group did not differ significantly from the in-hospital UO recurrence rate (13/68 [19%]) and median durations of urinary catheter retention (36 hours; range, 1 to 117 hours) and hospitalization (3 days; range, 1 to 9 days) for the no-flush group. CONCLUSIONS AND CLINICAL RELEVANCE Results indicated that, for male cats with UO, urinary bladder lavage at the time of urethral catheterization had no significant effect on in-hospital recurrence rate of the condition, duration of urinary catheter retention, or duration of hospitalization; however, additional studies are necessary to validate or refute these findings.</w:t>
      </w:r>
    </w:p>
    <w:p/>
    <w:p>
      <w:pPr>
        <w:pStyle w:val="Normal"/>
      </w:pPr>
      <w:r>
        <w:rPr>
          <w:color w:val="323232"/>
        </w:rPr>
        <w:t xml:space="preserve">J Am Vet Med Assoc, 2019 vol. 254 (4) pp. 483-486.</w:t>
      </w:r>
    </w:p>
    <w:p>
      <w:r>
        <w:rPr>
          <w:rStyle w:val="Hyperlink"/>
        </w:rPr>
        <w:fldChar w:fldCharType="begin"/>
      </w:r>
      <w:r>
        <w:rPr>
          <w:rStyle w:val="Hyperlink"/>
        </w:rPr>
        <w:instrText xml:space="preserve"> HYPERLINK "http://eutils.ncbi.nlm.nih.gov/entrez/eutils/elink.fcgi?dbfrom=pubmed&amp;id=30714866&amp;retmode=ref&amp;cmd=prlinks"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http://eutils.ncbi.nlm.nih.gov/entrez/eutils/elink.fcgi?dbfrom=pubmed&amp;id=30714866&amp;retmode=ref&amp;cmd=prlinks</w:t>
      </w:r>
      <w:r>
        <w:rPr>
          <w:rStyle w:val="Hyperlink"/>
        </w:rPr>
        <w:fldChar w:fldCharType="end"/>
      </w:r>
    </w:p>
    <w:p>
      <w:pPr>
        <w:pStyle w:val="Normal"/>
      </w:pPr>
      <w:r>
        <w:rPr>
          <w:color w:val="323232"/>
        </w:rPr>
        <w:t xml:space="preserve">————————</w:t>
      </w:r>
    </w:p>
    <w:p>
      <w:pPr>
        <w:pStyle w:val="Heading4"/>
      </w:pPr>
      <w:r>
        <w:t xml:space="preserve">Retrospective evaluation of anemia and erythrocyte morphological anomalies in dogs with lymphoma or inflammatory bowel disease.</w:t>
      </w:r>
    </w:p>
    <w:p/>
    <w:p>
      <w:pPr>
        <w:pStyle w:val="Normal"/>
      </w:pPr>
      <w:r>
        <w:rPr>
          <w:color w:val="323232"/>
        </w:rPr>
        <w:t xml:space="preserve">Cyril Parachini-Winter, Lisa M Carioto, and Carolyn Gara-Boivin.</w:t>
      </w:r>
    </w:p>
    <w:p/>
    <w:p>
      <w:pPr>
        <w:pStyle w:val="Normal"/>
      </w:pPr>
      <w:r>
        <w:rPr>
          <w:color w:val="323232"/>
        </w:rPr>
        <w:t xml:space="preserve">OBJECTIVE To assess the prevalences of anemia and various RBC anomalies in dogs with lymphoma versus inflammatory bowel disease (IBD) and to evaluate potential relationships between these variables and the severity of lymphoma. DESIGN Retrospective cross-sectional study. ANIMALS 82 client-owned dogs. PROCEDURES Medical records and blood smears were reviewed for dogs in which IBD or lymphoma had been diagnosed between January 1, 2006, and December 31, 2014, and for healthy dogs evaluated during that time frame. Hematologic data were analyzed, and results were compared among groups of healthy dogs, dogs with IBD, and dogs with lymphoma. Results were also compared within the lymphoma group between dogs further grouped on the basis of lymphoma clinical stage, substage, and cell size. RESULTS Prevalence of anemia was significantly higher in dogs with lymphoma (17/32 [53%]) than in dogs with IBD (5/23 [22%]). The total number of different RBC anomalies was significantly higher in dogs with lymphoma than in dogs that were healthy or had IBD. A cutoff of 3 different RBC anomalies/dog enabled differentiation between lymphoma and IBD, with a sensitivity and specificity of 71% and 70%, respectively (area under the fitted curve, 0.7239 ± 0.0727). The presence of eccentrocytes was the only individual RBC anomaly significantly more common in dogs with lymphoma (8/28 [29%]) versus dogs with IBD (1/23 [4%]). CONCLUSIONS AND CLINICAL RELEVANCE Results suggested that detection of anemia combined with ≥ 3 RBC morphological anomalies, particularly eccentrocytes, on blood smears should increase the clinical suspicion of lymphoma, compared with IBD, in dogs.</w:t>
      </w:r>
    </w:p>
    <w:p/>
    <w:p>
      <w:pPr>
        <w:pStyle w:val="Normal"/>
      </w:pPr>
      <w:r>
        <w:rPr>
          <w:color w:val="323232"/>
        </w:rPr>
        <w:t xml:space="preserve">J Am Vet Med Assoc, 2019 vol. 254 (4) pp. 487-495.</w:t>
      </w:r>
    </w:p>
    <w:p>
      <w:r>
        <w:rPr>
          <w:rStyle w:val="Hyperlink"/>
        </w:rPr>
        <w:fldChar w:fldCharType="begin"/>
      </w:r>
      <w:r>
        <w:rPr>
          <w:rStyle w:val="Hyperlink"/>
        </w:rPr>
        <w:instrText xml:space="preserve"> HYPERLINK "http://eutils.ncbi.nlm.nih.gov/entrez/eutils/elink.fcgi?dbfrom=pubmed&amp;id=30714871&amp;retmode=ref&amp;cmd=prlinks"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http://eutils.ncbi.nlm.nih.gov/entrez/eutils/elink.fcgi?dbfrom=pubmed&amp;id=30714871&amp;retmode=ref&amp;cmd=prlinks</w:t>
      </w:r>
      <w:r>
        <w:rPr>
          <w:rStyle w:val="Hyperlink"/>
        </w:rPr>
        <w:fldChar w:fldCharType="end"/>
      </w:r>
    </w:p>
    <w:p>
      <w:pPr>
        <w:pStyle w:val="Normal"/>
      </w:pPr>
      <w:r>
        <w:rPr>
          <w:color w:val="323232"/>
        </w:rPr>
        <w:t xml:space="preserve">————————</w:t>
      </w:r>
    </w:p>
    <w:p>
      <w:pPr>
        <w:pStyle w:val="Heading4"/>
      </w:pPr>
      <w:r>
        <w:t xml:space="preserve">Pet owners' knowledge of and attitudes toward the judicious use of antimicrobials for companion animals.</w:t>
      </w:r>
    </w:p>
    <w:p/>
    <w:p>
      <w:pPr>
        <w:pStyle w:val="Normal"/>
      </w:pPr>
      <w:r>
        <w:rPr>
          <w:color w:val="323232"/>
        </w:rPr>
        <w:t xml:space="preserve">Laurel E Redding and Stephen D Cole.</w:t>
      </w:r>
    </w:p>
    <w:p/>
    <w:p>
      <w:pPr>
        <w:pStyle w:val="Normal"/>
      </w:pPr>
      <w:r>
        <w:rPr>
          <w:color w:val="323232"/>
        </w:rPr>
        <w:t xml:space="preserve">OBJECTIVE To explore owners' knowledge of and experiences with antimicrobial treatment of their pets and their perceptions of veterinarian-led antimicrobial stewardship initiatives. DESIGN Cross-sectional study. SAMPLE 25 pet owners visiting 1 of 3 clinic types (tertiary care, general practice, or low cost) in the greater Philadelphia area. PROCEDURES Semistructured interviews were conducted with pet owners to gather responses related to the study objectives. Responses were transcribed and analyzed by means of conventional content analysis. RESULTS Although participants were mostly unfamiliar with the mechanisms of antimicrobials and antimicrobial resistance, they generally understood what constituted the inappropriate use of antimicrobials. Few pet owners appeared concerned about the risk of antimicrobial resistance, and no owners were concerned that antimicrobials used for people were also used for pets. Overall, pet owners reported closely following veterinarians' directions when administering antimicrobials at home, and the main reasons for not following directions included difficulty administering the medication and concern about overmedicating the pet. Most (21/25 [84%]) pet owners expressed trust in their veterinarian to meet their pets' medical needs and prescribe antimicrobials appropriately. However, in situations when it was unclear whether antimicrobials would be effective, most owners nevertheless wanted their pet to receive them. Initiatives to promote the judicious use of antimicrobials, such as microbial culture and antimicrobial susceptibility testing and formal stewardship programs, were generally well received and appreciated by owners. CONCLUSIONS AND CLINICAL RELEVANCE Considerable opportunity was identified to leverage the trust that exists between veterinarians and pet owners to promote the judicious use of antimicrobials for pets.</w:t>
      </w:r>
    </w:p>
    <w:p/>
    <w:p>
      <w:pPr>
        <w:pStyle w:val="Normal"/>
      </w:pPr>
      <w:r>
        <w:rPr>
          <w:color w:val="323232"/>
        </w:rPr>
        <w:t xml:space="preserve">J Am Vet Med Assoc, 2019 vol. 254 (5) pp. 626-635.</w:t>
      </w:r>
    </w:p>
    <w:p>
      <w:r>
        <w:rPr>
          <w:rStyle w:val="Hyperlink"/>
        </w:rPr>
        <w:fldChar w:fldCharType="begin"/>
      </w:r>
      <w:r>
        <w:rPr>
          <w:rStyle w:val="Hyperlink"/>
        </w:rPr>
        <w:instrText xml:space="preserve"> HYPERLINK "http://eutils.ncbi.nlm.nih.gov/entrez/eutils/elink.fcgi?dbfrom=pubmed&amp;id=30779623&amp;retmode=ref&amp;cmd=prlinks"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http://eutils.ncbi.nlm.nih.gov/entrez/eutils/elink.fcgi?dbfrom=pubmed&amp;id=30779623&amp;retmode=ref&amp;cmd=prlinks</w:t>
      </w:r>
      <w:r>
        <w:rPr>
          <w:rStyle w:val="Hyperlink"/>
        </w:rPr>
        <w:fldChar w:fldCharType="end"/>
      </w:r>
    </w:p>
    <w:p>
      <w:pPr>
        <w:pStyle w:val="Normal"/>
      </w:pPr>
      <w:r>
        <w:rPr>
          <w:color w:val="323232"/>
        </w:rPr>
        <w:t xml:space="preserve">————————</w:t>
      </w:r>
    </w:p>
    <w:p>
      <w:pPr>
        <w:pStyle w:val="Heading4"/>
      </w:pPr>
      <w:r>
        <w:t xml:space="preserve">Apocrine gland anal sac adenocarcinoma in cats: 30 cases (1994-2015).</w:t>
      </w:r>
    </w:p>
    <w:p/>
    <w:p>
      <w:pPr>
        <w:pStyle w:val="Normal"/>
      </w:pPr>
      <w:r>
        <w:rPr>
          <w:color w:val="323232"/>
        </w:rPr>
        <w:t xml:space="preserve">Pierre M Amsellem, Ryan P Cavanaugh, Po-Yen Chou, Nicholas J Bacon, Sandra P Schallberger, James P Farese, Charles A Kuntz, Julius M Liptak, William T N Culp, Cecilia S Robat, and Barbara E Powers.</w:t>
      </w:r>
    </w:p>
    <w:p/>
    <w:p>
      <w:pPr>
        <w:pStyle w:val="Normal"/>
      </w:pPr>
      <w:r>
        <w:rPr>
          <w:color w:val="323232"/>
        </w:rPr>
        <w:t xml:space="preserve">OBJECTIVE To describe the signalment, clinical signs, biological behavior, and outcome for cats with apocrine gland anal sac adenocarcinoma (AGASACA) that underwent surgical excision. DESIGN Retrospective case series. ANIMALS 30 client-owned cats. PROCEDURES Databases of 13 Veterinary Society of Surgical Oncology member-affiliated institutions were searched for records of cats with a histologic diagnosis of AGASACA that underwent tumor excision. For each cat, information regarding signalment, clinical signs, diagnostic test results, treatment, and outcome was extracted from the medical record. The Kaplan-Meier method was used to determine median time to local recurrence (TLR), disease-free interval (DFI), and survival time. Cox regression was used to identify factors associated with TLR, DFI, and survival time. RESULTS Perineal ulceration or discharge was the most common clinical sign in affected cats. Eleven cats developed local recurrence at a median of 96 days after AGASACA excision. Incomplete tumor margins and a high nuclear pleomorphic score were risk factors for local recurrence. Nuclear pleomorphic score was negatively associated with DFI. Local recurrence and a high nuclear pleomorphic score were risk factors for death. Median DFI and survival time were 234 and 260 days, respectively. CONCLUSIONS AND CLINICAL RELEVANCE Results indicated that, in cats, perineal ulceration or discharge should raise suspicion of AGASACA and prompt rectal and anal sac examinations. Local recurrence was the most common life-limiting event in cats that underwent surgery for treatment of AGASACA, suggesting that wide margins should be obtained whenever possible during AGASACA excision. Efficacy of chemotherapy and radiation therapy for treatment of cats with AGASACA requires further investigation. (J Am Vet Med Assoc 2019;254:716-722).</w:t>
      </w:r>
    </w:p>
    <w:p/>
    <w:p>
      <w:pPr>
        <w:pStyle w:val="Normal"/>
      </w:pPr>
      <w:r>
        <w:rPr>
          <w:color w:val="323232"/>
        </w:rPr>
        <w:t xml:space="preserve">J Am Vet Med Assoc, 2019 vol. 254 (6) pp. 716-722.</w:t>
      </w:r>
    </w:p>
    <w:p>
      <w:r>
        <w:rPr>
          <w:rStyle w:val="Hyperlink"/>
        </w:rPr>
        <w:fldChar w:fldCharType="begin"/>
      </w:r>
      <w:r>
        <w:rPr>
          <w:rStyle w:val="Hyperlink"/>
        </w:rPr>
        <w:instrText xml:space="preserve"> HYPERLINK "http://eutils.ncbi.nlm.nih.gov/entrez/eutils/elink.fcgi?dbfrom=pubmed&amp;id=30835176&amp;retmode=ref&amp;cmd=prlinks"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http://eutils.ncbi.nlm.nih.gov/entrez/eutils/elink.fcgi?dbfrom=pubmed&amp;id=30835176&amp;retmode=ref&amp;cmd=prlinks</w:t>
      </w:r>
      <w:r>
        <w:rPr>
          <w:rStyle w:val="Hyperlink"/>
        </w:rPr>
        <w:fldChar w:fldCharType="end"/>
      </w:r>
    </w:p>
    <w:p>
      <w:pPr>
        <w:pStyle w:val="Normal"/>
      </w:pPr>
      <w:r>
        <w:rPr>
          <w:color w:val="323232"/>
        </w:rPr>
        <w:t xml:space="preserve">————————</w:t>
      </w:r>
    </w:p>
    <w:p>
      <w:pPr>
        <w:pStyle w:val="Heading4"/>
      </w:pPr>
      <w:r>
        <w:t xml:space="preserve">Diagnostic utility of ultrasonography for detection of the cause and location of ureteral obstruction in cats: 71 cases (2010-2016).</w:t>
      </w:r>
    </w:p>
    <w:p/>
    <w:p>
      <w:pPr>
        <w:pStyle w:val="Normal"/>
      </w:pPr>
      <w:r>
        <w:rPr>
          <w:color w:val="323232"/>
        </w:rPr>
        <w:t xml:space="preserve">Chloe Wormser, Jennifer A Reetz, Kenneth J Drobatz, and Lillian R Aronson.</w:t>
      </w:r>
    </w:p>
    <w:p/>
    <w:p>
      <w:pPr>
        <w:pStyle w:val="Normal"/>
      </w:pPr>
      <w:r>
        <w:rPr>
          <w:color w:val="323232"/>
        </w:rPr>
        <w:t xml:space="preserve">OBJECTIVE To assess the utility of ultrasonography to detect the cause and location of ureteral obstruction in cats and to identify factors associated with agreement between ultrasonographic and surgical findings. STUDY DESIGN Retrospective case series. ANIMALS 71 cats. PROCEDURES Medical records were searched to identify cats that had ureteral obstruction diagnosed ultrasonographically and that subsequently underwent exploratory laparotomy. Patient signalment, ultrasonographic findings, interventions performed, and surgical findings were recorded. Cause and location of ureteral obstruction as assessed by ultrasonography were compared with surgical findings. Sensitivity, specificity, and positive predictive value of ultrasonography for detection of ureteroliths and strictures were calculated. Statistical analysis was performed to identify factors associated with agreement between ultrasonographic and surgical findings. RESULTS There was significant, moderate agreement between ultrasonographic and surgical findings for the cause and location of ureteral obstruction. Signalment variables, ureter affected (left vs right), and presence of retroperitoneal effusion were not associated with this agreement. Sensitivity was 98% and 44%, specificity was 96% and 98%, and positive predictive value was 98% and 88% for detection of ureteroliths and strictures, respectively, by ultrasonography. CONCLUSIONS AND CLINICAL RELEVANCE Ultrasonography was highly sensitive for detection of ureteroliths that caused ureteral obstruction but was considerably less sensitive for detection of ureteral strictures in the study population. Future prospective studies are needed to determine the role of advanced imaging in assessing cats with ureteral abnormalities. (J Am Vet Med Assoc 2019;254:710-715).</w:t>
      </w:r>
    </w:p>
    <w:p/>
    <w:p>
      <w:pPr>
        <w:pStyle w:val="Normal"/>
      </w:pPr>
      <w:r>
        <w:rPr>
          <w:color w:val="323232"/>
        </w:rPr>
        <w:t xml:space="preserve">J Am Vet Med Assoc, 2019 vol. 254 (6) pp. 710-715.</w:t>
      </w:r>
    </w:p>
    <w:p>
      <w:r>
        <w:rPr>
          <w:rStyle w:val="Hyperlink"/>
        </w:rPr>
        <w:fldChar w:fldCharType="begin"/>
      </w:r>
      <w:r>
        <w:rPr>
          <w:rStyle w:val="Hyperlink"/>
        </w:rPr>
        <w:instrText xml:space="preserve"> HYPERLINK "http://eutils.ncbi.nlm.nih.gov/entrez/eutils/elink.fcgi?dbfrom=pubmed&amp;id=30835178&amp;retmode=ref&amp;cmd=prlinks"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http://eutils.ncbi.nlm.nih.gov/entrez/eutils/elink.fcgi?dbfrom=pubmed&amp;id=30835178&amp;retmode=ref&amp;cmd=prlinks</w:t>
      </w:r>
      <w:r>
        <w:rPr>
          <w:rStyle w:val="Hyperlink"/>
        </w:rPr>
        <w:fldChar w:fldCharType="end"/>
      </w:r>
    </w:p>
    <w:p>
      <w:pPr>
        <w:pStyle w:val="Normal"/>
      </w:pPr>
      <w:r>
        <w:rPr>
          <w:color w:val="323232"/>
        </w:rPr>
        <w:t xml:space="preserve">————————</w:t>
      </w:r>
    </w:p>
    <w:p>
      <w:pPr>
        <w:pStyle w:val="Heading4"/>
      </w:pPr>
      <w:r>
        <w:t xml:space="preserve">Prognostic value of dyslipidemia for sick dogs hospitalized in the intensive care unit of a veterinary teaching hospital.</w:t>
      </w:r>
    </w:p>
    <w:p/>
    <w:p>
      <w:pPr>
        <w:pStyle w:val="Normal"/>
      </w:pPr>
      <w:r>
        <w:rPr>
          <w:color w:val="323232"/>
        </w:rPr>
        <w:t xml:space="preserve">Austin K Viall, Amanda L McNamee, Lisa E Olsen, Krysta L Deitz, and Shannon J Hostetter.</w:t>
      </w:r>
    </w:p>
    <w:p/>
    <w:p>
      <w:pPr>
        <w:pStyle w:val="Normal"/>
      </w:pPr>
      <w:r>
        <w:rPr>
          <w:color w:val="323232"/>
        </w:rPr>
        <w:t xml:space="preserve">OBJECTIVE To evaluate the lipidemia status and serum concentrations of cholesterol and triglycerides of dogs when initially examined for hospitalization in the intensive care unit (ICU) of a veterinary teaching hospital and to determine whether these variables were predictive of survival to hospital discharge. DESIGN Retrospective cohort study. ANIMALS 549 client-owned sick (n = 398) and healthy (151) dogs. PROCEDURES Medical records of sick dogs hospitalized in the ICU at a veterinary teaching hospital between January 1, 2012, and September 30, 2015, and of healthy dogs evaluated at the teaching hospital during the same time frame were reviewed. Data collection included signalment, results of initial physical and clinicopathologic examinations, treatments, diagnosis, and survival to hospital discharge. Lipidemia status and serum concentrations of cholesterol and triglycerides were compared between healthy and sick dogs and between sick dogs that did and did not survive to hospital discharge. Regression analysis was performed to determine whether these variables were predictive of survival to hospital discharge in dogs. RESULTS Factors associated with increased odds of sick dogs not surviving to hospital discharge were hypocholesterolemia (OR, 1.87; 95% confidence interval [CI], 1.04 to 3.34), hypertriglyceridemia (OR, 3.20; 95% CI, 2.00 to 5.13), and concurrent hypocholesterolemia and hypertriglyceridemia (OR, 55.7; 95% CI, 3.2 to 959.6) at the time of initial evaluation. CONCLUSIONS AND CLINICAL RELEVANCE Results indicated that hypocholesterolemia and hypertriglyceridemia, alone or in combination, at initial examination were negative prognostic indicators for survival of dogs hospitalized in the ICU and that these conditions were easily identified with routine serum clinicopathologic analyses. (J Am Vet Med Assoc 2019;254:699-709).</w:t>
      </w:r>
    </w:p>
    <w:p/>
    <w:p>
      <w:pPr>
        <w:pStyle w:val="Normal"/>
      </w:pPr>
      <w:r>
        <w:rPr>
          <w:color w:val="323232"/>
        </w:rPr>
        <w:t xml:space="preserve">J Am Vet Med Assoc, 2019 vol. 254 (6) pp. 699-709.</w:t>
      </w:r>
    </w:p>
    <w:p>
      <w:r>
        <w:rPr>
          <w:rStyle w:val="Hyperlink"/>
        </w:rPr>
        <w:fldChar w:fldCharType="begin"/>
      </w:r>
      <w:r>
        <w:rPr>
          <w:rStyle w:val="Hyperlink"/>
        </w:rPr>
        <w:instrText xml:space="preserve"> HYPERLINK "http://eutils.ncbi.nlm.nih.gov/entrez/eutils/elink.fcgi?dbfrom=pubmed&amp;id=30835179&amp;retmode=ref&amp;cmd=prlinks"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http://eutils.ncbi.nlm.nih.gov/entrez/eutils/elink.fcgi?dbfrom=pubmed&amp;id=30835179&amp;retmode=ref&amp;cmd=prlinks</w:t>
      </w:r>
      <w:r>
        <w:rPr>
          <w:rStyle w:val="Hyperlink"/>
        </w:rPr>
        <w:fldChar w:fldCharType="end"/>
      </w:r>
    </w:p>
    <w:p>
      <w:pPr>
        <w:pStyle w:val="Normal"/>
      </w:pPr>
      <w:r>
        <w:rPr>
          <w:color w:val="323232"/>
        </w:rPr>
        <w:t xml:space="preserve">————————</w:t>
      </w:r>
    </w:p>
    <w:p>
      <w:pPr>
        <w:pStyle w:val="Heading4"/>
      </w:pPr>
      <w:r>
        <w:t xml:space="preserve">Case-control study of risk factors for granulomatous meningoencephalomyelitis in dogs.</w:t>
      </w:r>
    </w:p>
    <w:p/>
    <w:p>
      <w:pPr>
        <w:pStyle w:val="Normal"/>
      </w:pPr>
      <w:r>
        <w:rPr>
          <w:color w:val="323232"/>
        </w:rPr>
        <w:t xml:space="preserve">Heidi L Barnes Heller, Martin N Granick, Marie E Pinkerton, and Nicholas S Keuler.</w:t>
      </w:r>
    </w:p>
    <w:p/>
    <w:p>
      <w:pPr>
        <w:pStyle w:val="Normal"/>
      </w:pPr>
      <w:r>
        <w:rPr>
          <w:color w:val="323232"/>
        </w:rPr>
        <w:t xml:space="preserve">OBJECTIVE:To identify environmental and other variables associated with a diagnosis of granulomatous meningoencephalomyelitis (GME) in dogs.</w:t>
      </w:r>
    </w:p>
    <w:p/>
    <w:p>
      <w:pPr>
        <w:pStyle w:val="Normal"/>
      </w:pPr>
      <w:r>
        <w:rPr>
          <w:color w:val="323232"/>
        </w:rPr>
        <w:t xml:space="preserve">DESIGN:Case-control study.</w:t>
      </w:r>
    </w:p>
    <w:p/>
    <w:p>
      <w:pPr>
        <w:pStyle w:val="Normal"/>
      </w:pPr>
      <w:r>
        <w:rPr>
          <w:color w:val="323232"/>
        </w:rPr>
        <w:t xml:space="preserve">ANIMALS:31 dogs that received a histologic diagnosis of GME (case dogs) from January 2003 to January 2014 and 91 age- and breed-matched dogs.</w:t>
      </w:r>
    </w:p>
    <w:p/>
    <w:p>
      <w:pPr>
        <w:pStyle w:val="Normal"/>
      </w:pPr>
      <w:r>
        <w:rPr>
          <w:color w:val="323232"/>
        </w:rPr>
        <w:t xml:space="preserve">PROCEDURES:Data were obtained from each dog's medical records regarding home address, signalment, body weight, body condition score (BCS), vaccination history, and date of diagnosis (case dogs) or visit (control dogs). Home address data were used to determine the human population density in each dog's geographic region. Seasonal distributions of GME diagnoses in the case group were evaluated for differences. Case and control dogs were compared with respect to the remaining variables.</w:t>
      </w:r>
    </w:p>
    <w:p/>
    <w:p>
      <w:pPr>
        <w:pStyle w:val="Normal"/>
      </w:pPr>
      <w:r>
        <w:rPr>
          <w:color w:val="323232"/>
        </w:rPr>
        <w:t xml:space="preserve">RESULTS:For case dogs, no significant difference was identified among seasons in the distribution of GME diagnoses; however, such diagnoses were more common in the spring than in other seasons. No significant differences were identified between case and control dogs in age, body weight, BCS, human population density, season of diagnosis or visit, or time of last vaccination. Although females appeared more likely than males to have a GME diagnosis, this association was not significant and did not change when BCS, time since last vaccination, or human population density was considered.</w:t>
      </w:r>
    </w:p>
    <w:p/>
    <w:p>
      <w:pPr>
        <w:pStyle w:val="Normal"/>
      </w:pPr>
      <w:r>
        <w:rPr>
          <w:color w:val="323232"/>
        </w:rPr>
        <w:t xml:space="preserve">CONCLUSIONS AND CLINICAL RELEVANCE:None of the evaluated factors, including investigated environmental triggers, were associated with a GME diagnosis in the dogs of this study. Additional research is warranted involving dogs from a broader geographic area.</w:t>
      </w:r>
    </w:p>
    <w:p/>
    <w:p>
      <w:pPr>
        <w:pStyle w:val="Normal"/>
      </w:pPr>
      <w:r>
        <w:rPr>
          <w:color w:val="323232"/>
        </w:rPr>
        <w:t xml:space="preserve">J Am Vet Med Assoc, 2019 vol. 254 (7) pp. 822-825.</w:t>
      </w:r>
    </w:p>
    <w:p>
      <w:r>
        <w:rPr>
          <w:rStyle w:val="Hyperlink"/>
        </w:rPr>
        <w:fldChar w:fldCharType="begin"/>
      </w:r>
      <w:r>
        <w:rPr>
          <w:rStyle w:val="Hyperlink"/>
        </w:rPr>
        <w:instrText xml:space="preserve"> HYPERLINK "http://eutils.ncbi.nlm.nih.gov/entrez/eutils/elink.fcgi?dbfrom=pubmed&amp;id=30888272&amp;retmode=ref&amp;cmd=prlinks"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http://eutils.ncbi.nlm.nih.gov/entrez/eutils/elink.fcgi?dbfrom=pubmed&amp;id=30888272&amp;retmode=ref&amp;cmd=prlinks</w:t>
      </w:r>
      <w:r>
        <w:rPr>
          <w:rStyle w:val="Hyperlink"/>
        </w:rPr>
        <w:fldChar w:fldCharType="end"/>
      </w:r>
    </w:p>
    <w:p>
      <w:pPr>
        <w:pStyle w:val="Normal"/>
      </w:pPr>
      <w:r>
        <w:rPr>
          <w:color w:val="323232"/>
        </w:rPr>
        <w:t xml:space="preserve">————————</w:t>
      </w:r>
    </w:p>
    <w:p>
      <w:pPr>
        <w:pStyle w:val="Heading4"/>
      </w:pPr>
      <w:r>
        <w:t xml:space="preserve">Complications and clinical utility of ultrasonographically guided pyelocentesis and antegrade pyelography in cats and dogs: 49 cases (2007-2015).</w:t>
      </w:r>
    </w:p>
    <w:p/>
    <w:p>
      <w:pPr>
        <w:pStyle w:val="Normal"/>
      </w:pPr>
      <w:r>
        <w:rPr>
          <w:color w:val="323232"/>
        </w:rPr>
        <w:t xml:space="preserve">Nahvid M Etedali, Jennifer A Reetz, and Jonathan D Foster.</w:t>
      </w:r>
    </w:p>
    <w:p/>
    <w:p>
      <w:pPr>
        <w:pStyle w:val="Normal"/>
      </w:pPr>
      <w:r>
        <w:rPr>
          <w:color w:val="323232"/>
        </w:rPr>
        <w:t xml:space="preserve">OBJECTIVE:To describe the diagnostic utility and clinical safety of ultrasonographically guided percutaneous pyelocentesis and antegrade pyelography in cats and dogs.</w:t>
      </w:r>
    </w:p>
    <w:p/>
    <w:p>
      <w:pPr>
        <w:pStyle w:val="Normal"/>
      </w:pPr>
      <w:r>
        <w:rPr>
          <w:color w:val="323232"/>
        </w:rPr>
        <w:t xml:space="preserve">DESIGN:Retrospective case series.</w:t>
      </w:r>
    </w:p>
    <w:p/>
    <w:p>
      <w:pPr>
        <w:pStyle w:val="Normal"/>
      </w:pPr>
      <w:r>
        <w:rPr>
          <w:color w:val="323232"/>
        </w:rPr>
        <w:t xml:space="preserve">ANIMALS:39 cats and 10 dogs with 55 affected kidneys.</w:t>
      </w:r>
    </w:p>
    <w:p/>
    <w:p>
      <w:pPr>
        <w:pStyle w:val="Normal"/>
      </w:pPr>
      <w:r>
        <w:rPr>
          <w:color w:val="323232"/>
        </w:rPr>
        <w:t xml:space="preserve">PROCEDURES:Medical records were reviewed to identify cats and dogs that underwent ultrasonographically guided pyelocentesis and antegrade pyelography between June 1, 2007, and December 31, 2015. Data collected included procedure descriptions; results of diagnostic imaging, urine cytologic evaluation, and bacterial culture; and evidence of complications. Animals were assigned to the pyelocentesis group (underwent only pyelocentesis) or to the antegrade pyelography group (underwent pyelocentesis followed immediately by pyelography).</w:t>
      </w:r>
    </w:p>
    <w:p/>
    <w:p>
      <w:pPr>
        <w:pStyle w:val="Normal"/>
      </w:pPr>
      <w:r>
        <w:rPr>
          <w:color w:val="323232"/>
        </w:rPr>
        <w:t xml:space="preserve">RESULTS:The diagnostic rate for pyelography was 94% (31/33; 95% confidence interval [CI], 80.4% to 98.9%). The total, minor, and major complication rates for both treatment groups combined were 25% (95% CI, 15.8% to 38.3%), 24% (95% CI, 14.4% to 36.3%), and 2% (95% CI, 0.09% to 9.6%), respectively. Performing bacterial culture of urine obtained by pyelocentesis did not provide an advantage over performing bacterial culture of urine obtained from the lower urinary tract.</w:t>
      </w:r>
    </w:p>
    <w:p/>
    <w:p>
      <w:pPr>
        <w:pStyle w:val="Normal"/>
      </w:pPr>
      <w:r>
        <w:rPr>
          <w:color w:val="323232"/>
        </w:rPr>
        <w:t xml:space="preserve">CONCLUSIONS AND CLINICAL RELEVANCE:Findings indicated that ultrasonographically guided pyelocentesis and antegrade pyelography were well-tolerated techniques for investigating upper urinary tract disease in cats and dogs and that pyelography had a higher diagnostic rate than previously reported; therefore, pyelography should be considered for identification of mechanical and functional ureteral patency abnormalities in cats and dogs.</w:t>
      </w:r>
    </w:p>
    <w:p/>
    <w:p>
      <w:pPr>
        <w:pStyle w:val="Normal"/>
      </w:pPr>
      <w:r>
        <w:rPr>
          <w:color w:val="323232"/>
        </w:rPr>
        <w:t xml:space="preserve">J Am Vet Med Assoc, 2019 vol. 254 (7) pp. 826-834.</w:t>
      </w:r>
    </w:p>
    <w:p>
      <w:r>
        <w:rPr>
          <w:rStyle w:val="Hyperlink"/>
        </w:rPr>
        <w:fldChar w:fldCharType="begin"/>
      </w:r>
      <w:r>
        <w:rPr>
          <w:rStyle w:val="Hyperlink"/>
        </w:rPr>
        <w:instrText xml:space="preserve"> HYPERLINK "http://eutils.ncbi.nlm.nih.gov/entrez/eutils/elink.fcgi?dbfrom=pubmed&amp;id=30888270&amp;retmode=ref&amp;cmd=prlinks"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http://eutils.ncbi.nlm.nih.gov/entrez/eutils/elink.fcgi?dbfrom=pubmed&amp;id=30888270&amp;retmode=ref&amp;cmd=prlinks</w:t>
      </w:r>
      <w:r>
        <w:rPr>
          <w:rStyle w:val="Hyperlink"/>
        </w:rPr>
        <w:fldChar w:fldCharType="end"/>
      </w:r>
    </w:p>
    <w:p>
      <w:pPr>
        <w:pStyle w:val="Normal"/>
      </w:pPr>
      <w:r>
        <w:rPr>
          <w:color w:val="323232"/>
        </w:rPr>
        <w:t xml:space="preserve">————————</w:t>
      </w:r>
    </w:p>
    <w:p>
      <w:pPr>
        <w:pStyle w:val="Heading4"/>
      </w:pPr>
      <w:r>
        <w:t xml:space="preserve">Results of oral prednisolone administration or ventriculoperitoneal shunt placement in dogs with congenital hydrocephalus: 40 cases (2005-2016).</w:t>
      </w:r>
    </w:p>
    <w:p/>
    <w:p>
      <w:pPr>
        <w:pStyle w:val="Normal"/>
      </w:pPr>
      <w:r>
        <w:rPr>
          <w:color w:val="323232"/>
        </w:rPr>
        <w:t xml:space="preserve">Sabrina Gillespie, Zoe Gilbert, and Steven De Decker.</w:t>
      </w:r>
    </w:p>
    <w:p/>
    <w:p>
      <w:pPr>
        <w:pStyle w:val="Normal"/>
      </w:pPr>
      <w:r>
        <w:rPr>
          <w:color w:val="323232"/>
        </w:rPr>
        <w:t xml:space="preserve">OBJECTIVE:To evaluate signalment, clinical findings, and outcomes of dogs with congenital hydrocephalus treated medically with orally administered prednisolone or surgically by ventriculoperitoneal shunt placement.</w:t>
      </w:r>
    </w:p>
    <w:p/>
    <w:p>
      <w:pPr>
        <w:pStyle w:val="Normal"/>
      </w:pPr>
      <w:r>
        <w:rPr>
          <w:color w:val="323232"/>
        </w:rPr>
        <w:t xml:space="preserve">DESIGN:Retrospective case series.</w:t>
      </w:r>
    </w:p>
    <w:p/>
    <w:p>
      <w:pPr>
        <w:pStyle w:val="Normal"/>
      </w:pPr>
      <w:r>
        <w:rPr>
          <w:color w:val="323232"/>
        </w:rPr>
        <w:t xml:space="preserve">ANIMALS:40 client-owned dogs.</w:t>
      </w:r>
    </w:p>
    <w:p/>
    <w:p>
      <w:pPr>
        <w:pStyle w:val="Normal"/>
      </w:pPr>
      <w:r>
        <w:rPr>
          <w:color w:val="323232"/>
        </w:rPr>
        <w:t xml:space="preserve">PROCEDURES:Medical records from 2005 to 2016 were searched to identify dogs with congenital hydrocephalus confirmed by MRI examination. Patients were categorized by treatment (medical vs surgical). Signalment, clinical signs, neurologic examination findings, results of diagnostic tests, duration of hospitalization, complications potentially related to treatment, and follow-up information were recorded. Outcome was categorized on the basis of clinical (neurologic) signs as improved, stabilized, or deteriorated. Variables of interest were compared between groups by Fisher exact or Mann-Whitney U tests.</w:t>
      </w:r>
    </w:p>
    <w:p/>
    <w:p>
      <w:pPr>
        <w:pStyle w:val="Normal"/>
      </w:pPr>
      <w:r>
        <w:rPr>
          <w:color w:val="323232"/>
        </w:rPr>
        <w:t xml:space="preserve">RESULTS:28 and 12 dogs had surgical and medical treatment, respectively; 3 medically treated dogs subsequently underwent ventriculoperitoneal shunt placement. No significant differences were noted in clinical or imaging findings between surgically and medically treated dogs. Median follow-up time was 9 months and 15.5 months for medically and surgically treated dogs, respectively. Of 12 medically treated dogs, 6 improved and 6 deteriorated. Of 26 surgically treated dogs with data available, 14 (54%) improved, 1 (4%) stabilized, and 11 (42%) deteriorated; 4 (15%) had known postoperative complications.</w:t>
      </w:r>
    </w:p>
    <w:p/>
    <w:p>
      <w:pPr>
        <w:pStyle w:val="Normal"/>
      </w:pPr>
      <w:r>
        <w:rPr>
          <w:color w:val="323232"/>
        </w:rPr>
        <w:t xml:space="preserve">CONCLUSIONS AND CLINICAL RELEVANCE:Approximately half of the dogs treated with prednisolone in this population had neurologic improvement at last follow-up; results of surgical treatment were comparable to those in previous studies. Further research is needed to assess factors associated with acceptable outcomes for dogs with congenital hydrocephalus.</w:t>
      </w:r>
    </w:p>
    <w:p/>
    <w:p>
      <w:pPr>
        <w:pStyle w:val="Normal"/>
      </w:pPr>
      <w:r>
        <w:rPr>
          <w:color w:val="323232"/>
        </w:rPr>
        <w:t xml:space="preserve">J Am Vet Med Assoc, 2019 vol. 254 (7) pp. 835-842.</w:t>
      </w:r>
    </w:p>
    <w:p>
      <w:r>
        <w:rPr>
          <w:rStyle w:val="Hyperlink"/>
        </w:rPr>
        <w:fldChar w:fldCharType="begin"/>
      </w:r>
      <w:r>
        <w:rPr>
          <w:rStyle w:val="Hyperlink"/>
        </w:rPr>
        <w:instrText xml:space="preserve"> HYPERLINK "http://eutils.ncbi.nlm.nih.gov/entrez/eutils/elink.fcgi?dbfrom=pubmed&amp;id=30888275&amp;retmode=ref&amp;cmd=prlinks"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http://eutils.ncbi.nlm.nih.gov/entrez/eutils/elink.fcgi?dbfrom=pubmed&amp;id=30888275&amp;retmode=ref&amp;cmd=prlinks</w:t>
      </w:r>
      <w:r>
        <w:rPr>
          <w:rStyle w:val="Hyperlink"/>
        </w:rPr>
        <w:fldChar w:fldCharType="end"/>
      </w:r>
    </w:p>
    <w:p>
      <w:pPr>
        <w:pStyle w:val="Normal"/>
      </w:pPr>
      <w:r>
        <w:rPr>
          <w:color w:val="323232"/>
        </w:rPr>
        <w:t xml:space="preserve">————————</w:t>
      </w:r>
    </w:p>
    <w:p>
      <w:pPr>
        <w:pStyle w:val="Heading4"/>
      </w:pPr>
      <w:r>
        <w:t xml:space="preserve">Factors associated with postobstructive diuresis following decompressive surgery with placement of ureteral stents or subcutaneous ureteral bypass systems for treatment of ureteral obstruction in cats: 37 cases (2010-2014).</w:t>
      </w:r>
    </w:p>
    <w:p/>
    <w:p>
      <w:pPr>
        <w:pStyle w:val="Normal"/>
      </w:pPr>
      <w:r>
        <w:rPr>
          <w:color w:val="323232"/>
        </w:rPr>
        <w:t xml:space="preserve">Ingrid M Balsa, William T N Culp, Carrie A Palm, Kate Hopper, Brian T Hardy, Daniel G Ben-Aderet, Philipp D Mayhew, and Kenneth J Drobatz.</w:t>
      </w:r>
    </w:p>
    <w:p/>
    <w:p>
      <w:pPr>
        <w:pStyle w:val="Normal"/>
      </w:pPr>
      <w:r>
        <w:rPr>
          <w:color w:val="323232"/>
        </w:rPr>
        <w:t xml:space="preserve">OBJECTIVE:To describe postobstructive diuresis (POD) in cats undergoing surgical placement of ureteral stents or subcutaneous ureteral bypass systems for treatment of ureteral obstruction in cats and to identify factors associated with duration and maximum severity of POD.</w:t>
      </w:r>
    </w:p>
    <w:p/>
    <w:p>
      <w:pPr>
        <w:pStyle w:val="Normal"/>
      </w:pPr>
      <w:r>
        <w:rPr>
          <w:color w:val="323232"/>
        </w:rPr>
        <w:t xml:space="preserve">DESIGN:Retrospective case series.</w:t>
      </w:r>
    </w:p>
    <w:p/>
    <w:p>
      <w:pPr>
        <w:pStyle w:val="Normal"/>
      </w:pPr>
      <w:r>
        <w:rPr>
          <w:color w:val="323232"/>
        </w:rPr>
        <w:t xml:space="preserve">ANIMALS:37 client-owned cats with ureteral obstruction treated between August 2010 and December 2014.</w:t>
      </w:r>
    </w:p>
    <w:p/>
    <w:p>
      <w:pPr>
        <w:pStyle w:val="Normal"/>
      </w:pPr>
      <w:r>
        <w:rPr>
          <w:color w:val="323232"/>
        </w:rPr>
        <w:t xml:space="preserve">PROCEDURES:Medical records were reviewed, and data extracted included signalment, history, results from physical examinations and clinical laboratory analyses, treatment, urine output, and outcome. Data were evaluated to identify factors associated with POD duration and maximum severity, alone or in combination.</w:t>
      </w:r>
    </w:p>
    <w:p/>
    <w:p>
      <w:pPr>
        <w:pStyle w:val="Normal"/>
      </w:pPr>
      <w:r>
        <w:rPr>
          <w:color w:val="323232"/>
        </w:rPr>
        <w:t xml:space="preserve">RESULTS:Serum concentrations of creatinine, potassium, phosphorus, and BUN before surgery positively correlated with duration and maximum severity of POD. Absolute changes in serum concentrations of creatinine, potassium, and BUN from before surgery to after surgery positively correlated with POD duration. Cats with anuria before surgery had longer POD than did other cats; however, there was no difference in POD duration or maximum severity with unilateral versus bilateral ureteral obstruction. Thirty-four of 37 (92%) cats survived to hospital discharge, which was not associated with whether ureteral obstruction was unilateral or bilateral. Azotemia resolved in 17 of the 34 (50%) cats that survived to hospital discharge.</w:t>
      </w:r>
    </w:p>
    <w:p/>
    <w:p>
      <w:pPr>
        <w:pStyle w:val="Normal"/>
      </w:pPr>
      <w:r>
        <w:rPr>
          <w:color w:val="323232"/>
        </w:rPr>
        <w:t xml:space="preserve">CONCLUSIONS AND CLINICAL RELEVANCE:Results of the present study indicated that several factors were associated with POD duration and maximum severity, alone or in combination, and that with intensive management of fluid and electrolyte derangements, regardless of the extent of the original azotemia, a high percentage of cats survived to hospital discharge.</w:t>
      </w:r>
    </w:p>
    <w:p/>
    <w:p>
      <w:pPr>
        <w:pStyle w:val="Normal"/>
      </w:pPr>
      <w:r>
        <w:rPr>
          <w:color w:val="323232"/>
        </w:rPr>
        <w:t xml:space="preserve">J Am Vet Med Assoc, 2019 vol. 254 (8) pp. 944-952.</w:t>
      </w:r>
    </w:p>
    <w:p>
      <w:r>
        <w:rPr>
          <w:rStyle w:val="Hyperlink"/>
        </w:rPr>
        <w:fldChar w:fldCharType="begin"/>
      </w:r>
      <w:r>
        <w:rPr>
          <w:rStyle w:val="Hyperlink"/>
        </w:rPr>
        <w:instrText xml:space="preserve"> HYPERLINK "http://eutils.ncbi.nlm.nih.gov/entrez/eutils/elink.fcgi?dbfrom=pubmed&amp;id=30938617&amp;retmode=ref&amp;cmd=prlinks"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http://eutils.ncbi.nlm.nih.gov/entrez/eutils/elink.fcgi?dbfrom=pubmed&amp;id=30938617&amp;retmode=ref&amp;cmd=prlinks</w:t>
      </w:r>
      <w:r>
        <w:rPr>
          <w:rStyle w:val="Hyperlink"/>
        </w:rPr>
        <w:fldChar w:fldCharType="end"/>
      </w:r>
    </w:p>
    <w:p>
      <w:pPr>
        <w:pStyle w:val="Normal"/>
      </w:pPr>
      <w:r>
        <w:rPr>
          <w:color w:val="323232"/>
        </w:rPr>
        <w:t xml:space="preserve">————————</w:t>
      </w:r>
    </w:p>
    <w:p>
      <w:pPr>
        <w:pStyle w:val="Heading4"/>
      </w:pPr>
      <w:r>
        <w:t xml:space="preserve">Prevalence of electrographic seizure in dogs and cats undergoing electroencephalography and clinical characteristics and outcome for dogs and cats with and without electrographic seizure: 104 cases (2009-2015).</w:t>
      </w:r>
    </w:p>
    <w:p/>
    <w:p>
      <w:pPr>
        <w:pStyle w:val="Normal"/>
      </w:pPr>
      <w:r>
        <w:rPr>
          <w:color w:val="323232"/>
        </w:rPr>
        <w:t xml:space="preserve">Liana K Granum, William W Bush, D Colette Williams, Mark M Stecker, Christine E Weaver, and Stephen R Werre.</w:t>
      </w:r>
    </w:p>
    <w:p/>
    <w:p>
      <w:pPr>
        <w:pStyle w:val="Normal"/>
      </w:pPr>
      <w:r>
        <w:rPr>
          <w:color w:val="323232"/>
        </w:rPr>
        <w:t xml:space="preserve">OBJECTIVE:To determine the prevalence of electrographic seizure (ES) and electrographic status epilepticus (ESE) in dogs and cats that underwent electroencephalography (EEG) because of suspected seizure activity and to characterize the clinical characteristics, risk factors, and in-hospital mortality rates for dogs and cats with ES or ESE.</w:t>
      </w:r>
    </w:p>
    <w:p/>
    <w:p>
      <w:pPr>
        <w:pStyle w:val="Normal"/>
      </w:pPr>
      <w:r>
        <w:rPr>
          <w:color w:val="323232"/>
        </w:rPr>
        <w:t xml:space="preserve">DESIGN:Retrospective case series.</w:t>
      </w:r>
    </w:p>
    <w:p/>
    <w:p>
      <w:pPr>
        <w:pStyle w:val="Normal"/>
      </w:pPr>
      <w:r>
        <w:rPr>
          <w:color w:val="323232"/>
        </w:rPr>
        <w:t xml:space="preserve">ANIMALS:89 dogs and 15 cats.</w:t>
      </w:r>
    </w:p>
    <w:p/>
    <w:p>
      <w:pPr>
        <w:pStyle w:val="Normal"/>
      </w:pPr>
      <w:r>
        <w:rPr>
          <w:color w:val="323232"/>
        </w:rPr>
        <w:t xml:space="preserve">PROCEDURES:Medical records of dogs and cats that underwent EEG at a veterinary neurology service between May 2009 and April 2015 were reviewed. Electrographic seizure was defined as ictal discharges that evolved in frequency, duration, or morphology and lasted at least 10 seconds, and ESE was defined as ES that lasted ≥ 10 minutes. Patient signalment and history, physical and neurologic examination findings, diagnostic test results, and outcome were compared between patients with and without ES or ESE.</w:t>
      </w:r>
    </w:p>
    <w:p/>
    <w:p>
      <w:pPr>
        <w:pStyle w:val="Normal"/>
      </w:pPr>
      <w:r>
        <w:rPr>
          <w:color w:val="323232"/>
        </w:rPr>
        <w:t xml:space="preserve">RESULTS:Among the 104 patients, ES and ESE were diagnosed in 21 (20%) and 12 (12%), respectively. Seventeen (81%) patients with ES had no or only subtle signs of seizure activity. The in-hospital mortality rate was 48% and 50% for patients with ES and ESE, respectively, compared with 19% for patients without ES or ESE. Risk factors for ES and ESE included young age, overt seizure activity within 8 hours before EEG, and history of cluster seizures.</w:t>
      </w:r>
    </w:p>
    <w:p/>
    <w:p>
      <w:pPr>
        <w:pStyle w:val="Normal"/>
      </w:pPr>
      <w:r>
        <w:rPr>
          <w:color w:val="323232"/>
        </w:rPr>
        <w:t xml:space="preserve">CONCLUSIONS AND CLINICAL REVELANCE:Results indicated that ES and ESE were fairly common in dogs and cats with suspected seizure activity and affected patients often had only subtle clinical signs. Therefore, EEG is necessary to detect patients with ES and ESE.</w:t>
      </w:r>
    </w:p>
    <w:p/>
    <w:p>
      <w:pPr>
        <w:pStyle w:val="Normal"/>
      </w:pPr>
      <w:r>
        <w:rPr>
          <w:color w:val="323232"/>
        </w:rPr>
        <w:t xml:space="preserve">J Am Vet Med Assoc, 2019 vol. 254 (8) pp. 967-973.</w:t>
      </w:r>
    </w:p>
    <w:p>
      <w:r>
        <w:rPr>
          <w:rStyle w:val="Hyperlink"/>
        </w:rPr>
        <w:fldChar w:fldCharType="begin"/>
      </w:r>
      <w:r>
        <w:rPr>
          <w:rStyle w:val="Hyperlink"/>
        </w:rPr>
        <w:instrText xml:space="preserve"> HYPERLINK "http://eutils.ncbi.nlm.nih.gov/entrez/eutils/elink.fcgi?dbfrom=pubmed&amp;id=30938610&amp;retmode=ref&amp;cmd=prlinks"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http://eutils.ncbi.nlm.nih.gov/entrez/eutils/elink.fcgi?dbfrom=pubmed&amp;id=30938610&amp;retmode=ref&amp;cmd=prlinks</w:t>
      </w:r>
      <w:r>
        <w:rPr>
          <w:rStyle w:val="Hyperlink"/>
        </w:rPr>
        <w:fldChar w:fldCharType="end"/>
      </w:r>
    </w:p>
    <w:p>
      <w:pPr>
        <w:pStyle w:val="Normal"/>
      </w:pPr>
      <w:r>
        <w:rPr>
          <w:color w:val="323232"/>
        </w:rPr>
        <w:t xml:space="preserve">————————</w:t>
      </w:r>
    </w:p>
    <w:p>
      <w:pPr>
        <w:pStyle w:val="Heading4"/>
      </w:pPr>
      <w:r>
        <w:t xml:space="preserve">Response and outcome following toceranib phosphate treatment for stage four anal sac apocrine gland adenocarcinoma in dogs: 15 cases (2013-2017).</w:t>
      </w:r>
    </w:p>
    <w:p/>
    <w:p>
      <w:pPr>
        <w:pStyle w:val="Normal"/>
      </w:pPr>
      <w:r>
        <w:rPr>
          <w:color w:val="323232"/>
        </w:rPr>
        <w:t xml:space="preserve">James W Elliott.</w:t>
      </w:r>
    </w:p>
    <w:p/>
    <w:p>
      <w:pPr>
        <w:pStyle w:val="Normal"/>
      </w:pPr>
      <w:r>
        <w:rPr>
          <w:color w:val="323232"/>
        </w:rPr>
        <w:t xml:space="preserve">OBJECTIVE:To assess response and outcome in dogs with stage 4 anal sac apocrine gland adenocarcinoma (ASAGA) treated with toceranib phosphate as the sole chemotherapeutic agent.</w:t>
      </w:r>
    </w:p>
    <w:p/>
    <w:p>
      <w:pPr>
        <w:pStyle w:val="Normal"/>
      </w:pPr>
      <w:r>
        <w:rPr>
          <w:color w:val="323232"/>
        </w:rPr>
        <w:t xml:space="preserve">DESIGN:Retrospective case series.</w:t>
      </w:r>
    </w:p>
    <w:p/>
    <w:p>
      <w:pPr>
        <w:pStyle w:val="Normal"/>
      </w:pPr>
      <w:r>
        <w:rPr>
          <w:color w:val="323232"/>
        </w:rPr>
        <w:t xml:space="preserve">ANIMALS:15 client-owned dogs with stage 4 ASAGA treated with toceranib phosphate between March 2013 and June 2017.</w:t>
      </w:r>
    </w:p>
    <w:p/>
    <w:p>
      <w:pPr>
        <w:pStyle w:val="Normal"/>
      </w:pPr>
      <w:r>
        <w:rPr>
          <w:color w:val="323232"/>
        </w:rPr>
        <w:t xml:space="preserve">PROCEDURES:Medical records were reviewed, and data collected included signalment, clinical signs, results of physical examinations and diagnostic procedures, treatments, response, follow-up information, and outcomes. Adverse events and response to treatment were assessed according to standard guidelines, and the Kaplan-Meier product limit method was used for analyses of progression-free interval and survival time.</w:t>
      </w:r>
    </w:p>
    <w:p/>
    <w:p>
      <w:pPr>
        <w:pStyle w:val="Normal"/>
      </w:pPr>
      <w:r>
        <w:rPr>
          <w:color w:val="323232"/>
        </w:rPr>
        <w:t xml:space="preserve">RESULTS:No dogs had a complete or partial response to treatment with toceranib; however, 13 dogs had signs of clinical benefit. No dogs had signs of toxic effects related to toceranib or were withdrawn completely from treatment because of adverse events. Median progression-free interval and median survival time were 354 and 356 days, respectively.</w:t>
      </w:r>
    </w:p>
    <w:p/>
    <w:p>
      <w:pPr>
        <w:pStyle w:val="Normal"/>
      </w:pPr>
      <w:r>
        <w:rPr>
          <w:color w:val="323232"/>
        </w:rPr>
        <w:t xml:space="preserve">CONCLUSIONS AND CLINICAL RELEVANCE:Results of the present study indicated that dogs with stage 4 ASAGA treated with toceranib had improved outcomes, compared with outcomes previously reported for dogs with ASAGA that had received non-tyrosine kinase inhibitor treatments. Some dogs had improvement in clinical signs, but euthanasia was often performed because of signs of locoregional failure; therefore, toceranib alone may not be an appropriate treatment for dogs with marked clinical signs attributed to ASAGA, particularly when signs suggest limited quality of life. Further study of toceranib in multimodality treatments for dogs with advanced ASAGA is warranted.</w:t>
      </w:r>
    </w:p>
    <w:p/>
    <w:p>
      <w:pPr>
        <w:pStyle w:val="Normal"/>
      </w:pPr>
      <w:r>
        <w:rPr>
          <w:color w:val="323232"/>
        </w:rPr>
        <w:t xml:space="preserve">J Am Vet Med Assoc, 2019 vol. 254 (8) pp. 960-966.</w:t>
      </w:r>
    </w:p>
    <w:p>
      <w:r>
        <w:rPr>
          <w:rStyle w:val="Hyperlink"/>
        </w:rPr>
        <w:fldChar w:fldCharType="begin"/>
      </w:r>
      <w:r>
        <w:rPr>
          <w:rStyle w:val="Hyperlink"/>
        </w:rPr>
        <w:instrText xml:space="preserve"> HYPERLINK "http://eutils.ncbi.nlm.nih.gov/entrez/eutils/elink.fcgi?dbfrom=pubmed&amp;id=30938616&amp;retmode=ref&amp;cmd=prlinks"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http://eutils.ncbi.nlm.nih.gov/entrez/eutils/elink.fcgi?dbfrom=pubmed&amp;id=30938616&amp;retmode=ref&amp;cmd=prlinks</w:t>
      </w:r>
      <w:r>
        <w:rPr>
          <w:rStyle w:val="Hyperlink"/>
        </w:rPr>
        <w:fldChar w:fldCharType="end"/>
      </w:r>
    </w:p>
    <w:p>
      <w:pPr>
        <w:pStyle w:val="Normal"/>
      </w:pPr>
      <w:r>
        <w:rPr>
          <w:color w:val="323232"/>
        </w:rPr>
        <w:t xml:space="preserve">————————</w:t>
      </w:r>
    </w:p>
    <w:p>
      <w:pPr>
        <w:pStyle w:val="Heading4"/>
      </w:pPr>
      <w:r>
        <w:t xml:space="preserve">Evaluation of combined assessments of serum anti-Müllerian hormone and progesterone concentrations for the diagnosis of ovarian remnant syndrome in dogs.</w:t>
      </w:r>
    </w:p>
    <w:p/>
    <w:p>
      <w:pPr>
        <w:pStyle w:val="Normal"/>
      </w:pPr>
      <w:r>
        <w:rPr>
          <w:color w:val="323232"/>
        </w:rPr>
        <w:t xml:space="preserve">Ned J Place, Jeri-Lyn Cheraskin, and Betty S Hansen.</w:t>
      </w:r>
    </w:p>
    <w:p/>
    <w:p>
      <w:pPr>
        <w:pStyle w:val="Normal"/>
      </w:pPr>
      <w:r>
        <w:rPr>
          <w:color w:val="323232"/>
        </w:rPr>
        <w:t xml:space="preserve">OBJECTIVE:To determine the usefulness of combined assessments of serum anti-Müllerian hormone (AMH) and progesterone (P4) concentrations for diagnosis of ovarian remnant syndrome (ORS) in dogs.</w:t>
      </w:r>
    </w:p>
    <w:p/>
    <w:p>
      <w:pPr>
        <w:pStyle w:val="Normal"/>
      </w:pPr>
      <w:r>
        <w:rPr>
          <w:color w:val="323232"/>
        </w:rPr>
        <w:t xml:space="preserve">DESIGN:Prospective case series.</w:t>
      </w:r>
    </w:p>
    <w:p/>
    <w:p>
      <w:pPr>
        <w:pStyle w:val="Normal"/>
      </w:pPr>
      <w:r>
        <w:rPr>
          <w:color w:val="323232"/>
        </w:rPr>
        <w:t xml:space="preserve">ANIMALS:602 bitches that had previously undergone ovariohysterectomy or ovariectomy without hysterectomy and that were being evaluated for ORS.</w:t>
      </w:r>
    </w:p>
    <w:p/>
    <w:p>
      <w:pPr>
        <w:pStyle w:val="Normal"/>
      </w:pPr>
      <w:r>
        <w:rPr>
          <w:color w:val="323232"/>
        </w:rPr>
        <w:t xml:space="preserve">PROCEDURES:Serum AMH and P4 concentrations were measured in a single serum sample obtained from each of the 602 dogs; results were classified as positive, negative, or inconclusive. Following AMH testing, submitting veterinarians were offered reimbursement for shipping and histologic evaluation of any tissue removed during treatment of dogs for which serum samples had been assessed.</w:t>
      </w:r>
    </w:p>
    <w:p/>
    <w:p>
      <w:pPr>
        <w:pStyle w:val="Normal"/>
      </w:pPr>
      <w:r>
        <w:rPr>
          <w:color w:val="323232"/>
        </w:rPr>
        <w:t xml:space="preserve">RESULTS:Tissue samples were provided from 53 of 55 dogs that underwent surgical abdominal exploration. Of 48 dogs with histologically confirmed ORS, 25 were positive for both AMH and P4 and 23 were positive for AMH or P4 or test results were inconclusive. No dogs with histologically confirmed ORS were negative for both AMH and P4. Tissue samples that included no ovarian tissue were obtained from 5 dogs that were positive for both AMH and P4. In 2 dogs that were negative for both AMH and P4, no ovarian remnant was identified and no tissue was removed at the time of exploratory surgery.</w:t>
      </w:r>
    </w:p>
    <w:p/>
    <w:p>
      <w:pPr>
        <w:pStyle w:val="Normal"/>
      </w:pPr>
      <w:r>
        <w:rPr>
          <w:color w:val="323232"/>
        </w:rPr>
        <w:t xml:space="preserve">CONCLUSIONS AND CLINICAL RELEVANCE:Results indicated that combined determination of AMH and P4 concentrations in a single serum sample can be an effective diagnostic test for spayed dogs suspected to have ORS. Histologic analysis of excised tissues to assess the completeness of surgical treatment in dogs with ORS is warranted.</w:t>
      </w:r>
    </w:p>
    <w:p/>
    <w:p>
      <w:pPr>
        <w:pStyle w:val="Normal"/>
      </w:pPr>
      <w:r>
        <w:rPr>
          <w:color w:val="323232"/>
        </w:rPr>
        <w:t xml:space="preserve">J Am Vet Med Assoc, 2019 vol. 254 (9) pp. 1067-1072.</w:t>
      </w:r>
    </w:p>
    <w:p>
      <w:r>
        <w:rPr>
          <w:rStyle w:val="Hyperlink"/>
        </w:rPr>
        <w:fldChar w:fldCharType="begin"/>
      </w:r>
      <w:r>
        <w:rPr>
          <w:rStyle w:val="Hyperlink"/>
        </w:rPr>
        <w:instrText xml:space="preserve"> HYPERLINK "http://eutils.ncbi.nlm.nih.gov/entrez/eutils/elink.fcgi?dbfrom=pubmed&amp;id=30986154&amp;retmode=ref&amp;cmd=prlinks"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http://eutils.ncbi.nlm.nih.gov/entrez/eutils/elink.fcgi?dbfrom=pubmed&amp;id=30986154&amp;retmode=ref&amp;cmd=prlinks</w:t>
      </w:r>
      <w:r>
        <w:rPr>
          <w:rStyle w:val="Hyperlink"/>
        </w:rPr>
        <w:fldChar w:fldCharType="end"/>
      </w:r>
    </w:p>
    <w:p>
      <w:pPr>
        <w:pStyle w:val="Normal"/>
      </w:pPr>
      <w:r>
        <w:rPr>
          <w:color w:val="323232"/>
        </w:rPr>
        <w:t xml:space="preserve">————————</w:t>
      </w:r>
    </w:p>
    <w:p>
      <w:pPr>
        <w:pStyle w:val="Heading4"/>
      </w:pPr>
      <w:r>
        <w:t xml:space="preserve">Long-term outcome and risk factors associated with death or the need for revision surgery in dogs with permanent tracheostomies.</w:t>
      </w:r>
    </w:p>
    <w:p/>
    <w:p>
      <w:pPr>
        <w:pStyle w:val="Normal"/>
      </w:pPr>
      <w:r>
        <w:rPr>
          <w:color w:val="323232"/>
        </w:rPr>
        <w:t xml:space="preserve">Janet A Grimes, Anastacia M Davis, Mandy L Wallace, Allyson A Sterman, Kelley M Thieman-Mankin, Samantha Lin, Valery F Scharf, Katelyn C Hlusko, Brad M Matz, Karen K Cornell, Catherine A M Vetter, and Chad W Schmiedt.</w:t>
      </w:r>
    </w:p>
    <w:p/>
    <w:p>
      <w:pPr>
        <w:pStyle w:val="Normal"/>
      </w:pPr>
      <w:r>
        <w:rPr>
          <w:color w:val="323232"/>
        </w:rPr>
        <w:t xml:space="preserve">OBJECTIVE:To evaluate long-term outcomes and identify factors associated with death or the need for revision surgery in dogs with permanent tracheostomies (PTs).</w:t>
      </w:r>
    </w:p>
    <w:p/>
    <w:p>
      <w:pPr>
        <w:pStyle w:val="Normal"/>
      </w:pPr>
      <w:r>
        <w:rPr>
          <w:color w:val="323232"/>
        </w:rPr>
        <w:t xml:space="preserve">DESIGN:Retrospective cohort study.</w:t>
      </w:r>
    </w:p>
    <w:p/>
    <w:p>
      <w:pPr>
        <w:pStyle w:val="Normal"/>
      </w:pPr>
      <w:r>
        <w:rPr>
          <w:color w:val="323232"/>
        </w:rPr>
        <w:t xml:space="preserve">ANIMALS:69 client-owned dogs that received a PT between January 2002 and June 2016 at 1 of 4 veterinary teaching hospitals.</w:t>
      </w:r>
    </w:p>
    <w:p/>
    <w:p>
      <w:pPr>
        <w:pStyle w:val="Normal"/>
      </w:pPr>
      <w:r>
        <w:rPr>
          <w:color w:val="323232"/>
        </w:rPr>
        <w:t xml:space="preserve">PROCEDURES:Medical records were reviewed, and data extracted included signalment, history, clinical signs, radiographic and laryngeal examination findings, presence of esophageal abnormalities, date and reason for receiving a PT, postoperative complications, cause of death, and survival time. Dogs surviving &lt; 2 weeks after receiving a PT were excluded.</w:t>
      </w:r>
    </w:p>
    <w:p/>
    <w:p>
      <w:pPr>
        <w:pStyle w:val="Normal"/>
      </w:pPr>
      <w:r>
        <w:rPr>
          <w:color w:val="323232"/>
        </w:rPr>
        <w:t xml:space="preserve">RESULTS:Major complications occurred in 42 of 69 (61%) dogs, with aspiration pneumonia (13 [19%]), skinfold occlusion (13 [19%]), and stoma stenosis (12 [17%]) being most common. Revision surgery was performed in 24 of 69 (35%) dogs, most commonly because of stoma stenosis or skinfold occlusion (9/24 [38%] each). Brachycephalic dogs were more likely (OR, 3.5; 95% confidence interval, 1.2 to 10.2) to require revision surgery than were nonbrachycephalic dogs. The overall median survival time was 1,825 days, and dogs that received corticosteroids before receiving a PT, had tracheal collapse, or were older had shorter survival times.</w:t>
      </w:r>
    </w:p>
    <w:p/>
    <w:p>
      <w:pPr>
        <w:pStyle w:val="Normal"/>
      </w:pPr>
      <w:r>
        <w:rPr>
          <w:color w:val="323232"/>
        </w:rPr>
        <w:t xml:space="preserve">CONCLUSIONS AND CLINICAL RELEVANCE:Results of the present study indicated that creation of a PT was a viable treatment option for obstructive upper airway diseases in dogs and that long-term survival after receiving a PT was possible; however, a PT may not reduce the risk of aspiration pneumonia in dogs.</w:t>
      </w:r>
    </w:p>
    <w:p/>
    <w:p>
      <w:pPr>
        <w:pStyle w:val="Normal"/>
      </w:pPr>
      <w:r>
        <w:rPr>
          <w:color w:val="323232"/>
        </w:rPr>
        <w:t xml:space="preserve">J Am Vet Med Assoc, 2019 vol. 254 (9) pp. 1086-1093.</w:t>
      </w:r>
    </w:p>
    <w:p>
      <w:r>
        <w:rPr>
          <w:rStyle w:val="Hyperlink"/>
        </w:rPr>
        <w:fldChar w:fldCharType="begin"/>
      </w:r>
      <w:r>
        <w:rPr>
          <w:rStyle w:val="Hyperlink"/>
        </w:rPr>
        <w:instrText xml:space="preserve"> HYPERLINK "http://eutils.ncbi.nlm.nih.gov/entrez/eutils/elink.fcgi?dbfrom=pubmed&amp;id=30986161&amp;retmode=ref&amp;cmd=prlinks"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http://eutils.ncbi.nlm.nih.gov/entrez/eutils/elink.fcgi?dbfrom=pubmed&amp;id=30986161&amp;retmode=ref&amp;cmd=prlinks</w:t>
      </w:r>
      <w:r>
        <w:rPr>
          <w:rStyle w:val="Hyperlink"/>
        </w:rPr>
        <w:fldChar w:fldCharType="end"/>
      </w:r>
    </w:p>
    <w:p>
      <w:pPr>
        <w:pStyle w:val="Normal"/>
      </w:pPr>
      <w:r>
        <w:rPr>
          <w:color w:val="323232"/>
        </w:rPr>
        <w:t xml:space="preserve">————————</w:t>
      </w:r>
    </w:p>
    <w:p>
      <w:pPr>
        <w:pStyle w:val="Heading4"/>
      </w:pPr>
      <w:r>
        <w:t xml:space="preserve">Development and evaluation of a formula to correct blood glucose concentration measurements in hemodiluted and hemoconcentrated feline blood samples tested by use of a veterinary point-of-care glucometer.</w:t>
      </w:r>
    </w:p>
    <w:p/>
    <w:p>
      <w:pPr>
        <w:pStyle w:val="Normal"/>
      </w:pPr>
      <w:r>
        <w:rPr>
          <w:color w:val="323232"/>
        </w:rPr>
        <w:t xml:space="preserve">Selena L Lane and Amie Koenig.</w:t>
      </w:r>
    </w:p>
    <w:p/>
    <w:p>
      <w:pPr>
        <w:pStyle w:val="Normal"/>
      </w:pPr>
      <w:r>
        <w:rPr>
          <w:color w:val="323232"/>
        </w:rPr>
        <w:t xml:space="preserve">OBJECTIVE:To determine the effect of PCV on blood glucose concentration measurements in feline blood samples tested with a point-of-care (POC) glucometer and to develop and evaluate a correction formula that adjusts POC glucometer-measured blood glucose concentration (POCgluc) for a given PCV.</w:t>
      </w:r>
    </w:p>
    <w:p/>
    <w:p>
      <w:pPr>
        <w:pStyle w:val="Normal"/>
      </w:pPr>
      <w:r>
        <w:rPr>
          <w:color w:val="323232"/>
        </w:rPr>
        <w:t xml:space="preserve">DESIGN:Experimental and prospective study.</w:t>
      </w:r>
    </w:p>
    <w:p/>
    <w:p>
      <w:pPr>
        <w:pStyle w:val="Normal"/>
      </w:pPr>
      <w:r>
        <w:rPr>
          <w:color w:val="323232"/>
        </w:rPr>
        <w:t xml:space="preserve">SAMPLE:Blood samples from 4 healthy and 16 hospitalized cats.</w:t>
      </w:r>
    </w:p>
    <w:p/>
    <w:p>
      <w:pPr>
        <w:pStyle w:val="Normal"/>
      </w:pPr>
      <w:r>
        <w:rPr>
          <w:color w:val="323232"/>
        </w:rPr>
        <w:t xml:space="preserve">PROCEDURES:Heparinized blood samples from healthy cats were processed into packed RBCs and plasma. Packed RBCs were resuspended with plasma to achieve PCVs ranging from 0% to 87%. Duplicate PCV and POCgluc measurements were obtained for each suspension. Plasma glucose concentration as measured by a clinical laboratory biochemical analyzer (LABgluc) was assessed; results were compared with the POCgluc. A formula to correct POCgluc measurements for PCV was developed. Blood samples from hospitalized cats were used to evaluate the formula.</w:t>
      </w:r>
    </w:p>
    <w:p/>
    <w:p>
      <w:pPr>
        <w:pStyle w:val="Normal"/>
      </w:pPr>
      <w:r>
        <w:rPr>
          <w:color w:val="323232"/>
        </w:rPr>
        <w:t xml:space="preserve">RESULTS:For each healthy cat, LABgluc values were similar for all PCVs; the mean difference between POCgluc and LABgluc at PCVs outside a range of 35% to 55% was significant. Mean differences between POCgluc and LABgluc were 24.3 and 41.5 mg</w:t>
      </w:r>
      <w:r>
        <w:rPr>
          <w:i w:val="1"/>
          <w:color w:val="323232"/>
        </w:rPr>
        <w:t xml:space="preserve">dL, whereas mean differences between corrected POCgluc and LABgluc were 3 and 25.9 mg</w:t>
      </w:r>
      <w:r>
        <w:rPr>
          <w:color w:val="323232"/>
        </w:rPr>
        <w:t xml:space="preserve">dL for samples from healthy and hospitalized cats, respectively. Correlation between corrected POCgluc and LABgluc was stronger than that between POCgluc and LABgluc for samples from healthy and hospitalized cats.</w:t>
      </w:r>
    </w:p>
    <w:p/>
    <w:p>
      <w:pPr>
        <w:pStyle w:val="Normal"/>
      </w:pPr>
      <w:r>
        <w:rPr>
          <w:color w:val="323232"/>
        </w:rPr>
        <w:t xml:space="preserve">CONCLUSIONS AND CLINICAL RELEVANCE:The POCgluc did not reflect LABgluc in hemodiluted or hemoconcentrated feline blood samples. Use of a correction formula appeared to reduce this error. Additional studies are needed to evaluate the frequency with which this correction formula might prevent clinical errors. (J Am Vet Med Assoc 2019;254:1180-1185).</w:t>
      </w:r>
    </w:p>
    <w:p/>
    <w:p>
      <w:pPr>
        <w:pStyle w:val="Normal"/>
      </w:pPr>
      <w:r>
        <w:rPr>
          <w:color w:val="323232"/>
        </w:rPr>
        <w:t xml:space="preserve">J Am Vet Med Assoc, 2019 vol. 254 (10) pp. 1180-1185.</w:t>
      </w:r>
    </w:p>
    <w:p>
      <w:r>
        <w:rPr>
          <w:rStyle w:val="Hyperlink"/>
        </w:rPr>
        <w:fldChar w:fldCharType="begin"/>
      </w:r>
      <w:r>
        <w:rPr>
          <w:rStyle w:val="Hyperlink"/>
        </w:rPr>
        <w:instrText xml:space="preserve"> HYPERLINK "http://eutils.ncbi.nlm.nih.gov/entrez/eutils/elink.fcgi?dbfrom=pubmed&amp;id=31039098&amp;retmode=ref&amp;cmd=prlinks"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http://eutils.ncbi.nlm.nih.gov/entrez/eutils/elink.fcgi?dbfrom=pubmed&amp;id=31039098&amp;retmode=ref&amp;cmd=prlinks</w:t>
      </w:r>
      <w:r>
        <w:rPr>
          <w:rStyle w:val="Hyperlink"/>
        </w:rPr>
        <w:fldChar w:fldCharType="end"/>
      </w:r>
    </w:p>
    <w:p>
      <w:pPr>
        <w:pStyle w:val="Normal"/>
      </w:pPr>
      <w:r>
        <w:rPr>
          <w:color w:val="323232"/>
        </w:rPr>
        <w:t xml:space="preserve">————————</w:t>
      </w:r>
    </w:p>
    <w:p>
      <w:pPr>
        <w:pStyle w:val="Heading4"/>
      </w:pPr>
      <w:r>
        <w:t xml:space="preserve">Evaluation of the nutritional adequacy of recipes for home-prepared maintenance diets for cats.</w:t>
      </w:r>
    </w:p>
    <w:p/>
    <w:p>
      <w:pPr>
        <w:pStyle w:val="Normal"/>
      </w:pPr>
      <w:r>
        <w:rPr>
          <w:color w:val="323232"/>
        </w:rPr>
        <w:t xml:space="preserve">Sarah A Wilson, Cecilia Villaverde, Andrea J Fascetti, and Jennifer A Larsen.</w:t>
      </w:r>
    </w:p>
    <w:p/>
    <w:p>
      <w:pPr>
        <w:pStyle w:val="Normal"/>
      </w:pPr>
      <w:r>
        <w:rPr>
          <w:color w:val="323232"/>
        </w:rPr>
        <w:t xml:space="preserve">OBJECTIVE:To evaluate home-prepared maintenance diet (HPMD) recipes for cats and compare the nutritional profiles with National Research Council (NRC) recommended allowances (RAs) for essential nutrients for adult cats.</w:t>
      </w:r>
    </w:p>
    <w:p/>
    <w:p>
      <w:pPr>
        <w:pStyle w:val="Normal"/>
      </w:pPr>
      <w:r>
        <w:rPr>
          <w:color w:val="323232"/>
        </w:rPr>
        <w:t xml:space="preserve">DESIGN:Evaluation study.</w:t>
      </w:r>
    </w:p>
    <w:p/>
    <w:p>
      <w:pPr>
        <w:pStyle w:val="Normal"/>
      </w:pPr>
      <w:r>
        <w:rPr>
          <w:color w:val="323232"/>
        </w:rPr>
        <w:t xml:space="preserve">SAMPLE:114 recipes (obtained from books and online sources) for HPMDs for cats.</w:t>
      </w:r>
    </w:p>
    <w:p/>
    <w:p>
      <w:pPr>
        <w:pStyle w:val="Normal"/>
      </w:pPr>
      <w:r>
        <w:rPr>
          <w:color w:val="323232"/>
        </w:rPr>
        <w:t xml:space="preserve">PROCEDURES:Computer software was used to determine nutrient concentrations of HPMD recipes for comparison with NRC RAs for essential nutrients for adult cats. Effects of recipe authorship (veterinarian vs nonveterinarian) and supplementation on the number of nutrient concentrations below RAs were evaluated.</w:t>
      </w:r>
    </w:p>
    <w:p/>
    <w:p>
      <w:pPr>
        <w:pStyle w:val="Normal"/>
      </w:pPr>
      <w:r>
        <w:rPr>
          <w:color w:val="323232"/>
        </w:rPr>
        <w:t xml:space="preserve">RESULTS:Of the 114 HPMD recipes, 113 contained vague instructions regarding preparation, and 46 did not provide feeding directions. Only 94 recipes provided adequately detailed information for computerized nutritional analysis, although most (93/94) still required assumptions regarding ingredients, preparation, or supplementation. Nonveterinarian-authored recipes and recipes without supplement-type products had more nutrient concentrations below NRC RAs, but no recipe met all RAs. With assumptions, 5 veterinarian-authored recipes met NRC RAs for all assessed nutrients except choline; however, taurine adequacy in 2 of those recipes could not be confirmed. Crude protein concentration was below the RA in 6 of 94 (6.4%) recipes. Nutrients most frequently below RAs included choline, iron, thiamine, zinc, manganese, vitamin E, and copper (in 89.7%, 76.6%, 62.8%, 61.7%, 57.4%, 57.4%, and 45.7% of recipes, respectively).</w:t>
      </w:r>
    </w:p>
    <w:p/>
    <w:p>
      <w:pPr>
        <w:pStyle w:val="Normal"/>
      </w:pPr>
      <w:r>
        <w:rPr>
          <w:color w:val="323232"/>
        </w:rPr>
        <w:t xml:space="preserve">CONCLUSIONS AND CLINICAL RELEVANCE:Problems with nutritional adequacy were identified in all evaluated HPMD recipes. Appropriate formulation of HPMDs requires specialized knowledge of nutrition and use of computer software to avoid potentially harmful nutrient deficiencies.</w:t>
      </w:r>
    </w:p>
    <w:p/>
    <w:p>
      <w:pPr>
        <w:pStyle w:val="Normal"/>
      </w:pPr>
      <w:r>
        <w:rPr>
          <w:color w:val="323232"/>
        </w:rPr>
        <w:t xml:space="preserve">J Am Vet Med Assoc, 2019 vol. 254 (10) pp. 1172-1179.</w:t>
      </w:r>
    </w:p>
    <w:p>
      <w:r>
        <w:rPr>
          <w:rStyle w:val="Hyperlink"/>
        </w:rPr>
        <w:fldChar w:fldCharType="begin"/>
      </w:r>
      <w:r>
        <w:rPr>
          <w:rStyle w:val="Hyperlink"/>
        </w:rPr>
        <w:instrText xml:space="preserve"> HYPERLINK "http://eutils.ncbi.nlm.nih.gov/entrez/eutils/elink.fcgi?dbfrom=pubmed&amp;id=31039096&amp;retmode=ref&amp;cmd=prlinks"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http://eutils.ncbi.nlm.nih.gov/entrez/eutils/elink.fcgi?dbfrom=pubmed&amp;id=31039096&amp;retmode=ref&amp;cmd=prlinks</w:t>
      </w:r>
      <w:r>
        <w:rPr>
          <w:rStyle w:val="Hyperlink"/>
        </w:rPr>
        <w:fldChar w:fldCharType="end"/>
      </w:r>
    </w:p>
    <w:p>
      <w:pPr>
        <w:pStyle w:val="Normal"/>
      </w:pPr>
      <w:r>
        <w:rPr>
          <w:color w:val="323232"/>
        </w:rPr>
        <w:t xml:space="preserve">————————</w:t>
      </w:r>
    </w:p>
    <w:p>
      <w:pPr>
        <w:pStyle w:val="Heading4"/>
      </w:pPr>
      <w:r>
        <w:t xml:space="preserve">Hyperkalemia during general anesthesia in two Greyhounds.</w:t>
      </w:r>
    </w:p>
    <w:p/>
    <w:p>
      <w:pPr>
        <w:pStyle w:val="Normal"/>
      </w:pPr>
      <w:r>
        <w:rPr>
          <w:color w:val="323232"/>
        </w:rPr>
        <w:t xml:space="preserve">Stacey J Jones, Khursheed R Mama, Nancy K Brock, and C Guillermo Couto.</w:t>
      </w:r>
    </w:p>
    <w:p/>
    <w:p>
      <w:pPr>
        <w:pStyle w:val="Normal"/>
      </w:pPr>
      <w:r>
        <w:rPr>
          <w:color w:val="323232"/>
        </w:rPr>
        <w:t xml:space="preserve">CASE DESCRIPTION:A 36-kg (79-lb) castrated male Greyhound (dog 1) and a 25-kg (55 lb) spayed female Greyhound (dog 2) underwent general anesthesia for dental care with similar perianesthetic protocols on multiple occasions from 2013 to 2016. Both dogs had periodontal disease but were otherwise deemed healthy. Both dogs developed clinically relevant hyperkalemia, with signs including loss of P waves on ECG tracings, during multiple anesthetic events.</w:t>
      </w:r>
    </w:p>
    <w:p/>
    <w:p>
      <w:pPr>
        <w:pStyle w:val="Normal"/>
      </w:pPr>
      <w:r>
        <w:rPr>
          <w:color w:val="323232"/>
        </w:rPr>
        <w:t xml:space="preserve">CLINICAL FINDINGS:Dog 1 developed hyperkalemia during 2 of 2 anesthetic events, with ECG changes noted during the first event. Dog 2 developed hyperkalemia during 3 of 4 anesthetic events, with ECG changes identified during the second and third events. Serum potassium concentration for both dogs was within the reference range prior to and between anesthetic events. No underlying etiopathogenesis for hyperkalemia was identified for either dog.</w:t>
      </w:r>
    </w:p>
    <w:p/>
    <w:p>
      <w:pPr>
        <w:pStyle w:val="Normal"/>
      </w:pPr>
      <w:r>
        <w:rPr>
          <w:color w:val="323232"/>
        </w:rPr>
        <w:t xml:space="preserve">TREATMENT AND OUTCOME:In each hyperkalemic event, the clinician stopped the dental procedure and continued to provide supportive care and monitoring while the dog recovered from anesthesia. The ECG changes resolved, and serum potassium concentration returned to the reference range rapidly after inhalant anesthetic administration was discontinued. The dogs were discharged from the hospital without further complications.</w:t>
      </w:r>
    </w:p>
    <w:p/>
    <w:p>
      <w:pPr>
        <w:pStyle w:val="Normal"/>
      </w:pPr>
      <w:r>
        <w:rPr>
          <w:color w:val="323232"/>
        </w:rPr>
        <w:t xml:space="preserve">CLINICAL RELEVANCE:Hyperkalemia in anesthetized Greyhounds resulted in serious cardiac conduction abnormalities, which could be potentially fatal if not recognized and promptly treated. Further investigation into the etiopathogenesis, prevention and treatment strategies, and genetic or familial components of this condition is indicated.</w:t>
      </w:r>
    </w:p>
    <w:p/>
    <w:p>
      <w:pPr>
        <w:pStyle w:val="Normal"/>
      </w:pPr>
      <w:r>
        <w:rPr>
          <w:color w:val="323232"/>
        </w:rPr>
        <w:t xml:space="preserve">J Am Vet Med Assoc, 2019 vol. 254 (11) pp. 1329-1334.</w:t>
      </w:r>
    </w:p>
    <w:p>
      <w:r>
        <w:rPr>
          <w:rStyle w:val="Hyperlink"/>
        </w:rPr>
        <w:fldChar w:fldCharType="begin"/>
      </w:r>
      <w:r>
        <w:rPr>
          <w:rStyle w:val="Hyperlink"/>
        </w:rPr>
        <w:instrText xml:space="preserve"> HYPERLINK "http://eutils.ncbi.nlm.nih.gov/entrez/eutils/elink.fcgi?dbfrom=pubmed&amp;id=31067178&amp;retmode=ref&amp;cmd=prlinks"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http://eutils.ncbi.nlm.nih.gov/entrez/eutils/elink.fcgi?dbfrom=pubmed&amp;id=31067178&amp;retmode=ref&amp;cmd=prlinks</w:t>
      </w:r>
      <w:r>
        <w:rPr>
          <w:rStyle w:val="Hyperlink"/>
        </w:rPr>
        <w:fldChar w:fldCharType="end"/>
      </w:r>
    </w:p>
    <w:p>
      <w:pPr>
        <w:pStyle w:val="Normal"/>
      </w:pPr>
      <w:r>
        <w:rPr>
          <w:color w:val="323232"/>
        </w:rPr>
        <w:t xml:space="preserve">————————</w:t>
      </w:r>
    </w:p>
    <w:p>
      <w:pPr>
        <w:pStyle w:val="Heading4"/>
      </w:pPr>
      <w:r>
        <w:t xml:space="preserve">Randomized blinded controlled clinical trial to assess the effect of oral cannabidiol administration in addition to conventional antiepileptic treatment on seizure frequency in dogs with intractable idiopathic epilepsy.</w:t>
      </w:r>
    </w:p>
    <w:p/>
    <w:p>
      <w:pPr>
        <w:pStyle w:val="Normal"/>
      </w:pPr>
      <w:r>
        <w:rPr>
          <w:color w:val="323232"/>
        </w:rPr>
        <w:t xml:space="preserve">Stephanie McGrath, Lisa R Bartner, Sangeeta Rao, Rebecca A Packer, and Daniel L Gustafson.</w:t>
      </w:r>
    </w:p>
    <w:p/>
    <w:p>
      <w:pPr>
        <w:pStyle w:val="Normal"/>
      </w:pPr>
      <w:r>
        <w:rPr>
          <w:color w:val="323232"/>
        </w:rPr>
        <w:t xml:space="preserve">OBJECTIVE:To assess the effect of oral cannabidiol (CBD) administration in addition to conventional antiepileptic treatment on seizure frequency in dogs with idiopathic epilepsy.</w:t>
      </w:r>
    </w:p>
    <w:p/>
    <w:p>
      <w:pPr>
        <w:pStyle w:val="Normal"/>
      </w:pPr>
      <w:r>
        <w:rPr>
          <w:color w:val="323232"/>
        </w:rPr>
        <w:t xml:space="preserve">DESIGN:Randomized blinded controlled clinical trial.</w:t>
      </w:r>
    </w:p>
    <w:p/>
    <w:p>
      <w:pPr>
        <w:pStyle w:val="Normal"/>
      </w:pPr>
      <w:r>
        <w:rPr>
          <w:color w:val="323232"/>
        </w:rPr>
        <w:t xml:space="preserve">ANIMALS:26 client-owned dogs with intractable idiopathic epilepsy.</w:t>
      </w:r>
    </w:p>
    <w:p/>
    <w:p>
      <w:pPr>
        <w:pStyle w:val="Normal"/>
      </w:pPr>
      <w:r>
        <w:rPr>
          <w:color w:val="323232"/>
        </w:rPr>
        <w:t xml:space="preserve">PROCEDURES:Dogs were randomly assigned to a CBD (n = 12) or placebo (14) group. The CBD group received CBD-infused oil (2.5 mg</w:t>
      </w:r>
      <w:r>
        <w:rPr>
          <w:i w:val="1"/>
          <w:color w:val="323232"/>
        </w:rPr>
        <w:t xml:space="preserve">kg [1.1 mg</w:t>
      </w:r>
      <w:r>
        <w:rPr>
          <w:color w:val="323232"/>
        </w:rPr>
        <w:t xml:space="preserve">lb], PO) twice daily for 12 weeks in addition to existing antiepileptic treatments, and the placebo group received noninfused oil under the same conditions. Seizure activity, adverse effects, and plasma CBD concentrations were compared between groups.</w:t>
      </w:r>
    </w:p>
    <w:p/>
    <w:p>
      <w:pPr>
        <w:pStyle w:val="Normal"/>
      </w:pPr>
      <w:r>
        <w:rPr>
          <w:color w:val="323232"/>
        </w:rPr>
        <w:t xml:space="preserve">RESULTS:2 dogs in the CBD group developed ataxia and were withdrawn from the study. After other exclusions, 9 dogs in the CBD group and 7 in the placebo group were included in the analysis. Dogs in the CBD group had a significant (median change, 33%) reduction in seizure frequency, compared with the placebo group. However, the proportion of dogs considered responders to treatment (≥ 50% decrease in seizure activity) was similar between groups. Plasma CBD concentrations were correlated with reduction in seizure frequency. Dogs in the CBD group had a significant increase in serum alkaline phosphatase activity. No adverse behavioral effects were reported by owners.</w:t>
      </w:r>
    </w:p>
    <w:p/>
    <w:p>
      <w:pPr>
        <w:pStyle w:val="Normal"/>
      </w:pPr>
      <w:r>
        <w:rPr>
          <w:color w:val="323232"/>
        </w:rPr>
        <w:t xml:space="preserve">CONCLUSIONS AND CLINICAL RELEVANCE:Although a significant reduction in seizure frequency was achieved for dogs in the CBD group, the proportion of responders was similar between groups. Given the correlation between plasma CBD concentration and seizure frequency, additional research is warranted to determine whether a higher dosage of CBD would be effective in reducing seizure activity by ≥ 50%.</w:t>
      </w:r>
    </w:p>
    <w:p/>
    <w:p>
      <w:pPr>
        <w:pStyle w:val="Normal"/>
      </w:pPr>
      <w:r>
        <w:rPr>
          <w:color w:val="323232"/>
        </w:rPr>
        <w:t xml:space="preserve">J Am Vet Med Assoc, 2019 vol. 254 (11) pp. 1301-1308.</w:t>
      </w:r>
    </w:p>
    <w:p>
      <w:r>
        <w:rPr>
          <w:rStyle w:val="Hyperlink"/>
        </w:rPr>
        <w:fldChar w:fldCharType="begin"/>
      </w:r>
      <w:r>
        <w:rPr>
          <w:rStyle w:val="Hyperlink"/>
        </w:rPr>
        <w:instrText xml:space="preserve"> HYPERLINK "http://eutils.ncbi.nlm.nih.gov/entrez/eutils/elink.fcgi?dbfrom=pubmed&amp;id=31067185&amp;retmode=ref&amp;cmd=prlinks"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http://eutils.ncbi.nlm.nih.gov/entrez/eutils/elink.fcgi?dbfrom=pubmed&amp;id=31067185&amp;retmode=ref&amp;cmd=prlinks</w:t>
      </w:r>
      <w:r>
        <w:rPr>
          <w:rStyle w:val="Hyperlink"/>
        </w:rPr>
        <w:fldChar w:fldCharType="end"/>
      </w:r>
    </w:p>
    <w:p>
      <w:pPr>
        <w:pStyle w:val="Normal"/>
      </w:pPr>
      <w:r>
        <w:rPr>
          <w:color w:val="323232"/>
        </w:rPr>
        <w:t xml:space="preserve">————————</w:t>
      </w:r>
    </w:p>
    <w:p>
      <w:pPr>
        <w:pStyle w:val="Heading4"/>
      </w:pPr>
      <w:r>
        <w:t xml:space="preserve">Analysis of outcomes following treatment of craniodorsal hip luxation with closed reduction and Ehmer sling application in dogs.</w:t>
      </w:r>
    </w:p>
    <w:p/>
    <w:p>
      <w:pPr>
        <w:pStyle w:val="Normal"/>
      </w:pPr>
      <w:r>
        <w:rPr>
          <w:color w:val="323232"/>
        </w:rPr>
        <w:t xml:space="preserve">Ariel N Schlag, Galina M Hayes, A Q Taylor, Sharon C Kerwin, Danielle R Dugat, Molly A Vitt, Deborah T Stratton, and Daniel J Duffy.</w:t>
      </w:r>
    </w:p>
    <w:p/>
    <w:p>
      <w:pPr>
        <w:pStyle w:val="Normal"/>
      </w:pPr>
      <w:r>
        <w:rPr>
          <w:color w:val="323232"/>
        </w:rPr>
        <w:t xml:space="preserve">OBJECTIVE To describe outcomes for dogs after treatment of craniodorsal hip luxation with closed reduction and Ehmer sling placement and investigate potential risk factors for sling-associated tissue injury or reluxation of the affected hip at or near the time of sling removal. DESIGN Retrospective multicenter cohort study. ANIMALS 92 dogs. PROCEDURES Case information was solicited from 10 veterinary medical facilities through electronic communications. Data on patient demographic information, cause of injury, presence of concurrent injuries, details of Ehmer sling placement and management, and outcome at sling removal were collected. Data were analyzed for associations with outcomes. RESULTS 40 of 92 (43.5%) dogs had reluxation of the affected hip joint at or near the time of sling removal. Odds of reluxation occurring for dogs that had the initial injury attributed to trauma were 5 times those for dogs without known trauma (OR, 5.0; 95% confidence interval, 1.3 to 18.7). Forty-six (50%) dogs had soft tissue injuries secondary to sling use; 17 of these dogs had injuries classified as severe, including 1 dog that required limb amputation. Odds of severe sling injury for dogs that had poor owner compliance with home care instructions noted in the record, those that had the sling placed by an intern rather than a board-certified surgeon or resident, and those that were noted to have a soiled or wet bandage on ≥ 1 occasion were 12.5, 4.0, and 5.7 times those for dogs without these findings, respectively. CONCLUSIONS AND CLINICAL RELEVANCE Placement of an Ehmer sling following closed reduction of a craniodorsal hip luxation had a low success rate and high complication rate.</w:t>
      </w:r>
    </w:p>
    <w:p/>
    <w:p>
      <w:pPr>
        <w:pStyle w:val="Normal"/>
      </w:pPr>
      <w:r>
        <w:rPr>
          <w:color w:val="323232"/>
        </w:rPr>
        <w:t xml:space="preserve">J Am Vet Med Assoc, 2019 vol. 254 (12) pp. 1436-1440.</w:t>
      </w:r>
    </w:p>
    <w:p>
      <w:r>
        <w:rPr>
          <w:rStyle w:val="Hyperlink"/>
        </w:rPr>
        <w:fldChar w:fldCharType="begin"/>
      </w:r>
      <w:r>
        <w:rPr>
          <w:rStyle w:val="Hyperlink"/>
        </w:rPr>
        <w:instrText xml:space="preserve"> HYPERLINK "http://eutils.ncbi.nlm.nih.gov/entrez/eutils/elink.fcgi?dbfrom=pubmed&amp;id=31149876&amp;retmode=ref&amp;cmd=prlinks"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http://eutils.ncbi.nlm.nih.gov/entrez/eutils/elink.fcgi?dbfrom=pubmed&amp;id=31149876&amp;retmode=ref&amp;cmd=prlinks</w:t>
      </w:r>
      <w:r>
        <w:rPr>
          <w:rStyle w:val="Hyperlink"/>
        </w:rPr>
        <w:fldChar w:fldCharType="end"/>
      </w:r>
    </w:p>
    <w:p>
      <w:pPr>
        <w:pStyle w:val="Normal"/>
      </w:pPr>
      <w:r>
        <w:rPr>
          <w:color w:val="323232"/>
        </w:rPr>
        <w:t xml:space="preserve">————————</w:t>
      </w:r>
    </w:p>
    <w:p>
      <w:pPr>
        <w:pStyle w:val="Heading4"/>
      </w:pPr>
      <w:r>
        <w:t xml:space="preserve">Recovery characteristics of dogs following anesthesia induced with tiletamine-zolazepam, alfaxalone, ketamine-diazepam, or propofol and maintained with isoflurane.</w:t>
      </w:r>
    </w:p>
    <w:p/>
    <w:p>
      <w:pPr>
        <w:pStyle w:val="Normal"/>
      </w:pPr>
      <w:r>
        <w:rPr>
          <w:color w:val="323232"/>
        </w:rPr>
        <w:t xml:space="preserve">Chiara E Hampton, Thomas W Riebold, and Ronald E Mandsager.</w:t>
      </w:r>
    </w:p>
    <w:p/>
    <w:p>
      <w:pPr>
        <w:pStyle w:val="Normal"/>
      </w:pPr>
      <w:r>
        <w:rPr>
          <w:color w:val="323232"/>
        </w:rPr>
        <w:t xml:space="preserve">OBJECTIVE To compare characteristics of recovery from isoflurane anesthesia in healthy nonpremedicated dogs after anesthetic induction by IV administration of tiletamine-zolazepam with those observed after induction by IV administration of alfaxalone, ketamine-diazepam, or propofol. DESIGN Prospective, randomized crossover study. ANIMALS 6 healthy adult hounds. PROCEDURES Each dog underwent the 4 treatments in random order with a ≥ 7-day washout period between anesthetic episodes. Anesthesia was induced by IV administration of the assigned induction drug or combination (each to effect in 25% increments of calculated dose) and maintained with isoflurane in oxygen for 60 minutes. Cardiorespiratory variables and end-tidal isoflurane concentration (ETISO) were measured just before isoflurane administration was discontinued. Dogs were observed and video recorded during recovery. Recovery characteristics were retrospectively scored from recordings by 3 raters. Interrater and intrarater reliability of scoring was assessed by intraclass correlation coefficient calculation. Linear and mixed ANOVAs were used to compare extubation times, recovery scores, and body temperature among treatments. RESULTS Most cardiorespiratory variables, body temperature, ETISO, and time to extubation did not differ between tiletamine-zolazepam and other induction treatments. Recovery scores were lower (indicating better recovery characteristics) with propofol or alfaxalone than with tiletamine-zolazepam but did not differ between tiletamine-zolazepam and ketamine-diazepam treatments. Anesthetic episode number and ETISO had no effect on extubation time or recovery score. Intrarater and interrater correlations for recovery scores were excellent. CONCLUSIONS AND CLINICAL RELEVANCE Recovery of healthy dogs from anesthesia with isoflurane after induction with tiletamine-zolazepam was uncomplicated and had characteristics comparable to those observed following induction with ketamine-diazepam. However, recovery characteristics were improved when anesthesia was induced with propofol or alfaxalone.</w:t>
      </w:r>
    </w:p>
    <w:p/>
    <w:p>
      <w:pPr>
        <w:pStyle w:val="Normal"/>
      </w:pPr>
      <w:r>
        <w:rPr>
          <w:color w:val="323232"/>
        </w:rPr>
        <w:t xml:space="preserve">J Am Vet Med Assoc, 2019 vol. 254 (12) pp. 1421-1426.</w:t>
      </w:r>
    </w:p>
    <w:p>
      <w:r>
        <w:rPr>
          <w:rStyle w:val="Hyperlink"/>
        </w:rPr>
        <w:fldChar w:fldCharType="begin"/>
      </w:r>
      <w:r>
        <w:rPr>
          <w:rStyle w:val="Hyperlink"/>
        </w:rPr>
        <w:instrText xml:space="preserve"> HYPERLINK "http://eutils.ncbi.nlm.nih.gov/entrez/eutils/elink.fcgi?dbfrom=pubmed&amp;id=31149881&amp;retmode=ref&amp;cmd=prlinks"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http://eutils.ncbi.nlm.nih.gov/entrez/eutils/elink.fcgi?dbfrom=pubmed&amp;id=31149881&amp;retmode=ref&amp;cmd=prlinks</w:t>
      </w:r>
      <w:r>
        <w:rPr>
          <w:rStyle w:val="Hyperlink"/>
        </w:rPr>
        <w:fldChar w:fldCharType="end"/>
      </w:r>
    </w:p>
    <w:p>
      <w:pPr>
        <w:pStyle w:val="Normal"/>
      </w:pPr>
      <w:r>
        <w:rPr>
          <w:color w:val="323232"/>
        </w:rPr>
        <w:t xml:space="preserve">————————</w:t>
      </w:r>
    </w:p>
    <w:p>
      <w:pPr>
        <w:pStyle w:val="Heading4"/>
      </w:pPr>
      <w:r>
        <w:t xml:space="preserve">Evaluation of minimally invasive small intestinal exploration and targeted abdominal organ biopsy with use of a wound retraction device in dogs: 27 cases (2010-2017).</w:t>
      </w:r>
    </w:p>
    <w:p/>
    <w:p>
      <w:pPr>
        <w:pStyle w:val="Normal"/>
      </w:pPr>
      <w:r>
        <w:rPr>
          <w:color w:val="323232"/>
        </w:rPr>
        <w:t xml:space="preserve">Shelly K Shamir, Ameet Singh, Philipp D Mayhew, Jeffrey J Runge, J Brad Case, Michele A Steffey, Ingrid M Balsa, William T N Culp, Michelle A Giuffrida, Jessica J Kilkenny, and Alex Zur Linden.</w:t>
      </w:r>
    </w:p>
    <w:p/>
    <w:p>
      <w:pPr>
        <w:pStyle w:val="Normal"/>
      </w:pPr>
      <w:r>
        <w:rPr>
          <w:color w:val="323232"/>
        </w:rPr>
        <w:t xml:space="preserve">OBJECTIVE:To describe surgical technique, biopsy sample quality, and short-term outcome of minimally invasive small intestinal exploration and targeted abdominal organ biopsy (MISIETB) with use of a wound retraction device (WRD) in dogs.</w:t>
      </w:r>
    </w:p>
    <w:p/>
    <w:p>
      <w:pPr>
        <w:pStyle w:val="Normal"/>
      </w:pPr>
      <w:r>
        <w:rPr>
          <w:color w:val="323232"/>
        </w:rPr>
        <w:t xml:space="preserve">ANIMALS:27 client-owned dogs that underwent MISIETB with a WRD at 1 of 4 academic veterinary hospitals between January 1, 2010, and May 1, 2017.</w:t>
      </w:r>
    </w:p>
    <w:p/>
    <w:p>
      <w:pPr>
        <w:pStyle w:val="Normal"/>
      </w:pPr>
      <w:r>
        <w:rPr>
          <w:color w:val="323232"/>
        </w:rPr>
        <w:t xml:space="preserve">PROCEDURES:Medical records were retrospectively reviewed, and data collected included signalment; medical history; findings from physical, ultrasonographic, laparoscopic, cytologic, and histologic evaluations; surgical indications, procedures, duration, and complications; and short-term (14-day) outcomes. The Shapiro-Wilk test was used to evaluate the normality of continuous variables, and descriptive statistics were calculated for numeric variables.</w:t>
      </w:r>
    </w:p>
    <w:p/>
    <w:p>
      <w:pPr>
        <w:pStyle w:val="Normal"/>
      </w:pPr>
      <w:r>
        <w:rPr>
          <w:color w:val="323232"/>
        </w:rPr>
        <w:t xml:space="preserve">RESULTS:Laparoscopic exploration was performed through a multicannulated single port (n = 18), multiple ports (5), or a single 6-mm cannula (4). Median length of the incision for WRD placement was 4 cm (interquartile [25th to 75th percentile] range, 3 to 6 cm). All biopsy samples obtained had sufficient diagnostic quality. The 2 most common histologic diagnoses were lymphoplasmacytic enteritis (n = 14) and intestinal lymphoma (5). Twenty-five of 27 (93%) dogs survived to hospital discharge, and 3 (12%) dogs had postsurgical abnormalities unrelated to surgical technique.</w:t>
      </w:r>
    </w:p>
    <w:p/>
    <w:p>
      <w:pPr>
        <w:pStyle w:val="Normal"/>
      </w:pPr>
      <w:r>
        <w:rPr>
          <w:color w:val="323232"/>
        </w:rPr>
        <w:t xml:space="preserve">CONCLUSIONS AND CLINICAL RELEVANCE:Results indicated that MISIETB with WRD was an effective method for obtaining diagnostic biopsy samples of the stomach, small intestine, pancreas, liver, and mesenteric lymph nodes in dogs. Prospective comparison between MISIETB with WRD and traditional laparotomy for abdominal organ biopsy in dogs is warranted.</w:t>
      </w:r>
    </w:p>
    <w:p/>
    <w:p>
      <w:pPr>
        <w:pStyle w:val="Normal"/>
      </w:pPr>
      <w:r>
        <w:rPr>
          <w:color w:val="323232"/>
        </w:rPr>
        <w:t xml:space="preserve">J Am Vet Med Assoc, 2019 vol. 255 (1) pp. 78-84.</w:t>
      </w:r>
    </w:p>
    <w:p>
      <w:r>
        <w:rPr>
          <w:rStyle w:val="Hyperlink"/>
        </w:rPr>
        <w:fldChar w:fldCharType="begin"/>
      </w:r>
      <w:r>
        <w:rPr>
          <w:rStyle w:val="Hyperlink"/>
        </w:rPr>
        <w:instrText xml:space="preserve"> HYPERLINK "http://eutils.ncbi.nlm.nih.gov/entrez/eutils/elink.fcgi?dbfrom=pubmed&amp;id=31194657&amp;retmode=ref&amp;cmd=prlinks"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http://eutils.ncbi.nlm.nih.gov/entrez/eutils/elink.fcgi?dbfrom=pubmed&amp;id=31194657&amp;retmode=ref&amp;cmd=prlinks</w:t>
      </w:r>
      <w:r>
        <w:rPr>
          <w:rStyle w:val="Hyperlink"/>
        </w:rPr>
        <w:fldChar w:fldCharType="end"/>
      </w:r>
    </w:p>
    <w:p>
      <w:pPr>
        <w:pStyle w:val="Normal"/>
      </w:pPr>
      <w:r>
        <w:rPr>
          <w:color w:val="323232"/>
        </w:rPr>
        <w:t xml:space="preserve">————————</w:t>
      </w:r>
    </w:p>
    <w:p>
      <w:pPr>
        <w:pStyle w:val="Heading4"/>
      </w:pPr>
      <w:r>
        <w:t xml:space="preserve">Investigation of associations between preoperative acepromazine or dexmedetomidine administration and development of arterial hypotension or bradycardia in dogs undergoing ovariohysterectomy.</w:t>
      </w:r>
    </w:p>
    <w:p/>
    <w:p>
      <w:pPr>
        <w:pStyle w:val="Normal"/>
      </w:pPr>
      <w:r>
        <w:rPr>
          <w:color w:val="323232"/>
        </w:rPr>
        <w:t xml:space="preserve">Manuel Martin-Flores, Monika M Mostowy, Ella Pittman, Daniel M Sakai, Hussni O Mohammed, Robin D Gleed, and Luis Campoy.</w:t>
      </w:r>
    </w:p>
    <w:p/>
    <w:p>
      <w:pPr>
        <w:pStyle w:val="Normal"/>
      </w:pPr>
      <w:r>
        <w:rPr>
          <w:color w:val="323232"/>
        </w:rPr>
        <w:t xml:space="preserve">OBJECTIVE To evaluate potential associations between preanesthetic administration of acepromazine or dexmedetomidine and development of arterial hypotension or bradycardia in isoflurane-anesthetized dogs undergoing ovariohysterectomy. ANIMALS 341 dogs. PROCEDURES Medical records were searched to identify dogs that underwent ovariohysterectomy between January 2009 and December 2010 and received hydromorphone with acepromazine or dexmedetomidine as preanesthetic agents. Demographic data, sedative and anesthetic drugs, duration of anesthesia, average vaporizer setting, positive pressure ventilation, occurrence of hypotension (mean arterial pressure &lt; 60 mm Hg) or bradycardia (&gt; 50% reduction in heart rate, compared with the preanesthetic value), time to first occurrence and duration of hypotension, and treatment with dopamine or anticholinergic agents were recorded. Data were compared between dogs that received acepromazine and dexmedetomidine. Logistic regression was used to investigate associations between the treatments of interest (and other putative risk factors) and development of hypotension or bradycardia. RESULTS For dogs that received acepromazine, the odds of developing hypotension were 2.61 times those for dogs that received dexmedetomidine. Hypotension occurred earlier and lasted longer in dogs that received acepromazine, and this group was treated with dopamine more frequently than the group that received dexmedetomidine. Lower body weight was associated with increased odds of hypotension. Odds of developing bradycardia were greater for dogs sedated with dexmedetomidine (vs acepromazine) and for dogs that underwent anesthetic induction with propofol or a ketamine-benzodiazepine combination (vs thiopental). CONCLUSIONS AND CLINICAL RELEVANCE Anesthetic complications differed between isoflurane-anesthetized dogs undergoing ovariohysterectomy after premedication with acepromazine or dexmedetomidine in this study; future prospective investigations are warranted to investigate these effects in other, less homogenous populations of dogs.</w:t>
      </w:r>
    </w:p>
    <w:p/>
    <w:p>
      <w:pPr>
        <w:pStyle w:val="Normal"/>
      </w:pPr>
      <w:r>
        <w:rPr>
          <w:color w:val="323232"/>
        </w:rPr>
        <w:t xml:space="preserve">J Am Vet Med Assoc, 2019 vol. 255 (2) pp. 193-199.</w:t>
      </w:r>
    </w:p>
    <w:p>
      <w:r>
        <w:rPr>
          <w:rStyle w:val="Hyperlink"/>
        </w:rPr>
        <w:fldChar w:fldCharType="begin"/>
      </w:r>
      <w:r>
        <w:rPr>
          <w:rStyle w:val="Hyperlink"/>
        </w:rPr>
        <w:instrText xml:space="preserve"> HYPERLINK "http://eutils.ncbi.nlm.nih.gov/entrez/eutils/elink.fcgi?dbfrom=pubmed&amp;id=31260409&amp;retmode=ref&amp;cmd=prlinks"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http://eutils.ncbi.nlm.nih.gov/entrez/eutils/elink.fcgi?dbfrom=pubmed&amp;id=31260409&amp;retmode=ref&amp;cmd=prlinks</w:t>
      </w:r>
      <w:r>
        <w:rPr>
          <w:rStyle w:val="Hyperlink"/>
        </w:rPr>
        <w:fldChar w:fldCharType="end"/>
      </w:r>
    </w:p>
    <w:p>
      <w:pPr>
        <w:pStyle w:val="Normal"/>
      </w:pPr>
      <w:r>
        <w:rPr>
          <w:color w:val="323232"/>
        </w:rPr>
        <w:t xml:space="preserve">————————</w:t>
      </w:r>
    </w:p>
    <w:p>
      <w:pPr>
        <w:pStyle w:val="Heading4"/>
      </w:pPr>
      <w:r>
        <w:t xml:space="preserve">Outcomes following balloon dilation for management of urethral obstruction secondary to urothelial carcinoma in dogs: 12 cases (2010-2015).</w:t>
      </w:r>
    </w:p>
    <w:p/>
    <w:p>
      <w:pPr>
        <w:pStyle w:val="Normal"/>
      </w:pPr>
      <w:r>
        <w:rPr>
          <w:color w:val="323232"/>
        </w:rPr>
        <w:t xml:space="preserve">Sangho Kim, Kenji Hosoya, Satoshi Takagi, and Masahiro Okumura.</w:t>
      </w:r>
    </w:p>
    <w:p/>
    <w:p>
      <w:pPr>
        <w:pStyle w:val="Normal"/>
      </w:pPr>
      <w:r>
        <w:rPr>
          <w:color w:val="323232"/>
        </w:rPr>
        <w:t xml:space="preserve">OBJECTIVE:To describe outcomes for dogs that underwent balloon dilation for palliative treatment of urethral obstruction caused by urothelial carcinoma.</w:t>
      </w:r>
    </w:p>
    <w:p/>
    <w:p>
      <w:pPr>
        <w:pStyle w:val="Normal"/>
      </w:pPr>
      <w:r>
        <w:rPr>
          <w:color w:val="323232"/>
        </w:rPr>
        <w:t xml:space="preserve">ANIMALS:12 client-owned dogs.</w:t>
      </w:r>
    </w:p>
    <w:p/>
    <w:p>
      <w:pPr>
        <w:pStyle w:val="Normal"/>
      </w:pPr>
      <w:r>
        <w:rPr>
          <w:color w:val="323232"/>
        </w:rPr>
        <w:t xml:space="preserve">PROCEDURES:Medical records were searched to identify dogs with urothelial (bladder, urethra, or prostate) carcinoma that underwent balloon dilation for treatment of urethral obstruction between April 2010 and December 2015. Information regarding history, signalment, clinical signs, diagnostic imaging findings, balloon dilation technique, clinical outcomes, complications, and additional treatments was obtained by review of medical records.</w:t>
      </w:r>
    </w:p>
    <w:p/>
    <w:p>
      <w:pPr>
        <w:pStyle w:val="Normal"/>
      </w:pPr>
      <w:r>
        <w:rPr>
          <w:color w:val="323232"/>
        </w:rPr>
        <w:t xml:space="preserve">RESULTS:Improvement in clinical signs of urethral obstruction was observed after the initial dilation procedure for 9 of 12 dogs. Urethral obstruction was known to recur in 5 dogs 48 to 296 days after the initial procedure. Three of these dogs underwent a second dilation procedure, with clinical improvement in all 3 dogs for 41 to 70 days. One of 2 dogs that had a third procedure after the second reobstruction had clinical improvement in urinary tract signs until subsequent death from metastatic disease 22 days later. Complications included hematuria, urinary incontinence, and dysuria; these resolved within a few days after treatment.</w:t>
      </w:r>
    </w:p>
    <w:p/>
    <w:p>
      <w:pPr>
        <w:pStyle w:val="Normal"/>
      </w:pPr>
      <w:r>
        <w:rPr>
          <w:color w:val="323232"/>
        </w:rPr>
        <w:t xml:space="preserve">CONCLUSIONS AND CLINICAL RELEVANCE:Urethral balloon dilation was a minimally invasive procedure that provided relief of urethral obstruction from urothelial carcinoma in most dogs of the study population. Prospective studies are needed to identify optimal techniques for balloon dilation in dogs with neoplastic urethral obstructions and to identify patients that are likely to benefit most from the treatment.</w:t>
      </w:r>
    </w:p>
    <w:p/>
    <w:p>
      <w:pPr>
        <w:pStyle w:val="Normal"/>
      </w:pPr>
      <w:r>
        <w:rPr>
          <w:color w:val="323232"/>
        </w:rPr>
        <w:t xml:space="preserve">J Am Vet Med Assoc, 2019 vol. 255 (3) pp. 330-335.</w:t>
      </w:r>
    </w:p>
    <w:p>
      <w:r>
        <w:rPr>
          <w:rStyle w:val="Hyperlink"/>
        </w:rPr>
        <w:fldChar w:fldCharType="begin"/>
      </w:r>
      <w:r>
        <w:rPr>
          <w:rStyle w:val="Hyperlink"/>
        </w:rPr>
        <w:instrText xml:space="preserve"> HYPERLINK "http://eutils.ncbi.nlm.nih.gov/entrez/eutils/elink.fcgi?dbfrom=pubmed&amp;id=31298635&amp;retmode=ref&amp;cmd=prlinks"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http://eutils.ncbi.nlm.nih.gov/entrez/eutils/elink.fcgi?dbfrom=pubmed&amp;id=31298635&amp;retmode=ref&amp;cmd=prlinks</w:t>
      </w:r>
      <w:r>
        <w:rPr>
          <w:rStyle w:val="Hyperlink"/>
        </w:rPr>
        <w:fldChar w:fldCharType="end"/>
      </w:r>
    </w:p>
    <w:p>
      <w:pPr>
        <w:pStyle w:val="Normal"/>
      </w:pPr>
      <w:r>
        <w:rPr>
          <w:color w:val="323232"/>
        </w:rPr>
        <w:t xml:space="preserve">————————</w:t>
      </w:r>
    </w:p>
    <w:p>
      <w:pPr>
        <w:pStyle w:val="Heading4"/>
      </w:pPr>
      <w:r>
        <w:t xml:space="preserve">Investigation of a combination of amiodarone and itraconazole for treatment of American trypanosomiasis (Chagas disease) in dogs.</w:t>
      </w:r>
    </w:p>
    <w:p/>
    <w:p>
      <w:pPr>
        <w:pStyle w:val="Normal"/>
      </w:pPr>
      <w:r>
        <w:rPr>
          <w:color w:val="323232"/>
        </w:rPr>
        <w:t xml:space="preserve">Roy Madigan, Sean Majoy, Kristine Ritter, Juan Luis Concepción, María Elizabeth Márquez, Sasha Caribay Silva, Chih-Ling Zao, Alexandra Pérez Alvarez, Alfonso J Rodriguez-Morales, Adriana C Mogollón-Mendoza, J Scot Estep, Gustavo Benaím, and Alberto E Paniz-Mondolfi.</w:t>
      </w:r>
    </w:p>
    <w:p/>
    <w:p>
      <w:pPr>
        <w:pStyle w:val="Normal"/>
      </w:pPr>
      <w:r>
        <w:rPr>
          <w:color w:val="323232"/>
        </w:rPr>
        <w:t xml:space="preserve">OBJECTIVE:To evaluate clinical, serologic, parasitological, and histologic outcomes of dogs with naturally occurring Trypanosoma cruzi infection treated for 12 months with amiodarone and itraconazole.</w:t>
      </w:r>
    </w:p>
    <w:p/>
    <w:p>
      <w:pPr>
        <w:pStyle w:val="Normal"/>
      </w:pPr>
      <w:r>
        <w:rPr>
          <w:color w:val="323232"/>
        </w:rPr>
        <w:t xml:space="preserve">ANIMALS:121 dogs from southern Texas and southern Louisiana.</w:t>
      </w:r>
    </w:p>
    <w:p/>
    <w:p>
      <w:pPr>
        <w:pStyle w:val="Normal"/>
      </w:pPr>
      <w:r>
        <w:rPr>
          <w:color w:val="323232"/>
        </w:rPr>
        <w:t xml:space="preserve">PROCEDURES:Treatment group dogs (n = 105) received a combination of amiodarone hydrochloride (approx 7.5 mg/ kg [3.4 mg/ lb], PO, q 24 h, with or without a loading dosage protocol) and itraconazole (approx 10 mg/ kg [4.5 mg/ lb], PO, q 24 h, adjusted to maintain a plasma concentration of 1 to 2 μg/mL) for 12 months. Control group dogs (n = 16) received no antitrypanosomal medications. Serologic assays for anti-T cruzi antibodies, PCR assays for T cruzi DNA in blood, and physical evaluations were performed 1, 6, 9, 12, and 24 months after study initiation. Adverse events were recorded. Outcomes of interest were recorded and compared between groups.</w:t>
      </w:r>
    </w:p>
    <w:p/>
    <w:p>
      <w:pPr>
        <w:pStyle w:val="Normal"/>
      </w:pPr>
      <w:r>
        <w:rPr>
          <w:color w:val="323232"/>
        </w:rPr>
        <w:t xml:space="preserve">RESULTS:86 of 105 treatment group dogs and 8 of 16 control group dogs survived and completed the study (5/19 and 6/7 deaths of treatment and control group dogs, respectively, were attributed to T cruzi infection). Mean survival time until death attributed to T cruzi was longer (23.19 vs 15.64 months) for the treatment group. Results of PCR assays were negative for all (n = 92) tested treatment group dogs (except for 1 dog at 1 time point) from 6 to 24 months after study initiation. Clinical improvement in ≥ 1 clinical sign was observed in 53 of 54 and 0 of 10 treatment and control group dogs, respectively; adverse drug events were minor and reversible.</w:t>
      </w:r>
    </w:p>
    <w:p/>
    <w:p>
      <w:pPr>
        <w:pStyle w:val="Normal"/>
      </w:pPr>
      <w:r>
        <w:rPr>
          <w:color w:val="323232"/>
        </w:rPr>
        <w:t xml:space="preserve">CONCLUSIONS AND CLINICAL RELEVANCE:Results suggested efficacy of this trypanocidal drug combination for the treatment of T cruzi infection in dogs.</w:t>
      </w:r>
    </w:p>
    <w:p/>
    <w:p>
      <w:pPr>
        <w:pStyle w:val="Normal"/>
      </w:pPr>
      <w:r>
        <w:rPr>
          <w:color w:val="323232"/>
        </w:rPr>
        <w:t xml:space="preserve">J Am Vet Med Assoc, 2019 vol. 255 (3) pp. 317-329.</w:t>
      </w:r>
    </w:p>
    <w:p>
      <w:r>
        <w:rPr>
          <w:rStyle w:val="Hyperlink"/>
        </w:rPr>
        <w:fldChar w:fldCharType="begin"/>
      </w:r>
      <w:r>
        <w:rPr>
          <w:rStyle w:val="Hyperlink"/>
        </w:rPr>
        <w:instrText xml:space="preserve"> HYPERLINK "http://eutils.ncbi.nlm.nih.gov/entrez/eutils/elink.fcgi?dbfrom=pubmed&amp;id=31298647&amp;retmode=ref&amp;cmd=prlinks"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http://eutils.ncbi.nlm.nih.gov/entrez/eutils/elink.fcgi?dbfrom=pubmed&amp;id=31298647&amp;retmode=ref&amp;cmd=prlinks</w:t>
      </w:r>
      <w:r>
        <w:rPr>
          <w:rStyle w:val="Hyperlink"/>
        </w:rPr>
        <w:fldChar w:fldCharType="end"/>
      </w:r>
    </w:p>
    <w:p>
      <w:pPr>
        <w:pStyle w:val="Normal"/>
      </w:pPr>
      <w:r>
        <w:rPr>
          <w:color w:val="323232"/>
        </w:rPr>
        <w:t xml:space="preserve">————————</w:t>
      </w:r>
    </w:p>
    <w:p>
      <w:pPr>
        <w:pStyle w:val="Heading4"/>
      </w:pPr>
      <w:r>
        <w:t xml:space="preserve">Endoscopic nephrolithotomy for the removal of complicated nephroliths in dogs and cats: 16 kidneys in 12 patients (2005-2017).</w:t>
      </w:r>
    </w:p>
    <w:p/>
    <w:p>
      <w:pPr>
        <w:pStyle w:val="Normal"/>
      </w:pPr>
      <w:r>
        <w:rPr>
          <w:color w:val="323232"/>
        </w:rPr>
        <w:t xml:space="preserve">Brian Petrovsky, Allyson C Berent, Chick W Weisse, Erinne Branter, Demetrius H Bagley, and Kenneth E Lamb.</w:t>
      </w:r>
    </w:p>
    <w:p/>
    <w:p>
      <w:pPr>
        <w:pStyle w:val="Normal"/>
      </w:pPr>
      <w:r>
        <w:rPr>
          <w:color w:val="323232"/>
        </w:rPr>
        <w:t xml:space="preserve">OBJECTIVE:To describe techniques and outcomes for dogs and cats undergoing endoscopic nephrolithotomy (ENL) for the removal of complicated nephroliths.</w:t>
      </w:r>
    </w:p>
    <w:p/>
    <w:p>
      <w:pPr>
        <w:pStyle w:val="Normal"/>
      </w:pPr>
      <w:r>
        <w:rPr>
          <w:color w:val="323232"/>
        </w:rPr>
        <w:t xml:space="preserve">ANIMALS:11 dogs and 1 cat (n = 16 renal units) with complicated nephroliths that underwent ENL via a surgically assisted ENL approach (12 renal units) or a percutaneous nephrolithotomy approach (4 renal units) between December 2005 and June 2017.</w:t>
      </w:r>
    </w:p>
    <w:p/>
    <w:p>
      <w:pPr>
        <w:pStyle w:val="Normal"/>
      </w:pPr>
      <w:r>
        <w:rPr>
          <w:color w:val="323232"/>
        </w:rPr>
        <w:t xml:space="preserve">PROCEDURES:Data were obtained from the medical records regarding preoperative, operative, and postoperative findings. Follow-up information on complications and outcomes was also collected.</w:t>
      </w:r>
    </w:p>
    <w:p/>
    <w:p>
      <w:pPr>
        <w:pStyle w:val="Normal"/>
      </w:pPr>
      <w:r>
        <w:rPr>
          <w:color w:val="323232"/>
        </w:rPr>
        <w:t xml:space="preserve">RESULTS:Indications for nephrolith removal included massive calculi displacing parenchyma (n = 7), recurrent urinary tract infections (5), and ureteral outflow obstruction (4). Median nephrolith diameter was 2.5 cm (range, 0.5 to 5.7 cm). Nephrolith composition differed among patients; calcium oxalate was the most common type (n = 7 [including 2 mixed nephroliths containing ≥ 60% calcium oxalate]). Following ENL (median duration, 180 minutes), 15 of 16 renal units were completely nephrolith free. Procedure-related complications included renal puncture-associated hemorrhage requiring a blood transfusion (n = 1), renal capsule tear (1), and ureteral puncture (1); all were managed without adverse consequence. Five of 12 patients remained alive at the final follow-up (median, 557 days after ENL), and none died from the procedure.</w:t>
      </w:r>
    </w:p>
    <w:p/>
    <w:p>
      <w:pPr>
        <w:pStyle w:val="Normal"/>
      </w:pPr>
      <w:r>
        <w:rPr>
          <w:color w:val="323232"/>
        </w:rPr>
        <w:t xml:space="preserve">CONCLUSIONS AND CLINICAL RELEVANCE:ENL as performed was safe and effective in removing complicated nephroliths in a renal-sparing manner for the patients in this study. This procedure requires technical training and could be considered for the treatment of complicated nephrolithiasis in dogs and possibly cats.</w:t>
      </w:r>
    </w:p>
    <w:p/>
    <w:p>
      <w:pPr>
        <w:pStyle w:val="Normal"/>
      </w:pPr>
      <w:r>
        <w:rPr>
          <w:color w:val="323232"/>
        </w:rPr>
        <w:t xml:space="preserve">J Am Vet Med Assoc, 2019 vol. 255 (3) pp. 352-365.</w:t>
      </w:r>
    </w:p>
    <w:p>
      <w:r>
        <w:rPr>
          <w:rStyle w:val="Hyperlink"/>
        </w:rPr>
        <w:fldChar w:fldCharType="begin"/>
      </w:r>
      <w:r>
        <w:rPr>
          <w:rStyle w:val="Hyperlink"/>
        </w:rPr>
        <w:instrText xml:space="preserve"> HYPERLINK "http://eutils.ncbi.nlm.nih.gov/entrez/eutils/elink.fcgi?dbfrom=pubmed&amp;id=31298636&amp;retmode=ref&amp;cmd=prlinks"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http://eutils.ncbi.nlm.nih.gov/entrez/eutils/elink.fcgi?dbfrom=pubmed&amp;id=31298636&amp;retmode=ref&amp;cmd=prlinks</w:t>
      </w:r>
      <w:r>
        <w:rPr>
          <w:rStyle w:val="Hyperlink"/>
        </w:rPr>
        <w:fldChar w:fldCharType="end"/>
      </w:r>
    </w:p>
    <w:p>
      <w:pPr>
        <w:pStyle w:val="Normal"/>
      </w:pPr>
      <w:r>
        <w:rPr>
          <w:color w:val="323232"/>
        </w:rPr>
        <w:t xml:space="preserve">————————</w:t>
      </w:r>
    </w:p>
    <w:p>
      <w:pPr>
        <w:pStyle w:val="Heading4"/>
      </w:pPr>
      <w:r>
        <w:t xml:space="preserve">Clinical features of precursor-targeted immune-mediated anemia in dogs: 66 cases (2004-2013).</w:t>
      </w:r>
    </w:p>
    <w:p/>
    <w:p>
      <w:pPr>
        <w:pStyle w:val="Normal"/>
      </w:pPr>
      <w:r>
        <w:rPr>
          <w:color w:val="323232"/>
        </w:rPr>
        <w:t xml:space="preserve">Tara D Assenmacher, L Ari Jutkowitz, Amy M Koenigshof, Cynthia de A Lucidi, and Michael A Scott.</w:t>
      </w:r>
    </w:p>
    <w:p/>
    <w:p>
      <w:pPr>
        <w:pStyle w:val="Normal"/>
      </w:pPr>
      <w:r>
        <w:rPr>
          <w:color w:val="323232"/>
        </w:rPr>
        <w:t xml:space="preserve">OBJECTIVE:To characterize the clinical features of dogs with precursor-targeted immune-mediated anemia (PIMA).</w:t>
      </w:r>
    </w:p>
    <w:p/>
    <w:p>
      <w:pPr>
        <w:pStyle w:val="Normal"/>
      </w:pPr>
      <w:r>
        <w:rPr>
          <w:color w:val="323232"/>
        </w:rPr>
        <w:t xml:space="preserve">ANIMALS:66 dogs with PIMA.</w:t>
      </w:r>
    </w:p>
    <w:p/>
    <w:p>
      <w:pPr>
        <w:pStyle w:val="Normal"/>
      </w:pPr>
      <w:r>
        <w:rPr>
          <w:color w:val="323232"/>
        </w:rPr>
        <w:t xml:space="preserve">PROCEDURES:Electronic record databases of a teaching hospital were searched to identify dogs with a diagnosis of nonregenerative anemia between 2004 and 2013. Inclusion criteria included persistent nonregenerative anemia (Hct ≤ 30% and reticulocyte count &lt; 76,000 reticulocytes/ μL), cytologic findings supportive of ineffective bone marrow erythropoiesis, and absence of underlying disease. Information regarding clinical signs, clinicopathologic findings, treatment, and outcome was extracted from records of eligible dogs. A regenerative response was defined as a reticulocyte count &gt; 76,000 reticulocytes/μL or sustained increase in Hct of &gt; 5%. Remission was defined as a stable Hct ≥ 35%.</w:t>
      </w:r>
    </w:p>
    <w:p/>
    <w:p>
      <w:pPr>
        <w:pStyle w:val="Normal"/>
      </w:pPr>
      <w:r>
        <w:rPr>
          <w:color w:val="323232"/>
        </w:rPr>
        <w:t xml:space="preserve">RESULTS:The median Hct was 13%, and reticulocyte count was 17,900 reticulocytes/μL. Rubriphagocytosis was identified in bone marrow aspirate samples from 61 of 66 dogs. Collagen myelofibrosis was detected in bone marrow biopsy specimens obtained from 31 of 63 dogs. Immune-mediated targeting of mature erythrocytes was uncommon. All dogs received immunosuppressive therapy. Fifty-five dogs developed a regenerative response at a median of 29 days, and 40 of those dogs went into remission at a median of 59 days after PIMA diagnosis. Thromboembolic events were confirmed for 9 dogs and were associated with a decreased survival time. Median survival time was 913 days for all dogs.</w:t>
      </w:r>
    </w:p>
    <w:p/>
    <w:p>
      <w:pPr>
        <w:pStyle w:val="Normal"/>
      </w:pPr>
      <w:r>
        <w:rPr>
          <w:color w:val="323232"/>
        </w:rPr>
        <w:t xml:space="preserve">CONCLUSIONS AND CLINICAL RELEVANCE:Results indicated that most dogs with PIMA responded to prolonged immunosuppressive therapy. Studies to determine optimal immunosuppressive and thromboprophylactic protocols for dogs with PIMA are warranted.</w:t>
      </w:r>
    </w:p>
    <w:p/>
    <w:p>
      <w:pPr>
        <w:pStyle w:val="Normal"/>
      </w:pPr>
      <w:r>
        <w:rPr>
          <w:color w:val="323232"/>
        </w:rPr>
        <w:t xml:space="preserve">J Am Vet Med Assoc, 2019 vol. 255 (3) pp. 366-376.</w:t>
      </w:r>
    </w:p>
    <w:p>
      <w:r>
        <w:rPr>
          <w:rStyle w:val="Hyperlink"/>
        </w:rPr>
        <w:fldChar w:fldCharType="begin"/>
      </w:r>
      <w:r>
        <w:rPr>
          <w:rStyle w:val="Hyperlink"/>
        </w:rPr>
        <w:instrText xml:space="preserve"> HYPERLINK "http://eutils.ncbi.nlm.nih.gov/entrez/eutils/elink.fcgi?dbfrom=pubmed&amp;id=31298643&amp;retmode=ref&amp;cmd=prlinks"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http://eutils.ncbi.nlm.nih.gov/entrez/eutils/elink.fcgi?dbfrom=pubmed&amp;id=31298643&amp;retmode=ref&amp;cmd=prlinks</w:t>
      </w:r>
      <w:r>
        <w:rPr>
          <w:rStyle w:val="Hyperlink"/>
        </w:rPr>
        <w:fldChar w:fldCharType="end"/>
      </w:r>
    </w:p>
    <w:p>
      <w:pPr>
        <w:pStyle w:val="Normal"/>
      </w:pPr>
      <w:r>
        <w:rPr>
          <w:color w:val="323232"/>
        </w:rPr>
        <w:t xml:space="preserve">————————</w:t>
      </w:r>
    </w:p>
    <w:p>
      <w:pPr>
        <w:pStyle w:val="Heading4"/>
      </w:pPr>
      <w:r>
        <w:t xml:space="preserve">Efficacy of intravenous administration of apomorphine for removal of gastric foreign material in dogs: 495 cases (2010-2015).</w:t>
      </w:r>
    </w:p>
    <w:p/>
    <w:p>
      <w:pPr>
        <w:pStyle w:val="Normal"/>
      </w:pPr>
      <w:r>
        <w:rPr>
          <w:color w:val="323232"/>
        </w:rPr>
        <w:t xml:space="preserve">Kevin S Kirchofer, Gary Block, and Justine A Johnson.</w:t>
      </w:r>
    </w:p>
    <w:p/>
    <w:p>
      <w:pPr>
        <w:pStyle w:val="Normal"/>
      </w:pPr>
      <w:r>
        <w:rPr>
          <w:color w:val="323232"/>
        </w:rPr>
        <w:t xml:space="preserve">OBJECTIVE:To evaluate the efficacy of IV administration of apomorphine for removal of gastric foreign bodies in dogs.</w:t>
      </w:r>
    </w:p>
    <w:p/>
    <w:p>
      <w:pPr>
        <w:pStyle w:val="Normal"/>
      </w:pPr>
      <w:r>
        <w:rPr>
          <w:color w:val="323232"/>
        </w:rPr>
        <w:t xml:space="preserve">ANIMALS:495 dogs with gastric foreign bodies.</w:t>
      </w:r>
    </w:p>
    <w:p/>
    <w:p>
      <w:pPr>
        <w:pStyle w:val="Normal"/>
      </w:pPr>
      <w:r>
        <w:rPr>
          <w:color w:val="323232"/>
        </w:rPr>
        <w:t xml:space="preserve">PROCEDURES:Records of a veterinary hospital were searched to identify dogs that received an injectable formulation of apomorphine between January 1, 2010, and July 30, 2015. Dogs with a gastric foreign body that received an IV injection of apomorphine were included in the study. Information extracted from the record of each dog included signalment, type of foreign material ingested, duration between foreign material ingestion and emesis, dose and number of doses of apomorphine administered, and whether emesis occurred and did or did not result in successful removal of the foreign body. Descriptive data were compared between dogs with and without successful foreign body removal.</w:t>
      </w:r>
    </w:p>
    <w:p/>
    <w:p>
      <w:pPr>
        <w:pStyle w:val="Normal"/>
      </w:pPr>
      <w:r>
        <w:rPr>
          <w:color w:val="323232"/>
        </w:rPr>
        <w:t xml:space="preserve">RESULTS:Emesis with successful foreign body removal was achieved in 363 and 11 dogs after administration of 1 and 2 doses of apomorphine, respectively. Successful removal was more likely for young dogs and dogs that had ingested fabric, leather, or bathroom waste. Successful removal was less likely as the duration between foreign body ingestion and emesis increased and for dogs that received opioids, sedatives, or antiemetics before apomorphine administration. Minor adverse effects were recorded for only 4 dogs.</w:t>
      </w:r>
    </w:p>
    <w:p/>
    <w:p>
      <w:pPr>
        <w:pStyle w:val="Normal"/>
      </w:pPr>
      <w:r>
        <w:rPr>
          <w:color w:val="323232"/>
        </w:rPr>
        <w:t xml:space="preserve">CONCLUSIONS AND CLINICAL RELEVLANCE:IV administration of apomorphine was a viable alternative for induction of emesis and removal of gastric foreign bodies in dogs. Dogs should be examined as soon as possible after foreign body ingestion and should not receive any medications that might affect apomorphine efficacy.</w:t>
      </w:r>
    </w:p>
    <w:p/>
    <w:p>
      <w:pPr>
        <w:pStyle w:val="Normal"/>
      </w:pPr>
      <w:r>
        <w:rPr>
          <w:color w:val="323232"/>
        </w:rPr>
        <w:t xml:space="preserve">J Am Vet Med Assoc, 2019 vol. 255 (4) pp. 459-465.</w:t>
      </w:r>
    </w:p>
    <w:p>
      <w:r>
        <w:rPr>
          <w:rStyle w:val="Hyperlink"/>
        </w:rPr>
        <w:fldChar w:fldCharType="begin"/>
      </w:r>
      <w:r>
        <w:rPr>
          <w:rStyle w:val="Hyperlink"/>
        </w:rPr>
        <w:instrText xml:space="preserve"> HYPERLINK "http://eutils.ncbi.nlm.nih.gov/entrez/eutils/elink.fcgi?dbfrom=pubmed&amp;id=31355726&amp;retmode=ref&amp;cmd=prlinks"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http://eutils.ncbi.nlm.nih.gov/entrez/eutils/elink.fcgi?dbfrom=pubmed&amp;id=31355726&amp;retmode=ref&amp;cmd=prlinks</w:t>
      </w:r>
      <w:r>
        <w:rPr>
          <w:rStyle w:val="Hyperlink"/>
        </w:rPr>
        <w:fldChar w:fldCharType="end"/>
      </w:r>
    </w:p>
    <w:p>
      <w:pPr>
        <w:pStyle w:val="Normal"/>
      </w:pPr>
      <w:r>
        <w:rPr>
          <w:color w:val="323232"/>
        </w:rPr>
        <w:t xml:space="preserve">————————</w:t>
      </w:r>
    </w:p>
    <w:p>
      <w:pPr>
        <w:pStyle w:val="Heading4"/>
      </w:pPr>
      <w:r>
        <w:t xml:space="preserve">Evaluation of the effectiveness of preoperative administration of maropitant citrate and metoclopramide hydrochloride in preventing postoperative clinical gastroesophageal reflux in dogs.</w:t>
      </w:r>
    </w:p>
    <w:p/>
    <w:p>
      <w:pPr>
        <w:pStyle w:val="Normal"/>
      </w:pPr>
      <w:r>
        <w:rPr>
          <w:color w:val="323232"/>
        </w:rPr>
        <w:t xml:space="preserve">Ciaran T Jones and Boel A Fransson.</w:t>
      </w:r>
    </w:p>
    <w:p/>
    <w:p>
      <w:pPr>
        <w:pStyle w:val="Normal"/>
      </w:pPr>
      <w:r>
        <w:rPr>
          <w:color w:val="323232"/>
        </w:rPr>
        <w:t xml:space="preserve">OBJECTIVE:To investigate the prophylactic effectiveness of preoperative administration of maropitant citrate and metoclopramide hydrochloride in preventing postoperative clinical gastroesophageal reflux (GER) in dogs and to identify risk factors for clinical postoperative GER in dogs.</w:t>
      </w:r>
    </w:p>
    <w:p/>
    <w:p>
      <w:pPr>
        <w:pStyle w:val="Normal"/>
      </w:pPr>
      <w:r>
        <w:rPr>
          <w:color w:val="323232"/>
        </w:rPr>
        <w:t xml:space="preserve">ANIMALS:93 client-owned dogs undergoing surgery at the Washington State University Veterinary Teaching Hospital between March 2016 and February 2017.</w:t>
      </w:r>
    </w:p>
    <w:p/>
    <w:p>
      <w:pPr>
        <w:pStyle w:val="Normal"/>
      </w:pPr>
      <w:r>
        <w:rPr>
          <w:color w:val="323232"/>
        </w:rPr>
        <w:t xml:space="preserve">PROCEDURES:Dogs were randomly assigned to either the intervention group (preoperatively received maropitant and metoclopramide) or the control group (did not preoperatively receive maropitant and metoclopramide). After surgery, all dogs were recovered and monitored, and occurrences of GER were noted. The prophylactic effectiveness of maropitant and metoclopramide was evaluated, and univariate and multivariate logistic regression analyses were performed to identify variables associated with postoperative clinical GER in dogs.</w:t>
      </w:r>
    </w:p>
    <w:p/>
    <w:p>
      <w:pPr>
        <w:pStyle w:val="Normal"/>
      </w:pPr>
      <w:r>
        <w:rPr>
          <w:color w:val="323232"/>
        </w:rPr>
        <w:t xml:space="preserve">RESULTS:No meaningful difference in the incidence of clinical GER during the postoperative period was detected between the control and intervention groups. Results indicated that variables associated with significantly increased odds of postoperative clinical GER included the male sex (OR, 9.2; 95% confidence interval [CI], 1.26 to 195.0), an overweight BCS (OR, 12.3; 95% CI, 2.1 to 135.1), gastrointestinal surgery (OR, 30.5; 95% CI, 3.0 to 786.9), and requirement for a dexmedetomidine constant rate infusion after surgery (OR, 9.6; 95% CI, 1.3 to 212.5).</w:t>
      </w:r>
    </w:p>
    <w:p/>
    <w:p>
      <w:pPr>
        <w:pStyle w:val="Normal"/>
      </w:pPr>
      <w:r>
        <w:rPr>
          <w:color w:val="323232"/>
        </w:rPr>
        <w:t xml:space="preserve">CONCLUSIONS AND CLINICAL RELEVANCE:Findings indicated that incidence of clinical GER during the postoperative period was not lower for dogs that received preoperative prophylactic administration of metoclopramide and maropitant, compared with incidence dogs that did not receive the prophylactic treatment. Further research is required into alternative measures to prevent postoperative clinical GER in dogs.</w:t>
      </w:r>
    </w:p>
    <w:p/>
    <w:p>
      <w:pPr>
        <w:pStyle w:val="Normal"/>
      </w:pPr>
      <w:r>
        <w:rPr>
          <w:color w:val="323232"/>
        </w:rPr>
        <w:t xml:space="preserve">J Am Vet Med Assoc, 2019 vol. 255 (4) pp. 437-445.</w:t>
      </w:r>
    </w:p>
    <w:p>
      <w:r>
        <w:rPr>
          <w:rStyle w:val="Hyperlink"/>
        </w:rPr>
        <w:fldChar w:fldCharType="begin"/>
      </w:r>
      <w:r>
        <w:rPr>
          <w:rStyle w:val="Hyperlink"/>
        </w:rPr>
        <w:instrText xml:space="preserve"> HYPERLINK "http://eutils.ncbi.nlm.nih.gov/entrez/eutils/elink.fcgi?dbfrom=pubmed&amp;id=31355727&amp;retmode=ref&amp;cmd=prlinks"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http://eutils.ncbi.nlm.nih.gov/entrez/eutils/elink.fcgi?dbfrom=pubmed&amp;id=31355727&amp;retmode=ref&amp;cmd=prlinks</w:t>
      </w:r>
      <w:r>
        <w:rPr>
          <w:rStyle w:val="Hyperlink"/>
        </w:rPr>
        <w:fldChar w:fldCharType="end"/>
      </w:r>
    </w:p>
    <w:p>
      <w:pPr>
        <w:pStyle w:val="Normal"/>
      </w:pPr>
      <w:r>
        <w:rPr>
          <w:color w:val="323232"/>
        </w:rPr>
        <w:t xml:space="preserve">————————</w:t>
      </w:r>
    </w:p>
    <w:p>
      <w:pPr>
        <w:pStyle w:val="Heading4"/>
      </w:pPr>
      <w:r>
        <w:t xml:space="preserve">Prevalence of and covariates associated with the oculocardiac reflex occurring in dogs during enucleation.</w:t>
      </w:r>
    </w:p>
    <w:p/>
    <w:p>
      <w:pPr>
        <w:pStyle w:val="Normal"/>
      </w:pPr>
      <w:r>
        <w:rPr>
          <w:color w:val="323232"/>
        </w:rPr>
        <w:t xml:space="preserve">Raphaël Vézina-Audette, Paulo V M Steagall, and Giacomo Gianotti.</w:t>
      </w:r>
    </w:p>
    <w:p/>
    <w:p>
      <w:pPr>
        <w:pStyle w:val="Normal"/>
      </w:pPr>
      <w:r>
        <w:rPr>
          <w:color w:val="323232"/>
        </w:rPr>
        <w:t xml:space="preserve">OBJECTIVE:To determine the prevalence of and covariates associated with the oculocardiac reflex (OCR) occurring in dogs during enucleations.</w:t>
      </w:r>
    </w:p>
    <w:p/>
    <w:p>
      <w:pPr>
        <w:pStyle w:val="Normal"/>
      </w:pPr>
      <w:r>
        <w:rPr>
          <w:color w:val="323232"/>
        </w:rPr>
        <w:t xml:space="preserve">SAMPLE:145 dogs that underwent enucleation at 2 veterinary teaching hospitals between January 2010 and June 2015.</w:t>
      </w:r>
    </w:p>
    <w:p/>
    <w:p>
      <w:pPr>
        <w:pStyle w:val="Normal"/>
      </w:pPr>
      <w:r>
        <w:rPr>
          <w:color w:val="323232"/>
        </w:rPr>
        <w:t xml:space="preserve">PROCEDURES:Information was collected from the medical records of included dogs regarding age and body weight at hospital admission, breed (for classification of brachycephalic status), and whether they had received anticholinergic drugs or a retrobulbar nerve block (RNB) prior to enucleation. An OCR was considered to have occurred if there was a sudden decrease of ≥ 30% in heart rate from the baseline value (mean heart rate prior to the sudden decrease) during surgery in the absence of intraoperative administration of opioids or α2-adrenoceptor agonists. Associations were explored between the collected data and the prevalence of OCR by means of binomial logistic regression.</w:t>
      </w:r>
    </w:p>
    <w:p/>
    <w:p>
      <w:pPr>
        <w:pStyle w:val="Normal"/>
      </w:pPr>
      <w:r>
        <w:rPr>
          <w:color w:val="323232"/>
        </w:rPr>
        <w:t xml:space="preserve">RESULTS:4.8% (7/145) of dogs had an OCR noted during enucleation. Dogs that received a preoperative RNB (n = 82) had significantly lower odds of an OCR being observed than dogs that received no preoperative RNB (OR, 0.12). No association with OCR was identified for age or brachycephalic conformation or for preoperative administration of anticholinergic drugs.</w:t>
      </w:r>
    </w:p>
    <w:p/>
    <w:p>
      <w:pPr>
        <w:pStyle w:val="Normal"/>
      </w:pPr>
      <w:r>
        <w:rPr>
          <w:color w:val="323232"/>
        </w:rPr>
        <w:t xml:space="preserve">CONCLUSIONS AND CLINICAL RELEVANCE:These findings suggested that preoperative administration of an RNB, but not preoperative administration of anticholinergic drugs, was associated with a lower prevalence of OCR in dogs during enucleations.</w:t>
      </w:r>
    </w:p>
    <w:p/>
    <w:p>
      <w:pPr>
        <w:pStyle w:val="Normal"/>
      </w:pPr>
      <w:r>
        <w:rPr>
          <w:color w:val="323232"/>
        </w:rPr>
        <w:t xml:space="preserve">J Am Vet Med Assoc, 2019 vol. 255 (4) pp. 454-458.</w:t>
      </w:r>
    </w:p>
    <w:p>
      <w:r>
        <w:rPr>
          <w:rStyle w:val="Hyperlink"/>
        </w:rPr>
        <w:fldChar w:fldCharType="begin"/>
      </w:r>
      <w:r>
        <w:rPr>
          <w:rStyle w:val="Hyperlink"/>
        </w:rPr>
        <w:instrText xml:space="preserve"> HYPERLINK "http://eutils.ncbi.nlm.nih.gov/entrez/eutils/elink.fcgi?dbfrom=pubmed&amp;id=31355722&amp;retmode=ref&amp;cmd=prlinks"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http://eutils.ncbi.nlm.nih.gov/entrez/eutils/elink.fcgi?dbfrom=pubmed&amp;id=31355722&amp;retmode=ref&amp;cmd=prlinks</w:t>
      </w:r>
      <w:r>
        <w:rPr>
          <w:rStyle w:val="Hyperlink"/>
        </w:rPr>
        <w:fldChar w:fldCharType="end"/>
      </w:r>
    </w:p>
    <w:p>
      <w:pPr>
        <w:pStyle w:val="Normal"/>
      </w:pPr>
      <w:r>
        <w:rPr>
          <w:color w:val="323232"/>
        </w:rPr>
        <w:t xml:space="preserve">————————</w:t>
      </w:r>
    </w:p>
    <w:p>
      <w:pPr>
        <w:pStyle w:val="Heading4"/>
      </w:pPr>
      <w:r>
        <w:t xml:space="preserve">Factors associated with dehiscence and mortality rates following gastrointestinal surgery in dogs.</w:t>
      </w:r>
    </w:p>
    <w:p/>
    <w:p>
      <w:pPr>
        <w:pStyle w:val="Normal"/>
      </w:pPr>
      <w:r>
        <w:rPr>
          <w:color w:val="323232"/>
        </w:rPr>
        <w:t xml:space="preserve">Sukhjit S Gill, Nicole J Buote, Nathan W Peterson, and Philip J Bergman.</w:t>
      </w:r>
    </w:p>
    <w:p/>
    <w:p>
      <w:pPr>
        <w:pStyle w:val="Normal"/>
      </w:pPr>
      <w:r>
        <w:rPr>
          <w:color w:val="323232"/>
        </w:rPr>
        <w:t xml:space="preserve">OBJECTIVE:To identify factors associated with dehiscence and mortality rates following gastrointestinal surgery in dogs.</w:t>
      </w:r>
    </w:p>
    <w:p/>
    <w:p>
      <w:pPr>
        <w:pStyle w:val="Normal"/>
      </w:pPr>
      <w:r>
        <w:rPr>
          <w:color w:val="323232"/>
        </w:rPr>
        <w:t xml:space="preserve">ANIMALS:170 client-owned dogs that underwent gastrointestinal surgery from 2010 to 2016.</w:t>
      </w:r>
    </w:p>
    <w:p/>
    <w:p>
      <w:pPr>
        <w:pStyle w:val="Normal"/>
      </w:pPr>
      <w:r>
        <w:rPr>
          <w:color w:val="323232"/>
        </w:rPr>
        <w:t xml:space="preserve">PROCEDURES:Medical records of all included dogs were reviewed to collect information on preoperative (breed, sex, age, body weight, American Society of Anesthesiologists [ASA] physical status classification, emergency status, and plasma lactate concentration), intraoperative (indication for surgery, type of surgery, and whether bacterial peritonitis was identified), and postoperative (development of dehiscence and survival status at 2 weeks after surgery) factors. Preoperative and intraoperative factors were evaluated for associations among each other and with postoperative factors.</w:t>
      </w:r>
    </w:p>
    <w:p/>
    <w:p>
      <w:pPr>
        <w:pStyle w:val="Normal"/>
      </w:pPr>
      <w:r>
        <w:rPr>
          <w:color w:val="323232"/>
        </w:rPr>
        <w:t xml:space="preserve">RESULTS:Univariate analyses revealed that preoperative plasma lactate concentration increased with increasing ASA status, and lactate concentrations were significantly higher for nonsurvivors (mean ± SD, 4.6 ± 3.7 mmol/ L) than for survivors (2.4 ± 1.7 mmol/ L). Multivariate analysis controlling for age, body weight, and plasma lactate concentration revealed that dogs with an ASA status ≥ 3 were more likely to develop dehiscence after gastrointestinal surgery than were dogs with a lower ASA status (OR, 17.77; 95% confidence interval, 2.17 to 144.06). Multivariate analysis also revealed that dogs with an ASA status ≥ 3 or high lactate concentration were less likely to survive than were other dogs.</w:t>
      </w:r>
    </w:p>
    <w:p/>
    <w:p>
      <w:pPr>
        <w:pStyle w:val="Normal"/>
      </w:pPr>
      <w:r>
        <w:rPr>
          <w:color w:val="323232"/>
        </w:rPr>
        <w:t xml:space="preserve">CONCLUSIONS AND CLINICAL RELEVANCE:These findings regarding ASA status and preoperative plasma lactate concentration and their associations with outcome may help clinicians to determine and provide optimal perioperative care to dogs requiring gastrointestinal surgery as well as to inform owners about prognosis.</w:t>
      </w:r>
    </w:p>
    <w:p/>
    <w:p>
      <w:pPr>
        <w:pStyle w:val="Normal"/>
      </w:pPr>
      <w:r>
        <w:rPr>
          <w:color w:val="323232"/>
        </w:rPr>
        <w:t xml:space="preserve">J Am Vet Med Assoc, 2019 vol. 255 (5) pp. 569-573.</w:t>
      </w:r>
    </w:p>
    <w:p>
      <w:r>
        <w:rPr>
          <w:rStyle w:val="Hyperlink"/>
        </w:rPr>
        <w:fldChar w:fldCharType="begin"/>
      </w:r>
      <w:r>
        <w:rPr>
          <w:rStyle w:val="Hyperlink"/>
        </w:rPr>
        <w:instrText xml:space="preserve"> HYPERLINK "http://eutils.ncbi.nlm.nih.gov/entrez/eutils/elink.fcgi?dbfrom=pubmed&amp;id=31429652&amp;retmode=ref&amp;cmd=prlinks"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http://eutils.ncbi.nlm.nih.gov/entrez/eutils/elink.fcgi?dbfrom=pubmed&amp;id=31429652&amp;retmode=ref&amp;cmd=prlinks</w:t>
      </w:r>
      <w:r>
        <w:rPr>
          <w:rStyle w:val="Hyperlink"/>
        </w:rPr>
        <w:fldChar w:fldCharType="end"/>
      </w:r>
    </w:p>
    <w:p>
      <w:pPr>
        <w:pStyle w:val="Normal"/>
      </w:pPr>
      <w:r>
        <w:rPr>
          <w:color w:val="323232"/>
        </w:rPr>
        <w:t xml:space="preserve">————————</w:t>
      </w:r>
    </w:p>
    <w:p>
      <w:pPr>
        <w:pStyle w:val="Heading4"/>
      </w:pPr>
      <w:r>
        <w:t xml:space="preserve">Intestinal incisional dehiscence rate following enterotomy for foreign body removal in 247 dogs.</w:t>
      </w:r>
    </w:p>
    <w:p/>
    <w:p>
      <w:pPr>
        <w:pStyle w:val="Normal"/>
      </w:pPr>
      <w:r>
        <w:rPr>
          <w:color w:val="323232"/>
        </w:rPr>
        <w:t xml:space="preserve">Alena Strelchik, Michelle C Coleman, Valery F Scharf, Regan M Stoneburner, and Kelley M Thieman Mankin.</w:t>
      </w:r>
    </w:p>
    <w:p/>
    <w:p>
      <w:pPr>
        <w:pStyle w:val="Normal"/>
      </w:pPr>
      <w:r>
        <w:rPr>
          <w:color w:val="323232"/>
        </w:rPr>
        <w:t xml:space="preserve">OBJECTIVE:To report the intestinal incisional dehiscence rate following enterotomy for foreign body removal in dogs.</w:t>
      </w:r>
    </w:p>
    <w:p/>
    <w:p>
      <w:pPr>
        <w:pStyle w:val="Normal"/>
      </w:pPr>
      <w:r>
        <w:rPr>
          <w:color w:val="323232"/>
        </w:rPr>
        <w:t xml:space="preserve">ANIMALS:247 client-owned dogs with intestinal foreign bodies treated with enterotomy between November 2001 and September 2017.</w:t>
      </w:r>
    </w:p>
    <w:p/>
    <w:p>
      <w:pPr>
        <w:pStyle w:val="Normal"/>
      </w:pPr>
      <w:r>
        <w:rPr>
          <w:color w:val="323232"/>
        </w:rPr>
        <w:t xml:space="preserve">PROCEDURES:Medical records were reviewed, and data were collected regarding signalment, history, surgery, clinicopathologic findings, hospitalization, intestinal incisional dehiscence, and survival to hospital discharge. Dogs were grouped according to whether intestinal incisional dehiscence occurred (dehiscence group) or did not occur (nondehiscence group) following enterotomy, and the rate of dehiscence for the total number of enterotomies during the study period was calculated. Univariable analysis was performed to identify variables associated with intestinal incisional dehiscence.</w:t>
      </w:r>
    </w:p>
    <w:p/>
    <w:p>
      <w:pPr>
        <w:pStyle w:val="Normal"/>
      </w:pPr>
      <w:r>
        <w:rPr>
          <w:color w:val="323232"/>
        </w:rPr>
        <w:t xml:space="preserve">RESULTS:8 of the 247 (3.2%) dogs had preoperative septic peritonitis, and all 8 dogs survived to hospital discharge. Incisional dehiscence occurred following 5 of the 247 (2.0%) enterotomies, and only 2 dogs in the dehiscence group did not survive to hospital discharge. Duration of hospitalization was longer for dogs in the dehiscence group than for dogs in the nondehiscence group.</w:t>
      </w:r>
    </w:p>
    <w:p/>
    <w:p>
      <w:pPr>
        <w:pStyle w:val="Normal"/>
      </w:pPr>
      <w:r>
        <w:rPr>
          <w:color w:val="323232"/>
        </w:rPr>
        <w:t xml:space="preserve">CONCLUSIONS AND CLINICAL RELEVANCE:Results indicated that enterotomy for intestinal foreign body removal had a lower rate of dehiscence in dogs during the study period, compared with rates previously reported; however, the low rate should not be used as a reason to perform an enterotomy rather than an enterectomy when needed. Surgeons should thoroughly evaluate the bowel and perform an enterotomy only when indicated.</w:t>
      </w:r>
    </w:p>
    <w:p/>
    <w:p>
      <w:pPr>
        <w:pStyle w:val="Normal"/>
      </w:pPr>
      <w:r>
        <w:rPr>
          <w:color w:val="323232"/>
        </w:rPr>
        <w:t xml:space="preserve">J Am Vet Med Assoc, 2019 vol. 255 (6) pp. 695-699.</w:t>
      </w:r>
    </w:p>
    <w:p>
      <w:r>
        <w:rPr>
          <w:rStyle w:val="Hyperlink"/>
        </w:rPr>
        <w:fldChar w:fldCharType="begin"/>
      </w:r>
      <w:r>
        <w:rPr>
          <w:rStyle w:val="Hyperlink"/>
        </w:rPr>
        <w:instrText xml:space="preserve"> HYPERLINK "http://eutils.ncbi.nlm.nih.gov/entrez/eutils/elink.fcgi?dbfrom=pubmed&amp;id=31478820&amp;retmode=ref&amp;cmd=prlinks"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http://eutils.ncbi.nlm.nih.gov/entrez/eutils/elink.fcgi?dbfrom=pubmed&amp;id=31478820&amp;retmode=ref&amp;cmd=prlinks</w:t>
      </w:r>
      <w:r>
        <w:rPr>
          <w:rStyle w:val="Hyperlink"/>
        </w:rPr>
        <w:fldChar w:fldCharType="end"/>
      </w:r>
    </w:p>
    <w:p>
      <w:pPr>
        <w:pStyle w:val="Normal"/>
      </w:pPr>
      <w:r>
        <w:rPr>
          <w:color w:val="323232"/>
        </w:rPr>
        <w:t xml:space="preserve">————————</w:t>
      </w:r>
    </w:p>
    <w:p>
      <w:pPr>
        <w:pStyle w:val="Heading4"/>
      </w:pPr>
      <w:r>
        <w:t xml:space="preserve">Assessment of the clinical accuracy of serum and saliva assays for identification of adverse food reaction in dogs without clinical signs of disease.</w:t>
      </w:r>
    </w:p>
    <w:p/>
    <w:p>
      <w:pPr>
        <w:pStyle w:val="Normal"/>
      </w:pPr>
      <w:r>
        <w:rPr>
          <w:color w:val="323232"/>
        </w:rPr>
        <w:t xml:space="preserve">Andrea T H Lam, Lily N Johnson, and Cailin R Heinze.</w:t>
      </w:r>
    </w:p>
    <w:p/>
    <w:p>
      <w:pPr>
        <w:pStyle w:val="Normal"/>
      </w:pPr>
      <w:r>
        <w:rPr>
          <w:color w:val="323232"/>
        </w:rPr>
        <w:t xml:space="preserve">OBJECTIVE:To assess the clinical accuracy of 2 serum-based assays and 1 saliva-based assay for detection of adverse food reaction (AFR) in dogs without clinical signs of disease.</w:t>
      </w:r>
    </w:p>
    <w:p/>
    <w:p>
      <w:pPr>
        <w:pStyle w:val="Normal"/>
      </w:pPr>
      <w:r>
        <w:rPr>
          <w:color w:val="323232"/>
        </w:rPr>
        <w:t xml:space="preserve">ANIMALS:30 healthy client-owned dogs.</w:t>
      </w:r>
    </w:p>
    <w:p/>
    <w:p>
      <w:pPr>
        <w:pStyle w:val="Normal"/>
      </w:pPr>
      <w:r>
        <w:rPr>
          <w:color w:val="323232"/>
        </w:rPr>
        <w:t xml:space="preserve">PROCEDURES:Dog owners completed an online survey to collect comprehensive information about their pets' diet history. From each dog, serum and saliva samples were obtained and submitted for AFR testing by means of 3 assays that assessed the immunoglobulin response to 24 foods. Assays A and B measured food allergen-specific IgE concentrations in serum, whereas assay C measured food allergen-specific IgA and IgM concentrations in saliva. Descriptive data were generated, and Fisher exact tests were used to assess the respective associations between positive test results and specific food ingredients to which dogs were exposed.</w:t>
      </w:r>
    </w:p>
    <w:p/>
    <w:p>
      <w:pPr>
        <w:pStyle w:val="Normal"/>
      </w:pPr>
      <w:r>
        <w:rPr>
          <w:color w:val="323232"/>
        </w:rPr>
        <w:t xml:space="preserve">RESULTS:Assays A, B, and C yielded positive results for 26, 18, and 30 dogs, respectively. All dogs had positive results for at least 1 assay. The median (range) number of foods or ingredients to which dogs tested positive was 10.5 (0 to 24) for assay A, 1 (0 to 13) for assay B, and 12.5 (4 to 22; IgM) and 3 (0 to 24; IgA) for assay C. Positive test results were not significantly associated with prior food exposure.</w:t>
      </w:r>
    </w:p>
    <w:p/>
    <w:p>
      <w:pPr>
        <w:pStyle w:val="Normal"/>
      </w:pPr>
      <w:r>
        <w:rPr>
          <w:color w:val="323232"/>
        </w:rPr>
        <w:t xml:space="preserve">CONCLUSIONS AND CLINICAL RELEVANCE:Saliva and serum assays for AFR often yielded positive results for apparently healthy dogs and are not recommended for clinical use. Elimination diet trials remain the gold standard for diagnosis of AFR in dogs.</w:t>
      </w:r>
    </w:p>
    <w:p/>
    <w:p>
      <w:pPr>
        <w:pStyle w:val="Normal"/>
      </w:pPr>
      <w:r>
        <w:rPr>
          <w:color w:val="323232"/>
        </w:rPr>
        <w:t xml:space="preserve">J Am Vet Med Assoc, 2019 vol. 255 (7) pp. 812-816.</w:t>
      </w:r>
    </w:p>
    <w:p>
      <w:r>
        <w:rPr>
          <w:rStyle w:val="Hyperlink"/>
        </w:rPr>
        <w:fldChar w:fldCharType="begin"/>
      </w:r>
      <w:r>
        <w:rPr>
          <w:rStyle w:val="Hyperlink"/>
        </w:rPr>
        <w:instrText xml:space="preserve"> HYPERLINK "http://eutils.ncbi.nlm.nih.gov/entrez/eutils/elink.fcgi?dbfrom=pubmed&amp;id=31517577&amp;retmode=ref&amp;cmd=prlinks"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http://eutils.ncbi.nlm.nih.gov/entrez/eutils/elink.fcgi?dbfrom=pubmed&amp;id=31517577&amp;retmode=ref&amp;cmd=prlinks</w:t>
      </w:r>
      <w:r>
        <w:rPr>
          <w:rStyle w:val="Hyperlink"/>
        </w:rPr>
        <w:fldChar w:fldCharType="end"/>
      </w:r>
    </w:p>
    <w:p>
      <w:pPr>
        <w:pStyle w:val="Normal"/>
      </w:pPr>
      <w:r>
        <w:rPr>
          <w:color w:val="323232"/>
        </w:rPr>
        <w:t xml:space="preserve">————————</w:t>
      </w:r>
    </w:p>
    <w:p>
      <w:pPr>
        <w:pStyle w:val="Heading4"/>
      </w:pPr>
      <w:r>
        <w:t xml:space="preserve">Comparison of complications and outcome following unilateral, staged bilateral, and single-stage bilateral ventral bulla osteotomy in cats.</w:t>
      </w:r>
    </w:p>
    <w:p/>
    <w:p>
      <w:pPr>
        <w:pStyle w:val="Normal"/>
      </w:pPr>
      <w:r>
        <w:rPr>
          <w:color w:val="323232"/>
        </w:rPr>
        <w:t xml:space="preserve">Shannon H Wainberg, Laura E Selmic, Annika N Haagsman, Stan Veytsman, Karl C Maritato, Brian J Trumpatori, Allison B Putterman, Michelle L Oblak, Joshua S Montel, Larie Allen, Antoine Dunié-Mérigot, Michael B Mison, Julia P Sumner, Ronan A Mullins, Sarah Malek, Malgorzata M J Bielecki, Leslie E Fox, Claire Legallet, and Julius M Liptak.</w:t>
      </w:r>
    </w:p>
    <w:p/>
    <w:p>
      <w:pPr>
        <w:pStyle w:val="Normal"/>
      </w:pPr>
      <w:r>
        <w:rPr>
          <w:color w:val="323232"/>
        </w:rPr>
        <w:t xml:space="preserve">OBJECTIVE:To compare complications and outcome following unilateral, staged bilateral, and single-stage bilateral ventral bulla osteotomy (VBO) in cats.</w:t>
      </w:r>
    </w:p>
    <w:p/>
    <w:p>
      <w:pPr>
        <w:pStyle w:val="Normal"/>
      </w:pPr>
      <w:r>
        <w:rPr>
          <w:color w:val="323232"/>
        </w:rPr>
        <w:t xml:space="preserve">ANIMALS:282 client-owned cats treated by VBO at 25 veterinary referral and academic hospitals from 2005 through 2016.</w:t>
      </w:r>
    </w:p>
    <w:p/>
    <w:p>
      <w:pPr>
        <w:pStyle w:val="Normal"/>
      </w:pPr>
      <w:r>
        <w:rPr>
          <w:color w:val="323232"/>
        </w:rPr>
        <w:t xml:space="preserve">PROCEDURES:Medical records of cats were reviewed to collect information on signalment, clinical signs, diagnostic test results, surgical and postoperative management details, complications (anesthetic, surgical, and postoperative), and outcome. Associations were evaluated among selected variables.</w:t>
      </w:r>
    </w:p>
    <w:p/>
    <w:p>
      <w:pPr>
        <w:pStyle w:val="Normal"/>
      </w:pPr>
      <w:r>
        <w:rPr>
          <w:color w:val="323232"/>
        </w:rPr>
        <w:t xml:space="preserve">RESULTS:Unilateral, staged bilateral, and single-stage bilateral VBO was performed in 211, 7, and 64 cats, respectively, representing 289 separate procedures. Eighteen (9%), 2 (29%), and 30 (47%) of these cats, respectively, had postoperative respiratory complications. Cats treated with single-stage bilateral VBO were significantly more likely to have severe respiratory complications and surgery-related death than cats treated with other VBO procedures. Overall, 68.2% (n = 197) of the 289 procedures were associated with Horner syndrome (19.4% permanently), 30.1% (87) with head tilt (22.1% permanently), 13.5% (39) with facial nerve paralysis (8.0% permanently), and 6.2% (18) with local disease recurrence. Cats with (vs without) Horner syndrome, head tilt, and facial nerve paralysis before VBO had 2.6, 3.3, and 5.6 times the odds, respectively, of having these conditions permanently.</w:t>
      </w:r>
    </w:p>
    <w:p/>
    <w:p>
      <w:pPr>
        <w:pStyle w:val="Normal"/>
      </w:pPr>
      <w:r>
        <w:rPr>
          <w:color w:val="323232"/>
        </w:rPr>
        <w:t xml:space="preserve">CONCLUSIONS AND CLINICAL RELEVANCE:Findings suggested that staged bilateral VBO should be recommended over single-stage bilateral VBO for cats with bilateral middle ear disease. Cats with Horner syndrome, head tilt, and facial nerve paralysis before surgery were more likely to have these conditions permanently following surgery than were cats without these conditions.</w:t>
      </w:r>
    </w:p>
    <w:p/>
    <w:p>
      <w:pPr>
        <w:pStyle w:val="Normal"/>
      </w:pPr>
      <w:r>
        <w:rPr>
          <w:color w:val="323232"/>
        </w:rPr>
        <w:t xml:space="preserve">J Am Vet Med Assoc, 2019 vol. 255 (7) pp. 828-836.</w:t>
      </w:r>
    </w:p>
    <w:p>
      <w:r>
        <w:rPr>
          <w:rStyle w:val="Hyperlink"/>
        </w:rPr>
        <w:fldChar w:fldCharType="begin"/>
      </w:r>
      <w:r>
        <w:rPr>
          <w:rStyle w:val="Hyperlink"/>
        </w:rPr>
        <w:instrText xml:space="preserve"> HYPERLINK "http://eutils.ncbi.nlm.nih.gov/entrez/eutils/elink.fcgi?dbfrom=pubmed&amp;id=31517583&amp;retmode=ref&amp;cmd=prlinks"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http://eutils.ncbi.nlm.nih.gov/entrez/eutils/elink.fcgi?dbfrom=pubmed&amp;id=31517583&amp;retmode=ref&amp;cmd=prlinks</w:t>
      </w:r>
      <w:r>
        <w:rPr>
          <w:rStyle w:val="Hyperlink"/>
        </w:rPr>
        <w:fldChar w:fldCharType="end"/>
      </w:r>
    </w:p>
    <w:p>
      <w:pPr>
        <w:pStyle w:val="Normal"/>
      </w:pPr>
      <w:r>
        <w:rPr>
          <w:color w:val="323232"/>
        </w:rPr>
        <w:t xml:space="preserve">————————</w:t>
      </w:r>
    </w:p>
    <w:p>
      <w:pPr>
        <w:pStyle w:val="Heading4"/>
      </w:pPr>
      <w:r>
        <w:t xml:space="preserve">Computed tomographic-derived measurements of shunt fraction and hepatic perfusion in dogs with a single extrahepatic portosystemic shunt in a clinical setting.</w:t>
      </w:r>
    </w:p>
    <w:p/>
    <w:p>
      <w:pPr>
        <w:pStyle w:val="Normal"/>
      </w:pPr>
      <w:r>
        <w:rPr>
          <w:color w:val="323232"/>
        </w:rPr>
        <w:t xml:space="preserve">Takao Amaha, Chieko Ishikawa, Kumiko Ishigaki, Hiro Horikirizono, Keigo Iizuka, Takahiro Nagumo, Kei Tamura, Mamiko Seki, Kazuya Edamura, and Kazushi Asano.</w:t>
      </w:r>
    </w:p>
    <w:p/>
    <w:p>
      <w:pPr>
        <w:pStyle w:val="Normal"/>
      </w:pPr>
      <w:r>
        <w:rPr>
          <w:color w:val="323232"/>
        </w:rPr>
        <w:t xml:space="preserve">OBJECTIVE:To evaluate the clinical feasibility and usefulness of measuring shunt fraction (SF) and hepatic perfusion with CT in dogs with a single extrahepatic portosystemic shunt (EPSS).</w:t>
      </w:r>
    </w:p>
    <w:p/>
    <w:p>
      <w:pPr>
        <w:pStyle w:val="Normal"/>
      </w:pPr>
      <w:r>
        <w:rPr>
          <w:color w:val="323232"/>
        </w:rPr>
        <w:t xml:space="preserve">ANIMALS:36 client-owned dogs with EPSS.</w:t>
      </w:r>
    </w:p>
    <w:p/>
    <w:p>
      <w:pPr>
        <w:pStyle w:val="Normal"/>
      </w:pPr>
      <w:r>
        <w:rPr>
          <w:color w:val="323232"/>
        </w:rPr>
        <w:t xml:space="preserve">PROCEDURES:Dogs with EPSS referred for treatment between February 2016 and May 2017 were eligible for the clinical trial. Shunt type, SF, and hepatic perfusion were determined in each dog with a 320-row multidetector CT scanner, and surgical treatment was performed by a single veterinary surgeon. Differences in results between dogs grouped according to age (&lt; 3 years vs ≥ 3 years), shunt type, and subgroups (eg, clinical signs and surgical procedure) were analyzed, and correlations between the SF and hepatic perfusion variables were evaluated.</w:t>
      </w:r>
    </w:p>
    <w:p/>
    <w:p>
      <w:pPr>
        <w:pStyle w:val="Normal"/>
      </w:pPr>
      <w:r>
        <w:rPr>
          <w:color w:val="323232"/>
        </w:rPr>
        <w:t xml:space="preserve">RESULTS:The median SF was higher in dogs &lt; 3 years old (74.6%; n = 18) versus dogs ≥ 3 years old (35.1%; 18). Correlations were identified between SF and hepatic perfusion variables, and differences in results for SF and hepatic perfusion variables were detected between dogs grouped according to shunt type.</w:t>
      </w:r>
    </w:p>
    <w:p/>
    <w:p>
      <w:pPr>
        <w:pStyle w:val="Normal"/>
      </w:pPr>
      <w:r>
        <w:rPr>
          <w:color w:val="323232"/>
        </w:rPr>
        <w:t xml:space="preserve">CONCLUSIONS AND CLINICAL RELEVANCE:Results indicated that CT-derived measurements of SF and hepatic perfusion variables in dogs with EPSS were feasible and could be useful (eg, estimating EPSS condition status and planning treatment) in clinical settings. In addition, our findings suggested that perfusion CT could be useful for distinguishing hemodynamic characteristics among different types of portosystemic shunts in dogs.</w:t>
      </w:r>
    </w:p>
    <w:p/>
    <w:p>
      <w:pPr>
        <w:pStyle w:val="Normal"/>
      </w:pPr>
      <w:r>
        <w:rPr>
          <w:color w:val="323232"/>
        </w:rPr>
        <w:t xml:space="preserve">J Am Vet Med Assoc, 2019 vol. 255 (7) pp. 821-827.</w:t>
      </w:r>
    </w:p>
    <w:p>
      <w:r>
        <w:rPr>
          <w:rStyle w:val="Hyperlink"/>
        </w:rPr>
        <w:fldChar w:fldCharType="begin"/>
      </w:r>
      <w:r>
        <w:rPr>
          <w:rStyle w:val="Hyperlink"/>
        </w:rPr>
        <w:instrText xml:space="preserve"> HYPERLINK "http://eutils.ncbi.nlm.nih.gov/entrez/eutils/elink.fcgi?dbfrom=pubmed&amp;id=31517575&amp;retmode=ref&amp;cmd=prlinks"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http://eutils.ncbi.nlm.nih.gov/entrez/eutils/elink.fcgi?dbfrom=pubmed&amp;id=31517575&amp;retmode=ref&amp;cmd=prlinks</w:t>
      </w:r>
      <w:r>
        <w:rPr>
          <w:rStyle w:val="Hyperlink"/>
        </w:rPr>
        <w:fldChar w:fldCharType="end"/>
      </w:r>
    </w:p>
    <w:p>
      <w:pPr>
        <w:pStyle w:val="Normal"/>
      </w:pPr>
      <w:r>
        <w:rPr>
          <w:color w:val="323232"/>
        </w:rPr>
        <w:t xml:space="preserve">————————</w:t>
      </w:r>
    </w:p>
    <w:p>
      <w:pPr>
        <w:pStyle w:val="Heading4"/>
      </w:pPr>
      <w:r>
        <w:t xml:space="preserve">Prevalence of malignancy in masses from the mammary gland region of dogs with single or multiple masses.</w:t>
      </w:r>
    </w:p>
    <w:p/>
    <w:p>
      <w:pPr>
        <w:pStyle w:val="Normal"/>
      </w:pPr>
      <w:r>
        <w:rPr>
          <w:color w:val="323232"/>
        </w:rPr>
        <w:t xml:space="preserve">John Litterine-Kaufman, Sue A Casale, and Pamela J Mouser.</w:t>
      </w:r>
    </w:p>
    <w:p/>
    <w:p>
      <w:pPr>
        <w:pStyle w:val="Normal"/>
      </w:pPr>
      <w:r>
        <w:rPr>
          <w:color w:val="323232"/>
        </w:rPr>
        <w:t xml:space="preserve">OBJECTIVE:To determine the prevalence of malignancy in masses from the mammary gland region of dogs with single or multiple masses.</w:t>
      </w:r>
    </w:p>
    <w:p/>
    <w:p>
      <w:pPr>
        <w:pStyle w:val="Normal"/>
      </w:pPr>
      <w:r>
        <w:rPr>
          <w:color w:val="323232"/>
        </w:rPr>
        <w:t xml:space="preserve">ANIMALS:95 female dogs from which mammary gland masses had been excised.</w:t>
      </w:r>
    </w:p>
    <w:p/>
    <w:p>
      <w:pPr>
        <w:pStyle w:val="Normal"/>
      </w:pPr>
      <w:r>
        <w:rPr>
          <w:color w:val="323232"/>
        </w:rPr>
        <w:t xml:space="preserve">PROCEDURES:Medical records of all female dogs from which mammary gland tissue was submitted to the Angell Animal Medical Center Pathology Department from 2009 through 2014 were reviewed. For each dog, data were obtained on breed, body weight, age, reproductive status, and number, location, and histologic classification of masses. The prevalence of malignancy was compared between dogs with single versus multiple masses and among the 5 pairs of mammary glands. Dogs with single versus multiple masses were also compared with respect to age and reproductive status.</w:t>
      </w:r>
    </w:p>
    <w:p/>
    <w:p>
      <w:pPr>
        <w:pStyle w:val="Normal"/>
      </w:pPr>
      <w:r>
        <w:rPr>
          <w:color w:val="323232"/>
        </w:rPr>
        <w:t xml:space="preserve">RESULTS:Among 161 evaluated masses, 137 (85%) were classified as benign or nonneoplastic and 24 (15%) as malignant. Five of 95 (5%) dogs had masses that were not of mammary gland origin. Age, reproductive status, and quantity of masses (single vs multiple) were not significantly associated with the prevalence of malignancy. The prevalence of malignancy in masses from the fourth (caudal abdominal) mammary gland was significantly lower than that in the other 4 mammary glands combined.</w:t>
      </w:r>
    </w:p>
    <w:p/>
    <w:p>
      <w:pPr>
        <w:pStyle w:val="Normal"/>
      </w:pPr>
      <w:r>
        <w:rPr>
          <w:color w:val="323232"/>
        </w:rPr>
        <w:t xml:space="preserve">CONCLUSIONS AND CLINICAL RELEVANCE:Dogs with multiple masses in the mammary gland region were not significantly more likely than dogs with single masses to have a malignancy, suggesting that these 2 groups could be managed similarly. Further studies are needed to evaluate the clinical relevance of the lower prevalence of malignancy in masses from the fourth mammary gland.</w:t>
      </w:r>
    </w:p>
    <w:p/>
    <w:p>
      <w:pPr>
        <w:pStyle w:val="Normal"/>
      </w:pPr>
      <w:r>
        <w:rPr>
          <w:color w:val="323232"/>
        </w:rPr>
        <w:t xml:space="preserve">J Am Vet Med Assoc, 2019 vol. 255 (7) pp. 817-820.</w:t>
      </w:r>
    </w:p>
    <w:p>
      <w:r>
        <w:rPr>
          <w:rStyle w:val="Hyperlink"/>
        </w:rPr>
        <w:fldChar w:fldCharType="begin"/>
      </w:r>
      <w:r>
        <w:rPr>
          <w:rStyle w:val="Hyperlink"/>
        </w:rPr>
        <w:instrText xml:space="preserve"> HYPERLINK "http://eutils.ncbi.nlm.nih.gov/entrez/eutils/elink.fcgi?dbfrom=pubmed&amp;id=31517582&amp;retmode=ref&amp;cmd=prlinks"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http://eutils.ncbi.nlm.nih.gov/entrez/eutils/elink.fcgi?dbfrom=pubmed&amp;id=31517582&amp;retmode=ref&amp;cmd=prlinks</w:t>
      </w:r>
      <w:r>
        <w:rPr>
          <w:rStyle w:val="Hyperlink"/>
        </w:rPr>
        <w:fldChar w:fldCharType="end"/>
      </w:r>
    </w:p>
    <w:p>
      <w:pPr>
        <w:pStyle w:val="Normal"/>
      </w:pPr>
      <w:r>
        <w:rPr>
          <w:color w:val="323232"/>
        </w:rPr>
        <w:t xml:space="preserve">————————</w:t>
      </w:r>
    </w:p>
    <w:p>
      <w:pPr>
        <w:pStyle w:val="Heading4"/>
      </w:pPr>
      <w:r>
        <w:t xml:space="preserve">Complications and outcomes associated with unilateral thyroidectomy in dogs with naturally occurring thyroid tumors: 156 cases (2003-2015).</w:t>
      </w:r>
    </w:p>
    <w:p/>
    <w:p>
      <w:pPr>
        <w:pStyle w:val="Normal"/>
      </w:pPr>
      <w:r>
        <w:rPr>
          <w:color w:val="323232"/>
        </w:rPr>
        <w:t xml:space="preserve">Jennifer K Reagan, Laura E Selmic, Caroline Fallon, Blake Sutton, Mary Lafferty, Daniel Ben-Aderet, William T N Culp, Julius M Liptak, Daniel Duffy, Micha Simons, Sarah Boston, and Sue Lana.</w:t>
      </w:r>
    </w:p>
    <w:p/>
    <w:p>
      <w:pPr>
        <w:pStyle w:val="Normal"/>
      </w:pPr>
      <w:r>
        <w:rPr>
          <w:color w:val="323232"/>
        </w:rPr>
        <w:t xml:space="preserve">OBJECTIVE:To describe complications and outcomes of dogs undergoing unilateral thyroidectomy for the treatment of thyroid tumors.</w:t>
      </w:r>
    </w:p>
    <w:p/>
    <w:p>
      <w:pPr>
        <w:pStyle w:val="Normal"/>
      </w:pPr>
      <w:r>
        <w:rPr>
          <w:color w:val="323232"/>
        </w:rPr>
        <w:t xml:space="preserve">ANIMALS:156 dogs undergoing unilateral thyroidectomy for a naturally occurring thyroid tumor.</w:t>
      </w:r>
    </w:p>
    <w:p/>
    <w:p>
      <w:pPr>
        <w:pStyle w:val="Normal"/>
      </w:pPr>
      <w:r>
        <w:rPr>
          <w:color w:val="323232"/>
        </w:rPr>
        <w:t xml:space="preserve">PROCEDURES:Dogs that underwent a unilateral thyroidectomy in 2003 through 2015 were included in a multi-institutional retrospective study. For each dog, information gathered through evaluation of electronic and paper records included perioperative complications, short-term outcome (survival to discharge from the hospital vs nonsurvival), and long-term outcome (survival time).</w:t>
      </w:r>
    </w:p>
    <w:p/>
    <w:p>
      <w:pPr>
        <w:pStyle w:val="Normal"/>
      </w:pPr>
      <w:r>
        <w:rPr>
          <w:color w:val="323232"/>
        </w:rPr>
        <w:t xml:space="preserve">RESULTS:In the perioperative period, complications occurred in 31 of the 156 (19.9%) dogs; hemorrhage was the most common intraoperative complication (12 [7.7%] dogs). Five of 156 (3.2%) dogs received a blood transfusion; these 5 dogs were among the 12 dogs that had hemorrhage listed as an intraoperative complication. Immediately after surgery, the most common complication was aspiration pneumonia (5 [3.2%] dogs). One hundred fifty-three of 156 (98.1%) dogs that underwent unilateral thyroidectomy survived to discharge from the hospital. One hundred-thirteen dogs were lost to follow-up; from the available data, the median survival time was 911 days (95% confidence interval, 704 to 1,466 days).</w:t>
      </w:r>
    </w:p>
    <w:p/>
    <w:p>
      <w:pPr>
        <w:pStyle w:val="Normal"/>
      </w:pPr>
      <w:r>
        <w:rPr>
          <w:color w:val="323232"/>
        </w:rPr>
        <w:t xml:space="preserve">CONCLUSIONS AND CLINICAL RELEVANCE:Results indicated that unilateral thyroidectomy in dogs with a naturally occurring thyroid tumor was associated with a perioperative mortality rate of 1.9% and a complication rate of 19.9% and that hemorrhage and aspiration pneumonia were the most common complications. Long-term survival of dogs undergoing unilateral thyroidectomy for the treatment of thyroid tumors was not uncommon.</w:t>
      </w:r>
    </w:p>
    <w:p/>
    <w:p>
      <w:pPr>
        <w:pStyle w:val="Normal"/>
      </w:pPr>
      <w:r>
        <w:rPr>
          <w:color w:val="323232"/>
        </w:rPr>
        <w:t xml:space="preserve">J Am Vet Med Assoc, 2019 vol. 255 (8) pp. 926-932.</w:t>
      </w:r>
    </w:p>
    <w:p>
      <w:r>
        <w:rPr>
          <w:rStyle w:val="Hyperlink"/>
        </w:rPr>
        <w:fldChar w:fldCharType="begin"/>
      </w:r>
      <w:r>
        <w:rPr>
          <w:rStyle w:val="Hyperlink"/>
        </w:rPr>
        <w:instrText xml:space="preserve"> HYPERLINK "http://eutils.ncbi.nlm.nih.gov/entrez/eutils/elink.fcgi?dbfrom=pubmed&amp;id=31573870&amp;retmode=ref&amp;cmd=prlinks"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http://eutils.ncbi.nlm.nih.gov/entrez/eutils/elink.fcgi?dbfrom=pubmed&amp;id=31573870&amp;retmode=ref&amp;cmd=prlinks</w:t>
      </w:r>
      <w:r>
        <w:rPr>
          <w:rStyle w:val="Hyperlink"/>
        </w:rPr>
        <w:fldChar w:fldCharType="end"/>
      </w:r>
    </w:p>
    <w:p>
      <w:pPr>
        <w:pStyle w:val="Normal"/>
      </w:pPr>
      <w:r>
        <w:rPr>
          <w:color w:val="323232"/>
        </w:rPr>
        <w:t xml:space="preserve">————————</w:t>
      </w:r>
    </w:p>
    <w:p>
      <w:pPr>
        <w:pStyle w:val="Heading4"/>
      </w:pPr>
      <w:r>
        <w:t xml:space="preserve">Evaluation of short-term outcomes and potential risk factors for death and intestinal dehiscence following full-thickness large intestinal incisions in dogs.</w:t>
      </w:r>
    </w:p>
    <w:p/>
    <w:p>
      <w:pPr>
        <w:pStyle w:val="Normal"/>
      </w:pPr>
      <w:r>
        <w:rPr>
          <w:color w:val="323232"/>
        </w:rPr>
        <w:t xml:space="preserve">Christian R Latimer, Cassie N Lux, Janet A Grimes, Marian E Benitez, William T N Culp, Daniel Ben-Aderet, and Dorothy C Brown.</w:t>
      </w:r>
    </w:p>
    <w:p/>
    <w:p>
      <w:pPr>
        <w:pStyle w:val="Normal"/>
      </w:pPr>
      <w:r>
        <w:rPr>
          <w:color w:val="323232"/>
        </w:rPr>
        <w:t xml:space="preserve">OBJECTIVE:To determine complication rates for dogs in which full-thickness large intestinal incisions were performed, assess potential risk factors for death during hospitalization and for intestinal dehiscence following these surgeries, and report short-term mortality rates for these patients.</w:t>
      </w:r>
    </w:p>
    <w:p/>
    <w:p>
      <w:pPr>
        <w:pStyle w:val="Normal"/>
      </w:pPr>
      <w:r>
        <w:rPr>
          <w:color w:val="323232"/>
        </w:rPr>
        <w:t xml:space="preserve">ANIMALS:90 dogs.</w:t>
      </w:r>
    </w:p>
    <w:p/>
    <w:p>
      <w:pPr>
        <w:pStyle w:val="Normal"/>
      </w:pPr>
      <w:r>
        <w:rPr>
          <w:color w:val="323232"/>
        </w:rPr>
        <w:t xml:space="preserve">PROCEDURES:Medical records of 4 veterinary referral hospitals were reviewed to identify dogs that underwent large intestinal surgery requiring full-thickness incisions. Signalment, history, clinicopathologic data, medical treatments, surgical procedures, complications, and outcomes were recorded. Descriptive statistics were calculated; data were analyzed for association with survival to discharge (with logistic regression analysis) and postoperative intestinal dehiscence (with Fisher exact or Wilcoxon rank sum tests).</w:t>
      </w:r>
    </w:p>
    <w:p/>
    <w:p>
      <w:pPr>
        <w:pStyle w:val="Normal"/>
      </w:pPr>
      <w:r>
        <w:rPr>
          <w:color w:val="323232"/>
        </w:rPr>
        <w:t xml:space="preserve">RESULTS:Overall 7-day postoperative intestinal dehiscence and mortality rates were 9 of 90 (10%) and 15 of 90 (17%). Dogs with preoperative anorexia, hypoglycemia, or neutrophils with toxic changes and those that received preoperative antimicrobial treatment had greater odds of death than did dogs without these findings. Preexisting colon trauma or dehiscence, preexisting peritonitis, administration of blood products, administration of &gt; 2 classes of antimicrobials, positive microbial culture results for a surgical sample, and open abdominal management of peritonitis after surgery were associated with development of intestinal dehiscence. Five of 9 dogs with intestinal dehiscence died or were euthanized.</w:t>
      </w:r>
    </w:p>
    <w:p/>
    <w:p>
      <w:pPr>
        <w:pStyle w:val="Normal"/>
      </w:pPr>
      <w:r>
        <w:rPr>
          <w:color w:val="323232"/>
        </w:rPr>
        <w:t xml:space="preserve">CONCLUSIONS AND CLINICAL RELEVANCE:Factors associated with failure to survive to discharge were considered suggestive of sepsis. Results suggested the dehiscence rate for full-thickness large intestinal incisions may not be as high as previously reported, but several factors may influence this outcome and larger, longer-term studies are needed to confirm these findings.</w:t>
      </w:r>
    </w:p>
    <w:p/>
    <w:p>
      <w:pPr>
        <w:pStyle w:val="Normal"/>
      </w:pPr>
      <w:r>
        <w:rPr>
          <w:color w:val="323232"/>
        </w:rPr>
        <w:t xml:space="preserve">J Am Vet Med Assoc, 2019 vol. 255 (8) pp. 915-925.</w:t>
      </w:r>
    </w:p>
    <w:p>
      <w:r>
        <w:rPr>
          <w:rStyle w:val="Hyperlink"/>
        </w:rPr>
        <w:fldChar w:fldCharType="begin"/>
      </w:r>
      <w:r>
        <w:rPr>
          <w:rStyle w:val="Hyperlink"/>
        </w:rPr>
        <w:instrText xml:space="preserve"> HYPERLINK "http://eutils.ncbi.nlm.nih.gov/entrez/eutils/elink.fcgi?dbfrom=pubmed&amp;id=31573871&amp;retmode=ref&amp;cmd=prlinks"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http://eutils.ncbi.nlm.nih.gov/entrez/eutils/elink.fcgi?dbfrom=pubmed&amp;id=31573871&amp;retmode=ref&amp;cmd=prlinks</w:t>
      </w:r>
      <w:r>
        <w:rPr>
          <w:rStyle w:val="Hyperlink"/>
        </w:rPr>
        <w:fldChar w:fldCharType="end"/>
      </w:r>
    </w:p>
    <w:p>
      <w:pPr>
        <w:pStyle w:val="Normal"/>
      </w:pPr>
      <w:r>
        <w:rPr>
          <w:color w:val="323232"/>
        </w:rPr>
        <w:t xml:space="preserve">————————</w:t>
      </w:r>
    </w:p>
    <w:p>
      <w:pPr>
        <w:pStyle w:val="Heading4"/>
      </w:pPr>
      <w:r>
        <w:t xml:space="preserve">Indications, complications, and outcomes associated with subdermal plexus skin flap procedures in dogs and cats: 92 cases (2000-2017).</w:t>
      </w:r>
    </w:p>
    <w:p/>
    <w:p>
      <w:pPr>
        <w:pStyle w:val="Normal"/>
      </w:pPr>
      <w:r>
        <w:rPr>
          <w:color w:val="323232"/>
        </w:rPr>
        <w:t xml:space="preserve">Coleen A Jones and Victoria J Lipscomb.</w:t>
      </w:r>
    </w:p>
    <w:p/>
    <w:p>
      <w:pPr>
        <w:pStyle w:val="Normal"/>
      </w:pPr>
      <w:r>
        <w:rPr>
          <w:color w:val="323232"/>
        </w:rPr>
        <w:t xml:space="preserve">OBJECTIVE:To describe indications, complications, and outcomes associated with subdermal plexus skin flap (SPSF) procedures in dogs and cats.</w:t>
      </w:r>
    </w:p>
    <w:p/>
    <w:p>
      <w:pPr>
        <w:pStyle w:val="Normal"/>
      </w:pPr>
      <w:r>
        <w:rPr>
          <w:color w:val="323232"/>
        </w:rPr>
        <w:t xml:space="preserve">ANIMALS:53 dogs and 20 cats that received SPSFs for reconstruction of skin defects from 2000 to 2017.</w:t>
      </w:r>
    </w:p>
    <w:p/>
    <w:p>
      <w:pPr>
        <w:pStyle w:val="Normal"/>
      </w:pPr>
      <w:r>
        <w:rPr>
          <w:color w:val="323232"/>
        </w:rPr>
        <w:t xml:space="preserve">PROCEDURES:Medical record data were collected and summarized regarding patient signalment, indication for the SPSF procedure, type and location of SPSF, complications, and outcome.</w:t>
      </w:r>
    </w:p>
    <w:p/>
    <w:p>
      <w:pPr>
        <w:pStyle w:val="Normal"/>
      </w:pPr>
      <w:r>
        <w:rPr>
          <w:color w:val="323232"/>
        </w:rPr>
        <w:t xml:space="preserve">RESULTS:92 SPSF procedures (64 in dogs and 28 in cats) were included. Indications for the procedures included tumor excision (n = 37 [40%]), acute wound (14 [15%]) or chronic wound (28 [30%]) reconstruction, surgical scar revision (7 [8%]), and other reasons (6 [7%]). Types of SPSFs included advancement (31 [34%]), axillary fold (20 [22%]), inguinal fold (20 [22%]), rotation (16 [17%]), transposition (3 [3%]), and distant direct (2 [2%]). Complications were noted for 47 (51%) procedures at a mean ± SD of 6.9 ± 4.0 days after surgery and were classified as minor (34 [37%]) or major (13 [14%]). Outcome was considered excellent for 44 (48%) procedures, good for 33 (36%), fair for 13 (14%), and poor for 2 (2%).</w:t>
      </w:r>
    </w:p>
    <w:p/>
    <w:p>
      <w:pPr>
        <w:pStyle w:val="Normal"/>
      </w:pPr>
      <w:r>
        <w:rPr>
          <w:color w:val="323232"/>
        </w:rPr>
        <w:t xml:space="preserve">CONCLUSIONS AND CLINICAL RELEVANCE:Results suggested that approximately half of SPSF procedures in dogs and cats can be expected to be followed by a complication, occurring at a mean of 1 week after surgery, and yet with appropriate management of these complications, a good to excellent outcome was possible. Owners should be counseled about the likely need for additional visits and costs associated with treatment of postoperative complications.</w:t>
      </w:r>
    </w:p>
    <w:p/>
    <w:p>
      <w:pPr>
        <w:pStyle w:val="Normal"/>
      </w:pPr>
      <w:r>
        <w:rPr>
          <w:color w:val="323232"/>
        </w:rPr>
        <w:t xml:space="preserve">J Am Vet Med Assoc, 2019 vol. 255 (8) pp. 933-938.</w:t>
      </w:r>
    </w:p>
    <w:p>
      <w:r>
        <w:rPr>
          <w:rStyle w:val="Hyperlink"/>
        </w:rPr>
        <w:fldChar w:fldCharType="begin"/>
      </w:r>
      <w:r>
        <w:rPr>
          <w:rStyle w:val="Hyperlink"/>
        </w:rPr>
        <w:instrText xml:space="preserve"> HYPERLINK "http://eutils.ncbi.nlm.nih.gov/entrez/eutils/elink.fcgi?dbfrom=pubmed&amp;id=31573867&amp;retmode=ref&amp;cmd=prlinks"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http://eutils.ncbi.nlm.nih.gov/entrez/eutils/elink.fcgi?dbfrom=pubmed&amp;id=31573867&amp;retmode=ref&amp;cmd=prlinks</w:t>
      </w:r>
      <w:r>
        <w:rPr>
          <w:rStyle w:val="Hyperlink"/>
        </w:rPr>
        <w:fldChar w:fldCharType="end"/>
      </w:r>
    </w:p>
    <w:p>
      <w:pPr>
        <w:pStyle w:val="Normal"/>
      </w:pPr>
      <w:r>
        <w:rPr>
          <w:color w:val="323232"/>
        </w:rPr>
        <w:t xml:space="preserve">————————</w:t>
      </w:r>
    </w:p>
    <w:p>
      <w:pPr>
        <w:pStyle w:val="Heading4"/>
      </w:pPr>
      <w:r>
        <w:t xml:space="preserve">Clinical characteristics, classification, and surgical outcome for kittens with phimosis: 8 cases (2009-2017).</w:t>
      </w:r>
    </w:p>
    <w:p/>
    <w:p>
      <w:pPr>
        <w:pStyle w:val="Normal"/>
      </w:pPr>
      <w:r>
        <w:rPr>
          <w:color w:val="323232"/>
        </w:rPr>
        <w:t xml:space="preserve">Annemarieke de Vlaming, Mandy L Wallace, and Gary W Ellison.</w:t>
      </w:r>
    </w:p>
    <w:p/>
    <w:p>
      <w:pPr>
        <w:pStyle w:val="Normal"/>
      </w:pPr>
      <w:r>
        <w:rPr>
          <w:color w:val="323232"/>
        </w:rPr>
        <w:t xml:space="preserve">OBJECTIVE:To describe clinical characteristics and surgical outcomes for kittens with phimosis and to develop a system to classify phimosis on the basis of gross pathological lesions.</w:t>
      </w:r>
    </w:p>
    <w:p/>
    <w:p>
      <w:pPr>
        <w:pStyle w:val="Normal"/>
      </w:pPr>
      <w:r>
        <w:rPr>
          <w:color w:val="323232"/>
        </w:rPr>
        <w:t xml:space="preserve">ANIMALS:8 kittens with phimosis.</w:t>
      </w:r>
    </w:p>
    <w:p/>
    <w:p>
      <w:pPr>
        <w:pStyle w:val="Normal"/>
      </w:pPr>
      <w:r>
        <w:rPr>
          <w:color w:val="323232"/>
        </w:rPr>
        <w:t xml:space="preserve">PROCEDURES:Medical record databases of 2 veterinary teaching hospitals were searched to identify records of cats ≤ 20 weeks old (ie, kittens) with phimosis that underwent surgical intervention between 2009 and 2017. For each kitten, information extracted from the record included signalment, history, clinical signs, physical examination findings, treatments, and details regarding the surgical procedure performed, postoperative complications, and outcome.</w:t>
      </w:r>
    </w:p>
    <w:p/>
    <w:p>
      <w:pPr>
        <w:pStyle w:val="Normal"/>
      </w:pPr>
      <w:r>
        <w:rPr>
          <w:color w:val="323232"/>
        </w:rPr>
        <w:t xml:space="preserve">RESULTS:The most common clinical signs were stranguria (n = 6), marked preputial swelling (5), and a small (6) or inevident (2) preputial orifice. Six kittens had type 1 phimosis (generalized preputial swelling owing to urine pooling without penile-preputial adhesions) and underwent circumferential preputioplasty. Two kittens had type 2 phimosis (focal preputial swelling and urine pooling in the presence of penile-preputial adhesions) and underwent preputial urethrostomy. No postoperative complications were recorded for kittens that underwent preputial urethrostomy. All 6 kittens that underwent circumferential preputioplasty had some exposure of the tip of the penis immediately after surgery, which typically resolved over time. At the time of last follow-up (mean, 1.4 years after surgery), all 8 patients were able to urinate and had no signs of phimosis recurrence.</w:t>
      </w:r>
    </w:p>
    <w:p/>
    <w:p>
      <w:pPr>
        <w:pStyle w:val="Normal"/>
      </w:pPr>
      <w:r>
        <w:rPr>
          <w:color w:val="323232"/>
        </w:rPr>
        <w:t xml:space="preserve">CONCLUSIONS AND CLINICAL RELEVANCE:Results suggested that circumferential preputioplasty and preputial urethrostomy could be used to successfully manage kittens with type 1 and type 2 phimosis, respectively.</w:t>
      </w:r>
    </w:p>
    <w:p/>
    <w:p>
      <w:pPr>
        <w:pStyle w:val="Normal"/>
      </w:pPr>
      <w:r>
        <w:rPr>
          <w:color w:val="323232"/>
        </w:rPr>
        <w:t xml:space="preserve">J Am Vet Med Assoc, 2019 vol. 255 (9) pp. 1039-1046.</w:t>
      </w:r>
    </w:p>
    <w:p>
      <w:r>
        <w:rPr>
          <w:rStyle w:val="Hyperlink"/>
        </w:rPr>
        <w:fldChar w:fldCharType="begin"/>
      </w:r>
      <w:r>
        <w:rPr>
          <w:rStyle w:val="Hyperlink"/>
        </w:rPr>
        <w:instrText xml:space="preserve"> HYPERLINK "http://eutils.ncbi.nlm.nih.gov/entrez/eutils/elink.fcgi?dbfrom=pubmed&amp;id=31617807&amp;retmode=ref&amp;cmd=prlinks"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http://eutils.ncbi.nlm.nih.gov/entrez/eutils/elink.fcgi?dbfrom=pubmed&amp;id=31617807&amp;retmode=ref&amp;cmd=prlinks</w:t>
      </w:r>
      <w:r>
        <w:rPr>
          <w:rStyle w:val="Hyperlink"/>
        </w:rPr>
        <w:fldChar w:fldCharType="end"/>
      </w:r>
    </w:p>
    <w:p>
      <w:pPr>
        <w:pStyle w:val="Normal"/>
      </w:pPr>
      <w:r>
        <w:rPr>
          <w:color w:val="323232"/>
        </w:rPr>
        <w:t xml:space="preserve">————————</w:t>
      </w:r>
    </w:p>
    <w:p>
      <w:pPr>
        <w:pStyle w:val="Heading4"/>
      </w:pPr>
      <w:r>
        <w:t xml:space="preserve">Evaluation of a novel technique involving ultrasound-guided, temporary, percutaneous gastropexy and gastrostomy catheter placement for providing sustained gastric decompression in dogs with gastric dilatation-volvulus.</w:t>
      </w:r>
    </w:p>
    <w:p/>
    <w:p>
      <w:pPr>
        <w:pStyle w:val="Normal"/>
      </w:pPr>
      <w:r>
        <w:rPr>
          <w:color w:val="323232"/>
        </w:rPr>
        <w:t xml:space="preserve">W Alexander Fox-Alvarez, J Brad Case, Daniel D Lewis, Ashley C Joyce, Kirsten L Cooke, and Beau Toskich.</w:t>
      </w:r>
    </w:p>
    <w:p/>
    <w:p>
      <w:pPr>
        <w:pStyle w:val="Normal"/>
      </w:pPr>
      <w:r>
        <w:rPr>
          <w:color w:val="323232"/>
        </w:rPr>
        <w:t xml:space="preserve">OBJECTIVE:To evaluate the feasibility of ultrasound-guided, temporary, percutaneous T-fastener gastropexy (TG) and gastrostomy catheter (GC) placement for providing sustained gastric decompression in dogs with acute gastric dilatation-volvulus (GDV) and to compare findings with those of trocarization.</w:t>
      </w:r>
    </w:p>
    <w:p/>
    <w:p>
      <w:pPr>
        <w:pStyle w:val="Normal"/>
      </w:pPr>
      <w:r>
        <w:rPr>
          <w:color w:val="323232"/>
        </w:rPr>
        <w:t xml:space="preserve">ANIMALS:16 dogs with GDV.</w:t>
      </w:r>
    </w:p>
    <w:p/>
    <w:p>
      <w:pPr>
        <w:pStyle w:val="Normal"/>
      </w:pPr>
      <w:r>
        <w:rPr>
          <w:color w:val="323232"/>
        </w:rPr>
        <w:t xml:space="preserve">PROCEDURES:Dogs were randomly assigned to undergo gastric decompression by means of percutaneous trocarization (trocar group; n = 8) or temporary TG and GC placement (TTG+GC group; 8) with ultrasound guidance. The gastric volvulus was then surgically corrected, and the decompression sites were examined. Outcomes were compared between groups.</w:t>
      </w:r>
    </w:p>
    <w:p/>
    <w:p>
      <w:pPr>
        <w:pStyle w:val="Normal"/>
      </w:pPr>
      <w:r>
        <w:rPr>
          <w:color w:val="323232"/>
        </w:rPr>
        <w:t xml:space="preserve">RESULTS:The proportion of dogs with successful decompression did not differ significantly between the TTG+GC (6/8) and trocar (7/8) groups; median procedure duration was 3.3 and 3.7 minutes, respectively. After the failed attempts in the TTG+GC group, the procedure was modified to include ultrasound guidance during T-fastener placement. The decrease in intragastric pressure by 5 minutes after trocar or GC insertion was similar between groups. For dogs in the TTG+GC group, no significant difference in intragastric pressure was identified between 5 and 60 minutes after GC insertion. Complications included inadvertent splenic or jejunal placement in 2 dogs (TTG+GC group) and malpositioned and ineffective trocar placement in 1 dog (trocar group). All dogs survived for at least 2 weeks.</w:t>
      </w:r>
    </w:p>
    <w:p/>
    <w:p>
      <w:pPr>
        <w:pStyle w:val="Normal"/>
      </w:pPr>
      <w:r>
        <w:rPr>
          <w:color w:val="323232"/>
        </w:rPr>
        <w:t xml:space="preserve">CONCLUSIONS AND CLINICAL RELEVANCE:Ultrasound-guided, temporary, percutaneous TG and GC placement was safe and effective at providing sustained gastric decompression in dogs with GDV, suggesting that this technique would be ideal for dogs in which surgical delays are anticipated or unavoidable.</w:t>
      </w:r>
    </w:p>
    <w:p/>
    <w:p>
      <w:pPr>
        <w:pStyle w:val="Normal"/>
      </w:pPr>
      <w:r>
        <w:rPr>
          <w:color w:val="323232"/>
        </w:rPr>
        <w:t xml:space="preserve">J Am Vet Med Assoc, 2019 vol. 255 (9) pp. 1027-1034.</w:t>
      </w:r>
    </w:p>
    <w:p>
      <w:r>
        <w:rPr>
          <w:rStyle w:val="Hyperlink"/>
        </w:rPr>
        <w:fldChar w:fldCharType="begin"/>
      </w:r>
      <w:r>
        <w:rPr>
          <w:rStyle w:val="Hyperlink"/>
        </w:rPr>
        <w:instrText xml:space="preserve"> HYPERLINK "http://eutils.ncbi.nlm.nih.gov/entrez/eutils/elink.fcgi?dbfrom=pubmed&amp;id=31617809&amp;retmode=ref&amp;cmd=prlinks"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http://eutils.ncbi.nlm.nih.gov/entrez/eutils/elink.fcgi?dbfrom=pubmed&amp;id=31617809&amp;retmode=ref&amp;cmd=prlinks</w:t>
      </w:r>
      <w:r>
        <w:rPr>
          <w:rStyle w:val="Hyperlink"/>
        </w:rPr>
        <w:fldChar w:fldCharType="end"/>
      </w:r>
    </w:p>
    <w:p>
      <w:pPr>
        <w:pStyle w:val="Normal"/>
      </w:pPr>
      <w:r>
        <w:rPr>
          <w:color w:val="323232"/>
        </w:rPr>
        <w:t xml:space="preserve">————————</w:t>
      </w:r>
    </w:p>
    <w:p>
      <w:pPr>
        <w:pStyle w:val="Heading4"/>
      </w:pPr>
      <w:r>
        <w:t xml:space="preserve">Evaluation of concurrent analysis of cerebrospinal fluid samples collected from the cerebellomedullary cistern and lumbar subarachnoid space for the diagnosis of steroid-responsive meningitis arteritis in dogs.</w:t>
      </w:r>
    </w:p>
    <w:p/>
    <w:p>
      <w:pPr>
        <w:pStyle w:val="Normal"/>
      </w:pPr>
      <w:r>
        <w:rPr>
          <w:color w:val="323232"/>
        </w:rPr>
        <w:t xml:space="preserve">Beatrice E Carletti, Steven De Decker, Jeremy Rose, Daniel Sanchez-Masian, Erika Bersan, Camilla Cooper, Balazs Szladovits, Gemma Walmsley, and Rita Gonçalves.</w:t>
      </w:r>
    </w:p>
    <w:p/>
    <w:p>
      <w:pPr>
        <w:pStyle w:val="Normal"/>
      </w:pPr>
      <w:r>
        <w:rPr>
          <w:color w:val="323232"/>
        </w:rPr>
        <w:t xml:space="preserve">OBJECTIVE:To evaluate whether concurrent analysis of CSF samples from 2 collection sites (cerebellomedullary cistern [CMC] and lumbar subarachnoid space [LSS]) versus only 1 site could improve the diagnostic sensitivity of CSF analysis for dogs with suspected steroid-responsive meningitis arteritis (SRMA).</w:t>
      </w:r>
    </w:p>
    <w:p/>
    <w:p>
      <w:pPr>
        <w:pStyle w:val="Normal"/>
      </w:pPr>
      <w:r>
        <w:rPr>
          <w:color w:val="323232"/>
        </w:rPr>
        <w:t xml:space="preserve">ANIMALS:111 client-owned dogs with SRMA diagnosed at 3 veterinary referral hospitals between 2011 and 2017.</w:t>
      </w:r>
    </w:p>
    <w:p/>
    <w:p>
      <w:pPr>
        <w:pStyle w:val="Normal"/>
      </w:pPr>
      <w:r>
        <w:rPr>
          <w:color w:val="323232"/>
        </w:rPr>
        <w:t xml:space="preserve">PROCEDURES:Only dogs with CSF collected from both sites (CMC and LSS) and with no previous history of corticosteroid administration were included. Medical record data and logistic regression were used to identify factors associated with having a total nucleated cell concentration (TNCC) within the reference interval in a CSF sample from 1 collection site.</w:t>
      </w:r>
    </w:p>
    <w:p/>
    <w:p>
      <w:pPr>
        <w:pStyle w:val="Normal"/>
      </w:pPr>
      <w:r>
        <w:rPr>
          <w:color w:val="323232"/>
        </w:rPr>
        <w:t xml:space="preserve">RESULTS:The TNCC was within the reference interval (TNCC &lt; 5 cells/ μL) in the CSF sample from 1 collection site for 8 of 111 (7%) dogs and was only slightly high (TNCC, 5 to 9 cells/ μL) in the sample from 1 or both sites for 10 (11%) other dogs. For each of these 18 dogs, results for samples from 1 site were consistent with SRMA. The proportion of CSF samples that had a TNCC within the reference interval was comparable between sites. As age increased, so did the risk of having an unremarkable TNCC in the CSF sample from 1 site, albeit only slightly (OR, 1.08; 95% confidence interval, 1.01 to 1.16).</w:t>
      </w:r>
    </w:p>
    <w:p/>
    <w:p>
      <w:pPr>
        <w:pStyle w:val="Normal"/>
      </w:pPr>
      <w:r>
        <w:rPr>
          <w:color w:val="323232"/>
        </w:rPr>
        <w:t xml:space="preserve">CONCLUSIONS AND CLINICAL RELEVANCE:CSF samples from both the CMC and LSS should be analyzed when evaluating dogs with suspected SRMA to improve the chance of detecting a high TNCC.</w:t>
      </w:r>
    </w:p>
    <w:p/>
    <w:p>
      <w:pPr>
        <w:pStyle w:val="Normal"/>
      </w:pPr>
      <w:r>
        <w:rPr>
          <w:color w:val="323232"/>
        </w:rPr>
        <w:t xml:space="preserve">J Am Vet Med Assoc, 2019 vol. 255 (9) pp. 1035-1038.</w:t>
      </w:r>
    </w:p>
    <w:p>
      <w:r>
        <w:rPr>
          <w:rStyle w:val="Hyperlink"/>
        </w:rPr>
        <w:fldChar w:fldCharType="begin"/>
      </w:r>
      <w:r>
        <w:rPr>
          <w:rStyle w:val="Hyperlink"/>
        </w:rPr>
        <w:instrText xml:space="preserve"> HYPERLINK "http://eutils.ncbi.nlm.nih.gov/entrez/eutils/elink.fcgi?dbfrom=pubmed&amp;id=31617801&amp;retmode=ref&amp;cmd=prlinks"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http://eutils.ncbi.nlm.nih.gov/entrez/eutils/elink.fcgi?dbfrom=pubmed&amp;id=31617801&amp;retmode=ref&amp;cmd=prlinks</w:t>
      </w:r>
      <w:r>
        <w:rPr>
          <w:rStyle w:val="Hyperlink"/>
        </w:rPr>
        <w:fldChar w:fldCharType="end"/>
      </w:r>
    </w:p>
    <w:p>
      <w:pPr>
        <w:pStyle w:val="Normal"/>
      </w:pPr>
      <w:r>
        <w:rPr>
          <w:color w:val="323232"/>
        </w:rPr>
        <w:t xml:space="preserve">————————</w:t>
      </w:r>
    </w:p>
    <w:p>
      <w:pPr>
        <w:pStyle w:val="Heading4"/>
      </w:pPr>
      <w:r>
        <w:t xml:space="preserve">Duloxetine ingestion in 364 dogs.</w:t>
      </w:r>
    </w:p>
    <w:p/>
    <w:p>
      <w:pPr>
        <w:pStyle w:val="Normal"/>
      </w:pPr>
      <w:r>
        <w:rPr>
          <w:color w:val="323232"/>
        </w:rPr>
        <w:t xml:space="preserve">Natalie K James, Tina A Wismer, and Pedro Paulo V P Diniz.</w:t>
      </w:r>
    </w:p>
    <w:p/>
    <w:p>
      <w:pPr>
        <w:pStyle w:val="Normal"/>
      </w:pPr>
      <w:r>
        <w:rPr>
          <w:color w:val="323232"/>
        </w:rPr>
        <w:t xml:space="preserve">OBJECTIVE:To describe abnormal clinical signs following duloxetine ingestion in dogs.</w:t>
      </w:r>
    </w:p>
    <w:p/>
    <w:p>
      <w:pPr>
        <w:pStyle w:val="Normal"/>
      </w:pPr>
      <w:r>
        <w:rPr>
          <w:color w:val="323232"/>
        </w:rPr>
        <w:t xml:space="preserve">ANIMALS:364 client-owned dogs that ingested duloxetine.</w:t>
      </w:r>
    </w:p>
    <w:p/>
    <w:p>
      <w:pPr>
        <w:pStyle w:val="Normal"/>
      </w:pPr>
      <w:r>
        <w:rPr>
          <w:color w:val="323232"/>
        </w:rPr>
        <w:t xml:space="preserve">PROCEDURES:The American Society for the Prevention of Cruelty to Animals, Animal Poison Control Center electronic database was searched for records of dogs with duloxetine ingestion between January 2012 and December 2016. Data collected included age, body weight, breed, duloxetine exposure and dose, clinical signs, and overall outcome. Clinical signs were categorized as either neurologic, digestive, cardiovascular, respiratory, or metabolic and endocrine. Outcomes were categorized as no clinical signs, fully recovered, died, or unknown.</w:t>
      </w:r>
    </w:p>
    <w:p/>
    <w:p>
      <w:pPr>
        <w:pStyle w:val="Normal"/>
      </w:pPr>
      <w:r>
        <w:rPr>
          <w:color w:val="323232"/>
        </w:rPr>
        <w:t xml:space="preserve">RESULTS:Clinical signs developed in 55 of the 364 (15.1%) dogs with known ingestion of duloxetine. The most common clinical signs were lethargy (22/55 [40%]), mydriasis (18/55 [33%]), vomiting (11/55 [20%]), and trembling (6/55 [11%]). Dogs that ingested an estimated dose of duloxetine ≥ 20 mg</w:t>
      </w:r>
      <w:r>
        <w:rPr>
          <w:i w:val="1"/>
          <w:color w:val="323232"/>
        </w:rPr>
        <w:t xml:space="preserve">kg (9.1 mg</w:t>
      </w:r>
      <w:r>
        <w:rPr>
          <w:color w:val="323232"/>
        </w:rPr>
        <w:t xml:space="preserve">lb) were more likely to have had abnormal clinical signs than were dogs that ingested &lt; 20 mg/kg.</w:t>
      </w:r>
    </w:p>
    <w:p/>
    <w:p>
      <w:pPr>
        <w:pStyle w:val="Normal"/>
      </w:pPr>
      <w:r>
        <w:rPr>
          <w:color w:val="323232"/>
        </w:rPr>
        <w:t xml:space="preserve">CONCLUSIONS AND CLINICAL RELEVANCE:Findings indicated that most dogs in the present study did not have clinical signs associated with ingestion of duloxetine and that development of clinical signs varied by individual dog. Further information is needed to determine toxic dose ranges for duloxetine ingestion in dogs. (J Am Vet Med Assoc 2019;255:1161-1166).</w:t>
      </w:r>
    </w:p>
    <w:p/>
    <w:p>
      <w:pPr>
        <w:pStyle w:val="Normal"/>
      </w:pPr>
      <w:r>
        <w:rPr>
          <w:color w:val="323232"/>
        </w:rPr>
        <w:t xml:space="preserve">J Am Vet Med Assoc, 2019 vol. 255 (10) pp. 1161-1166.</w:t>
      </w:r>
    </w:p>
    <w:p>
      <w:r>
        <w:rPr>
          <w:rStyle w:val="Hyperlink"/>
        </w:rPr>
        <w:fldChar w:fldCharType="begin"/>
      </w:r>
      <w:r>
        <w:rPr>
          <w:rStyle w:val="Hyperlink"/>
        </w:rPr>
        <w:instrText xml:space="preserve"> HYPERLINK "http://eutils.ncbi.nlm.nih.gov/entrez/eutils/elink.fcgi?dbfrom=pubmed&amp;id=31687894&amp;retmode=ref&amp;cmd=prlinks"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http://eutils.ncbi.nlm.nih.gov/entrez/eutils/elink.fcgi?dbfrom=pubmed&amp;id=31687894&amp;retmode=ref&amp;cmd=prlinks</w:t>
      </w:r>
      <w:r>
        <w:rPr>
          <w:rStyle w:val="Hyperlink"/>
        </w:rPr>
        <w:fldChar w:fldCharType="end"/>
      </w:r>
    </w:p>
    <w:p>
      <w:pPr>
        <w:pStyle w:val="Normal"/>
      </w:pPr>
      <w:r>
        <w:rPr>
          <w:color w:val="323232"/>
        </w:rPr>
        <w:t xml:space="preserve">————————</w:t>
      </w:r>
    </w:p>
    <w:p>
      <w:pPr>
        <w:pStyle w:val="Heading4"/>
      </w:pPr>
      <w:r>
        <w:t xml:space="preserve">Prevalence of selected cardiotropic pathogens in the myocardium of adult dogs with unexplained myocardial and rhythm disorders or with congenital heart disease.</w:t>
      </w:r>
    </w:p>
    <w:p/>
    <w:p>
      <w:pPr>
        <w:pStyle w:val="Normal"/>
      </w:pPr>
      <w:r>
        <w:rPr>
          <w:color w:val="323232"/>
        </w:rPr>
        <w:t xml:space="preserve">Roberto A Santilli, Elena Grego, Stefano Battaia, Paola Gianella, Massimiliano Tursi, Nicola Di Girolamo, Ilaria Biasato, and Manuela Perego.</w:t>
      </w:r>
    </w:p>
    <w:p/>
    <w:p>
      <w:pPr>
        <w:pStyle w:val="Normal"/>
      </w:pPr>
      <w:r>
        <w:rPr>
          <w:color w:val="323232"/>
        </w:rPr>
        <w:t xml:space="preserve">OBJECTIVE:To determine the prevalence of nucleic acid from selected cardiotropic pathogens in endomyocardial biopsy samples from dogs with unexplained myocardial and rhythm disorders (UMRD) and compare prevalence with that for a group of control dogs with congenital heart disease (CHD).</w:t>
      </w:r>
    </w:p>
    <w:p/>
    <w:p>
      <w:pPr>
        <w:pStyle w:val="Normal"/>
      </w:pPr>
      <w:r>
        <w:rPr>
          <w:color w:val="323232"/>
        </w:rPr>
        <w:t xml:space="preserve">ANIMALS:47 client-owned dogs.</w:t>
      </w:r>
    </w:p>
    <w:p/>
    <w:p>
      <w:pPr>
        <w:pStyle w:val="Normal"/>
      </w:pPr>
      <w:r>
        <w:rPr>
          <w:color w:val="323232"/>
        </w:rPr>
        <w:t xml:space="preserve">PROCEDURES:Right ventricular endomyocardial biopsy was performed in dogs with UMRD (dilated cardiomyopathy [n = 25], atrioventricular block [6], and nonfamilial ventricular [4] and supraventricular arrhythmias [2]) or CHD (10) that required right ventricular catheterization. Biopsy samples were evaluated histologically, and PCR assays were used for detection of nucleic acid from 12 pathogens.</w:t>
      </w:r>
    </w:p>
    <w:p/>
    <w:p>
      <w:pPr>
        <w:pStyle w:val="Normal"/>
      </w:pPr>
      <w:r>
        <w:rPr>
          <w:color w:val="323232"/>
        </w:rPr>
        <w:t xml:space="preserve">RESULTS:197 biopsy samples were collected from dogs with UMRD (n = 172) or CHD (25). At least 1 pathogen was detected in 21 of 37 (57%; 95% confidence interval [CI], 41% to 71%) dogs with UMRD, and canine coronavirus was detected in 1 of 10 (10%; 95% CI, 2% to 40%) dogs with CHD. Dogs with UMRD were significantly more likely than dogs with CHD to have pathogens detected in biopsy samples (OR, 11.8; 95% CI, 1.3 to 103.0). The most common pathogens in dogs with UMRD were canine distemper virus, canine coronavirus, canine parvovirus 2, and Bartonella spp. No pathogens were detected in available blood samples from dogs with pathogens detected in biopsy samples.</w:t>
      </w:r>
    </w:p>
    <w:p/>
    <w:p>
      <w:pPr>
        <w:pStyle w:val="Normal"/>
      </w:pPr>
      <w:r>
        <w:rPr>
          <w:color w:val="323232"/>
        </w:rPr>
        <w:t xml:space="preserve">CONCLUSIONS AND CLINICAL RELEVANCE:Detection of nucleic acids from selected cardiotropic pathogens in myocardial tissue from dogs with UMRD suggested a possible association between the 2. Further studies are needed to explore whether this association is causative or clinically important. (J Am Vet Med Assoc 2019;255:1150-1160).</w:t>
      </w:r>
    </w:p>
    <w:p/>
    <w:p>
      <w:pPr>
        <w:pStyle w:val="Normal"/>
      </w:pPr>
      <w:r>
        <w:rPr>
          <w:color w:val="323232"/>
        </w:rPr>
        <w:t xml:space="preserve">J Am Vet Med Assoc, 2019 vol. 255 (10) pp. 1150-1160.</w:t>
      </w:r>
    </w:p>
    <w:p>
      <w:r>
        <w:rPr>
          <w:rStyle w:val="Hyperlink"/>
        </w:rPr>
        <w:fldChar w:fldCharType="begin"/>
      </w:r>
      <w:r>
        <w:rPr>
          <w:rStyle w:val="Hyperlink"/>
        </w:rPr>
        <w:instrText xml:space="preserve"> HYPERLINK "http://eutils.ncbi.nlm.nih.gov/entrez/eutils/elink.fcgi?dbfrom=pubmed&amp;id=31687895&amp;retmode=ref&amp;cmd=prlinks"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http://eutils.ncbi.nlm.nih.gov/entrez/eutils/elink.fcgi?dbfrom=pubmed&amp;id=31687895&amp;retmode=ref&amp;cmd=prlinks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