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the American Veterinary Medical Association 2018</w:t>
      </w:r>
    </w:p>
    <w:p>
      <w:pPr>
        <w:pStyle w:val="Heading2"/>
      </w:pPr>
      <w:r>
        <w:t xml:space="preserve">JAVMA 2018; Vol 252-253; Issues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Outcomes in dogs with uroabdomen: 43 cases (2006-2015).</w:t>
      </w:r>
    </w:p>
    <w:p/>
    <w:p>
      <w:pPr>
        <w:pStyle w:val="Normal"/>
      </w:pPr>
      <w:r>
        <w:rPr>
          <w:color w:val="323232"/>
        </w:rPr>
        <w:t xml:space="preserve">Janet A Grimes, Jon M Fletcher, and Chad W Schmiedt.</w:t>
      </w:r>
    </w:p>
    <w:p/>
    <w:p>
      <w:pPr>
        <w:pStyle w:val="Normal"/>
      </w:pPr>
      <w:r>
        <w:rPr>
          <w:color w:val="323232"/>
        </w:rPr>
        <w:t xml:space="preserve">OBJECTIVE To determine the rate of and factors associated with survival to hospital discharge in dogs with uroabdomen. DESIGN Retrospective case series. ANIMALS 43 dogs with uroabdomen confirmed at 2 veterinary teaching hospitals from 2006 through 2015. PROCEDURES Medical records were reviewed and data extracted regarding cause and location of urinary tract rupture, serum creatinine concentration and other variables at hospital admission, and outcomes. Variables were tested for associations with survival to hospital discharge. RESULTS Urinary tract rupture occurred in the urinary bladder (n = 24 [56%]), urethra (11 [26%]), kidney (2 [5%]), ureter (1 [2%]), both the urinary bladder and kidney (1 [2%]), and undetermined sites (4 [9%]). Rupture causes included traumatic (20 [47%]), obstructive (9 [21%]), and iatrogenic (7 [16%]) or were unknown (7 [16%]). Surgery was performed for 37 (86%) dogs; the defect was identified and surgically corrected in 34 (92%) of these dogs. Hypotension was the most common intraoperative complication. Nineteen dogs had information recorded on postoperative complications, of which 10 (53%) had complications that most often included death (n = 3) and regurgitation (3). Thirty-four (79%) dogs survived to hospital discharge. Dogs with intraoperative or postoperative complications were significantly less likely to survive than dogs without complications. Serum creatinine concentration at admission was not associated with survival to discharge. CONCLUSIONS AND CLINICAL RELEVANCE A high proportion of dogs with uroabdomen survived to hospital discharge. No preoperative risk factors for nonsurvival were identified. Treatment should be recommended to owners of dogs with uroabdomen.</w:t>
      </w:r>
    </w:p>
    <w:p/>
    <w:p>
      <w:pPr>
        <w:pStyle w:val="Normal"/>
      </w:pPr>
      <w:r>
        <w:rPr>
          <w:color w:val="323232"/>
        </w:rPr>
        <w:t xml:space="preserve">J Am Vet Med Assoc, 2018 vol. 252 (1) pp. 92-97.</w:t>
      </w:r>
    </w:p>
    <w:p>
      <w:r>
        <w:rPr>
          <w:rStyle w:val="Hyperlink"/>
        </w:rPr>
        <w:fldChar w:fldCharType="begin"/>
      </w:r>
      <w:r>
        <w:rPr>
          <w:rStyle w:val="Hyperlink"/>
        </w:rPr>
        <w:instrText xml:space="preserve"> HYPERLINK "http://eutils.ncbi.nlm.nih.gov/entrez/eutils/elink.fcgi?dbfrom=pubmed&amp;id=29244609&amp;retmode=ref&amp;cmd=prlinks"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http://eutils.ncbi.nlm.nih.gov/entrez/eutils/elink.fcgi?dbfrom=pubmed&amp;id=29244609&amp;retmode=ref&amp;cmd=prlinks</w:t>
      </w:r>
      <w:r>
        <w:rPr>
          <w:rStyle w:val="Hyperlink"/>
        </w:rPr>
        <w:fldChar w:fldCharType="end"/>
      </w:r>
    </w:p>
    <w:p>
      <w:pPr>
        <w:pStyle w:val="Normal"/>
      </w:pPr>
      <w:r>
        <w:rPr>
          <w:color w:val="323232"/>
        </w:rPr>
        <w:t xml:space="preserve">————————</w:t>
      </w:r>
    </w:p>
    <w:p>
      <w:pPr>
        <w:pStyle w:val="Heading4"/>
      </w:pPr>
      <w:r>
        <w:t xml:space="preserve">Clinical signs, treatment, and prognostic factors for dogs with histoplasmosis.</w:t>
      </w:r>
    </w:p>
    <w:p/>
    <w:p>
      <w:pPr>
        <w:pStyle w:val="Normal"/>
      </w:pPr>
      <w:r>
        <w:rPr>
          <w:color w:val="323232"/>
        </w:rPr>
        <w:t xml:space="preserve">Allison G Wilson, Kate S KuKanich, Andrew S Hanzlicek, and Mark E Payton.</w:t>
      </w:r>
    </w:p>
    <w:p/>
    <w:p>
      <w:pPr>
        <w:pStyle w:val="Normal"/>
      </w:pPr>
      <w:r>
        <w:rPr>
          <w:color w:val="323232"/>
        </w:rPr>
        <w:t xml:space="preserve">OBJECTIVE To determine the clinical manifestations of histoplasmosis in a large sample of dogs, compare outcomes achieved with fluconazole versus itraconazole, and identify variables available at the time of diagnosis with prognostic value. DESIGN Retrospective case series with nested cohort study. ANIMALS 79 dogs with confirmed histoplasmosis evaluated at 2 veterinary teaching hospitals from 1999 through 2015. PROCEDURES Medical records were reviewed and data extracted regarding clinical signs at evaluation, physical examination findings, clinical laboratory values, other diagnostic test results, treatments, and outcomes. Data were compared between antifungal agents used (fluconazole or itraconazole) and between other variables. RESULTS Various breeds were represented. Working and herding breeds had mostly disseminated histoplasmosis, and toy breeds had mostly the gastrointestinal form. The diagnosis was often achieved with noninvasive techniques, such as cytologic evaluation of rectal scrape samples (n = 24) or blood films (15). Clinical remission was achieved in 16 of 25 (64%) dogs receiving fluconazole and 17 of 24 (71%) dogs receiving itraconazole. No differences were identified between antifungal agents in survival, clinical remission, or disease relapse rates. Identified negative prognostic factors included Great Pyrenees breed, dyspnea, need for oxygen supplementation, icterus, palpable abdominal organomegaly, anemia, thrombocytopenia, hypercalcemia, high serum alkaline phosphatase activity, and hyperbilirubinemia, whereas diarrhea was a positive prognostic factor. CONCLUSIONS AND CLINICAL RELEVANCE Findings suggested that histoplasmosis should be considered in a sick dog of any breed in an endemic area. Clinical signs may be nonspecific. Diagnosis may often be possible with noninvasive and inexpensive tests. Either fluconazole or itraconazole may be an effective treatment option.</w:t>
      </w:r>
    </w:p>
    <w:p/>
    <w:p>
      <w:pPr>
        <w:pStyle w:val="Normal"/>
      </w:pPr>
      <w:r>
        <w:rPr>
          <w:color w:val="323232"/>
        </w:rPr>
        <w:t xml:space="preserve">J Am Vet Med Assoc, 2018 vol. 252 (2) pp. 201-209.</w:t>
      </w:r>
    </w:p>
    <w:p>
      <w:r>
        <w:rPr>
          <w:rStyle w:val="Hyperlink"/>
        </w:rPr>
        <w:fldChar w:fldCharType="begin"/>
      </w:r>
      <w:r>
        <w:rPr>
          <w:rStyle w:val="Hyperlink"/>
        </w:rPr>
        <w:instrText xml:space="preserve"> HYPERLINK "http://eutils.ncbi.nlm.nih.gov/entrez/eutils/elink.fcgi?dbfrom=pubmed&amp;id=29319442&amp;retmode=ref&amp;cmd=prlinks"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http://eutils.ncbi.nlm.nih.gov/entrez/eutils/elink.fcgi?dbfrom=pubmed&amp;id=29319442&amp;retmode=ref&amp;cmd=prlinks</w:t>
      </w:r>
      <w:r>
        <w:rPr>
          <w:rStyle w:val="Hyperlink"/>
        </w:rPr>
        <w:fldChar w:fldCharType="end"/>
      </w:r>
    </w:p>
    <w:p>
      <w:pPr>
        <w:pStyle w:val="Normal"/>
      </w:pPr>
      <w:r>
        <w:rPr>
          <w:color w:val="323232"/>
        </w:rPr>
        <w:t xml:space="preserve">————————</w:t>
      </w:r>
    </w:p>
    <w:p>
      <w:pPr>
        <w:pStyle w:val="Heading4"/>
      </w:pPr>
      <w:r>
        <w:t xml:space="preserve">Comparison of absorption characteristics of oral reference and compounded itraconazole formulations in healthy cats.</w:t>
      </w:r>
    </w:p>
    <w:p/>
    <w:p>
      <w:pPr>
        <w:pStyle w:val="Normal"/>
      </w:pPr>
      <w:r>
        <w:rPr>
          <w:color w:val="323232"/>
        </w:rPr>
        <w:t xml:space="preserve">Dianne I Mawby, Jacqueline C Whittemore, Leanne E Fowler, and Mark G Papich.</w:t>
      </w:r>
    </w:p>
    <w:p/>
    <w:p>
      <w:pPr>
        <w:pStyle w:val="Normal"/>
      </w:pPr>
      <w:r>
        <w:rPr>
          <w:color w:val="323232"/>
        </w:rPr>
        <w:t xml:space="preserve">OBJECTIVE To compare absorption characteristics of orally administered compounded itraconazole capsules and suspension with those of reference (brand-name) formulations in healthy cats. DESIGN Randomized crossover study. ANIMALS 8 healthy adult cats. PROCEDURES After 12 hours of food withholding, cats received 50 mg of itraconazole (reference capsule, reference solution, compounded capsule, and compounded suspension) in a randomized crossover design, with a 21-day washout period. Capsules were administered with a small meal. Blood samples were collected at predetermined intervals for high-pressure liquid chromatography analysis of plasma itraconazole concentrations. Area under the concentration-time curve, maximum concentration, and terminal half-life of itraconazole were determined and compared among formulations. RESULTS 7 cats completed the study. Mean half-life of itraconazole in reference formulations was 18 to 26 hours. Absorption of the reference solution was 3 times that of the reference capsule. Compounded formulations were absorbed poorly and inconsistently. Complete pharmacokinetic results for the compounded capsule were obtained for only 3 of 6 cats and for the compounded suspension for only 1 of 5 cats, precluding bioequivalence analysis. Relative absorption of compounded formulations was only 2% to 8% of reference formulation values. CONCLUSIONS AND CLINICAL RELEVANCE Compounded oral formulations of itraconazole should not be used for cats because of poor absorption. The differences in absorption between the 2 reference formulations suggested that doses required to meet human target serum concentrations in cats are markedly different (capsules, 12.5 mg</w:t>
      </w:r>
      <w:r>
        <w:rPr>
          <w:i w:val="1"/>
          <w:color w:val="323232"/>
        </w:rPr>
        <w:t xml:space="preserve">kg [5.7 mg</w:t>
      </w:r>
      <w:r>
        <w:rPr>
          <w:color w:val="323232"/>
        </w:rPr>
        <w:t xml:space="preserve">lb], q 24 h, with food; solution, 4 mg</w:t>
      </w:r>
      <w:r>
        <w:rPr>
          <w:i w:val="1"/>
          <w:color w:val="323232"/>
        </w:rPr>
        <w:t xml:space="preserve">kg [1.8 mg</w:t>
      </w:r>
      <w:r>
        <w:rPr>
          <w:color w:val="323232"/>
        </w:rPr>
        <w:t xml:space="preserve">lb], q 24 h, without food).</w:t>
      </w:r>
    </w:p>
    <w:p/>
    <w:p>
      <w:pPr>
        <w:pStyle w:val="Normal"/>
      </w:pPr>
      <w:r>
        <w:rPr>
          <w:color w:val="323232"/>
        </w:rPr>
        <w:t xml:space="preserve">J Am Vet Med Assoc, 2018 vol. 252 (2) pp. 195-200.</w:t>
      </w:r>
    </w:p>
    <w:p>
      <w:r>
        <w:rPr>
          <w:rStyle w:val="Hyperlink"/>
        </w:rPr>
        <w:fldChar w:fldCharType="begin"/>
      </w:r>
      <w:r>
        <w:rPr>
          <w:rStyle w:val="Hyperlink"/>
        </w:rPr>
        <w:instrText xml:space="preserve"> HYPERLINK "http://eutils.ncbi.nlm.nih.gov/entrez/eutils/elink.fcgi?dbfrom=pubmed&amp;id=29319446&amp;retmode=ref&amp;cmd=prlinks"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http://eutils.ncbi.nlm.nih.gov/entrez/eutils/elink.fcgi?dbfrom=pubmed&amp;id=29319446&amp;retmode=ref&amp;cmd=prlinks</w:t>
      </w:r>
      <w:r>
        <w:rPr>
          <w:rStyle w:val="Hyperlink"/>
        </w:rPr>
        <w:fldChar w:fldCharType="end"/>
      </w:r>
    </w:p>
    <w:p>
      <w:pPr>
        <w:pStyle w:val="Normal"/>
      </w:pPr>
      <w:r>
        <w:rPr>
          <w:color w:val="323232"/>
        </w:rPr>
        <w:t xml:space="preserve">————————</w:t>
      </w:r>
    </w:p>
    <w:p>
      <w:pPr>
        <w:pStyle w:val="Heading4"/>
      </w:pPr>
      <w:r>
        <w:t xml:space="preserve">Risk factors and prognostic indicators for surgical outcome of dogs with esophageal foreign body obstructions.</w:t>
      </w:r>
    </w:p>
    <w:p/>
    <w:p>
      <w:pPr>
        <w:pStyle w:val="Normal"/>
      </w:pPr>
      <w:r>
        <w:rPr>
          <w:color w:val="323232"/>
        </w:rPr>
        <w:t xml:space="preserve">Brigitte A Brisson, Shannon H Wainberg, Sarah Malek, Stephanie Reabel, Alice Defarges, and William C Sears.</w:t>
      </w:r>
    </w:p>
    <w:p/>
    <w:p>
      <w:pPr>
        <w:pStyle w:val="Normal"/>
      </w:pPr>
      <w:r>
        <w:rPr>
          <w:color w:val="323232"/>
        </w:rPr>
        <w:t xml:space="preserve">OBJECTIVE To determine risk factors for surgical intervention, complications, and outcome in dogs with an esophageal foreign body (EFB). DESIGN Retrospective observational study. ANIMALS 224 incidents of EFB in 223 dogs evaluated at a veterinary teaching hospital from 1995 through 2014. PROCEDURES Hospital records were reviewed to collect data regarding signalment, history, clinical signs, EFB type and location, procedures, complications, and outcomes. Breed distributions were compared between dogs with EFB and the entire canine patient population during the study period. Variables were tested for associations with each other and with outcomes. RESULTS Terrier breeds were most common (71/233 [30.5%]). Duration of EFB entrapment, body weight, anorexia, lethargy, rectal temperature, and esophageal perforation were associated with the need for surgical intervention. Older age, longer duration of EFB entrapment, and perforation were associated with a poorer prognosis. Endoscopic retrieval or advancement into the stomach was successful for 183 of 219 (83.6%) EFBs, and 16 of 143 (11.2%) entrapments resulted in postprocedural esophageal stricture. Overall median duration of hospitalization was brief (1 day), and the need for surgical intervention was associated with a longer duration. Overall mortality rate was 5.4% (12/223); 90 of 102 (88.2%) dogs with a median follow-up period of 27 months after EFB treatment had an excellent outcome. CONCLUSIONS AND CLINICAL RELEVANCE Study findings suggested that endoscopic EFB retrieval remains the initial treatment option of choice for affected dogs, provided that esophageal perforation does not necessitate surgical intervention. Although esophageal stricture formation was the most common complication, the overall rate of this outcome was low.</w:t>
      </w:r>
    </w:p>
    <w:p/>
    <w:p>
      <w:pPr>
        <w:pStyle w:val="Normal"/>
      </w:pPr>
      <w:r>
        <w:rPr>
          <w:color w:val="323232"/>
        </w:rPr>
        <w:t xml:space="preserve">J Am Vet Med Assoc, 2018 vol. 252 (3) pp. 301-308.</w:t>
      </w:r>
    </w:p>
    <w:p>
      <w:r>
        <w:rPr>
          <w:rStyle w:val="Hyperlink"/>
        </w:rPr>
        <w:fldChar w:fldCharType="begin"/>
      </w:r>
      <w:r>
        <w:rPr>
          <w:rStyle w:val="Hyperlink"/>
        </w:rPr>
        <w:instrText xml:space="preserve"> HYPERLINK "http://eutils.ncbi.nlm.nih.gov/entrez/eutils/elink.fcgi?dbfrom=pubmed&amp;id=29346048&amp;retmode=ref&amp;cmd=prlinks"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http://eutils.ncbi.nlm.nih.gov/entrez/eutils/elink.fcgi?dbfrom=pubmed&amp;id=29346048&amp;retmode=ref&amp;cmd=prlinks</w:t>
      </w:r>
      <w:r>
        <w:rPr>
          <w:rStyle w:val="Hyperlink"/>
        </w:rPr>
        <w:fldChar w:fldCharType="end"/>
      </w:r>
    </w:p>
    <w:p>
      <w:pPr>
        <w:pStyle w:val="Normal"/>
      </w:pPr>
      <w:r>
        <w:rPr>
          <w:color w:val="323232"/>
        </w:rPr>
        <w:t xml:space="preserve">————————</w:t>
      </w:r>
    </w:p>
    <w:p>
      <w:pPr>
        <w:pStyle w:val="Heading4"/>
      </w:pPr>
      <w:r>
        <w:t xml:space="preserve">Intestinal lymphoma in dogs: 84 cases (1997-2012).</w:t>
      </w:r>
    </w:p>
    <w:p/>
    <w:p>
      <w:pPr>
        <w:pStyle w:val="Normal"/>
      </w:pPr>
      <w:r>
        <w:rPr>
          <w:color w:val="323232"/>
        </w:rPr>
        <w:t xml:space="preserve">Naoko Sogame, Rebecca Risbon, and Kristine E Burgess.</w:t>
      </w:r>
    </w:p>
    <w:p/>
    <w:p>
      <w:pPr>
        <w:pStyle w:val="Normal"/>
      </w:pPr>
      <w:r>
        <w:rPr>
          <w:color w:val="323232"/>
        </w:rPr>
        <w:t xml:space="preserve">OBJECTIVE To describe signalment, clinicopathologic features, and outcomes of dogs with confirmed primary intestinal lymphoma and assess factors associated with survival times in these patients. DESIGN Retrospective case series. ANIMALS 84 client-owned dogs. PROCEDURES Medical records from 7 veterinary institutions were retrospectively reviewed to identify dogs with primary intestinal lymphoma. Data collected included signalment, clinical signs, anatomic location of tumors, diagnostic procedures, treatment, outcome, and dates of diagnosis and death. RESULTS Overall median survival time (MST) was 62 days (range, 1 to 537 days). Factors associated with shorter survival time on univariate analysis included anorexia or septic peritonitis at the time of diagnosis and tumor location (intestinal tract only, intestinal tract and abdominal lymph nodes, or intestinal tract and extraintestinal organs). The most commonly noted changes in the intestinal tract were altered wall thickening with loss of layering (41 dogs) and presence of ≥ 1 discrete mass (24 dogs). Protocols based on cyclophosphamide, doxorubicin, vincristine, and prednisone with or without l-asparaginase (48 dogs) or 1-(2-chloroethyl)-3-cyclohexyl-1-nitrosourea (14 dogs) were most commonly used as first-line treatment; the MSTs of dogs receiving these treatments (60 and 144 days, respectively) did not differ significantly. CONCLUSIONS AND CLINICAL RELEVANCE The MST of dogs with primary intestinal lymphoma was poor, regardless of first-line treatment used. Anorexia and septic peritonitis were associated with poor prognosis.</w:t>
      </w:r>
    </w:p>
    <w:p/>
    <w:p>
      <w:pPr>
        <w:pStyle w:val="Normal"/>
      </w:pPr>
      <w:r>
        <w:rPr>
          <w:color w:val="323232"/>
        </w:rPr>
        <w:t xml:space="preserve">J Am Vet Med Assoc, 2018 vol. 252 (4) pp. 440-447.</w:t>
      </w:r>
    </w:p>
    <w:p>
      <w:r>
        <w:rPr>
          <w:rStyle w:val="Hyperlink"/>
        </w:rPr>
        <w:fldChar w:fldCharType="begin"/>
      </w:r>
      <w:r>
        <w:rPr>
          <w:rStyle w:val="Hyperlink"/>
        </w:rPr>
        <w:instrText xml:space="preserve"> HYPERLINK "http://eutils.ncbi.nlm.nih.gov/entrez/eutils/elink.fcgi?dbfrom=pubmed&amp;id=29393741&amp;retmode=ref&amp;cmd=prlinks"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http://eutils.ncbi.nlm.nih.gov/entrez/eutils/elink.fcgi?dbfrom=pubmed&amp;id=29393741&amp;retmode=ref&amp;cmd=prlinks</w:t>
      </w:r>
      <w:r>
        <w:rPr>
          <w:rStyle w:val="Hyperlink"/>
        </w:rPr>
        <w:fldChar w:fldCharType="end"/>
      </w:r>
    </w:p>
    <w:p>
      <w:pPr>
        <w:pStyle w:val="Normal"/>
      </w:pPr>
      <w:r>
        <w:rPr>
          <w:color w:val="323232"/>
        </w:rPr>
        <w:t xml:space="preserve">————————</w:t>
      </w:r>
    </w:p>
    <w:p>
      <w:pPr>
        <w:pStyle w:val="Heading4"/>
      </w:pPr>
      <w:r>
        <w:t xml:space="preserve">Lack of effectiveness of tramadol hydrochloride for the treatment of pain and joint dysfunction in dogs with chronic osteoarthritis.</w:t>
      </w:r>
    </w:p>
    <w:p/>
    <w:p>
      <w:pPr>
        <w:pStyle w:val="Normal"/>
      </w:pPr>
      <w:r>
        <w:rPr>
          <w:color w:val="323232"/>
        </w:rPr>
        <w:t xml:space="preserve">Steven C Budsberg, Bryan T Torres, Stephanie A Kleine, Gabriella S Sandberg, and Amanda K Berjeski.</w:t>
      </w:r>
    </w:p>
    <w:p/>
    <w:p>
      <w:pPr>
        <w:pStyle w:val="Normal"/>
      </w:pPr>
      <w:r>
        <w:rPr>
          <w:color w:val="323232"/>
        </w:rPr>
        <w:t xml:space="preserve">OBJECTIVE To investigate the effectiveness of tramadol for treatment of osteoarthritis in dogs. DESIGN Randomized, blinded, placebo-controlled crossover study. ANIMALS 40 dogs with clinical osteoarthritis of the elbow or stifle joint. PROCEDURES Dogs orally received 3 times/ d (morning, midday, and night) for a 10-day period each of 3 identically appearing treatments (placebo; carprofen at 2.2 mg</w:t>
      </w:r>
      <w:r>
        <w:rPr>
          <w:i w:val="1"/>
          <w:color w:val="323232"/>
        </w:rPr>
        <w:t xml:space="preserve">kg [1 mg</w:t>
      </w:r>
      <w:r>
        <w:rPr>
          <w:color w:val="323232"/>
        </w:rPr>
        <w:t xml:space="preserve"> lb], q 12 h [morning and night], with placebo at midday; or tramadol hydrochloride at 5 mg</w:t>
      </w:r>
      <w:r>
        <w:rPr>
          <w:i w:val="1"/>
          <w:color w:val="323232"/>
        </w:rPr>
        <w:t xml:space="preserve">kg [2.3 mg</w:t>
      </w:r>
      <w:r>
        <w:rPr>
          <w:color w:val="323232"/>
        </w:rPr>
        <w:t xml:space="preserve"> lb], q 8 h) in random order, with treatment sessions separated by a minimum 7-day washout period. Vertical ground reaction forces (vertical impulse [VI] and peak vertical force [PVF]) were measured and Canine Brief Pain Inventory (CBPI) scores assigned prior to (baseline) and at the end of each treatment period. Repeated-measures ANOVA was performed to compare VI and PVF data among and within treatments, and the χ2 test was used to compare proportions of dogs with a CBPI-defined positive response to treatment. RESULTS 35 dogs completed the study. No significant changes from baseline in VI and PVF were identified for placebo and tramadol treatments; however, these values increased significantly with carprofen treatment. Changes from baseline in VI and PVF values were significantly greater with carprofen versus placebo or tramadol treatment. A significant improvement from baseline in CBPI scores was identified with carprofen treatment but not placebo or tramadol treatment. CONCLUSIONS AND CLINICAL RELEVANCE 10 days of treatment with tramadol as administered (5 mg/kg, PO, q 8 h) provided no clinical benefit for dogs with osteoarthritis of the elbow or stifle joint.</w:t>
      </w:r>
    </w:p>
    <w:p/>
    <w:p>
      <w:pPr>
        <w:pStyle w:val="Normal"/>
      </w:pPr>
      <w:r>
        <w:rPr>
          <w:color w:val="323232"/>
        </w:rPr>
        <w:t xml:space="preserve">J Am Vet Med Assoc, 2018 vol. 252 (4) pp. 427-432.</w:t>
      </w:r>
    </w:p>
    <w:p>
      <w:r>
        <w:rPr>
          <w:rStyle w:val="Hyperlink"/>
        </w:rPr>
        <w:fldChar w:fldCharType="begin"/>
      </w:r>
      <w:r>
        <w:rPr>
          <w:rStyle w:val="Hyperlink"/>
        </w:rPr>
        <w:instrText xml:space="preserve"> HYPERLINK "http://eutils.ncbi.nlm.nih.gov/entrez/eutils/elink.fcgi?dbfrom=pubmed&amp;id=29393744&amp;retmode=ref&amp;cmd=prlinks"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http://eutils.ncbi.nlm.nih.gov/entrez/eutils/elink.fcgi?dbfrom=pubmed&amp;id=29393744&amp;retmode=ref&amp;cmd=prlinks</w:t>
      </w:r>
      <w:r>
        <w:rPr>
          <w:rStyle w:val="Hyperlink"/>
        </w:rPr>
        <w:fldChar w:fldCharType="end"/>
      </w:r>
    </w:p>
    <w:p>
      <w:pPr>
        <w:pStyle w:val="Normal"/>
      </w:pPr>
      <w:r>
        <w:rPr>
          <w:color w:val="323232"/>
        </w:rPr>
        <w:t xml:space="preserve">————————</w:t>
      </w:r>
    </w:p>
    <w:p>
      <w:pPr>
        <w:pStyle w:val="Heading4"/>
      </w:pPr>
      <w:r>
        <w:t xml:space="preserve">An online survey of small animal veterinarians regarding current fluid therapy practices in dogs and cats.</w:t>
      </w:r>
    </w:p>
    <w:p/>
    <w:p>
      <w:pPr>
        <w:pStyle w:val="Normal"/>
      </w:pPr>
      <w:r>
        <w:rPr>
          <w:color w:val="323232"/>
        </w:rPr>
        <w:t xml:space="preserve">Kate Hopper, Alejandro Garcia Rojas, and Linda Barter.</w:t>
      </w:r>
    </w:p>
    <w:p/>
    <w:p>
      <w:pPr>
        <w:pStyle w:val="Normal"/>
      </w:pPr>
      <w:r>
        <w:rPr>
          <w:color w:val="323232"/>
        </w:rPr>
        <w:t xml:space="preserve">OBJECTIVE To determine common fluid therapy practices of small animal practitioners and identify fluid therapy-related knowledge gaps that may benefit from improved educational efforts, targeted research, or both. DESIGN Online survey. SAMPLE 1,496 small animal veterinarians PROCEDURES An online survey was provided to members of the Veterinary Information Network between December 23, 2013, and January 30, 2014. The survey consisted of 24 questions investigating the administration of crystalloid and synthetic colloid solutions, but not blood products, and focused primarily on the choice of fluid type, frequency of administration, type of patient treated with fluids, treatment with fluids subcutaneously versus IV, and potassium supplementation of fluids. Only responses from practicing small animal veterinarians were included. Not all respondents answered every question, and some questions allowed &gt; 1 answer. RESULTS Balanced crystalloid solutions were the most common fluid type in all clinical scenarios described. The most common maintenance IV fluid rate reported by respondents (762/1,333 [57%]) was 60 mL</w:t>
      </w:r>
      <w:r>
        <w:rPr>
          <w:i w:val="1"/>
          <w:color w:val="323232"/>
        </w:rPr>
        <w:t xml:space="preserve">kg</w:t>
      </w:r>
      <w:r>
        <w:rPr>
          <w:color w:val="323232"/>
        </w:rPr>
        <w:t xml:space="preserve">d (27 mL/ lb/ d); calculation of fluid administration rate by means of body surface area was infrequent. Challenges of fluid therapy included determining the appropriate rate (572/1,496 [38%]) and fluid type (497/1,496 [33%]) and determining the need for potassium supplementation (229/1,496 [15%]). CONCLUSIONS AND CLINICAL RELEVANCE Small animal veterinarians tended to favor isotonic balanced crystalloid solutions for IV fluid therapy, compared with other common choices such as isotonic saline (0.9% NaCl) solution. Despite its ubiquity, respondents found many aspects of fluid therapy to be challenging, suggesting the need for easy to use, evidence-based guidelines.</w:t>
      </w:r>
    </w:p>
    <w:p/>
    <w:p>
      <w:pPr>
        <w:pStyle w:val="Normal"/>
      </w:pPr>
      <w:r>
        <w:rPr>
          <w:color w:val="323232"/>
        </w:rPr>
        <w:t xml:space="preserve">J Am Vet Med Assoc, 2018 vol. 252 (5) pp. 553-559.</w:t>
      </w:r>
    </w:p>
    <w:p>
      <w:r>
        <w:rPr>
          <w:rStyle w:val="Hyperlink"/>
        </w:rPr>
        <w:fldChar w:fldCharType="begin"/>
      </w:r>
      <w:r>
        <w:rPr>
          <w:rStyle w:val="Hyperlink"/>
        </w:rPr>
        <w:instrText xml:space="preserve"> HYPERLINK "http://eutils.ncbi.nlm.nih.gov/entrez/eutils/elink.fcgi?dbfrom=pubmed&amp;id=29461162&amp;retmode=ref&amp;cmd=prlinks"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http://eutils.ncbi.nlm.nih.gov/entrez/eutils/elink.fcgi?dbfrom=pubmed&amp;id=29461162&amp;retmode=ref&amp;cmd=prlinks</w:t>
      </w:r>
      <w:r>
        <w:rPr>
          <w:rStyle w:val="Hyperlink"/>
        </w:rPr>
        <w:fldChar w:fldCharType="end"/>
      </w:r>
    </w:p>
    <w:p>
      <w:pPr>
        <w:pStyle w:val="Normal"/>
      </w:pPr>
      <w:r>
        <w:rPr>
          <w:color w:val="323232"/>
        </w:rPr>
        <w:t xml:space="preserve">————————</w:t>
      </w:r>
    </w:p>
    <w:p>
      <w:pPr>
        <w:pStyle w:val="Heading4"/>
      </w:pPr>
      <w:r>
        <w:t xml:space="preserve">Evaluation of tramadol for treatment of osteoarthritis in geriatric cats.</w:t>
      </w:r>
    </w:p>
    <w:p/>
    <w:p>
      <w:pPr>
        <w:pStyle w:val="Normal"/>
      </w:pPr>
      <w:r>
        <w:rPr>
          <w:color w:val="323232"/>
        </w:rPr>
        <w:t xml:space="preserve">Alonso G P Guedes, Julie M Meadows, Bruno H Pypendop, and Eric G Johnson.</w:t>
      </w:r>
    </w:p>
    <w:p/>
    <w:p>
      <w:pPr>
        <w:pStyle w:val="Normal"/>
      </w:pPr>
      <w:r>
        <w:rPr>
          <w:color w:val="323232"/>
        </w:rPr>
        <w:t xml:space="preserve">OBJECTIVE To evaluate tramadol for treatment of signs of pain and impaired mobility in geriatric cats with osteoarthritis. DESIGN Randomized controlled crossover trial. ANIMALS 24 client-owned geriatric (≥ 10 years old) cats with osteoarthritis. PROCEDURES Otherwise healthy cats with owner-identified mobility impairment and clinical and radiographic evidence of osteoarthritis involving at least 1 appendicular joint were enrolled in the study. Cats were treated with tramadol orally at dosages of 0 (placebo), 1, 2, and 4 mg/ kg (0, 0.45, 0.9, and 1.8 mg/ lb) twice a day for 5 days, with a 2-day (weekend) washout period between treatments. Mobility was assessed with a collar-mounted activity monitor system, and impairments in activity were assessed with a client-completed questionnaire. RESULTS 17 cats completed the study; 7 cats were withdrawn. There was a significant increase in activity with the 2-mg/ kg dosage of tramadol, compared with activity when cats received the placebo. Significantly more owners (11/ 18) considered their cats to have improved with the 2-mg/ kg treatment, compared with all other dosages (6/19 to 8/ 21). Most owners (17/ 20 [85%]) considered their cat's global quality of life to have improved during the study. Adverse events, predominantly euphoria, dysphoria, sedation, decreased appetite, and diarrhea, were significantly more frequent with the 4-mg/ kg (8/ 19) and 2-mg/ kg (6/ 18) treatments but not with the 1-mg/ kg (2/ 21) treatment, compared with frequency of adverse events with the placebo (0/ 21). CONCLUSIONS AND CLINICAL RELEVANCE Results suggested a beneficial effect of twice-daily oral administration of tramadol at a dosage of 2 mg/ kg in geriatric cats with osteoarthritis. Adverse events were dose dependent, and caution should be exercised in cats that have concurrent disease or are receiving other drugs that may produce adverse gastrointestinal effects.</w:t>
      </w:r>
    </w:p>
    <w:p/>
    <w:p>
      <w:pPr>
        <w:pStyle w:val="Normal"/>
      </w:pPr>
      <w:r>
        <w:rPr>
          <w:color w:val="323232"/>
        </w:rPr>
        <w:t xml:space="preserve">J Am Vet Med Assoc, 2018 vol. 252 (5) pp. 565-571.</w:t>
      </w:r>
    </w:p>
    <w:p>
      <w:r>
        <w:rPr>
          <w:rStyle w:val="Hyperlink"/>
        </w:rPr>
        <w:fldChar w:fldCharType="begin"/>
      </w:r>
      <w:r>
        <w:rPr>
          <w:rStyle w:val="Hyperlink"/>
        </w:rPr>
        <w:instrText xml:space="preserve"> HYPERLINK "http://eutils.ncbi.nlm.nih.gov/entrez/eutils/elink.fcgi?dbfrom=pubmed&amp;id=29461159&amp;retmode=ref&amp;cmd=prlinks"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http://eutils.ncbi.nlm.nih.gov/entrez/eutils/elink.fcgi?dbfrom=pubmed&amp;id=29461159&amp;retmode=ref&amp;cmd=prlinks</w:t>
      </w:r>
      <w:r>
        <w:rPr>
          <w:rStyle w:val="Hyperlink"/>
        </w:rPr>
        <w:fldChar w:fldCharType="end"/>
      </w:r>
    </w:p>
    <w:p>
      <w:pPr>
        <w:pStyle w:val="Normal"/>
      </w:pPr>
      <w:r>
        <w:rPr>
          <w:color w:val="323232"/>
        </w:rPr>
        <w:t xml:space="preserve">————————</w:t>
      </w:r>
    </w:p>
    <w:p>
      <w:pPr>
        <w:pStyle w:val="Heading4"/>
      </w:pPr>
      <w:r>
        <w:t xml:space="preserve">Incidence of hospital-acquired anemia in hospitalized dogs and cats.</w:t>
      </w:r>
    </w:p>
    <w:p/>
    <w:p>
      <w:pPr>
        <w:pStyle w:val="Normal"/>
      </w:pPr>
      <w:r>
        <w:rPr>
          <w:color w:val="323232"/>
        </w:rPr>
        <w:t xml:space="preserve">Jennie L Hiratzka, Louis G Licari, and Lisa K Peters.</w:t>
      </w:r>
    </w:p>
    <w:p/>
    <w:p>
      <w:pPr>
        <w:pStyle w:val="Normal"/>
      </w:pPr>
      <w:r>
        <w:rPr>
          <w:color w:val="323232"/>
        </w:rPr>
        <w:t xml:space="preserve">OBJECTIVE To determine the incidence of hospital-acquired anemia among dogs and cats hospitalized at a private emergency and referral center and identify possible risk factors. DESIGN Prospective, observational study. ANIMALS 56 patients (46 dogs and 10 cats). PROCEDURES Patients admitted from August 2014 through March 2015 and hospitalized for ≥ 48 hours were eligible for inclusion. Hospital-acquired anemia was defined as a PCV within reference limits on admission with development of anemia during hospitalization. Packed cell volume was measured once every 24 hours, and IV fluid volumes and blood volumes removed by means of phlebotomy were recorded. RESULTS The incidence of hospital-acquired anemia for dogs and cats combined was 34% (19/56) by 24 hours, 43% (24/56) by 48 hours, and 48% (27/56) by 72 hours. The incidence of hospital-acquired anemia was 70% (7/10) in cats and 43% (20/46) in dogs. Patients that underwent surgery had an increased odds of developing hospital-acquired anemia, compared with patients that did not undergo surgery (OR, 9.79; 95% confidence interval, 1.92 to 50.0). Cumulative phlebotomy volumes &gt; 3% of total estimated blood volume significantly increased the risk of developing hospital-acquired anemia. CONCLUSIONS AND CLINICAL RELEVANCE Cumulative phlebotomy volumes &gt; 3% of total blood volume and undergoing surgery significantly increased the risk that dogs and cats would develop hospital-acquired anemia. Further investigation is warranted for early identification of small animal patients at risk for development of hospital-acquired anemia and to inform effective treatment strategies.</w:t>
      </w:r>
    </w:p>
    <w:p/>
    <w:p>
      <w:pPr>
        <w:pStyle w:val="Normal"/>
      </w:pPr>
      <w:r>
        <w:rPr>
          <w:color w:val="323232"/>
        </w:rPr>
        <w:t xml:space="preserve">J Am Vet Med Assoc, 2018 vol. 252 (5) pp. 560-564.</w:t>
      </w:r>
    </w:p>
    <w:p>
      <w:r>
        <w:rPr>
          <w:rStyle w:val="Hyperlink"/>
        </w:rPr>
        <w:fldChar w:fldCharType="begin"/>
      </w:r>
      <w:r>
        <w:rPr>
          <w:rStyle w:val="Hyperlink"/>
        </w:rPr>
        <w:instrText xml:space="preserve"> HYPERLINK "http://eutils.ncbi.nlm.nih.gov/entrez/eutils/elink.fcgi?dbfrom=pubmed&amp;id=29461167&amp;retmode=ref&amp;cmd=prlinks"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http://eutils.ncbi.nlm.nih.gov/entrez/eutils/elink.fcgi?dbfrom=pubmed&amp;id=29461167&amp;retmode=ref&amp;cmd=prlinks</w:t>
      </w:r>
      <w:r>
        <w:rPr>
          <w:rStyle w:val="Hyperlink"/>
        </w:rPr>
        <w:fldChar w:fldCharType="end"/>
      </w:r>
    </w:p>
    <w:p>
      <w:pPr>
        <w:pStyle w:val="Normal"/>
      </w:pPr>
      <w:r>
        <w:rPr>
          <w:color w:val="323232"/>
        </w:rPr>
        <w:t xml:space="preserve">————————</w:t>
      </w:r>
    </w:p>
    <w:p>
      <w:pPr>
        <w:pStyle w:val="Heading4"/>
      </w:pPr>
      <w:r>
        <w:t xml:space="preserve">Outcome of ureteral stent placement for treatment of benign ureteral obstruction in dogs: 44 cases (2010-2013).</w:t>
      </w:r>
    </w:p>
    <w:p/>
    <w:p>
      <w:pPr>
        <w:pStyle w:val="Normal"/>
      </w:pPr>
      <w:r>
        <w:rPr>
          <w:color w:val="323232"/>
        </w:rPr>
        <w:t xml:space="preserve">Philippa R Pavia, Allyson C Berent, Chick W Weisse, Dana Neiman, Kenneth Lamb, and Demetrius Bagley.</w:t>
      </w:r>
    </w:p>
    <w:p/>
    <w:p>
      <w:pPr>
        <w:pStyle w:val="Normal"/>
      </w:pPr>
      <w:r>
        <w:rPr>
          <w:color w:val="323232"/>
        </w:rPr>
        <w:t xml:space="preserve">OBJECTIVE To describe the technique and short- and long-term outcomes for dogs undergoing double-pigtail ureteral stent placement for treatment of benign ureteral obstruction. DESIGN Retrospective case series. ANIMALS 44 dogs (57 ureters). PROCEDURES Medical records of dogs that underwent ureteral stenting for treatment of benign ureteral obstruction between 2010 and 2013 were reviewed. Signal-ment, history, pertinent diagnostic imaging results, endourologic and post-procedural details, duration of hospitalization, complications, and outcome (short term, 7 to 30 days; long term, &gt; 30 days) were recorded. Ureteral stent placement was performed endoscopically, surgically, or both, with fluoroscopic guidance. RESULTS 57 ureters (44 dogs) underwent stenting because of obstructive ureterolithiasis (n = 48 [84%]), stricture (5 [9%]), or both (4 [7%]). Endoscopic or surgical techniques were successful for stent placement in 45 of 55 and 12 of 12 ureters (34/42 and 10/10 dogs), respectively. Median hospitalization time was 1 day. Median creatinine concentration was 2 mg</w:t>
      </w:r>
      <w:r>
        <w:rPr>
          <w:i w:val="1"/>
          <w:color w:val="323232"/>
        </w:rPr>
        <w:t xml:space="preserve">dL prior to stenting and 1.3 mg</w:t>
      </w:r>
      <w:r>
        <w:rPr>
          <w:color w:val="323232"/>
        </w:rPr>
        <w:t xml:space="preserve">dL 3 months after the procedure. Urinary tract infections were present in 26 of 44 (59%) dogs prior to stenting and in 11 of 43 dogs (26%) after stenting. One of the 44 (2%) dogs died after undergoing stenting, but the cause of death was not related to the procedure. Median follow-up time was 1,158 days (range, 3 to &gt; 1,555 days), with 30 of 44 dogs alive at the time of last follow-up. CONCLUSIONS AND CLINICAL RELEVANCE Results suggested that ureteral stenting may be a viable option for first-line treatment of dogs with benign ureteral obstruction. However, patients should be monitored for urinary tract infection following stenting.</w:t>
      </w:r>
    </w:p>
    <w:p/>
    <w:p>
      <w:pPr>
        <w:pStyle w:val="Normal"/>
      </w:pPr>
      <w:r>
        <w:rPr>
          <w:color w:val="323232"/>
        </w:rPr>
        <w:t xml:space="preserve">J Am Vet Med Assoc, 2018 vol. 252 (6) pp. 721-731.</w:t>
      </w:r>
    </w:p>
    <w:p>
      <w:r>
        <w:rPr>
          <w:rStyle w:val="Hyperlink"/>
        </w:rPr>
        <w:fldChar w:fldCharType="begin"/>
      </w:r>
      <w:r>
        <w:rPr>
          <w:rStyle w:val="Hyperlink"/>
        </w:rPr>
        <w:instrText xml:space="preserve"> HYPERLINK "http://eutils.ncbi.nlm.nih.gov/entrez/eutils/elink.fcgi?dbfrom=pubmed&amp;id=29504861&amp;retmode=ref&amp;cmd=prlinks"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http://eutils.ncbi.nlm.nih.gov/entrez/eutils/elink.fcgi?dbfrom=pubmed&amp;id=29504861&amp;retmode=ref&amp;cmd=prlinks</w:t>
      </w:r>
      <w:r>
        <w:rPr>
          <w:rStyle w:val="Hyperlink"/>
        </w:rPr>
        <w:fldChar w:fldCharType="end"/>
      </w:r>
    </w:p>
    <w:p>
      <w:pPr>
        <w:pStyle w:val="Normal"/>
      </w:pPr>
      <w:r>
        <w:rPr>
          <w:color w:val="323232"/>
        </w:rPr>
        <w:t xml:space="preserve">————————</w:t>
      </w:r>
    </w:p>
    <w:p>
      <w:pPr>
        <w:pStyle w:val="Heading4"/>
      </w:pPr>
      <w:r>
        <w:t xml:space="preserve">Survival analysis to evaluate associations between periodontal disease and the risk of development of chronic azotemic kidney disease in cats evaluated at primary care veterinary hospitals.</w:t>
      </w:r>
    </w:p>
    <w:p/>
    <w:p>
      <w:pPr>
        <w:pStyle w:val="Normal"/>
      </w:pPr>
      <w:r>
        <w:rPr>
          <w:color w:val="323232"/>
        </w:rPr>
        <w:t xml:space="preserve">Rosalie T Trevejo, Sandra L Lefebvre, Mingyin Yang, Catherine Rhoads, Gary Goldstein, and Elizabeth M Lund.</w:t>
      </w:r>
    </w:p>
    <w:p/>
    <w:p>
      <w:pPr>
        <w:pStyle w:val="Normal"/>
      </w:pPr>
      <w:r>
        <w:rPr>
          <w:color w:val="323232"/>
        </w:rPr>
        <w:t xml:space="preserve">OBJECTIVE To examine potential associations between periodontal disease (PD) and the risk of development of chronic azotemic kidney disease (CKD) among cats and determine whether the risk of CKD increases with severity of PD. DESIGN Retrospective cohort study. ANIMALS 169, 242 cats. PROCEDURES Cats were evaluated ≥ 3 times at any of 829 hospitals from January 1, 2002, through June 30, 2013. Cats with an initial diagnosis of PD of any stage (n = 56,414) were frequency matched with cats that had no history or evidence of PD (112,828) by age and year of study entry. Data on signalment, PD, and other conditions potentially related to CKD were extracted from electronic medical records. Cox proportional hazards modeling was used to estimate the association of PD with CKD after controlling for covariates. RESULTS PD was associated with increased risk of CKD; risk was highest for cats with stage 3 or 4 PD. Risk of CKD increased with age. Purebred cats had greater risk of CKD than mixed-breed cats. General anesthesia within the year before study exit and diagnosis of cystitis at any point prior to study exit (including prior to study entry) were each associated with increased CKD risk. Diagnosis of diabetes mellitus or hepatic lipidosis at any point prior to study exit was associated with decreased CKD risk. CONCLUSIONS AND CLINICAL RELEVANCE The findings supported the benefit of maintaining good oral health and can be useful to veterinarians for educating owners on the importance of preventing PD in cats.</w:t>
      </w:r>
    </w:p>
    <w:p/>
    <w:p>
      <w:pPr>
        <w:pStyle w:val="Normal"/>
      </w:pPr>
      <w:r>
        <w:rPr>
          <w:color w:val="323232"/>
        </w:rPr>
        <w:t xml:space="preserve">J Am Vet Med Assoc, 2018 vol. 252 (6) pp. 710-720.</w:t>
      </w:r>
    </w:p>
    <w:p>
      <w:r>
        <w:rPr>
          <w:rStyle w:val="Hyperlink"/>
        </w:rPr>
        <w:fldChar w:fldCharType="begin"/>
      </w:r>
      <w:r>
        <w:rPr>
          <w:rStyle w:val="Hyperlink"/>
        </w:rPr>
        <w:instrText xml:space="preserve"> HYPERLINK "http://eutils.ncbi.nlm.nih.gov/entrez/eutils/elink.fcgi?dbfrom=pubmed&amp;id=29504859&amp;retmode=ref&amp;cmd=prlinks"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http://eutils.ncbi.nlm.nih.gov/entrez/eutils/elink.fcgi?dbfrom=pubmed&amp;id=29504859&amp;retmode=ref&amp;cmd=prlinks</w:t>
      </w:r>
      <w:r>
        <w:rPr>
          <w:rStyle w:val="Hyperlink"/>
        </w:rPr>
        <w:fldChar w:fldCharType="end"/>
      </w:r>
    </w:p>
    <w:p>
      <w:pPr>
        <w:pStyle w:val="Normal"/>
      </w:pPr>
      <w:r>
        <w:rPr>
          <w:color w:val="323232"/>
        </w:rPr>
        <w:t xml:space="preserve">————————</w:t>
      </w:r>
    </w:p>
    <w:p>
      <w:pPr>
        <w:pStyle w:val="Heading4"/>
      </w:pPr>
      <w:r>
        <w:t xml:space="preserve">Reliability of interpretation of neurologic examination findings for the localization of vestibular dysfunction in dogs.</w:t>
      </w:r>
    </w:p>
    <w:p/>
    <w:p>
      <w:pPr>
        <w:pStyle w:val="Normal"/>
      </w:pPr>
      <w:r>
        <w:rPr>
          <w:color w:val="323232"/>
        </w:rPr>
        <w:t xml:space="preserve">C Elizabeth Boudreau, Carlos E Dominguez, Jonathan M Levine, Joseph Mankin, Kimberly M Anderson, Andra K Voges, and Geoffrey T Fosgate.</w:t>
      </w:r>
    </w:p>
    <w:p/>
    <w:p>
      <w:pPr>
        <w:pStyle w:val="Normal"/>
      </w:pPr>
      <w:r>
        <w:rPr>
          <w:color w:val="323232"/>
        </w:rPr>
        <w:t xml:space="preserve">OBJECTIVE To estimate reliability of interpretation of neurologic examination findings for localization of vestibular dysfunction in dogs. DESIGN Cross-sectional study. ANIMALS 496 dogs that underwent MRI of the head for diagnosis of a neurologic problem between September 2011 and September 2015. PROCEDURES Medical records were reviewed and data collected regarding signalment and neurologic examination, MRI, and CSF findings. Independent observers interpreted the findings, and agreement was assessed for a subset of dogs. Distributions of variables were compared between dogs with and without a neurologic findings-based interpretation of vestibular disease. RESULTS 37% (185/496) of dogs had signs of vestibular dysfunction, of which 82% (151/185) had MRI abnormalities. In 73% (110/151) of dogs with MRI abnormalities, lesions involved central vestibular structures, and in 19% (29/151), lesions involved peripheral vestibular structures. On the basis of neurologic findings interpretation, 86% (160/185) of dogs were classified as having central vestibular dysfunction, and 61% (98/160) of these had an MRI-identified central vestibular lesion. Agreement among 3 independent observers was good (κ = 0.72) regarding use of neurologic examination findings to diagnose central versus peripheral vestibular dysfunction and very good (κ = 0.85) regarding use of MRI to diagnose peripheral vestibular lesions. Despite this agreement, only 29% (7/24) of dogs with a consensus clinical interpretation of peripheral vestibular dysfunction had MRI-identified peripheral lesions. CONCLUSIONS AND CLINICAL RELEVANCE Although interobserver agreement was good for distinguishing central from peripheral vestibular dysfunction in dogs through interpretation of neurologic examination findings, this interpretation did not agree with the MRI-based diagnosis.</w:t>
      </w:r>
    </w:p>
    <w:p/>
    <w:p>
      <w:pPr>
        <w:pStyle w:val="Normal"/>
      </w:pPr>
      <w:r>
        <w:rPr>
          <w:color w:val="323232"/>
        </w:rPr>
        <w:t xml:space="preserve">J Am Vet Med Assoc, 2018 vol. 252 (7) pp. 830-838.</w:t>
      </w:r>
    </w:p>
    <w:p>
      <w:r>
        <w:rPr>
          <w:rStyle w:val="Hyperlink"/>
        </w:rPr>
        <w:fldChar w:fldCharType="begin"/>
      </w:r>
      <w:r>
        <w:rPr>
          <w:rStyle w:val="Hyperlink"/>
        </w:rPr>
        <w:instrText xml:space="preserve"> HYPERLINK "http://eutils.ncbi.nlm.nih.gov/entrez/eutils/elink.fcgi?dbfrom=pubmed&amp;id=29553894&amp;retmode=ref&amp;cmd=prlinks"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http://eutils.ncbi.nlm.nih.gov/entrez/eutils/elink.fcgi?dbfrom=pubmed&amp;id=29553894&amp;retmode=ref&amp;cmd=prlinks</w:t>
      </w:r>
      <w:r>
        <w:rPr>
          <w:rStyle w:val="Hyperlink"/>
        </w:rPr>
        <w:fldChar w:fldCharType="end"/>
      </w:r>
    </w:p>
    <w:p>
      <w:pPr>
        <w:pStyle w:val="Normal"/>
      </w:pPr>
      <w:r>
        <w:rPr>
          <w:color w:val="323232"/>
        </w:rPr>
        <w:t xml:space="preserve">————————</w:t>
      </w:r>
    </w:p>
    <w:p>
      <w:pPr>
        <w:pStyle w:val="Heading4"/>
      </w:pPr>
      <w:r>
        <w:t xml:space="preserve">Outcome of elective cholecystectomy for the treatment of gallbladder disease in dogs.</w:t>
      </w:r>
    </w:p>
    <w:p/>
    <w:p>
      <w:pPr>
        <w:pStyle w:val="Normal"/>
      </w:pPr>
      <w:r>
        <w:rPr>
          <w:color w:val="323232"/>
        </w:rPr>
        <w:t xml:space="preserve">Gabina Youn, Michelle J Waschak, Kevin A R Kunkel, and Patrick D Gerard.</w:t>
      </w:r>
    </w:p>
    <w:p/>
    <w:p>
      <w:pPr>
        <w:pStyle w:val="Normal"/>
      </w:pPr>
      <w:r>
        <w:rPr>
          <w:color w:val="323232"/>
        </w:rPr>
        <w:t xml:space="preserve">OBJECTIVE To determine mortality rates for dogs undergoing cholecystectomy and variables associated with failure to survive to hospital discharge. DESIGN Retrospective cohort study. ANIMALS 70 dogs that underwent cholecystectomy for biliary tract disease at a companion animal referral hospital from 2009 through 2015. PROCEDURES Medical records of dogs were reviewed and data collected; dogs with biliary diversion surgery were excluded. Included dogs were grouped by whether cholecystectomy had been elective (ie, dogs with no or mild clinical signs, with no indication of biliary obstruction, or that initially underwent surgery for a different procedure) or nonelective (ie, dogs with icterus and questionable patency of the biliary system). Mortality rates (proportions of dogs that failed to survive to hospital discharge) were compared between various groups. RESULTS 45 (64%) dogs were included in the elective group and 25 (36%) in the nonelective group. Group mortality rates were 2% (1/45) and 20% (5/25), respectively, and differed significantly. Overall mortality rate was 9% (6/70). Serum albumin concentration was significantly lower and serum alanine aminotransferase activity and total bilirubin concentration were significantly higher in nonsurviving versus surviving dogs. Dogs with vomiting, signs of lethargy or anorexia, icterus, or azotemia were less likely to survive than dogs without these signs. CONCLUSIONS AND CLINICAL RELEVANCE Dogs that underwent elective cholecystectomy had a considerably lower mortality rate than previously reported. Elective cholecystectomy may be an appropriate recommendation for dogs with early signs of biliary disease to avoid the greater mortality rate associated with more advanced disease and nonelective cholecystectomy.</w:t>
      </w:r>
    </w:p>
    <w:p/>
    <w:p>
      <w:pPr>
        <w:pStyle w:val="Normal"/>
      </w:pPr>
      <w:r>
        <w:rPr>
          <w:color w:val="323232"/>
        </w:rPr>
        <w:t xml:space="preserve">J Am Vet Med Assoc, 2018 vol. 252 (8) pp. 970-975.</w:t>
      </w:r>
    </w:p>
    <w:p>
      <w:r>
        <w:rPr>
          <w:rStyle w:val="Hyperlink"/>
        </w:rPr>
        <w:fldChar w:fldCharType="begin"/>
      </w:r>
      <w:r>
        <w:rPr>
          <w:rStyle w:val="Hyperlink"/>
        </w:rPr>
        <w:instrText xml:space="preserve"> HYPERLINK "http://eutils.ncbi.nlm.nih.gov/entrez/eutils/elink.fcgi?dbfrom=pubmed&amp;id=29595398&amp;retmode=ref&amp;cmd=prlinks"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http://eutils.ncbi.nlm.nih.gov/entrez/eutils/elink.fcgi?dbfrom=pubmed&amp;id=29595398&amp;retmode=ref&amp;cmd=prlinks</w:t>
      </w:r>
      <w:r>
        <w:rPr>
          <w:rStyle w:val="Hyperlink"/>
        </w:rPr>
        <w:fldChar w:fldCharType="end"/>
      </w:r>
    </w:p>
    <w:p>
      <w:pPr>
        <w:pStyle w:val="Normal"/>
      </w:pPr>
      <w:r>
        <w:rPr>
          <w:color w:val="323232"/>
        </w:rPr>
        <w:t xml:space="preserve">————————</w:t>
      </w:r>
    </w:p>
    <w:p>
      <w:pPr>
        <w:pStyle w:val="Heading4"/>
      </w:pPr>
      <w:r>
        <w:t xml:space="preserve">Outcomes of and risk factors for presumed canine H3N2 influenza virus infection in a metropolitan outbreak.</w:t>
      </w:r>
    </w:p>
    <w:p/>
    <w:p>
      <w:pPr>
        <w:pStyle w:val="Normal"/>
      </w:pPr>
      <w:r>
        <w:rPr>
          <w:color w:val="323232"/>
        </w:rPr>
        <w:t xml:space="preserve">Danielle Dunn, Kate E Creevy, and Paula M Krimer.</w:t>
      </w:r>
    </w:p>
    <w:p/>
    <w:p>
      <w:pPr>
        <w:pStyle w:val="Normal"/>
      </w:pPr>
      <w:r>
        <w:rPr>
          <w:color w:val="323232"/>
        </w:rPr>
        <w:t xml:space="preserve">OBJECTIVE To determine clinical signs, case fatality rate, and factors associated with positive results of PCR testing for canine influenza virus (CIV) in dogs during an H3N2 CIV outbreak in the Atlanta area. DESIGN Cross-sectional study. ANIMALS 220 dogs with a nasal swab specimen submitted to an Atlanta-area diagnostic laboratory between May 1 and July 2, 2015, for PCR assay detection of CIV specifically or CIV and 5 other respiratory pathogens. PROCEDURES Veterinarians of tested dogs were surveyed by various means to collect information regarding clinical signs, survival status at the time of survey completion, vaccination history (≤ 12 months prior to testing), and travel history (≤ 2 months prior to testing). Data were compared between CIV-positive and CIV-negative dogs. RESULTS Surveys for 120 (55%) dogs were completed. Forty (33%) of these dogs had positive results of CIV testing. No significant differences were identified between CIV-positive and CIV-negative dogs regarding breed, sex, reproductive status, duration of clinical signs prior to testing, other dogs in the household, or travel history. When other factors were controlled for, CIV-positive dogs were more likely to be adult (&gt; 1 year of age) than juvenile (≤ 1 year of age) and to be inappetent. Only 1 (3%) CIV-positive dog died during the study period (shortly after it was evaluated because of respiratory signs). CONCLUSIONS AND CLINICAL RELEVANCE From May 1 to July 2, 2015, the reported clinical signs of dogs tested during the Georgia H3N2 CIV outbreak were similar to those reported for dogs with H3N8 CIV infection, and the case fatality rate was low.</w:t>
      </w:r>
    </w:p>
    <w:p/>
    <w:p>
      <w:pPr>
        <w:pStyle w:val="Normal"/>
      </w:pPr>
      <w:r>
        <w:rPr>
          <w:color w:val="323232"/>
        </w:rPr>
        <w:t xml:space="preserve">J Am Vet Med Assoc, 2018 vol. 252 (8) pp. 959-965.</w:t>
      </w:r>
    </w:p>
    <w:p>
      <w:r>
        <w:rPr>
          <w:rStyle w:val="Hyperlink"/>
        </w:rPr>
        <w:fldChar w:fldCharType="begin"/>
      </w:r>
      <w:r>
        <w:rPr>
          <w:rStyle w:val="Hyperlink"/>
        </w:rPr>
        <w:instrText xml:space="preserve"> HYPERLINK "http://eutils.ncbi.nlm.nih.gov/entrez/eutils/elink.fcgi?dbfrom=pubmed&amp;id=29595386&amp;retmode=ref&amp;cmd=prlinks"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http://eutils.ncbi.nlm.nih.gov/entrez/eutils/elink.fcgi?dbfrom=pubmed&amp;id=29595386&amp;retmode=ref&amp;cmd=prlinks</w:t>
      </w:r>
      <w:r>
        <w:rPr>
          <w:rStyle w:val="Hyperlink"/>
        </w:rPr>
        <w:fldChar w:fldCharType="end"/>
      </w:r>
    </w:p>
    <w:p>
      <w:pPr>
        <w:pStyle w:val="Normal"/>
      </w:pPr>
      <w:r>
        <w:rPr>
          <w:color w:val="323232"/>
        </w:rPr>
        <w:t xml:space="preserve">————————</w:t>
      </w:r>
    </w:p>
    <w:p>
      <w:pPr>
        <w:pStyle w:val="Heading4"/>
      </w:pPr>
      <w:r>
        <w:t xml:space="preserve">Development and psychometric testing of the Canine Owner-Reported Quality of Life questionnaire, an instrument designed to measure quality of life in dogs with cancer.</w:t>
      </w:r>
    </w:p>
    <w:p/>
    <w:p>
      <w:pPr>
        <w:pStyle w:val="Normal"/>
      </w:pPr>
      <w:r>
        <w:rPr>
          <w:color w:val="323232"/>
        </w:rPr>
        <w:t xml:space="preserve">Michelle A Giuffrida, Dorothy Cimino Brown, Susan S Ellenberg, and John T Farrar.</w:t>
      </w:r>
    </w:p>
    <w:p/>
    <w:p>
      <w:pPr>
        <w:pStyle w:val="Normal"/>
      </w:pPr>
      <w:r>
        <w:rPr>
          <w:color w:val="323232"/>
        </w:rPr>
        <w:t xml:space="preserve">OBJECTIVE To describe development and initial psychometric testing of an owner-reported questionnaire designed to standardize measurement of general quality of life (QOL) in dogs with cancer. DESIGN Key-informant interviews, questionnaire development, and field trial. SAMPLE Owners of 25 dogs with cancer for item development and pretesting and owners of 90 dogs with cancer for reliability and validity testing. PROCEDURES Standard methods for development and testing of questionnaire instruments intended to measure subjective states were used. Items were generated, selected, scaled, and pretested for content, meaning, and readability. Response items were evaluated with exploratory factor analysis and by assessing internal consistency (Cronbach α) and convergence with global QOL as determined with a visual analog scale. Preliminary tests of stability and responsiveness were performed. RESULTS The final questionnaire-which was named the Canine Owner-Reported Quality of Life (CORQ) questionnaire-contained 17 items related to observable behaviors commonly used by owners to evaluate QOL in their dogs. Several items pertaining to physical symptoms performed poorly and were omitted. The 17 items were assigned to 4 factors-vitality, companionship, pain, and mobility-on the basis of the items they contained. The CORQ questionnaire and its factors had high internal consistency (Cronbach α = 0.68 to 0.90) and moderate to strong correlations (r = 0.49 to 0.71) with global QOL as measured on a visual analog scale. Preliminary testing indicated good test-retest reliability and responsiveness to improvements in overall QOL. CONCLUSIONS AND CLINICAL RELEVANCE The CORQ questionnaire was a valid, reliable owner-reported questionnaire that measured general QOL in dogs with cancer and showed promise as a clinical trial outcome measure for quantifying changes in individual dog QOL occurring in response to cancer treatment and progression.</w:t>
      </w:r>
    </w:p>
    <w:p/>
    <w:p>
      <w:pPr>
        <w:pStyle w:val="Normal"/>
      </w:pPr>
      <w:r>
        <w:rPr>
          <w:color w:val="323232"/>
        </w:rPr>
        <w:t xml:space="preserve">J Am Vet Med Assoc, 2018 vol. 252 (9) pp. 1073-1083.</w:t>
      </w:r>
    </w:p>
    <w:p>
      <w:r>
        <w:rPr>
          <w:rStyle w:val="Hyperlink"/>
        </w:rPr>
        <w:fldChar w:fldCharType="begin"/>
      </w:r>
      <w:r>
        <w:rPr>
          <w:rStyle w:val="Hyperlink"/>
        </w:rPr>
        <w:instrText xml:space="preserve"> HYPERLINK "http://eutils.ncbi.nlm.nih.gov/entrez/eutils/elink.fcgi?dbfrom=pubmed&amp;id=29641337&amp;retmode=ref&amp;cmd=prlinks"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http://eutils.ncbi.nlm.nih.gov/entrez/eutils/elink.fcgi?dbfrom=pubmed&amp;id=29641337&amp;retmode=ref&amp;cmd=prlinks</w:t>
      </w:r>
      <w:r>
        <w:rPr>
          <w:rStyle w:val="Hyperlink"/>
        </w:rPr>
        <w:fldChar w:fldCharType="end"/>
      </w:r>
    </w:p>
    <w:p>
      <w:pPr>
        <w:pStyle w:val="Normal"/>
      </w:pPr>
      <w:r>
        <w:rPr>
          <w:color w:val="323232"/>
        </w:rPr>
        <w:t xml:space="preserve">————————</w:t>
      </w:r>
    </w:p>
    <w:p>
      <w:pPr>
        <w:pStyle w:val="Heading4"/>
      </w:pPr>
      <w:r>
        <w:t xml:space="preserve">Effects of milbemycin oxime, combined with spinosad, when administered orally to microfilaremic dogs infected with adult heartworms (Dirofilaria immitis).</w:t>
      </w:r>
    </w:p>
    <w:p/>
    <w:p>
      <w:pPr>
        <w:pStyle w:val="Normal"/>
      </w:pPr>
      <w:r>
        <w:rPr>
          <w:color w:val="323232"/>
        </w:rPr>
        <w:t xml:space="preserve">Tyre Grant, Scott Wiseman, and Daniel E Snyder.</w:t>
      </w:r>
    </w:p>
    <w:p/>
    <w:p>
      <w:pPr>
        <w:pStyle w:val="Normal"/>
      </w:pPr>
      <w:r>
        <w:rPr>
          <w:color w:val="323232"/>
        </w:rPr>
        <w:t xml:space="preserve">OBJECTIVE To evaluate the safety of PO administration of a milbemycin oxime (MBO) and spinosad product to heartworm (Dirofilaria immitis)-positive microfilaremic dogs. DESIGN Randomized, blinded, complete block trial. ANIMALS 32 purebred Beagles with a patent heartworm infection. PROCEDURES Dogs ranked by sex and microfilaria counts (range, 398 to 1,980 microfilaria</w:t>
      </w:r>
      <w:r>
        <w:rPr>
          <w:i w:val="1"/>
          <w:color w:val="323232"/>
        </w:rPr>
        <w:t xml:space="preserve">mL) were assigned to 4 groups of 8 to receive 3 treatments PO at 28-day intervals beginning on day 0: placebo (control group) or spinosad-MBO tablets containing MBO at the upper end of the label dose range (0.75 to 1 mg</w:t>
      </w:r>
      <w:r>
        <w:rPr>
          <w:color w:val="323232"/>
        </w:rPr>
        <w:t xml:space="preserve">kg [0.34 to 0.45 mg/lb]; 1× group) or 3 (3× group) or 5 (5× group) times that dose. Blood samples were collected at various points for adult heartworm antigen and Knott tests. Necropsies were performed on day 65, and recovered adult heartworms were counted. RESULTS 1 control dog died from heartworm-associated complications. Other adverse events included mild, transient emesis (1 dog in each of the 1× and 5× groups and 3 dogs in the 3× group). Similar adult heartworm counts (range, 13 to 41) were obtained for all 4 groups. Results of blood antigen and microfilaria tests were positive throughout the study, with 1 exception in each of the 3× and 5× groups. Mean microfilaria counts increased with time in the control group, whereas reductions from baseline in treated groups ranged from 61.5% to 96.4%. CONCLUSIONS AND CLINICAL RELEVANCE The evaluated MBO-spinosad formulation caused no severe adverse events when administered PO to microfilaremic dogs. Although microfilaria counts decreased following treatment, repeated monthly MBO treatments were incompletely microfilaricidal, suggesting MBO should not be used as a microfilaricide.</w:t>
      </w:r>
    </w:p>
    <w:p/>
    <w:p>
      <w:pPr>
        <w:pStyle w:val="Normal"/>
      </w:pPr>
      <w:r>
        <w:rPr>
          <w:color w:val="323232"/>
        </w:rPr>
        <w:t xml:space="preserve">J Am Vet Med Assoc, 2018 vol. 252 (9) pp. 1084-1089.</w:t>
      </w:r>
    </w:p>
    <w:p>
      <w:r>
        <w:rPr>
          <w:rStyle w:val="Hyperlink"/>
        </w:rPr>
        <w:fldChar w:fldCharType="begin"/>
      </w:r>
      <w:r>
        <w:rPr>
          <w:rStyle w:val="Hyperlink"/>
        </w:rPr>
        <w:instrText xml:space="preserve"> HYPERLINK "http://eutils.ncbi.nlm.nih.gov/entrez/eutils/elink.fcgi?dbfrom=pubmed&amp;id=29641338&amp;retmode=ref&amp;cmd=prlinks"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http://eutils.ncbi.nlm.nih.gov/entrez/eutils/elink.fcgi?dbfrom=pubmed&amp;id=29641338&amp;retmode=ref&amp;cmd=prlinks</w:t>
      </w:r>
      <w:r>
        <w:rPr>
          <w:rStyle w:val="Hyperlink"/>
        </w:rPr>
        <w:fldChar w:fldCharType="end"/>
      </w:r>
    </w:p>
    <w:p>
      <w:pPr>
        <w:pStyle w:val="Normal"/>
      </w:pPr>
      <w:r>
        <w:rPr>
          <w:color w:val="323232"/>
        </w:rPr>
        <w:t xml:space="preserve">————————</w:t>
      </w:r>
    </w:p>
    <w:p>
      <w:pPr>
        <w:pStyle w:val="Heading4"/>
      </w:pPr>
      <w:r>
        <w:t xml:space="preserve">Effects of therapeutic plasma exchange on serum immunoglobulin concentrations in a dog with refractory immune-mediated hemolytic anemia.</w:t>
      </w:r>
    </w:p>
    <w:p/>
    <w:p>
      <w:pPr>
        <w:pStyle w:val="Normal"/>
      </w:pPr>
      <w:r>
        <w:rPr>
          <w:color w:val="323232"/>
        </w:rPr>
        <w:t xml:space="preserve">Alyssa M Scagnelli, Stuart A Walton, Chin-Chi Liu, and Mark J Acierno.</w:t>
      </w:r>
    </w:p>
    <w:p/>
    <w:p>
      <w:pPr>
        <w:pStyle w:val="Normal"/>
      </w:pPr>
      <w:r>
        <w:rPr>
          <w:color w:val="323232"/>
        </w:rPr>
        <w:t xml:space="preserve">CASE DESCRIPTION A 9-year-old 8.3-kg (18.3-lb) neutered male Miniature Schnauzer was referred for diagnosis and treatment of a sudden onset of lethargy, anorexia, vomiting, and pallor. CLINICAL FINDINGS On physical examination, the dog was lethargic with pale mucous membranes and a capillary refill time ≥ 2 seconds. Skin and sclera were mildly icteric. Signs of pain were elicited during abdominal palpation, and an enlarged spleen was noted. Results of agglutination testing and cytologic findings were consistent with immune-mediated hemolytic anemia (IMHA). No contributing factors for development of IMHA were identified. TREATMENT AND OUTCOME Initial treatment included management with immunosuppressant medications. Three packed RBC transfusions were administered, but clinical signs continued to progress. Therefore, therapeutic plasma exchange (TPE) was performed 5 and 9 days after admission. Following each TPE procedure, the dog had an appreciable clinical improvement and decrease in RBC autoagglutination, and the Hct stabilized. Serum IgG and IgM concentrations were measured during and after both TPE procedures. Despite anticoagulative treatment, the dog developed a thrombus in the splenic vein, necessitating a splenectomy. CLINICAL RELEVANCE The decrease and rebound in serum IgG and IgM concentrations following TPE provided evidence that TPE may have the same immunomodulatory effects in dogs as have been proposed to occur in people. Further, findings suggested that TPE may be a useful alternative in dogs with refractory IMHA when traditional treatments fail.</w:t>
      </w:r>
    </w:p>
    <w:p/>
    <w:p>
      <w:pPr>
        <w:pStyle w:val="Normal"/>
      </w:pPr>
      <w:r>
        <w:rPr>
          <w:color w:val="323232"/>
        </w:rPr>
        <w:t xml:space="preserve">J Am Vet Med Assoc, 2018 vol. 252 (9) pp. 1108-1112.</w:t>
      </w:r>
    </w:p>
    <w:p>
      <w:r>
        <w:rPr>
          <w:rStyle w:val="Hyperlink"/>
        </w:rPr>
        <w:fldChar w:fldCharType="begin"/>
      </w:r>
      <w:r>
        <w:rPr>
          <w:rStyle w:val="Hyperlink"/>
        </w:rPr>
        <w:instrText xml:space="preserve"> HYPERLINK "http://eutils.ncbi.nlm.nih.gov/entrez/eutils/elink.fcgi?dbfrom=pubmed&amp;id=29641335&amp;retmode=ref&amp;cmd=prlinks"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http://eutils.ncbi.nlm.nih.gov/entrez/eutils/elink.fcgi?dbfrom=pubmed&amp;id=29641335&amp;retmode=ref&amp;cmd=prlinks</w:t>
      </w:r>
      <w:r>
        <w:rPr>
          <w:rStyle w:val="Hyperlink"/>
        </w:rPr>
        <w:fldChar w:fldCharType="end"/>
      </w:r>
    </w:p>
    <w:p>
      <w:pPr>
        <w:pStyle w:val="Normal"/>
      </w:pPr>
      <w:r>
        <w:rPr>
          <w:color w:val="323232"/>
        </w:rPr>
        <w:t xml:space="preserve">————————</w:t>
      </w:r>
    </w:p>
    <w:p>
      <w:pPr>
        <w:pStyle w:val="Heading4"/>
      </w:pPr>
      <w:r>
        <w:t xml:space="preserve">Perioperative mortality rate and risk factors for death in dogs undergoing surgery for treatment of thoracic trauma: 157 cases (1990-2014).</w:t>
      </w:r>
    </w:p>
    <w:p/>
    <w:p>
      <w:pPr>
        <w:pStyle w:val="Normal"/>
      </w:pPr>
      <w:r>
        <w:rPr>
          <w:color w:val="323232"/>
        </w:rPr>
        <w:t xml:space="preserve">Cassie N Lux, William T N Culp, Matthew S Mellema, Desiree D Rosselli, Chad W Schmiedt, Ameet Singh, April Haynes, Emily Schoenrock, Laura E Selmic, Heidi Phillips, Milan Milovancev, Philipp D Mayhew, and Dorothy C Brown.</w:t>
      </w:r>
    </w:p>
    <w:p/>
    <w:p>
      <w:pPr>
        <w:pStyle w:val="Normal"/>
      </w:pPr>
      <w:r>
        <w:rPr>
          <w:color w:val="323232"/>
        </w:rPr>
        <w:t xml:space="preserve">OBJECTIVE To determine perioperative mortality rate and identify risk factors associated with outcome in dogs with thoracic trauma that underwent surgical procedures and to evaluate the utility of the animal trauma triage (ATT) score in predicting outcome. DESIGN Retrospective case series. ANIMALS 157 client-owned dogs. PROCEDURES Medical records databases of 7 veterinary teaching hospitals were reviewed. Dogs were included if trauma to the thorax was documented and the patient underwent a surgical procedure. History, signalment, results of physical examination and preoperative laboratory tests, surgical procedure, perioperative complications, duration of hospital stay, and details of follow-up were recorded. Descriptive statistics and ATT scores were calculated, and logistic regression analysis was performed. RESULTS 123 of 157 (78%) patients underwent thoracic surgery, and 134 of 157 (85.4%) survived to discharge. Mean ± SD ATT score for nonsurvivors was 8 ± 2.4. In the multivariable model, female dogs and dogs that did not experience cardiac arrest as a postoperative complication had odds of survival 6 times and 102 times, respectively, those of male dogs and dogs that did experience cardiac arrest as a postoperative complication. Additionally, patients with a mean ATT score &lt; 7 had odds of survival 5 times those of patients with an ATT score ≥ 7. CONCLUSIONS AND CLINICAL RELEVANCE The overall perioperative mortality rate was low for patients with thoracic trauma undergoing surgery in this study. However, male dogs and dogs that experienced cardiac arrest had a lower likelihood of survival to discharge. The ATT score may be a useful adjunct to assist clinical decision-making in veterinary patients with thoracic trauma.</w:t>
      </w:r>
    </w:p>
    <w:p/>
    <w:p>
      <w:pPr>
        <w:pStyle w:val="Normal"/>
      </w:pPr>
      <w:r>
        <w:rPr>
          <w:color w:val="323232"/>
        </w:rPr>
        <w:t xml:space="preserve">J Am Vet Med Assoc, 2018 vol. 252 (9) pp. 1097-1107.</w:t>
      </w:r>
    </w:p>
    <w:p>
      <w:r>
        <w:rPr>
          <w:rStyle w:val="Hyperlink"/>
        </w:rPr>
        <w:fldChar w:fldCharType="begin"/>
      </w:r>
      <w:r>
        <w:rPr>
          <w:rStyle w:val="Hyperlink"/>
        </w:rPr>
        <w:instrText xml:space="preserve"> HYPERLINK "http://eutils.ncbi.nlm.nih.gov/entrez/eutils/elink.fcgi?dbfrom=pubmed&amp;id=29641326&amp;retmode=ref&amp;cmd=prlinks"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http://eutils.ncbi.nlm.nih.gov/entrez/eutils/elink.fcgi?dbfrom=pubmed&amp;id=29641326&amp;retmode=ref&amp;cmd=prlinks</w:t>
      </w:r>
      <w:r>
        <w:rPr>
          <w:rStyle w:val="Hyperlink"/>
        </w:rPr>
        <w:fldChar w:fldCharType="end"/>
      </w:r>
    </w:p>
    <w:p>
      <w:pPr>
        <w:pStyle w:val="Normal"/>
      </w:pPr>
      <w:r>
        <w:rPr>
          <w:color w:val="323232"/>
        </w:rPr>
        <w:t xml:space="preserve">————————</w:t>
      </w:r>
    </w:p>
    <w:p>
      <w:pPr>
        <w:pStyle w:val="Heading4"/>
      </w:pPr>
      <w:r>
        <w:t xml:space="preserve">Ultrasonographic evaluation of the canine urinary bladder following cystotomy for treatment of urolithiasis.</w:t>
      </w:r>
    </w:p>
    <w:p/>
    <w:p>
      <w:pPr>
        <w:pStyle w:val="Normal"/>
      </w:pPr>
      <w:r>
        <w:rPr>
          <w:color w:val="323232"/>
        </w:rPr>
        <w:t xml:space="preserve">Abigail D Mariano, Dominique G Penninck, James Sutherland-Smith, and Raymond K Kudej.</w:t>
      </w:r>
    </w:p>
    <w:p/>
    <w:p>
      <w:pPr>
        <w:pStyle w:val="Normal"/>
      </w:pPr>
      <w:r>
        <w:rPr>
          <w:color w:val="323232"/>
        </w:rPr>
        <w:t xml:space="preserve">OBJECTIVE To describe the ultrasonographic appearance of the urinary bladder incision site in dogs that underwent cystotomy for treatment of urolithiasis. DESIGN Prospective, longitudinal study. ANIMALS 18 client-owned dogs. PROCEDURES Dogs underwent urinary bladder ultrasonography at baseline (≤ 1 day before surgery) and at 1 day and approximately 2, 6, and 12 weeks after cystotomy for urocystolith removal. A baseline ratio between ventral (cystotomy site) and corresponding dorsal midline wall thickness was calculated and used to account for measurement variations attributable to bladder distension at subsequent visits. Patient signalment, weight, medications administered, urocystolith composition, and culture results were recorded. Clinical signs, reoccurrence of hyperechoic foci, and suture visualization were recorded at follow-up examinations. Variables were evaluated for association with cystotomy site thickening and resolution of thickening. RESULTS Median wall thickness at the ventral aspect of the bladder was significantly greater than that of the corresponding dorsal aspect at baseline. Cystotomy site thickening peaked 1 day after surgery and decreased at subsequent visits in a linear manner. Twelve weeks after surgery, 5 of 10 clinically normal dogs evaluated had persistent cystotomy site thickening. Eleven of 18 dogs had reoccurrence of hyperechoic foci within the bladder at some time during the study (median time to first detection, 17 days after surgery). CONCLUSIONS AND CLINICAL RELEVANCE Persistent cystotomy site thickening can be present up to 3 months after cystotomy for urolithiasis in dogs without lower urinary tract signs. Reoccurrence of hyperechoic foci in the bladder, although subclinical, was detected earlier and at a higher rate than anticipated.</w:t>
      </w:r>
    </w:p>
    <w:p/>
    <w:p>
      <w:pPr>
        <w:pStyle w:val="Normal"/>
      </w:pPr>
      <w:r>
        <w:rPr>
          <w:color w:val="323232"/>
        </w:rPr>
        <w:t xml:space="preserve">J Am Vet Med Assoc, 2018 vol. 252 (9) pp. 1090-1096.</w:t>
      </w:r>
    </w:p>
    <w:p>
      <w:r>
        <w:rPr>
          <w:rStyle w:val="Hyperlink"/>
        </w:rPr>
        <w:fldChar w:fldCharType="begin"/>
      </w:r>
      <w:r>
        <w:rPr>
          <w:rStyle w:val="Hyperlink"/>
        </w:rPr>
        <w:instrText xml:space="preserve"> HYPERLINK "http://eutils.ncbi.nlm.nih.gov/entrez/eutils/elink.fcgi?dbfrom=pubmed&amp;id=29641336&amp;retmode=ref&amp;cmd=prlinks"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http://eutils.ncbi.nlm.nih.gov/entrez/eutils/elink.fcgi?dbfrom=pubmed&amp;id=29641336&amp;retmode=ref&amp;cmd=prlinks</w:t>
      </w:r>
      <w:r>
        <w:rPr>
          <w:rStyle w:val="Hyperlink"/>
        </w:rPr>
        <w:fldChar w:fldCharType="end"/>
      </w:r>
    </w:p>
    <w:p>
      <w:pPr>
        <w:pStyle w:val="Normal"/>
      </w:pPr>
      <w:r>
        <w:rPr>
          <w:color w:val="323232"/>
        </w:rPr>
        <w:t xml:space="preserve">————————</w:t>
      </w:r>
    </w:p>
    <w:p>
      <w:pPr>
        <w:pStyle w:val="Heading4"/>
      </w:pPr>
      <w:r>
        <w:t xml:space="preserve">Characterization of subclinical bacteriuria, bacterial cystitis, and pyelonephritis in dogs with chronic kidney disease.</w:t>
      </w:r>
    </w:p>
    <w:p/>
    <w:p>
      <w:pPr>
        <w:pStyle w:val="Normal"/>
      </w:pPr>
      <w:r>
        <w:rPr>
          <w:color w:val="323232"/>
        </w:rPr>
        <w:t xml:space="preserve">Jonathan D Foster, Harathi Krishnan, and Stephen Cole.</w:t>
      </w:r>
    </w:p>
    <w:p/>
    <w:p>
      <w:pPr>
        <w:pStyle w:val="Normal"/>
      </w:pPr>
      <w:r>
        <w:rPr>
          <w:color w:val="323232"/>
        </w:rPr>
        <w:t xml:space="preserve">OBJECTIVE To determine the prevalence of bacteriuria (ie, a positive microbial culture result for ≥ 1 urine sample) in dogs with chronic kidney disease (CKD) and characterize findings of subclinical bacteriuria (SBU), bacterial cystitis, or pyelonephritis in these patients. DESIGN Retrospective, observational study. ANIMALS 182 dogs. PROCEDURES Medical records from January 2010 through July 2015 were reviewed to identify dogs with CKD that underwent urinalysis and urine microbial culture. Signalment, clinicopathologic data, stage of CKD according to previously published guidelines, results of urinalysis and urine culture, and abdominal ultrasonographic findings were recorded. Dogs with positive urine culture results were categorized as having SBU, bacterial cystitis, or pyelonephritis on the basis of these data. Prevalence of bacteriuria was calculated. Associations between CKD stage, presence of bacteriuria, and diagnosis category were analyzed statistically. RESULTS 33 of 182 (18.1%) dogs (40/235 [17.0%] urine samples) had positive culture results. All dogs received antimicrobials on the basis of culture and susceptibility test findings. Most positive culture results (18/40 [45%] samples) were found for dogs with SBU, followed by dogs with pyelonephritis (16/40 [40%]) and cystitis (6/40 [15%]). Escherichia coli was the most frequently observed isolate (29/40 [73%] cultures from 25/33 dogs). The CKD stage was not associated with presence of bacteriuria or diagnosis category. CONCLUSIONS AND CLINICAL RELEVANCE The prevalence of positive urine culture results in dogs with CKD was lower than that reported for dogs with some systemic diseases that may predispose to infection. Prospective research is needed to assess the clinical importance of SBU in dogs with CKD.</w:t>
      </w:r>
    </w:p>
    <w:p/>
    <w:p>
      <w:pPr>
        <w:pStyle w:val="Normal"/>
      </w:pPr>
      <w:r>
        <w:rPr>
          <w:color w:val="323232"/>
        </w:rPr>
        <w:t xml:space="preserve">J Am Vet Med Assoc, 2018 vol. 252 (10) pp. 1257-1262.</w:t>
      </w:r>
    </w:p>
    <w:p>
      <w:r>
        <w:rPr>
          <w:rStyle w:val="Hyperlink"/>
        </w:rPr>
        <w:fldChar w:fldCharType="begin"/>
      </w:r>
      <w:r>
        <w:rPr>
          <w:rStyle w:val="Hyperlink"/>
        </w:rPr>
        <w:instrText xml:space="preserve"> HYPERLINK "http://eutils.ncbi.nlm.nih.gov/entrez/eutils/elink.fcgi?dbfrom=pubmed&amp;id=29701531&amp;retmode=ref&amp;cmd=prlinks"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http://eutils.ncbi.nlm.nih.gov/entrez/eutils/elink.fcgi?dbfrom=pubmed&amp;id=29701531&amp;retmode=ref&amp;cmd=prlinks</w:t>
      </w:r>
      <w:r>
        <w:rPr>
          <w:rStyle w:val="Hyperlink"/>
        </w:rPr>
        <w:fldChar w:fldCharType="end"/>
      </w:r>
    </w:p>
    <w:p>
      <w:pPr>
        <w:pStyle w:val="Normal"/>
      </w:pPr>
      <w:r>
        <w:rPr>
          <w:color w:val="323232"/>
        </w:rPr>
        <w:t xml:space="preserve">————————</w:t>
      </w:r>
    </w:p>
    <w:p>
      <w:pPr>
        <w:pStyle w:val="Heading4"/>
      </w:pPr>
      <w:r>
        <w:t xml:space="preserve">Evaluation of the diagnostic utility of cytologic examination of renal fine-needle aspirates from dogs and the use of ultrasonographic features to inform cytologic diagnosis.</w:t>
      </w:r>
    </w:p>
    <w:p/>
    <w:p>
      <w:pPr>
        <w:pStyle w:val="Normal"/>
      </w:pPr>
      <w:r>
        <w:rPr>
          <w:color w:val="323232"/>
        </w:rPr>
        <w:t xml:space="preserve">Camille A McAloney, Leslie C Sharkey, Daniel A Feeney, Davis M Seelig, Anne C Avery, and Carl R Jessen.</w:t>
      </w:r>
    </w:p>
    <w:p/>
    <w:p>
      <w:pPr>
        <w:pStyle w:val="Normal"/>
      </w:pPr>
      <w:r>
        <w:rPr>
          <w:color w:val="323232"/>
        </w:rPr>
        <w:t xml:space="preserve">OBJECTIVE To describe cytologic characteristics of renal fine-needle aspirate (FNA) samples from dogs, evaluate proportions of cytologic specimens deemed adequate for interpretation (diagnostic yield), assess diagnostic utility of cytologic examination for neoplastic and nonneoplastic diseases, and characterize ultrasonographic features of evaluated kidneys to determine whether the imaging characteristics could be used to inform cytologic interpretations. DESIGN Retrospective, observational study. SAMPLE 102 cytologic specimens and 97 ultrasonographic studies from 100 dogs. PROCEDURES Medical records were reviewed to identify dogs that underwent ultrasound-guided renal FNA. Slides were categorized as adequate or inadequate for interpretation; adequate slides were used for retrospective cytologic diagnosis. Sensitivity, specificity, and predictive values of cytologic examination for detection of neoplastic and nonneoplastic conditions were calculated by comparison with histologic or lymphoid cell clonality assay results. Ultrasonographic characteristics of neoplastic and nonneoplastic renal lesions were described. RESULTS 74 of 102 (72%) specimens had slides adequate for interpretation; 26 were included in the diagnostic accuracy analysis. Sensitivity of cytologic examination was 78% and 50% for detection of neoplastic and nonneoplastic conditions, respectively, with specificities of 50% and 77%, respectively; sensitivity for detection of lymphoma was 100%. Ultrasonographic appearance of kidneys with confirmed neoplasia varied; masses were most commonly found in kidneys with carcinoma (5/5), lymphoma (5/7), or other neoplasia (3/4) and absent in kidneys with nonneoplastic conditions (n = 5). CONCLUSIONS AND CLINICAL RELEVANCE Renal FNA specimens were adequate for interpretation at rates comparable with those reported for other organs and were considered clinically useful for diagnosis of neoplasia. Imaging characteristics may potentially aid differentiation between neoplastic and nonneoplastic lesions; however, further investigation is needed.</w:t>
      </w:r>
    </w:p>
    <w:p/>
    <w:p>
      <w:pPr>
        <w:pStyle w:val="Normal"/>
      </w:pPr>
      <w:r>
        <w:rPr>
          <w:color w:val="323232"/>
        </w:rPr>
        <w:t xml:space="preserve">J Am Vet Med Assoc, 2018 vol. 252 (10) pp. 1247-1256.</w:t>
      </w:r>
    </w:p>
    <w:p>
      <w:r>
        <w:rPr>
          <w:rStyle w:val="Hyperlink"/>
        </w:rPr>
        <w:fldChar w:fldCharType="begin"/>
      </w:r>
      <w:r>
        <w:rPr>
          <w:rStyle w:val="Hyperlink"/>
        </w:rPr>
        <w:instrText xml:space="preserve"> HYPERLINK "http://eutils.ncbi.nlm.nih.gov/entrez/eutils/elink.fcgi?dbfrom=pubmed&amp;id=29701529&amp;retmode=ref&amp;cmd=prlinks"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http://eutils.ncbi.nlm.nih.gov/entrez/eutils/elink.fcgi?dbfrom=pubmed&amp;id=29701529&amp;retmode=ref&amp;cmd=prlinks</w:t>
      </w:r>
      <w:r>
        <w:rPr>
          <w:rStyle w:val="Hyperlink"/>
        </w:rPr>
        <w:fldChar w:fldCharType="end"/>
      </w:r>
    </w:p>
    <w:p>
      <w:pPr>
        <w:pStyle w:val="Normal"/>
      </w:pPr>
      <w:r>
        <w:rPr>
          <w:color w:val="323232"/>
        </w:rPr>
        <w:t xml:space="preserve">————————</w:t>
      </w:r>
    </w:p>
    <w:p>
      <w:pPr>
        <w:pStyle w:val="Heading4"/>
      </w:pPr>
      <w:r>
        <w:t xml:space="preserve">Evaluation of various gastrojejunostomy tube constructs for enteral support of small animal patients.</w:t>
      </w:r>
    </w:p>
    <w:p/>
    <w:p>
      <w:pPr>
        <w:pStyle w:val="Normal"/>
      </w:pPr>
      <w:r>
        <w:rPr>
          <w:color w:val="323232"/>
        </w:rPr>
        <w:t xml:space="preserve">Marije Risselada, Emily Griffith, Meredith Kapler, and Mischa McDonald-Lynch.</w:t>
      </w:r>
    </w:p>
    <w:p/>
    <w:p>
      <w:pPr>
        <w:pStyle w:val="Normal"/>
      </w:pPr>
      <w:r>
        <w:rPr>
          <w:color w:val="323232"/>
        </w:rPr>
        <w:t xml:space="preserve">OBJECTIVE To evaluate the feasibility of manufacturing gastrojejunostomy tubes from jejunostomy and gastrostomy tubes that would allow for gastric and enteral feeding of and aspiration of gastric contents from small animal patients. DESIGN In vitro study. SAMPLE 9 gastrojejunostomy constructs. PROCEDURES Commercially available gastrostomy and jejunostomy tubes were combined to create 9 constructs. Three investigators tested each construct with 4 solutions (tap water, a commercial enteral diet, and 2 canned food-water mixtures) and 3 syringe sizes for ease of injection through the gastrostomy and jejunostomy tubes and aspiration through the gastrostomy tube. Flow rates were calculated and analyzed to evaluate effects of tube diameter and syringe size for each solution. RESULTS The 20F/ 8F, 24F/ 8F, 28F/ 8F, and 28F/ 10F (gastrostomy tube/jejunostomy tube) constructs allowed for injection and aspiration of all solutions. The 5F jejunostomy tubes allowed only water to be injected, whereas the 8F jejunostomy tubes did not allow injection of the canned food-water mixtures. The 20F/10F construct did not allow injection or aspiration through the gastrostomy tube, whereas the 18F/8F construct allowed injection but not aspiration through the gastrostomy tube. Faster flow rates through the gastrostomy tube were associated with larger gastrostomy tube diameter, smaller jejunostomy tube diameter, and smaller syringe size. Faster flow rates through the jejunostomy tube were associated with smaller jejunostomy tube diameter. CONCLUSIONS AND CLINICAL RELEVANCE Results suggested that homemade gastrojejunostomy constructs would allow for administration of a variety of enteral diets. Limitations to the administration and aspiration of various enteral diets as well as patient needs should be considered before a gastrojejunostomy tube combination is chosen.</w:t>
      </w:r>
    </w:p>
    <w:p/>
    <w:p>
      <w:pPr>
        <w:pStyle w:val="Normal"/>
      </w:pPr>
      <w:r>
        <w:rPr>
          <w:color w:val="323232"/>
        </w:rPr>
        <w:t xml:space="preserve">J Am Vet Med Assoc, 2018 vol. 252 (10) pp. 1239-1246.</w:t>
      </w:r>
    </w:p>
    <w:p>
      <w:r>
        <w:rPr>
          <w:rStyle w:val="Hyperlink"/>
        </w:rPr>
        <w:fldChar w:fldCharType="begin"/>
      </w:r>
      <w:r>
        <w:rPr>
          <w:rStyle w:val="Hyperlink"/>
        </w:rPr>
        <w:instrText xml:space="preserve"> HYPERLINK "http://eutils.ncbi.nlm.nih.gov/entrez/eutils/elink.fcgi?dbfrom=pubmed&amp;id=29701521&amp;retmode=ref&amp;cmd=prlinks"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http://eutils.ncbi.nlm.nih.gov/entrez/eutils/elink.fcgi?dbfrom=pubmed&amp;id=29701521&amp;retmode=ref&amp;cmd=prlinks</w:t>
      </w:r>
      <w:r>
        <w:rPr>
          <w:rStyle w:val="Hyperlink"/>
        </w:rPr>
        <w:fldChar w:fldCharType="end"/>
      </w:r>
    </w:p>
    <w:p>
      <w:pPr>
        <w:pStyle w:val="Normal"/>
      </w:pPr>
      <w:r>
        <w:rPr>
          <w:color w:val="323232"/>
        </w:rPr>
        <w:t xml:space="preserve">————————</w:t>
      </w:r>
    </w:p>
    <w:p>
      <w:pPr>
        <w:pStyle w:val="Heading4"/>
      </w:pPr>
      <w:r>
        <w:t xml:space="preserve">Association of surgical approach with complication rate, progression-free survival time, and disease-specific survival time in cats with mammary adenocarcinoma: 107 cases (1991-2014).</w:t>
      </w:r>
    </w:p>
    <w:p/>
    <w:p>
      <w:pPr>
        <w:pStyle w:val="Normal"/>
      </w:pPr>
      <w:r>
        <w:rPr>
          <w:color w:val="323232"/>
        </w:rPr>
        <w:t xml:space="preserve">Francesco Gemignani, Philipp D Mayhew, Michelle A Giuffrida, Jason Palaigos, Jeffrey J Runge, David E Holt, Nicholas A Robertson, Bernard Seguin, Meaghan Walker, Ameet Singh, Julius M Liptak, Giorgio Romanelli, Marina Martano, Sarah E Boston, Cassie Lux, Roberto Busetto, William T N Culp, Katherine A Skorupski, and Jenna H Burton.</w:t>
      </w:r>
    </w:p>
    <w:p/>
    <w:p>
      <w:pPr>
        <w:pStyle w:val="Normal"/>
      </w:pPr>
      <w:r>
        <w:rPr>
          <w:color w:val="323232"/>
        </w:rPr>
        <w:t xml:space="preserve">OBJECTIVE To evaluate potential associations between surgical approach and complication rate, progression-free survival time, and disease-specific survival time in cats with mammary adenocarcinoma. DESIGN Retrospective case series. ANIMALS 107 client-owned cats. PROCEDURES Medical records of cats that underwent surgical excision of mammary adenocarcinoma by means of a unilateral or bilateral (staged or single-session) mastectomy at 9 hospitals between 1991 and 2014 were reviewed. Relevant clinicopathologic data and details of surgical and adjuvant treatments were recorded. Outcome data were obtained, including postoperative complications, progression-free survival time, and disease-specific survival time. RESULTS Complications occurred in 12 of 61 (19.7%) cats treated with unilateral mastectomy, 5 of 14 (35.7%) cats treated with staged bilateral mastectomy, and 13 of 32 (40.6%) cats treated with single-session bilateral mastectomy. Complications were significantly more likely to occur in cats undergoing bilateral versus unilateral mastectomy. Median progression-free survival time was longer for cats treated with bilateral mastectomy (542 days) than for cats treated with unilateral mastectomy (289 days). Significant risk factors for disease progression included unilateral mastectomy, tumor ulceration, lymph node metastasis, and tumors arising in the fourth mammary gland. Significant risk factors for disease-specific death included lymph node metastasis and development of regional or distant metastasis. Among cats that did not develop metastasis, unilateral mastectomy was a significant risk factor for disease-specific death. Treatment with chemotherapy was associated with a significantly decreased risk of disease-specific death. CONCLUSIONS AND CLINICAL RELEVANCE Results supported bilateral mastectomy for the treatment of mammary adenocarcinoma in cats to improve progression-free and disease-specific survival time. Performing bilateral mastectomy in a staged fashion may help to decrease the complication rate.</w:t>
      </w:r>
    </w:p>
    <w:p/>
    <w:p>
      <w:pPr>
        <w:pStyle w:val="Normal"/>
      </w:pPr>
      <w:r>
        <w:rPr>
          <w:color w:val="323232"/>
        </w:rPr>
        <w:t xml:space="preserve">J Am Vet Med Assoc, 2018 vol. 252 (11) pp. 1393-1402.</w:t>
      </w:r>
    </w:p>
    <w:p>
      <w:r>
        <w:rPr>
          <w:rStyle w:val="Hyperlink"/>
        </w:rPr>
        <w:fldChar w:fldCharType="begin"/>
      </w:r>
      <w:r>
        <w:rPr>
          <w:rStyle w:val="Hyperlink"/>
        </w:rPr>
        <w:instrText xml:space="preserve"> HYPERLINK "http://eutils.ncbi.nlm.nih.gov/entrez/eutils/elink.fcgi?dbfrom=pubmed&amp;id=29772965&amp;retmode=ref&amp;cmd=prlinks"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http://eutils.ncbi.nlm.nih.gov/entrez/eutils/elink.fcgi?dbfrom=pubmed&amp;id=29772965&amp;retmode=ref&amp;cmd=prlinks</w:t>
      </w:r>
      <w:r>
        <w:rPr>
          <w:rStyle w:val="Hyperlink"/>
        </w:rPr>
        <w:fldChar w:fldCharType="end"/>
      </w:r>
    </w:p>
    <w:p>
      <w:pPr>
        <w:pStyle w:val="Normal"/>
      </w:pPr>
      <w:r>
        <w:rPr>
          <w:color w:val="323232"/>
        </w:rPr>
        <w:t xml:space="preserve">————————</w:t>
      </w:r>
    </w:p>
    <w:p>
      <w:pPr>
        <w:pStyle w:val="Heading4"/>
      </w:pPr>
      <w:r>
        <w:t xml:space="preserve">Outcomes of the addition of pasireotide to traditional adrenal-directed treatment for dogs with pituitary-dependent hyperadrenocorticism secondary to macroadenoma: 9 cases (2013-2015).</w:t>
      </w:r>
    </w:p>
    <w:p/>
    <w:p>
      <w:pPr>
        <w:pStyle w:val="Normal"/>
      </w:pPr>
      <w:r>
        <w:rPr>
          <w:color w:val="323232"/>
        </w:rPr>
        <w:t xml:space="preserve">Maya Lottati and David S Bruyette.</w:t>
      </w:r>
    </w:p>
    <w:p/>
    <w:p>
      <w:pPr>
        <w:pStyle w:val="Normal"/>
      </w:pPr>
      <w:r>
        <w:rPr>
          <w:color w:val="323232"/>
        </w:rPr>
        <w:t xml:space="preserve">OBJECTIVE To evaluate clinical signs, endocrine test results, and pituitary tumor size for dogs with medically managed pituitary-dependent hyperadrenocorticism (PDH) and macroadenoma following 6 months of concurrent treatment with pasireotide. DESIGN Prospective case series. ANIMALS 9 client-owned dogs with PDH and macroadenoma in which PDH had been successfully managed with adrenal-directed treatment (trilostane or mitotane). PROCEDURES Dogs were given pasireotide (0.03 mg</w:t>
      </w:r>
      <w:r>
        <w:rPr>
          <w:i w:val="1"/>
          <w:color w:val="323232"/>
        </w:rPr>
        <w:t xml:space="preserve">kg [0.014 mg</w:t>
      </w:r>
      <w:r>
        <w:rPr>
          <w:color w:val="323232"/>
        </w:rPr>
        <w:t xml:space="preserve">lb], SC, q 12 h) for 6 months, while adrenal-directed treatment was continued. Physical examination, basic clinicopathologic testing, ACTH stimulation testing, and plasma ACTH concentration measurement were performed before (baseline) and 3 and 6 months after treatment began. Measurements of pituitary gland volume and pituitary gland-to-brain ratio were performed via MRI at baseline and 6 months after treatment began. RESULTS No dog developed neurologic abnormalities or signs of adverse effects during the study period. No differences from baseline were identified in clinicopathologic values, ACTH stimulation test results, or plasma ACTH concentration at the 3- or 6-month assessment points. After 6 months of pasireotide treatment, 6 dogs had decreases in MRI-measured values, and 3 had increases. CONCLUSIONS AND CLINICAL RELEVANCE Pasireotide as administered in this study had no noted adverse effects on dogs with PDH and macroadenoma successfully managed with standard treatment. Placebo-controlled, randomized studies are needed to determine whether pasireotide protects from the development of neurologic signs or improves outcome in dogs with pituitary macroadenomas.</w:t>
      </w:r>
    </w:p>
    <w:p/>
    <w:p>
      <w:pPr>
        <w:pStyle w:val="Normal"/>
      </w:pPr>
      <w:r>
        <w:rPr>
          <w:color w:val="323232"/>
        </w:rPr>
        <w:t xml:space="preserve">J Am Vet Med Assoc, 2018 vol. 252 (11) pp. 1403-1408.</w:t>
      </w:r>
    </w:p>
    <w:p>
      <w:r>
        <w:rPr>
          <w:rStyle w:val="Hyperlink"/>
        </w:rPr>
        <w:fldChar w:fldCharType="begin"/>
      </w:r>
      <w:r>
        <w:rPr>
          <w:rStyle w:val="Hyperlink"/>
        </w:rPr>
        <w:instrText xml:space="preserve"> HYPERLINK "http://eutils.ncbi.nlm.nih.gov/entrez/eutils/elink.fcgi?dbfrom=pubmed&amp;id=29772978&amp;retmode=ref&amp;cmd=prlinks"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http://eutils.ncbi.nlm.nih.gov/entrez/eutils/elink.fcgi?dbfrom=pubmed&amp;id=29772978&amp;retmode=ref&amp;cmd=prlinks</w:t>
      </w:r>
      <w:r>
        <w:rPr>
          <w:rStyle w:val="Hyperlink"/>
        </w:rPr>
        <w:fldChar w:fldCharType="end"/>
      </w:r>
    </w:p>
    <w:p>
      <w:pPr>
        <w:pStyle w:val="Normal"/>
      </w:pPr>
      <w:r>
        <w:rPr>
          <w:color w:val="323232"/>
        </w:rPr>
        <w:t xml:space="preserve">————————</w:t>
      </w:r>
    </w:p>
    <w:p>
      <w:pPr>
        <w:pStyle w:val="Heading4"/>
      </w:pPr>
      <w:r>
        <w:t xml:space="preserve">Evaluation for association between indwelling urethral catheter placement and risk of recurrent urethral obstruction in cats.</w:t>
      </w:r>
    </w:p>
    <w:p/>
    <w:p>
      <w:pPr>
        <w:pStyle w:val="Normal"/>
      </w:pPr>
      <w:r>
        <w:rPr>
          <w:color w:val="323232"/>
        </w:rPr>
        <w:t xml:space="preserve">Marc A Seitz, Jamie M Burkitt-Creedon, and Kenneth J Drobatz.</w:t>
      </w:r>
    </w:p>
    <w:p/>
    <w:p>
      <w:pPr>
        <w:pStyle w:val="Normal"/>
      </w:pPr>
      <w:r>
        <w:rPr>
          <w:color w:val="323232"/>
        </w:rPr>
        <w:t xml:space="preserve">OBJECTIVE To test for an association between indwelling urethral catheter placement in cats with urethral obstruction (UO) and the short-term (30-day) risk of recurrent urethral obstruction (RUO). DESIGN Prospective cohort study. ANIMALS 107 client-owned male cats with UO. PROCEDURES Owners were offered standard care for their cats, including hospitalization, placement of an indwelling urethral catheter, IV fluid therapy, and other supportive treatments (inpatient group). One-time catheterization and outpatient care were offered (outpatient group) if standard care was declined. Data regarding signalment, measures of metabolic compromise and urinalysis findings at enrollment, catheterization-related variables, and supportive treatments of interest were collected. Risk of RUO ≤ 30 days after urethral catheter removal was determined for the outpatient vs inpatient group by OR and 95% confidence interval calculation. Other variables were compared between cats that did and did not develop RUO with Fisher exact and trend tests. RESULTS 91 cats completed the study; 19 (5/46 [11%] inpatients and 14/45 [31%] outpatients) developed RUO. Risk of RUO was significantly greater for cats of the outpatient group (OR, 3.7; 95% confidence interval, 1.2 to 11.4). Among inpatients, increasingly abnormal urine color at the time of catheter removal was significantly associated with RUO. No other significant associations were identified. CONCLUSIONS AND CLINICAL RELEVANCE Hospitalization and indwelling catheterization significantly reduced the risk for RUO ≤ 30 days after treatment for the population studied. Results suggested that removal of an indwelling catheter before urine appears grossly normal may be associated with development of RUO. One-time catheterization with outpatient care was inferior to the standard care protocol but was successful in many cats and may be a reasonable alternative when clients cannot pursue standard care.</w:t>
      </w:r>
    </w:p>
    <w:p/>
    <w:p>
      <w:pPr>
        <w:pStyle w:val="Normal"/>
      </w:pPr>
      <w:r>
        <w:rPr>
          <w:color w:val="323232"/>
        </w:rPr>
        <w:t xml:space="preserve">J Am Vet Med Assoc, 2018 vol. 252 (12) pp. 1509-1520.</w:t>
      </w:r>
    </w:p>
    <w:p>
      <w:r>
        <w:rPr>
          <w:rStyle w:val="Hyperlink"/>
        </w:rPr>
        <w:fldChar w:fldCharType="begin"/>
      </w:r>
      <w:r>
        <w:rPr>
          <w:rStyle w:val="Hyperlink"/>
        </w:rPr>
        <w:instrText xml:space="preserve"> HYPERLINK "http://eutils.ncbi.nlm.nih.gov/entrez/eutils/elink.fcgi?dbfrom=pubmed&amp;id=29889636&amp;retmode=ref&amp;cmd=prlinks"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http://eutils.ncbi.nlm.nih.gov/entrez/eutils/elink.fcgi?dbfrom=pubmed&amp;id=29889636&amp;retmode=ref&amp;cmd=prlinks</w:t>
      </w:r>
      <w:r>
        <w:rPr>
          <w:rStyle w:val="Hyperlink"/>
        </w:rPr>
        <w:fldChar w:fldCharType="end"/>
      </w:r>
    </w:p>
    <w:p>
      <w:pPr>
        <w:pStyle w:val="Normal"/>
      </w:pPr>
      <w:r>
        <w:rPr>
          <w:color w:val="323232"/>
        </w:rPr>
        <w:t xml:space="preserve">————————</w:t>
      </w:r>
    </w:p>
    <w:p>
      <w:pPr>
        <w:pStyle w:val="Heading4"/>
      </w:pPr>
      <w:r>
        <w:t xml:space="preserve">Intraoperative and postoperative complications of partial maxillectomy for the treatment of oral tumors in dogs.</w:t>
      </w:r>
    </w:p>
    <w:p/>
    <w:p>
      <w:pPr>
        <w:pStyle w:val="Normal"/>
      </w:pPr>
      <w:r>
        <w:rPr>
          <w:color w:val="323232"/>
        </w:rPr>
        <w:t xml:space="preserve">Roxane H MacLellan, Jennifer E Rawlinson, Sangeeta Rao, and Deanna R Worley.</w:t>
      </w:r>
    </w:p>
    <w:p/>
    <w:p>
      <w:pPr>
        <w:pStyle w:val="Normal"/>
      </w:pPr>
      <w:r>
        <w:rPr>
          <w:color w:val="323232"/>
        </w:rPr>
        <w:t xml:space="preserve">OBJECTIVE To characterize and identify factors associated with intraoperative and postoperative complications of maxillectomy in dogs with oral tumors. DESIGN Retrospective cohort study. ANIMALS 193 dogs that underwent maxillectomy for oral tumor excision from 2000 through 2011. PROCEDURES Data were extracted from the medical records regarding dog signalment, tumor location and size, histologic findings, clinical stage, maxillectomy category, surgical approach, and additional treatments provided. These factors were examined for associations with recorded intraoperative and postoperative outcomes. RESULTS The most common intraoperative complication was excessive surgical bleeding (103/193 [53.4%]), for which 44 (42.7%) dogs received an intraoperative blood transfusion. These outcomes were both significantly associated with tumor size and location, maxillectomy type, and surgical approach. Dogs treated with a dorsolateral combined intraoral surgical approach were more likely to have excessive surgical bleeding (48/58 [83%]) and had a longer mean duration of surgery (106 minutes) than those treated with an intraoral approach (29/54 [54%] and 77 minutes, respectively). Complications developing within 48 hours after surgery included epistaxis (99/193 [51.3%]), excessive facial swelling (71/193 [36.8%]), facial pawing (21/193 [10.9%]), and difficulty eating (22/193 [11.4%]). Complications developing within 48 hours to 4 weeks after surgery included lip trauma (22/164 [13.4%]), oronasal fistula formation (18/164 [11.0%]), wound dehiscence (18/164 [11.0%]), and infection (13/164 [7.9%]). CONCLUSIONS AND CLINICAL RELEVANCE Complications associated with maxillectomy in dogs were generally minor. Aggressive surgical planning, preparedness for hemorrhage and transfusion, careful tissue dissection, and comprehensive pain control are recommended, particularly for dogs with large, caudally located oral tumors requiring extensive excision.</w:t>
      </w:r>
    </w:p>
    <w:p/>
    <w:p>
      <w:pPr>
        <w:pStyle w:val="Normal"/>
      </w:pPr>
      <w:r>
        <w:rPr>
          <w:color w:val="323232"/>
        </w:rPr>
        <w:t xml:space="preserve">J Am Vet Med Assoc, 2018 vol. 252 (12) pp. 1538-1547.</w:t>
      </w:r>
    </w:p>
    <w:p>
      <w:r>
        <w:rPr>
          <w:rStyle w:val="Hyperlink"/>
        </w:rPr>
        <w:fldChar w:fldCharType="begin"/>
      </w:r>
      <w:r>
        <w:rPr>
          <w:rStyle w:val="Hyperlink"/>
        </w:rPr>
        <w:instrText xml:space="preserve"> HYPERLINK "http://eutils.ncbi.nlm.nih.gov/entrez/eutils/elink.fcgi?dbfrom=pubmed&amp;id=29889637&amp;retmode=ref&amp;cmd=prlinks"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http://eutils.ncbi.nlm.nih.gov/entrez/eutils/elink.fcgi?dbfrom=pubmed&amp;id=29889637&amp;retmode=ref&amp;cmd=prlinks</w:t>
      </w:r>
      <w:r>
        <w:rPr>
          <w:rStyle w:val="Hyperlink"/>
        </w:rPr>
        <w:fldChar w:fldCharType="end"/>
      </w:r>
    </w:p>
    <w:p>
      <w:pPr>
        <w:pStyle w:val="Normal"/>
      </w:pPr>
      <w:r>
        <w:rPr>
          <w:color w:val="323232"/>
        </w:rPr>
        <w:t xml:space="preserve">————————</w:t>
      </w:r>
    </w:p>
    <w:p>
      <w:pPr>
        <w:pStyle w:val="Heading4"/>
      </w:pPr>
      <w:r>
        <w:t xml:space="preserve">Clinical evaluation of a benchtop dry chemistry analyzer for measurement of ammonium concentrations in canine plasma samples.</w:t>
      </w:r>
    </w:p>
    <w:p/>
    <w:p>
      <w:pPr>
        <w:pStyle w:val="Normal"/>
      </w:pPr>
      <w:r>
        <w:rPr>
          <w:color w:val="323232"/>
        </w:rPr>
        <w:t xml:space="preserve">Silvia Funes, Jana Gordon, Elena Gorman, and Craig Ruaux.</w:t>
      </w:r>
    </w:p>
    <w:p/>
    <w:p>
      <w:pPr>
        <w:pStyle w:val="Normal"/>
      </w:pPr>
      <w:r>
        <w:rPr>
          <w:color w:val="323232"/>
        </w:rPr>
        <w:t xml:space="preserve">OBJECTIVE To evaluate the clinical performance of a veterinary benchtop dry chemistry analyzer for measurement of plasma ammonium concentrations in dogs by comparing results with those obtained by a reference standard test method. DESIGN Prospective evaluation study. SAMPLE 32 blood samples from 30 dogs (16 with and 14 without suspected hepatobiliary disease). PROCEDURES Blood samples were collected by jugular venipuncture. A veterinary benchtop dry chemistry analyzer and a reference standard (enzymatic) test method were used to measure ammonium concentrations in plasma collected from heparinized whole blood. Bland-Altman plots were used to assess intermethod agreement. Results were compared by linear regression, and correlation was calculated by the Pearson method. Samples were classified as having high or normal ammonium concentrations on the basis of cutoff data for the relevant test method; results were compared between methods to evaluate diagnostic agreement. RESULTS 31 of 32 (97%) samples were classified correctly with the benchtop analyzer; 1 sample with a high ammonium concentration was classified as having a normal value (ie, false-negative result) by this method. A strong positive correlation (r2 = 0.989) was found between methods, with constant, proportional, negative bias for benchtop analyzer results. The interassay coefficient of variation (ie, precision) for measurement of an internal standard with the benchtop analyzer was 2.74% (n = 20 repetitions). CONCLUSIONS AND CLINICAL RELEVANCE The dry chemistry analyzer used in the study had acceptable clinical performance for detection of high versus normal ammonium concentrations in canine plasma, indicating the method can be used to aid diagnosis in dogs with suspected hepatobiliary disease.</w:t>
      </w:r>
    </w:p>
    <w:p/>
    <w:p>
      <w:pPr>
        <w:pStyle w:val="Normal"/>
      </w:pPr>
      <w:r>
        <w:rPr>
          <w:color w:val="323232"/>
        </w:rPr>
        <w:t xml:space="preserve">J Am Vet Med Assoc, 2018 vol. 253 (1) pp. 61-65.</w:t>
      </w:r>
    </w:p>
    <w:p>
      <w:r>
        <w:rPr>
          <w:rStyle w:val="Hyperlink"/>
        </w:rPr>
        <w:fldChar w:fldCharType="begin"/>
      </w:r>
      <w:r>
        <w:rPr>
          <w:rStyle w:val="Hyperlink"/>
        </w:rPr>
        <w:instrText xml:space="preserve"> HYPERLINK "http://eutils.ncbi.nlm.nih.gov/entrez/eutils/elink.fcgi?dbfrom=pubmed&amp;id=29911944&amp;retmode=ref&amp;cmd=prlinks"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http://eutils.ncbi.nlm.nih.gov/entrez/eutils/elink.fcgi?dbfrom=pubmed&amp;id=29911944&amp;retmode=ref&amp;cmd=prlinks</w:t>
      </w:r>
      <w:r>
        <w:rPr>
          <w:rStyle w:val="Hyperlink"/>
        </w:rPr>
        <w:fldChar w:fldCharType="end"/>
      </w:r>
    </w:p>
    <w:p>
      <w:pPr>
        <w:pStyle w:val="Normal"/>
      </w:pPr>
      <w:r>
        <w:rPr>
          <w:color w:val="323232"/>
        </w:rPr>
        <w:t xml:space="preserve">————————</w:t>
      </w:r>
    </w:p>
    <w:p>
      <w:pPr>
        <w:pStyle w:val="Heading4"/>
      </w:pPr>
      <w:r>
        <w:t xml:space="preserve">Outcome and clinical, pathological, and immunohistochemical factors associated with prognosis for dogs with early-stage anal sac adenocarcinoma treated with surgery alone: 34 cases (2002-2013).</w:t>
      </w:r>
    </w:p>
    <w:p/>
    <w:p>
      <w:pPr>
        <w:pStyle w:val="Normal"/>
      </w:pPr>
      <w:r>
        <w:rPr>
          <w:color w:val="323232"/>
        </w:rPr>
        <w:t xml:space="preserve">Katherine A Skorupski, Christina N Alarcón, Louis-Philippe de Lorimier, Elise E B LaDouceur, Carlos O Rodriguez, and Robert B Rebhun.</w:t>
      </w:r>
    </w:p>
    <w:p/>
    <w:p>
      <w:pPr>
        <w:pStyle w:val="Normal"/>
      </w:pPr>
      <w:r>
        <w:rPr>
          <w:color w:val="323232"/>
        </w:rPr>
        <w:t xml:space="preserve">OBJECTIVE To determine survival time and metastatic rate for dogs with early-stage anal sac adenocarcinoma (ASACA) treated with surgery alone and assess whether specific clinical, pathological, or immunohistochemical factors were predictive of outcome for those dogs. DESIGN Retrospective case series. ANIMALS 34 dogs with early-stage, nonmetastatic ASACA that were treated with surgery only. PROCEDURES Medical record databases of 2 referral hospitals were searched to identify dogs examined between 2002 and 2013 that had a diagnosis of nonmetastatic ASACA that was &lt; 3.2 cm at its largest diameter. Only dogs that received surgical treatment alone were included in the study. For each dog, information extracted from the medical record included signalment, clinical and diagnostic test findings, tumor characteristics, and outcome. When available, archived tumor specimens were histologically reviewed and tumor characteristics were described; Ki-67 and E-cadherin expressions were evaluated by use of immunohistochemical methods. Clinical, pathological, and immunohistochemical factors were assessed for associations with survival time and tumor recurrence and metastasis rates. RESULTS Median survival time was 1,237 days. Seven dogs had tumor recurrence and 9 dogs developed metastatic disease at a median of 354 and 589 days, respectively, after primary tumor removal. Cellular pleomorphism was positively associated with development of metastatic disease. No other factors evaluated were associated with outcome. CONCLUSIONS AND CLINICAL RELEVANCE Results indicated dogs with early-stage nonmetastatic ASACA generally had a favorable outcome following surgical removal of the primary tumor alone. Routine rectal examination may be a simple and useful method for detection of dogs with early-stage ASACA.</w:t>
      </w:r>
    </w:p>
    <w:p/>
    <w:p>
      <w:pPr>
        <w:pStyle w:val="Normal"/>
      </w:pPr>
      <w:r>
        <w:rPr>
          <w:color w:val="323232"/>
        </w:rPr>
        <w:t xml:space="preserve">J Am Vet Med Assoc, 2018 vol. 253 (1) pp. 84-91.</w:t>
      </w:r>
    </w:p>
    <w:p>
      <w:r>
        <w:rPr>
          <w:rStyle w:val="Hyperlink"/>
        </w:rPr>
        <w:fldChar w:fldCharType="begin"/>
      </w:r>
      <w:r>
        <w:rPr>
          <w:rStyle w:val="Hyperlink"/>
        </w:rPr>
        <w:instrText xml:space="preserve"> HYPERLINK "http://eutils.ncbi.nlm.nih.gov/entrez/eutils/elink.fcgi?dbfrom=pubmed&amp;id=29911942&amp;retmode=ref&amp;cmd=prlinks"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http://eutils.ncbi.nlm.nih.gov/entrez/eutils/elink.fcgi?dbfrom=pubmed&amp;id=29911942&amp;retmode=ref&amp;cmd=prlinks</w:t>
      </w:r>
      <w:r>
        <w:rPr>
          <w:rStyle w:val="Hyperlink"/>
        </w:rPr>
        <w:fldChar w:fldCharType="end"/>
      </w:r>
    </w:p>
    <w:p>
      <w:pPr>
        <w:pStyle w:val="Normal"/>
      </w:pPr>
      <w:r>
        <w:rPr>
          <w:color w:val="323232"/>
        </w:rPr>
        <w:t xml:space="preserve">————————</w:t>
      </w:r>
    </w:p>
    <w:p>
      <w:pPr>
        <w:pStyle w:val="Heading4"/>
      </w:pPr>
      <w:r>
        <w:t xml:space="preserve">Outcomes following surgical excision or surgical excision combined with adjunctive, hypofractionated radiotherapy in dogs with oral squamous cell carcinoma or fibrosarcoma.</w:t>
      </w:r>
    </w:p>
    <w:p/>
    <w:p>
      <w:pPr>
        <w:pStyle w:val="Normal"/>
      </w:pPr>
      <w:r>
        <w:rPr>
          <w:color w:val="323232"/>
        </w:rPr>
        <w:t xml:space="preserve">Julia Riggs, Vicki J Adams, Joanna V Hermer, Jane M Dobson, Suzanne Murphy, and Jane F Ladlow.</w:t>
      </w:r>
    </w:p>
    <w:p/>
    <w:p>
      <w:pPr>
        <w:pStyle w:val="Normal"/>
      </w:pPr>
      <w:r>
        <w:rPr>
          <w:color w:val="323232"/>
        </w:rPr>
        <w:t xml:space="preserve">OBJECTIVE To compare outcomes of dogs treated surgically for oral, nontonsillar, squamous cell carcinomas (SCCs) and fibrosarcomas (FSAs) with outcomes of dogs treated with a combination of surgery and postoperative radiotherapy; to explore whether postoperative, hypofractionated radiotherapy improved outcomes of dogs with incomplete excisions; and to identify prognostic factors associated with outcome. DESIGN Retrospective cohort study. ANIMALS 87 client-owned dogs that had undergone maxillectomy or mandibulectomy for treatment of oral SCC or FSA between 2000 and 2009. PROCEDURES Medical records were retrospectively reviewed. Survival analysis was performed with Kaplan-Meier and Cox regression analyses to evaluate potential prognostic factors associated with patient outcome. RESULTS Median survival time (MST) for all 87 dogs was 2,049 days, but was not reached for dogs with SCC, and was only 557 days for dogs with FSA; tumor type was a significant predictor of survival time. Dogs undergoing postoperative radiotherapy after incomplete excision of oral SCCs had a significantly longer MST (2,051 days) than did dogs with incompletely excised tumors and no radiotherapy (MST, 181 days). Postoperative radiotherapy of dogs with incompletely excised FSAs did not appear to offer protective value (MST, 299 days with radiotherapy and 694 days without radiotherapy). CONCLUSIONS AND CLINICAL RELEVANCE Wide-margin surgical excision should be considered the gold-standard treatment for dogs with oral SCC or FSA. For dogs with oral SCCs without clean surgical margins, survival times may be improved by providing postoperative, hypofractionated radiotherapy.</w:t>
      </w:r>
    </w:p>
    <w:p/>
    <w:p>
      <w:pPr>
        <w:pStyle w:val="Normal"/>
      </w:pPr>
      <w:r>
        <w:rPr>
          <w:color w:val="323232"/>
        </w:rPr>
        <w:t xml:space="preserve">J Am Vet Med Assoc, 2018 vol. 253 (1) pp. 73-83.</w:t>
      </w:r>
    </w:p>
    <w:p>
      <w:r>
        <w:rPr>
          <w:rStyle w:val="Hyperlink"/>
        </w:rPr>
        <w:fldChar w:fldCharType="begin"/>
      </w:r>
      <w:r>
        <w:rPr>
          <w:rStyle w:val="Hyperlink"/>
        </w:rPr>
        <w:instrText xml:space="preserve"> HYPERLINK "http://eutils.ncbi.nlm.nih.gov/entrez/eutils/elink.fcgi?dbfrom=pubmed&amp;id=29911943&amp;retmode=ref&amp;cmd=prlinks"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http://eutils.ncbi.nlm.nih.gov/entrez/eutils/elink.fcgi?dbfrom=pubmed&amp;id=29911943&amp;retmode=ref&amp;cmd=prlinks</w:t>
      </w:r>
      <w:r>
        <w:rPr>
          <w:rStyle w:val="Hyperlink"/>
        </w:rPr>
        <w:fldChar w:fldCharType="end"/>
      </w:r>
    </w:p>
    <w:p>
      <w:pPr>
        <w:pStyle w:val="Normal"/>
      </w:pPr>
      <w:r>
        <w:rPr>
          <w:color w:val="323232"/>
        </w:rPr>
        <w:t xml:space="preserve">————————</w:t>
      </w:r>
    </w:p>
    <w:p>
      <w:pPr>
        <w:pStyle w:val="Heading4"/>
      </w:pPr>
      <w:r>
        <w:t xml:space="preserve">Characterization of and factors associated with causes of pleural effusion in cats.</w:t>
      </w:r>
    </w:p>
    <w:p/>
    <w:p>
      <w:pPr>
        <w:pStyle w:val="Normal"/>
      </w:pPr>
      <w:r>
        <w:rPr>
          <w:color w:val="323232"/>
        </w:rPr>
        <w:t xml:space="preserve">Marina Domínguez Ruiz, Florence Vessières, Guillaume R Ragetly, and Juan L Hernandez.</w:t>
      </w:r>
    </w:p>
    <w:p/>
    <w:p>
      <w:pPr>
        <w:pStyle w:val="Normal"/>
      </w:pPr>
      <w:r>
        <w:rPr>
          <w:color w:val="323232"/>
        </w:rPr>
        <w:t xml:space="preserve">OBJECTIVE To characterize and investigate potential associations between causes of pleural effusion and various clinical factors in a large cohort of affected cats. DESIGN Retrospective case series with nested cross-sectional study. ANIMALS 380 client-owned cats with a diagnosis of pleural effusion from January 1, 2009, through July 14, 2014, for which the cause of pleural effusion had been fully investigated. PROCEDURES Electronic medical records were reviewed and data collected regarding cat characteristics, clinical signs, cause of pleural effusion, treatment, and survival status at discharge from the hospital. Variables were examined for associations with causes of pleural effusion. RESULTS 87 (22.9%) cats died or were euthanized before discharge from the hospital. Congestive heart failure (CHF) was the most common cause (155 [40.8%]) of pleural effusion, followed by neoplasia (98 [25.8%]). Other causes included pyothorax, idiopathic chylothorax, trauma, feline infectious peritonitis, and nontraumatic diaphragmatic hernia. Cats with trauma or feline infectious peritonitis were significantly younger than those with CHF or neoplasia. Cats with lymphoma were significantly younger than those with carcinoma. Cats with CHF had a significantly lower rectal temperature at hospital admission (mean ± SD, 36.9 ± 1.2°C [98.4 ± 2.2°F]) than did cats with pleural effusion from other causes (37.9 ± 1.2°C [100.2 ± 2.2°F]). CONCLUSIONS AND CLINICAL RELEVANCE Cats with pleural effusion in this study had a poor prognosis; CHF and neoplasia were common causes. Age and hypothermia may be helpful to raise the index of suspicion for certain underlying causes of pleural effusion in cats.</w:t>
      </w:r>
    </w:p>
    <w:p/>
    <w:p>
      <w:pPr>
        <w:pStyle w:val="Normal"/>
      </w:pPr>
      <w:r>
        <w:rPr>
          <w:color w:val="323232"/>
        </w:rPr>
        <w:t xml:space="preserve">J Am Vet Med Assoc, 2018 vol. 253 (2) pp. 181-187.</w:t>
      </w:r>
    </w:p>
    <w:p>
      <w:r>
        <w:rPr>
          <w:rStyle w:val="Hyperlink"/>
        </w:rPr>
        <w:fldChar w:fldCharType="begin"/>
      </w:r>
      <w:r>
        <w:rPr>
          <w:rStyle w:val="Hyperlink"/>
        </w:rPr>
        <w:instrText xml:space="preserve"> HYPERLINK "http://eutils.ncbi.nlm.nih.gov/entrez/eutils/elink.fcgi?dbfrom=pubmed&amp;id=29963947&amp;retmode=ref&amp;cmd=prlinks"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http://eutils.ncbi.nlm.nih.gov/entrez/eutils/elink.fcgi?dbfrom=pubmed&amp;id=29963947&amp;retmode=ref&amp;cmd=prlinks</w:t>
      </w:r>
      <w:r>
        <w:rPr>
          <w:rStyle w:val="Hyperlink"/>
        </w:rPr>
        <w:fldChar w:fldCharType="end"/>
      </w:r>
    </w:p>
    <w:p>
      <w:pPr>
        <w:pStyle w:val="Normal"/>
      </w:pPr>
      <w:r>
        <w:rPr>
          <w:color w:val="323232"/>
        </w:rPr>
        <w:t xml:space="preserve">————————</w:t>
      </w:r>
    </w:p>
    <w:p>
      <w:pPr>
        <w:pStyle w:val="Heading4"/>
      </w:pPr>
      <w:r>
        <w:t xml:space="preserve">Effect of refrigeration of clinical canine urine samples on quantitative bacterial culture.</w:t>
      </w:r>
    </w:p>
    <w:p/>
    <w:p>
      <w:pPr>
        <w:pStyle w:val="Normal"/>
      </w:pPr>
      <w:r>
        <w:rPr>
          <w:color w:val="323232"/>
        </w:rPr>
        <w:t xml:space="preserve">Mark J Acierno, Megan Partyka, Kyle Waite, Anderson da Cunha, and Mark A Mitchell.</w:t>
      </w:r>
    </w:p>
    <w:p/>
    <w:p>
      <w:pPr>
        <w:pStyle w:val="Normal"/>
      </w:pPr>
      <w:r>
        <w:rPr>
          <w:color w:val="323232"/>
        </w:rPr>
        <w:t xml:space="preserve">OBJECTIVE To examine the effect of 24 hours of refrigeration on urine samples collected from dogs with signs of urinary tract infection (UTI). DESIGN Prospective cross-sectional study. ANIMALS 104 dogs with signs consistent with UTI that had a urine sample collected via cystocentesis as part of their diagnostic workup. PROCEDURES A 1-mL aliquot of each urine sample was refrigerated at 5°C for 24 hours in a plain glass tube, then processed for quantitative bacterial culture (QBC). A 0.5-mL aliquot was added to 3 mL of tryptic soy broth (TSB) and refrigerated at 5°C for 24 hours, then processed for QBC. The remaining portion was immediately processed for QBC, with results reported as numbers of bacterial colony-forming units (CFUs). Sensitivity of the QBC for detection of bacteria (and therefore UTI) was determined for sample refrigeration in the 2 conditions, compared with immediate processing (reference standard). RESULTS Bacterial growth was identified in 35.6% (n = 37), 33.7% (35), and 31.7% (33) of the immediately processed, refrigerated, and refrigerated-in-TSB urine samples, respectively. Sample refrigeration without TSB resulted in no significant difference in CFU counts relative to immediate processing; however, the sensitivity of this method was 95% (35/37). Sample refrigeration with TSB resulted in significantly lower CFU counts, and sensitivity was only 89% (33/37). CONCLUSIONS AND CLINICAL RELEVANCE Canine urine samples collected for bacterial culture should be immediately submitted for testing. Although CFU counts for refrigerated and immediately processed samples were statistically similar in this study, sample refrigeration in enrichment broth resulted in imperfect sensitivity for UTI detection and is not recommended.</w:t>
      </w:r>
    </w:p>
    <w:p/>
    <w:p>
      <w:pPr>
        <w:pStyle w:val="Normal"/>
      </w:pPr>
      <w:r>
        <w:rPr>
          <w:color w:val="323232"/>
        </w:rPr>
        <w:t xml:space="preserve">J Am Vet Med Assoc, 2018 vol. 253 (2) pp. 177-180.</w:t>
      </w:r>
    </w:p>
    <w:p>
      <w:r>
        <w:rPr>
          <w:rStyle w:val="Hyperlink"/>
        </w:rPr>
        <w:fldChar w:fldCharType="begin"/>
      </w:r>
      <w:r>
        <w:rPr>
          <w:rStyle w:val="Hyperlink"/>
        </w:rPr>
        <w:instrText xml:space="preserve"> HYPERLINK "http://eutils.ncbi.nlm.nih.gov/entrez/eutils/elink.fcgi?dbfrom=pubmed&amp;id=29963956&amp;retmode=ref&amp;cmd=prlinks"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http://eutils.ncbi.nlm.nih.gov/entrez/eutils/elink.fcgi?dbfrom=pubmed&amp;id=29963956&amp;retmode=ref&amp;cmd=prlinks</w:t>
      </w:r>
      <w:r>
        <w:rPr>
          <w:rStyle w:val="Hyperlink"/>
        </w:rPr>
        <w:fldChar w:fldCharType="end"/>
      </w:r>
    </w:p>
    <w:p>
      <w:pPr>
        <w:pStyle w:val="Normal"/>
      </w:pPr>
      <w:r>
        <w:rPr>
          <w:color w:val="323232"/>
        </w:rPr>
        <w:t xml:space="preserve">————————</w:t>
      </w:r>
    </w:p>
    <w:p>
      <w:pPr>
        <w:pStyle w:val="Heading4"/>
      </w:pPr>
      <w:r>
        <w:t xml:space="preserve">Evaluation of various hemostatic knot configurations performed by veterinary students.</w:t>
      </w:r>
    </w:p>
    <w:p/>
    <w:p>
      <w:pPr>
        <w:pStyle w:val="Normal"/>
      </w:pPr>
      <w:r>
        <w:rPr>
          <w:color w:val="323232"/>
        </w:rPr>
        <w:t xml:space="preserve">Gessica Giusto, Francesco Comino, Cristina Vercelli, Vittorio Caramello, Emanuela Morello, and Marco Gandini.</w:t>
      </w:r>
    </w:p>
    <w:p/>
    <w:p>
      <w:pPr>
        <w:pStyle w:val="Normal"/>
      </w:pPr>
      <w:r>
        <w:rPr>
          <w:color w:val="323232"/>
        </w:rPr>
        <w:t xml:space="preserve">OBJECTIVE To determine the most effective hemostatic knot configuration performed by veterinary students following a brief training session with an experienced surgeon and a subsequent deliberate self-training period. DESIGN Experiment. SAMPLE 24 fourth-year veterinary students with no previous surgical knot-tying experience. PROCEDURES In a 1-hour training session, an experienced surgeon showed veterinary students how to perform 5 hemostatic knot configurations (giant, slip, strangle, surgeon's, and transfixing), which they then practiced at home on a hemostasis simulator for 2 weeks. Thereafter, students performed each knot 4 times (twice each with monofilament and multifilament suture) on a hemostasis simulator. An experienced surgeon evaluated the correct execution of knots and measured their effectiveness by use of a manometer to measure vessel pressure distal to the ligature. Each student completed a questionnaire regarding their perceived learning and execution difficulty and sealing security for each knot. Responses were compared among knots and suture materials. RESULTS Overall, students considered the surgeon's knot the easiest to learn and the strangle knot the most difficult. The slipknot was also considered the easiest knot to perform, and the giant knot was considered the most difficult. The strangle knot was deemed the most effective in reducing vessel pressure distal to the ligature. CONCLUSIONS AND CLINICAL RELEVANCE The strangle knot was the most effective hemostatic knot in inexperienced hands, although veterinary students considered it more difficult to learn than other, perhaps more commonly taught, knots. Therefore, teaching of the strangle knot should be encouraged in veterinary schools.</w:t>
      </w:r>
    </w:p>
    <w:p/>
    <w:p>
      <w:pPr>
        <w:pStyle w:val="Normal"/>
      </w:pPr>
      <w:r>
        <w:rPr>
          <w:color w:val="323232"/>
        </w:rPr>
        <w:t xml:space="preserve">J Am Vet Med Assoc, 2018 vol. 253 (2) pp. 219-224.</w:t>
      </w:r>
    </w:p>
    <w:p>
      <w:r>
        <w:rPr>
          <w:rStyle w:val="Hyperlink"/>
        </w:rPr>
        <w:fldChar w:fldCharType="begin"/>
      </w:r>
      <w:r>
        <w:rPr>
          <w:rStyle w:val="Hyperlink"/>
        </w:rPr>
        <w:instrText xml:space="preserve"> HYPERLINK "http://eutils.ncbi.nlm.nih.gov/entrez/eutils/elink.fcgi?dbfrom=pubmed&amp;id=29963945&amp;retmode=ref&amp;cmd=prlinks"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http://eutils.ncbi.nlm.nih.gov/entrez/eutils/elink.fcgi?dbfrom=pubmed&amp;id=29963945&amp;retmode=ref&amp;cmd=prlinks</w:t>
      </w:r>
      <w:r>
        <w:rPr>
          <w:rStyle w:val="Hyperlink"/>
        </w:rPr>
        <w:fldChar w:fldCharType="end"/>
      </w:r>
    </w:p>
    <w:p>
      <w:pPr>
        <w:pStyle w:val="Normal"/>
      </w:pPr>
      <w:r>
        <w:rPr>
          <w:color w:val="323232"/>
        </w:rPr>
        <w:t xml:space="preserve">————————</w:t>
      </w:r>
    </w:p>
    <w:p>
      <w:pPr>
        <w:pStyle w:val="Heading4"/>
      </w:pPr>
      <w:r>
        <w:t xml:space="preserve">Relationship of preoperative neurologic score with intervals to regaining micturition and ambulation following surgical treatment of thoracolumbar disk herniation in dogs.</w:t>
      </w:r>
    </w:p>
    <w:p/>
    <w:p>
      <w:pPr>
        <w:pStyle w:val="Normal"/>
      </w:pPr>
      <w:r>
        <w:rPr>
          <w:color w:val="323232"/>
        </w:rPr>
        <w:t xml:space="preserve">Ditte Skytte and Hugo Schmökel.</w:t>
      </w:r>
    </w:p>
    <w:p/>
    <w:p>
      <w:pPr>
        <w:pStyle w:val="Normal"/>
      </w:pPr>
      <w:r>
        <w:rPr>
          <w:color w:val="323232"/>
        </w:rPr>
        <w:t xml:space="preserve">OBJECTIVE To estimate the times required for dogs to regain micturition and ambulation following surgical treatment for thoracolumbar Hansen type I intervertebral disk extrusion (IVDE) and determine whether these variables were associated with preoperative modified Frankel score (MFS). DESIGN Retrospective case series with nested cohort study. ANIMALS 54 dogs weighing &lt; 20 kg (44 lb) that were surgically treated for Hansen type I IVDE at a referral hospital between January and December 2015. PROCEDURES Medical records and CT and MRI data were reviewed. Information was collected regarding dog signalment, type and duration of clinical signs, preoperative MFS, degree of spinal cord compression, type of medical and surgical treatment provided, and intervals from surgery to regaining micturition and ambulation (outcomes). Collected data were evaluated for correlations with outcomes. RESULTS Mean ± SD interval from surgery to regaining micturition was 4.1 ± 4.4 days, and mean interval from surgery to regaining ambulation was 13.8 ± 25.1 days. These intervals differed significantly. Significant negative correlations with MFS were identified for interval to regaining micturition (r = -0.63) and interval to regaining ambulation (r = -0.64). No other correlations with outcome were identified. CONCLUSIONS AND CLINICAL RELEVANCE The amount of time required for dogs to regain micturition and ambulation following surgery for thoracolumbar IVDE was correlated with preoperative severity of clinical signs, as reflected by preoperative MFSs. This information should be useful for pre and postoperative decision-making and setting of expectations for owners of and clinicians treating affected dogs.</w:t>
      </w:r>
    </w:p>
    <w:p/>
    <w:p>
      <w:pPr>
        <w:pStyle w:val="Normal"/>
      </w:pPr>
      <w:r>
        <w:rPr>
          <w:color w:val="323232"/>
        </w:rPr>
        <w:t xml:space="preserve">J Am Vet Med Assoc, 2018 vol. 253 (2) pp. 196-200.</w:t>
      </w:r>
    </w:p>
    <w:p>
      <w:r>
        <w:rPr>
          <w:rStyle w:val="Hyperlink"/>
        </w:rPr>
        <w:fldChar w:fldCharType="begin"/>
      </w:r>
      <w:r>
        <w:rPr>
          <w:rStyle w:val="Hyperlink"/>
        </w:rPr>
        <w:instrText xml:space="preserve"> HYPERLINK "http://eutils.ncbi.nlm.nih.gov/entrez/eutils/elink.fcgi?dbfrom=pubmed&amp;id=29963949&amp;retmode=ref&amp;cmd=prlinks"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http://eutils.ncbi.nlm.nih.gov/entrez/eutils/elink.fcgi?dbfrom=pubmed&amp;id=29963949&amp;retmode=ref&amp;cmd=prlinks</w:t>
      </w:r>
      <w:r>
        <w:rPr>
          <w:rStyle w:val="Hyperlink"/>
        </w:rPr>
        <w:fldChar w:fldCharType="end"/>
      </w:r>
    </w:p>
    <w:p>
      <w:pPr>
        <w:pStyle w:val="Normal"/>
      </w:pPr>
      <w:r>
        <w:rPr>
          <w:color w:val="323232"/>
        </w:rPr>
        <w:t xml:space="preserve">————————</w:t>
      </w:r>
    </w:p>
    <w:p>
      <w:pPr>
        <w:pStyle w:val="Heading4"/>
      </w:pPr>
      <w:r>
        <w:t xml:space="preserve">Survival estimates and outcome predictors for shelter cats with feline panleukopenia virus infection.</w:t>
      </w:r>
    </w:p>
    <w:p/>
    <w:p>
      <w:pPr>
        <w:pStyle w:val="Normal"/>
      </w:pPr>
      <w:r>
        <w:rPr>
          <w:color w:val="323232"/>
        </w:rPr>
        <w:t xml:space="preserve">Federico Porporato, Marian C Horzinek, Regina Hofmann-Lehmann, Filippo Ferri, Gabriele Gerardi, Barbara Contiero, Tommaso Vezzosi, Paola Rocchi, Edoardo Auriemma, Hans Lutz, and Eric Zini.</w:t>
      </w:r>
    </w:p>
    <w:p/>
    <w:p>
      <w:pPr>
        <w:pStyle w:val="Normal"/>
      </w:pPr>
      <w:r>
        <w:rPr>
          <w:color w:val="323232"/>
        </w:rPr>
        <w:t xml:space="preserve">OBJECTIVE To determine survival estimates and outcome predictors for shelter cats with feline panleukopenia virus (FPV) infection. DESIGN Retrospective cohort study. ANIMALS 177 shelter cats with FPV infection. PROCEDURES Medical records of cats treated for FPV infection from 2011 through 2013 were reviewed to collect information pertaining to signalment; history; results of physical examination, CBC, serum biochemical analysis, and blood gas analysis; and treatments (antimicrobials, antiparasitics, antivirals, antiemetics, analgesics, crystalloid or colloid solutions, and blood products). Survival time and outcome predictors were determined by means of Kaplan-Meier estimation, logistic regression, and mixed-model ANOVA. RESULTS Median survival time after hospital admission was 3 days; 20.3% (36/177) of cats survived to discharge from the hospital. Risk of nonsurvival was greater in cats with (vs without) signs of lethargy, rectal temperature &lt; 37.9°C (I00.2°F), or low body weight at hospital admission. Lower (vs higher) leukocyte count on days 3,4, and 7 of hospitalization, but not at admission, was associated with nonsurvival. Amoxicillin-clavulanic acid, antiparasitics, and maropitant but not interferon-ω were associated with survival, whereas glucose infusion was associated with nonsurvival. CONCLUSIONS AND CLINICAL RELEVANCE Results suggested that FPV infection carried a poor prognosis for shelter cats. Several variables measured at admission or during hospitalization were associated with outcome. Remarkably and contrary to the existing literature, leukopenia at admission had no association with outcome, possibly owing to early prevention of complications.</w:t>
      </w:r>
    </w:p>
    <w:p/>
    <w:p>
      <w:pPr>
        <w:pStyle w:val="Normal"/>
      </w:pPr>
      <w:r>
        <w:rPr>
          <w:color w:val="323232"/>
        </w:rPr>
        <w:t xml:space="preserve">J Am Vet Med Assoc, 2018 vol. 253 (2) pp. 188-195.</w:t>
      </w:r>
    </w:p>
    <w:p>
      <w:r>
        <w:rPr>
          <w:rStyle w:val="Hyperlink"/>
        </w:rPr>
        <w:fldChar w:fldCharType="begin"/>
      </w:r>
      <w:r>
        <w:rPr>
          <w:rStyle w:val="Hyperlink"/>
        </w:rPr>
        <w:instrText xml:space="preserve"> HYPERLINK "http://eutils.ncbi.nlm.nih.gov/entrez/eutils/elink.fcgi?dbfrom=pubmed&amp;id=29963955&amp;retmode=ref&amp;cmd=prlinks"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http://eutils.ncbi.nlm.nih.gov/entrez/eutils/elink.fcgi?dbfrom=pubmed&amp;id=29963955&amp;retmode=ref&amp;cmd=prlinks</w:t>
      </w:r>
      <w:r>
        <w:rPr>
          <w:rStyle w:val="Hyperlink"/>
        </w:rPr>
        <w:fldChar w:fldCharType="end"/>
      </w:r>
    </w:p>
    <w:p>
      <w:pPr>
        <w:pStyle w:val="Normal"/>
      </w:pPr>
      <w:r>
        <w:rPr>
          <w:color w:val="323232"/>
        </w:rPr>
        <w:t xml:space="preserve">————————</w:t>
      </w:r>
    </w:p>
    <w:p>
      <w:pPr>
        <w:pStyle w:val="Heading4"/>
      </w:pPr>
      <w:r>
        <w:t xml:space="preserve">Retrospective study of factors associated with surgical site infection in dogs following tibial plateau leveling osteotomy.</w:t>
      </w:r>
    </w:p>
    <w:p/>
    <w:p>
      <w:pPr>
        <w:pStyle w:val="Normal"/>
      </w:pPr>
      <w:r>
        <w:rPr>
          <w:color w:val="323232"/>
        </w:rPr>
        <w:t xml:space="preserve">Daniel J Lopez, Gretchen M VanDeventer, Ursula Krotscheck, Yazdan Aryazand, Marina J McConkey, Kei Hayashi, Rory J Todhunter, and Galina M Hayes.</w:t>
      </w:r>
    </w:p>
    <w:p/>
    <w:p>
      <w:pPr>
        <w:pStyle w:val="Normal"/>
      </w:pPr>
      <w:r>
        <w:rPr>
          <w:color w:val="323232"/>
        </w:rPr>
        <w:t xml:space="preserve">OBJECTIVE To identify risk factors associated with surgical site infection (SSI) in dogs following tibial plateau leveling osteotomy (TPLO). DESIGN Retrospective cohort study. ANIMALS 320 dogs that underwent unilateral or bilateral TPLO (n = 405 procedures) between 2007 and 2015 and were reexamined by a veterinarian at least once ≥ 8 weeks after the procedure. PROCEDURES Data were extracted from medical records regarding signalment, TPLO procedure details, medical history of dermatitis, and SSI status. Logistic regression was performed to identify factors associated with SSI development. RESULTS An SSI developed following 34 (8.4%; 95% confidence interval [CI], 6.1% to 11.5%) procedures. Prophylactic antimicrobial administration was provided following 36.8% (n = 149) of procedures. For 71 (17.5%) procedures, the dog had dermatitis at the time of surgery; 12 of these procedures involved dermatitis at the surgical site. The incidence of SSI following the 12 procedures for dogs with dermatitis at the surgical site was 16.7% (2/12 [95% CI, 3.3% to 54.3%]) and was 10.2% (6/59 [95% CI, 4.5% to 21.3%]) for dogs with dermatitis elsewhere; however, these differences in incidence were not significant. On multivariable analysis, German Shepherd Dogs (vs other breeds), meniscectomy (vs no meniscectomy), and attending surgeon having performed ≤ 20 (vs &gt; 20) procedures during the study period were associated with increased odds of SSI. CONCLUSIONS AND CLINICAL RELEVANCE SSI following TPLO was associated with the German Shepherd breed, meniscectomy, and surgeon. Prospective studies are needed to investigate the mechanisms underlying these associations.</w:t>
      </w:r>
    </w:p>
    <w:p/>
    <w:p>
      <w:pPr>
        <w:pStyle w:val="Normal"/>
      </w:pPr>
      <w:r>
        <w:rPr>
          <w:color w:val="323232"/>
        </w:rPr>
        <w:t xml:space="preserve">J Am Vet Med Assoc, 2018 vol. 253 (3) pp. 315-321.</w:t>
      </w:r>
    </w:p>
    <w:p>
      <w:r>
        <w:rPr>
          <w:rStyle w:val="Hyperlink"/>
        </w:rPr>
        <w:fldChar w:fldCharType="begin"/>
      </w:r>
      <w:r>
        <w:rPr>
          <w:rStyle w:val="Hyperlink"/>
        </w:rPr>
        <w:instrText xml:space="preserve"> HYPERLINK "http://eutils.ncbi.nlm.nih.gov/entrez/eutils/elink.fcgi?dbfrom=pubmed&amp;id=30019998&amp;retmode=ref&amp;cmd=prlinks"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http://eutils.ncbi.nlm.nih.gov/entrez/eutils/elink.fcgi?dbfrom=pubmed&amp;id=30019998&amp;retmode=ref&amp;cmd=prlinks</w:t>
      </w:r>
      <w:r>
        <w:rPr>
          <w:rStyle w:val="Hyperlink"/>
        </w:rPr>
        <w:fldChar w:fldCharType="end"/>
      </w:r>
    </w:p>
    <w:p>
      <w:pPr>
        <w:pStyle w:val="Normal"/>
      </w:pPr>
      <w:r>
        <w:rPr>
          <w:color w:val="323232"/>
        </w:rPr>
        <w:t xml:space="preserve">————————</w:t>
      </w:r>
    </w:p>
    <w:p>
      <w:pPr>
        <w:pStyle w:val="Heading4"/>
      </w:pPr>
      <w:r>
        <w:t xml:space="preserve">Retrospective survey of owners' experiences with palliative radiation therapy for pets.</w:t>
      </w:r>
    </w:p>
    <w:p/>
    <w:p>
      <w:pPr>
        <w:pStyle w:val="Normal"/>
      </w:pPr>
      <w:r>
        <w:rPr>
          <w:color w:val="323232"/>
        </w:rPr>
        <w:t xml:space="preserve">Vivian C Fan, Monique N Mayer, Sally L Sukut, Nancy R Gustafson, G Neal Mauldin, and Cheryl L Waldner.</w:t>
      </w:r>
    </w:p>
    <w:p/>
    <w:p>
      <w:pPr>
        <w:pStyle w:val="Normal"/>
      </w:pPr>
      <w:r>
        <w:rPr>
          <w:color w:val="323232"/>
        </w:rPr>
        <w:t xml:space="preserve">OBJECTIVE To describe animal owners' experiences with palliative radiation therapy (PRT) of pets and identify factors influencing satisfaction with their pets' treatment. DESIGN Retrospective, cross-sectional study. SAMPLE 118 owners of dogs, cats, or rabbits. PROCEDURES Medical records were searched to identify animals that underwent PRT between 2004 and 2013. Signalment, tumor-related data, and outcome information were recorded. Owners completed an electronic survey assessing satisfaction with treatment (ie, satisfaction with the decision for their pet to undergo PRT and indication that they would choose PRT for their pet again), expectations regarding PRT, and perceptions of their pets' quality of life (QOL) and signs of discomfort from acute adverse radiation effects. Additional data regarding practical aspects of treatment, pet death, communications with veterinarians, and owner demographics were collected. Variables were tested for association with measures of owner satisfaction. RESULTS 92 of 116 (79%) owners were satisfied with the decision to have their pets undergo PRT. Most (92/118 [78%]) owners reported their pet's QOL improved after PRT; these owners were significantly more likely to be satisfied than those who did not report improved QOL. Owners who perceived their pets had discomfort from adverse radiation effects (38/116 [33%]) were significantly less likely to be satisfied than owners who did not report this observation. Measures of satisfaction were not associated with patient survival time. Twenty-one of 118 (18%) owners indicated they expected PRT would cure their pet's tumor. CONCLUSIONS AND CLINICAL RELEVANCE Results suggested that short life expectancy should not deter recommendation of PRT for pets. Protocols that minimize risk of acute adverse effects may be advantageous. Veterinarians should attempt to ensure that owners understand the goals of PRT.</w:t>
      </w:r>
    </w:p>
    <w:p/>
    <w:p>
      <w:pPr>
        <w:pStyle w:val="Normal"/>
      </w:pPr>
      <w:r>
        <w:rPr>
          <w:color w:val="323232"/>
        </w:rPr>
        <w:t xml:space="preserve">J Am Vet Med Assoc, 2018 vol. 253 (3) pp. 307-314.</w:t>
      </w:r>
    </w:p>
    <w:p>
      <w:r>
        <w:rPr>
          <w:rStyle w:val="Hyperlink"/>
        </w:rPr>
        <w:fldChar w:fldCharType="begin"/>
      </w:r>
      <w:r>
        <w:rPr>
          <w:rStyle w:val="Hyperlink"/>
        </w:rPr>
        <w:instrText xml:space="preserve"> HYPERLINK "http://eutils.ncbi.nlm.nih.gov/entrez/eutils/elink.fcgi?dbfrom=pubmed&amp;id=30019997&amp;retmode=ref&amp;cmd=prlinks"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http://eutils.ncbi.nlm.nih.gov/entrez/eutils/elink.fcgi?dbfrom=pubmed&amp;id=30019997&amp;retmode=ref&amp;cmd=prlinks</w:t>
      </w:r>
      <w:r>
        <w:rPr>
          <w:rStyle w:val="Hyperlink"/>
        </w:rPr>
        <w:fldChar w:fldCharType="end"/>
      </w:r>
    </w:p>
    <w:p>
      <w:pPr>
        <w:pStyle w:val="Normal"/>
      </w:pPr>
      <w:r>
        <w:rPr>
          <w:color w:val="323232"/>
        </w:rPr>
        <w:t xml:space="preserve">————————</w:t>
      </w:r>
    </w:p>
    <w:p>
      <w:pPr>
        <w:pStyle w:val="Heading4"/>
      </w:pPr>
      <w:r>
        <w:t xml:space="preserve">Risk of anesthesia-related complications in brachycephalic dogs.</w:t>
      </w:r>
    </w:p>
    <w:p/>
    <w:p>
      <w:pPr>
        <w:pStyle w:val="Normal"/>
      </w:pPr>
      <w:r>
        <w:rPr>
          <w:color w:val="323232"/>
        </w:rPr>
        <w:t xml:space="preserve">Michaela Gruenheid, Turi K Aarnes, Mary A McLoughlin, Elaine M Simpson, Dimitria A Mathys, Dixie F Mollenkopf, and Thomas E Wittum.</w:t>
      </w:r>
    </w:p>
    <w:p/>
    <w:p>
      <w:pPr>
        <w:pStyle w:val="Normal"/>
      </w:pPr>
      <w:r>
        <w:rPr>
          <w:color w:val="323232"/>
        </w:rPr>
        <w:t xml:space="preserve">OBJECTIVE To determine whether brachycephalic dogs were at greater risk of anesthesia-related complications than nonbrachycephalic dogs and identify other risk factors for such complications. DESIGN Retrospective cohort study. ANIMALS 223 client-owned brachycephalic dogs undergoing general anesthesia for routine surgery or diagnostic imaging during 2012 and 223 nonbrachycephalic client-owned dogs matched by surgical procedure and other characteristics. PROCEDURES Data were obtained from the medical records regarding dog signalment, clinical signs, anesthetic variables, surgery characteristics, and complications noted during or following anesthesia (prior to discharge from the hospital). Risk of complications was compared between brachycephalic and nonbrachycephalic dogs, controlling for other factors. RESULTS Perianesthetic (intra-anesthetic and postanesthetic) complications were recorded for 49.1% (n = 219) of all 446 dogs (49.8% [111/223] of brachycephalic and 48.4% [108/223] of nonbrachycephalic dogs), and postanesthetic complications were recorded for 8.7% (39/446; 13.9% [31/223] of brachycephalic and 3.6% [8/223] of nonbrachycephalic dogs). Factors associated with a higher perianesthetic complication rate included brachycephalic status and longer (vs shorter) duration of anesthesia; the risk of perianesthetic complications decreased with increasing body weight and with orthopedic or radiologic procedures (vs soft tissue procedures). Factors associated with a higher postanesthetic complication rate included brachycephalic status, increasing American Society of Anesthesiologists status, use of ketamine plus a benzodiazepine (vs propofol with or without lidocaine) for anesthetic induction, and invasive (vs noninvasive) procedures. CONCLUSIONS AND CLINICAL RELEVANCE Controlling for other factors, brachycephalic dogs undergoing routine surgery or imaging were at higher risk of peri- and postanesthetic complications than nonbrachycephalic dogs. Careful monitoring is recommended for brachycephalic dogs in the perianesthetic period.</w:t>
      </w:r>
    </w:p>
    <w:p/>
    <w:p>
      <w:pPr>
        <w:pStyle w:val="Normal"/>
      </w:pPr>
      <w:r>
        <w:rPr>
          <w:color w:val="323232"/>
        </w:rPr>
        <w:t xml:space="preserve">J Am Vet Med Assoc, 2018 vol. 253 (3) pp. 301-306.</w:t>
      </w:r>
    </w:p>
    <w:p>
      <w:r>
        <w:rPr>
          <w:rStyle w:val="Hyperlink"/>
        </w:rPr>
        <w:fldChar w:fldCharType="begin"/>
      </w:r>
      <w:r>
        <w:rPr>
          <w:rStyle w:val="Hyperlink"/>
        </w:rPr>
        <w:instrText xml:space="preserve"> HYPERLINK "http://eutils.ncbi.nlm.nih.gov/entrez/eutils/elink.fcgi?dbfrom=pubmed&amp;id=30020004&amp;retmode=ref&amp;cmd=prlinks"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http://eutils.ncbi.nlm.nih.gov/entrez/eutils/elink.fcgi?dbfrom=pubmed&amp;id=30020004&amp;retmode=ref&amp;cmd=prlinks</w:t>
      </w:r>
      <w:r>
        <w:rPr>
          <w:rStyle w:val="Hyperlink"/>
        </w:rPr>
        <w:fldChar w:fldCharType="end"/>
      </w:r>
    </w:p>
    <w:p>
      <w:pPr>
        <w:pStyle w:val="Normal"/>
      </w:pPr>
      <w:r>
        <w:rPr>
          <w:color w:val="323232"/>
        </w:rPr>
        <w:t xml:space="preserve">————————</w:t>
      </w:r>
    </w:p>
    <w:p>
      <w:pPr>
        <w:pStyle w:val="Heading4"/>
      </w:pPr>
      <w:r>
        <w:t xml:space="preserve">Effects of transdermal fentanyl solution application and subsequent naloxone hydrochloride administration on minimum alveolar concentration of isoflurane in dogs.</w:t>
      </w:r>
    </w:p>
    <w:p/>
    <w:p>
      <w:pPr>
        <w:pStyle w:val="Normal"/>
      </w:pPr>
      <w:r>
        <w:rPr>
          <w:color w:val="323232"/>
        </w:rPr>
        <w:t xml:space="preserve">Stefania C Grasso, Jeff C Ko, Ann B Weil, Jennifer A Hess, Vaidehi Paranjape, and Mark Payton.</w:t>
      </w:r>
    </w:p>
    <w:p/>
    <w:p>
      <w:pPr>
        <w:pStyle w:val="Normal"/>
      </w:pPr>
      <w:r>
        <w:rPr>
          <w:color w:val="323232"/>
        </w:rPr>
        <w:t xml:space="preserve">OBJECTIVE To assess the isoflurane-sparing effect of a transdermal formulation of fentanyl solution (TFS) and subsequent naloxone administration in dogs. DESIGN Experiment. ANIMALS 6 healthy mixed-breed dogs. PROCEDURES Minimum alveolar concentration (MAC) of isoflurane was determined in each dog with a tail clamp method (baseline). Two weeks later, dogs were treated with TFS (2.7 mg/ kg [1.23 mg/ lb]), and the MAC of isoflurane was determined 4 and 24 hours later. After the 4-hour MAC assessment, saline (0.9% NaCl) solution was immediately administered IV and MAC was reassessed. After the 24-hour MAC assessment, naloxone hydrochloride (0.02 mg/ kg [0.01 mg/ lb], IV) was immediately administered and MAC was reassessed. Heart rate, respiratory rate, arterial blood pressure, end-tidal partial pressure of CO2, and oxygen saturation as measured by pulse oximetry were recorded for each MAC assessment. RESULTS Mean ± SD MAC of isoflurane at 4 and 24 hours after TFS application was 45.4 ± 4.0% and 45.5 ± 4.5% lower than at baseline, respectively. Following naloxone administration, only a minimal reduction in MAC was identified (mean percentage decrease from baseline of 13.1 ± 2.2%, compared with 43.8 ± 5.6% for saline solution). Mean heart rate was significantly higher after naloxone administration (113.2 ± 22.2 beats</w:t>
      </w:r>
      <w:r>
        <w:rPr>
          <w:i w:val="1"/>
          <w:color w:val="323232"/>
        </w:rPr>
        <w:t xml:space="preserve">min) than after saline solution administration (76.7 ± 20.0 beats</w:t>
      </w:r>
      <w:r>
        <w:rPr>
          <w:color w:val="323232"/>
        </w:rPr>
        <w:t xml:space="preserve">min). No significant differences in other variables were identified among treatments. CONCLUSIONS AND CLINICAL RELEVANCE The isoflurane-sparing effects of TFS in healthy dogs were consistent and sustained between 4 and 24 hours after application, and these effects should be taken into consideration when anesthetizing or reanesthetizing TFS-treated dogs.</w:t>
      </w:r>
    </w:p>
    <w:p/>
    <w:p>
      <w:pPr>
        <w:pStyle w:val="Normal"/>
      </w:pPr>
      <w:r>
        <w:rPr>
          <w:color w:val="323232"/>
        </w:rPr>
        <w:t xml:space="preserve">J Am Vet Med Assoc, 2018 vol. 253 (4) pp. 431-436.</w:t>
      </w:r>
    </w:p>
    <w:p>
      <w:r>
        <w:rPr>
          <w:rStyle w:val="Hyperlink"/>
        </w:rPr>
        <w:fldChar w:fldCharType="begin"/>
      </w:r>
      <w:r>
        <w:rPr>
          <w:rStyle w:val="Hyperlink"/>
        </w:rPr>
        <w:instrText xml:space="preserve"> HYPERLINK "http://eutils.ncbi.nlm.nih.gov/entrez/eutils/elink.fcgi?dbfrom=pubmed&amp;id=30058966&amp;retmode=ref&amp;cmd=prlinks"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http://eutils.ncbi.nlm.nih.gov/entrez/eutils/elink.fcgi?dbfrom=pubmed&amp;id=30058966&amp;retmode=ref&amp;cmd=prlinks</w:t>
      </w:r>
      <w:r>
        <w:rPr>
          <w:rStyle w:val="Hyperlink"/>
        </w:rPr>
        <w:fldChar w:fldCharType="end"/>
      </w:r>
    </w:p>
    <w:p>
      <w:pPr>
        <w:pStyle w:val="Normal"/>
      </w:pPr>
      <w:r>
        <w:rPr>
          <w:color w:val="323232"/>
        </w:rPr>
        <w:t xml:space="preserve">————————</w:t>
      </w:r>
    </w:p>
    <w:p>
      <w:pPr>
        <w:pStyle w:val="Heading4"/>
      </w:pPr>
      <w:r>
        <w:t xml:space="preserve">Intra-abdominal complications following intestinal anastomoses by suture and staple techniques in dogs.</w:t>
      </w:r>
    </w:p>
    <w:p/>
    <w:p>
      <w:pPr>
        <w:pStyle w:val="Normal"/>
      </w:pPr>
      <w:r>
        <w:rPr>
          <w:color w:val="323232"/>
        </w:rPr>
        <w:t xml:space="preserve">Christine M DePompeo, Laura Bond, Yelena E George, Marguerite J Mezzles, Jeff D Brourman, John C Chandler, Sean M Murphy, Fred Pike, and David R Mason.</w:t>
      </w:r>
    </w:p>
    <w:p/>
    <w:p>
      <w:pPr>
        <w:pStyle w:val="Normal"/>
      </w:pPr>
      <w:r>
        <w:rPr>
          <w:color w:val="323232"/>
        </w:rPr>
        <w:t xml:space="preserve">OBJECTIVE To compare the incidence of intra-abdominal complications in dogs following resection and functional end-to-end stapled anastomosis (FEESA) versus anastomosis with an end-to-end sutured technique for treatment of enteric lesions. DESIGN Multicenter, retrospective descriptive cohort study. ANIMALS 180 dogs. PROCEDURES Medical records of dogs undergoing intestinal resection and anastomosis at 3 nonaffiliated private practice specialty centers were retrospectively reviewed. Preoperative clinical variables, indication for surgery, surgical technique (sutured end-to-end anastomosis vs FEESA), and evidence of postoperative anastomosis site leakage (dehiscence) were recorded. Variables of interest were analyzed for associations with dehiscence. RESULTS Dehiscence rates of sutured and stapled anastomoses were 12 of 93 (13%) and 4 of 87 (5%), respectively; odds of postoperative dehiscence were significantly lower for dogs with FEESAs than for dogs with sutured anastomoses (OR, 0.28; 95% confidence interval, 0.09 to 0.94). Among dogs that underwent surgery for treatment of intestinal dehiscence after surgery at another facility, subsequent dehiscence developed in 3 of 5 with sutured anastomoses and 0 of 11 with stapled anastomoses. Dehiscence rates varied significantly among clinics. No other variable was associated with risk of dehiscence. Eleven of 16 dogs with dehiscence were euthanized without additional surgery. Impaction at the anastomosis site was identified months or years after surgery in 3 dogs (4 anastomosis sites) that had FEESAs. CONCLUSIONS AND CLINICAL RELEVANCE Odds for dehiscence were significantly greater for sutured end-to-end anastomoses than FEESAs, and dogs undergoing surgery for previous dehiscence were significantly more likely to experience a subsequent dehiscence with a sutured anastomosis. However, variability of procedure types and dehiscence rates among clinics suggested further research is needed to confirm these findings. Obstruction at the anastomosis site was identified as a potential long-term complication of FEESA.</w:t>
      </w:r>
    </w:p>
    <w:p/>
    <w:p>
      <w:pPr>
        <w:pStyle w:val="Normal"/>
      </w:pPr>
      <w:r>
        <w:rPr>
          <w:color w:val="323232"/>
        </w:rPr>
        <w:t xml:space="preserve">J Am Vet Med Assoc, 2018 vol. 253 (4) pp. 437-443.</w:t>
      </w:r>
    </w:p>
    <w:p>
      <w:r>
        <w:rPr>
          <w:rStyle w:val="Hyperlink"/>
        </w:rPr>
        <w:fldChar w:fldCharType="begin"/>
      </w:r>
      <w:r>
        <w:rPr>
          <w:rStyle w:val="Hyperlink"/>
        </w:rPr>
        <w:instrText xml:space="preserve"> HYPERLINK "http://eutils.ncbi.nlm.nih.gov/entrez/eutils/elink.fcgi?dbfrom=pubmed&amp;id=30058972&amp;retmode=ref&amp;cmd=prlinks"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http://eutils.ncbi.nlm.nih.gov/entrez/eutils/elink.fcgi?dbfrom=pubmed&amp;id=30058972&amp;retmode=ref&amp;cmd=prlinks</w:t>
      </w:r>
      <w:r>
        <w:rPr>
          <w:rStyle w:val="Hyperlink"/>
        </w:rPr>
        <w:fldChar w:fldCharType="end"/>
      </w:r>
    </w:p>
    <w:p>
      <w:pPr>
        <w:pStyle w:val="Normal"/>
      </w:pPr>
      <w:r>
        <w:rPr>
          <w:color w:val="323232"/>
        </w:rPr>
        <w:t xml:space="preserve">————————</w:t>
      </w:r>
    </w:p>
    <w:p>
      <w:pPr>
        <w:pStyle w:val="Heading4"/>
      </w:pPr>
      <w:r>
        <w:t xml:space="preserve">Assessment of the effects of gabapentin on activity levels and owner-perceived mobility impairment and quality of life in osteoarthritic geriatric cats.</w:t>
      </w:r>
    </w:p>
    <w:p/>
    <w:p>
      <w:pPr>
        <w:pStyle w:val="Normal"/>
      </w:pPr>
      <w:r>
        <w:rPr>
          <w:color w:val="323232"/>
        </w:rPr>
        <w:t xml:space="preserve">Alonso G P Guedes, Julie M Meadows, Bruno H Pypendop, Eric G Johnson, and Bianca Zaffarano.</w:t>
      </w:r>
    </w:p>
    <w:p/>
    <w:p>
      <w:pPr>
        <w:pStyle w:val="Normal"/>
      </w:pPr>
      <w:r>
        <w:rPr>
          <w:color w:val="323232"/>
        </w:rPr>
        <w:t xml:space="preserve">OBJECTIVE Toevaluate effects of gabapentin on activity levels and owner-perceived mobility impairment and quality of life (QOL) in osteoarthritic geriatric cats. DESIGN Blinded, placebo-controlled, randomized crossover-design study. ANIMALS 20 osteoarthritic cats (≥ 10 years old). PROCEDURES Cats received gabapentin (10 mg/ kg [4.5 mg/ lb]) or placebo treatment, PO, every 12 hours for 2 weeks, followed by the alternate treatment (with no washout period). Activity was assessed with a collar-mounted accelerometer. A client-specific outcome measure (CSOM) questionnaire was used weekly to collect owner assessments of 3 selected activities in which their cats had impaired mobility; QOL ratings (worse, the same, or improved) following crossover to each treatment and for the overall study period were collected at the end of the investigation. Activity counts, CSOM and QOL data, and deterioration in impaired activities (ie, decrease of ≥ 2 points in CSOM scores) associated with treatment crossover were assessed statistically. Adverse events were recorded. RESULTS Gabapentin administration was associated with significantly lower mean daily activity counts (48,333 vs 39,038 counts/d) and significantly greater odds (approx 3-fold change) of CSOM ratings indicating improvement in impaired activities, compared with results for the placebo treatment. A greater proportion of cats had deterioration in impaired activities after the crossover from gabapentin to placebo than when the opposite occurred, but the proportion of cats with worsened QOL did not differ between sequences. Adverse events were noted for 10 cats (9 that completed the study) during gabapentin treatment (sedation, ataxia, weakness, and muscle tremors) and 1 cat during placebo treatment (lethargy). CONCLUSIONS AND CLINICAL RELEVANCE Gabapentin treatment was associated with improvement in owner-identified impaired activities of osteoarthritic cats. Activity levels were lower than those during placebo treatment, and sedation was the most common adverse effect.</w:t>
      </w:r>
    </w:p>
    <w:p/>
    <w:p>
      <w:pPr>
        <w:pStyle w:val="Normal"/>
      </w:pPr>
      <w:r>
        <w:rPr>
          <w:color w:val="323232"/>
        </w:rPr>
        <w:t xml:space="preserve">J Am Vet Med Assoc, 2018 vol. 253 (5) pp. 579-585.</w:t>
      </w:r>
    </w:p>
    <w:p>
      <w:r>
        <w:rPr>
          <w:rStyle w:val="Hyperlink"/>
        </w:rPr>
        <w:fldChar w:fldCharType="begin"/>
      </w:r>
      <w:r>
        <w:rPr>
          <w:rStyle w:val="Hyperlink"/>
        </w:rPr>
        <w:instrText xml:space="preserve"> HYPERLINK "http://eutils.ncbi.nlm.nih.gov/entrez/eutils/elink.fcgi?dbfrom=pubmed&amp;id=30110208&amp;retmode=ref&amp;cmd=prlinks"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http://eutils.ncbi.nlm.nih.gov/entrez/eutils/elink.fcgi?dbfrom=pubmed&amp;id=30110208&amp;retmode=ref&amp;cmd=prlinks</w:t>
      </w:r>
      <w:r>
        <w:rPr>
          <w:rStyle w:val="Hyperlink"/>
        </w:rPr>
        <w:fldChar w:fldCharType="end"/>
      </w:r>
    </w:p>
    <w:p>
      <w:pPr>
        <w:pStyle w:val="Normal"/>
      </w:pPr>
      <w:r>
        <w:rPr>
          <w:color w:val="323232"/>
        </w:rPr>
        <w:t xml:space="preserve">————————</w:t>
      </w:r>
    </w:p>
    <w:p>
      <w:pPr>
        <w:pStyle w:val="Heading4"/>
      </w:pPr>
      <w:r>
        <w:t xml:space="preserve">Factors associated with survival to hospital discharge for cats treated surgically for thoracic trauma.</w:t>
      </w:r>
    </w:p>
    <w:p/>
    <w:p>
      <w:pPr>
        <w:pStyle w:val="Normal"/>
      </w:pPr>
      <w:r>
        <w:rPr>
          <w:color w:val="323232"/>
        </w:rPr>
        <w:t xml:space="preserve">Cassie N Lux, William T N Culp, Matthew S Mellema, Desiree D Rosselli, Chad W Schmiedt, Ameet Singh, April Haynes, Laura E Selmic, Heidi Phillips, Milan Milovancev, Philipp D Mayhew, and Dorothy C Brown.</w:t>
      </w:r>
    </w:p>
    <w:p/>
    <w:p>
      <w:pPr>
        <w:pStyle w:val="Normal"/>
      </w:pPr>
      <w:r>
        <w:rPr>
          <w:color w:val="323232"/>
        </w:rPr>
        <w:t xml:space="preserve">OBJECTIVE To determine the most common types of injuries in cats surgically treated for thoracic trauma, complications associated with surgical treatment, and factors associated with mortality rate and evaluate the effectiveness of the animal trauma triage (ATT) scoring system for predicting outcome. DESIGN Retrospective case series with nested observational study. ANIMALS 23 client-owned cats surgically treated for thoracic trauma at 7 veterinary teaching hospitals between 1990 and 2014. PROCEDURES Medical records were reviewed to collect data on signalment, medical history, clinical signs and physical examination findings at initial evaluation, clinicopathologic findings, initial emergency treatments and diagnostic tests performed, type of trauma sustained, imaging findings, surgery details, postoperative complications, duration of hospitalization, and cause of death, if applicable. All variables were evaluated for associations with survival to hospital discharge. RESULTS Types of trauma that cats had sustained included dog bite or attack (n = 8 [35%]), motor vehicle accident (6 [26%]), other animal attack (2 [9%]), impalement injury or fall (2 [9%]), projectile penetrating trauma (1 [4%]), or unknown origin (4 [17%]). Intrathoracic surgery was required for 65% (15/23) of cats. The overall perioperative mortality rate was 13% (3/23). Mean ± SD ATT scores for surviving and nonsurviving cats were 6.4 ± 2.2 and 10.0 ± 1.7, respectively. Nineteen of 20 cats with no cardiopulmonary arrest survived to discharge, compared with 1 of 3 cats with cardiopulmonary arrest. Only these 2 variables were significantly associated with outcome. CONCLUSIONS AND CLINICAL RELEVANCE The perioperative mortality rate was low in this series of cats with thoracic trauma; however, those with cardiopulmonary arrest were less likely to survive to hospital discharge than other cats. Cats with a low ATT score were more likely to survive than cats with a high ATT score.</w:t>
      </w:r>
    </w:p>
    <w:p/>
    <w:p>
      <w:pPr>
        <w:pStyle w:val="Normal"/>
      </w:pPr>
      <w:r>
        <w:rPr>
          <w:color w:val="323232"/>
        </w:rPr>
        <w:t xml:space="preserve">J Am Vet Med Assoc, 2018 vol. 253 (5) pp. 598-605.</w:t>
      </w:r>
    </w:p>
    <w:p>
      <w:r>
        <w:rPr>
          <w:rStyle w:val="Hyperlink"/>
        </w:rPr>
        <w:fldChar w:fldCharType="begin"/>
      </w:r>
      <w:r>
        <w:rPr>
          <w:rStyle w:val="Hyperlink"/>
        </w:rPr>
        <w:instrText xml:space="preserve"> HYPERLINK "http://eutils.ncbi.nlm.nih.gov/entrez/eutils/elink.fcgi?dbfrom=pubmed&amp;id=30110218&amp;retmode=ref&amp;cmd=prlinks"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http://eutils.ncbi.nlm.nih.gov/entrez/eutils/elink.fcgi?dbfrom=pubmed&amp;id=30110218&amp;retmode=ref&amp;cmd=prlinks</w:t>
      </w:r>
      <w:r>
        <w:rPr>
          <w:rStyle w:val="Hyperlink"/>
        </w:rPr>
        <w:fldChar w:fldCharType="end"/>
      </w:r>
    </w:p>
    <w:p>
      <w:pPr>
        <w:pStyle w:val="Normal"/>
      </w:pPr>
      <w:r>
        <w:rPr>
          <w:color w:val="323232"/>
        </w:rPr>
        <w:t xml:space="preserve">————————</w:t>
      </w:r>
    </w:p>
    <w:p>
      <w:pPr>
        <w:pStyle w:val="Heading4"/>
      </w:pPr>
      <w:r>
        <w:t xml:space="preserve">Accuracy of and interobserver agreement regarding thoracic computed tomography for the diagnosis of chronic bronchitis in dogs.</w:t>
      </w:r>
    </w:p>
    <w:p/>
    <w:p>
      <w:pPr>
        <w:pStyle w:val="Normal"/>
      </w:pPr>
      <w:r>
        <w:rPr>
          <w:color w:val="323232"/>
        </w:rPr>
        <w:t xml:space="preserve">Jeremy R Mortier, Luis Mesquita, Inmaculada Ferrandis, James F McConnell, and Thomas W Maddox.</w:t>
      </w:r>
    </w:p>
    <w:p/>
    <w:p>
      <w:pPr>
        <w:pStyle w:val="Normal"/>
      </w:pPr>
      <w:r>
        <w:rPr>
          <w:color w:val="323232"/>
        </w:rPr>
        <w:t xml:space="preserve">OBJECTIVE To characterize CT findings in dogs with a presumptive diagnosis of chronic bronchitis, estimate the accuracy of thoracic CT for the diagnosis of chronic bronchitis in dogs, and determine interobserver agreement for this method. DESIGN Retrospective case-control and cross-sectional study. ANIMALS 26 dogs with confirmed chronic bronchitis and 20 control dogs with unremarkable results of thoracic CT and no recorded history of cough. PROCEDURES Thoracic CT images of all dogs were interpreted for signs of chronic bronchitis by 2 observers who used specific criteria; observers also used the images to compute the bronchial wall thickness-to-pulmonary artery diameter (BWPA) ratio of the cranial lung lobes. Interobserver agreement was assessed for both diagnostic approaches. Performance of thoracic CT and the BWPA ratio specifically in the diagnosis of chronic bronchitis were evaluated, with the final diagnosis made by the attending internist as the reference standard. Associations between independent variables and the BWPA ratio for all dogs were assessed by linear regression. RESULTS Accuracy of thoracic CT examination for the diagnosis of chronic bronchitis was 57%, sensitivity was 46%, and specificity was 90%. Interobserver agreement was moderate (κ = 0.50). The BWPA ratio had poor accuracy for discriminating dogs with chronic bronchitis from control dogs. Linear regression revealed that as dog body weight increased, BWPA ratios for the left and right cranial lung lobes decreased slightly but significantly. CONCLUSIONS AND CLINICAL RELEVANCE These results suggested that thoracic CT and the associated BWPA ratio have limited value in the diagnosis of chronic bronchitis in dogs.</w:t>
      </w:r>
    </w:p>
    <w:p/>
    <w:p>
      <w:pPr>
        <w:pStyle w:val="Normal"/>
      </w:pPr>
      <w:r>
        <w:rPr>
          <w:color w:val="323232"/>
        </w:rPr>
        <w:t xml:space="preserve">J Am Vet Med Assoc, 2018 vol. 253 (6) pp. 757-762.</w:t>
      </w:r>
    </w:p>
    <w:p>
      <w:r>
        <w:rPr>
          <w:rStyle w:val="Hyperlink"/>
        </w:rPr>
        <w:fldChar w:fldCharType="begin"/>
      </w:r>
      <w:r>
        <w:rPr>
          <w:rStyle w:val="Hyperlink"/>
        </w:rPr>
        <w:instrText xml:space="preserve"> HYPERLINK "http://eutils.ncbi.nlm.nih.gov/entrez/eutils/elink.fcgi?dbfrom=pubmed&amp;id=30179097&amp;retmode=ref&amp;cmd=prlinks"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http://eutils.ncbi.nlm.nih.gov/entrez/eutils/elink.fcgi?dbfrom=pubmed&amp;id=30179097&amp;retmode=ref&amp;cmd=prlinks</w:t>
      </w:r>
      <w:r>
        <w:rPr>
          <w:rStyle w:val="Hyperlink"/>
        </w:rPr>
        <w:fldChar w:fldCharType="end"/>
      </w:r>
    </w:p>
    <w:p>
      <w:pPr>
        <w:pStyle w:val="Normal"/>
      </w:pPr>
      <w:r>
        <w:rPr>
          <w:color w:val="323232"/>
        </w:rPr>
        <w:t xml:space="preserve">————————</w:t>
      </w:r>
    </w:p>
    <w:p>
      <w:pPr>
        <w:pStyle w:val="Heading4"/>
      </w:pPr>
      <w:r>
        <w:t xml:space="preserve">Association of tibial plateau leveling osteotomy with proximal tibial osteosarcoma in dogs.</w:t>
      </w:r>
    </w:p>
    <w:p/>
    <w:p>
      <w:pPr>
        <w:pStyle w:val="Normal"/>
      </w:pPr>
      <w:r>
        <w:rPr>
          <w:color w:val="323232"/>
        </w:rPr>
        <w:t xml:space="preserve">Laura E Selmic, Stewart D Ryan, Audrey Ruple, William E Pass, and Stephen J Withrow.</w:t>
      </w:r>
    </w:p>
    <w:p/>
    <w:p>
      <w:pPr>
        <w:pStyle w:val="Normal"/>
      </w:pPr>
      <w:r>
        <w:rPr>
          <w:color w:val="323232"/>
        </w:rPr>
        <w:t xml:space="preserve">OBJECTIVE To assess for any association between a history of tibial plateau leveling osteotomy (TPLO) and subsequent development of proximal tibial osteosarcoma in dogs. DESIGN Matched case-control study. ANIMALS 34 client-owned dogs in which proximal tibial osteosarcoma was diagnosed between January 2005 and December 2012 (cases) and 79 dogs without osteosarcoma, matched 3:1 to cases (when possible) by age, breed, and initial examination date (controls). PROCEDURES Information on each case and control was collected from the medical records and other sources regarding date of birth, sex and neuter status, body weight, breed, and whether TPLO had been performed ≥ 1 year ago. A multivariable conditional logistic regression model was constructed to evaluate associations of body weight and history of TPLO with the outcome of proximal tibial osteosarcoma in dogs. RESULTS After adjusting for body weight in the multivariable model, dogs with a history of TPLO were 40 times as likely to develop proximal tibial osteosarcoma as were dogs with no history of TPLO. In addition, each 1-kg (2.2-lb) increase in body weight was associated with an 11% increase in the odds of proximal tibial osteosarcoma. CONCLUSIONS AND CLINICAL RELEVANCE Results suggested that dogs with a history of TPLO were at increased risk of developing osteosarcoma of the proximal region of the tibia relative to dogs with no such history. Therefore, it is important for proximal tibial osteosarcoma to be included among the differential diagnoses for new or worsening hind limb lameness in dogs that underwent TPLO ≥ 1 year previously.</w:t>
      </w:r>
    </w:p>
    <w:p/>
    <w:p>
      <w:pPr>
        <w:pStyle w:val="Normal"/>
      </w:pPr>
      <w:r>
        <w:rPr>
          <w:color w:val="323232"/>
        </w:rPr>
        <w:t xml:space="preserve">J Am Vet Med Assoc, 2018 vol. 253 (6) pp. 752-756.</w:t>
      </w:r>
    </w:p>
    <w:p>
      <w:r>
        <w:rPr>
          <w:rStyle w:val="Hyperlink"/>
        </w:rPr>
        <w:fldChar w:fldCharType="begin"/>
      </w:r>
      <w:r>
        <w:rPr>
          <w:rStyle w:val="Hyperlink"/>
        </w:rPr>
        <w:instrText xml:space="preserve"> HYPERLINK "http://eutils.ncbi.nlm.nih.gov/entrez/eutils/elink.fcgi?dbfrom=pubmed&amp;id=30179084&amp;retmode=ref&amp;cmd=prlinks"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http://eutils.ncbi.nlm.nih.gov/entrez/eutils/elink.fcgi?dbfrom=pubmed&amp;id=30179084&amp;retmode=ref&amp;cmd=prlinks</w:t>
      </w:r>
      <w:r>
        <w:rPr>
          <w:rStyle w:val="Hyperlink"/>
        </w:rPr>
        <w:fldChar w:fldCharType="end"/>
      </w:r>
    </w:p>
    <w:p>
      <w:pPr>
        <w:pStyle w:val="Normal"/>
      </w:pPr>
      <w:r>
        <w:rPr>
          <w:color w:val="323232"/>
        </w:rPr>
        <w:t xml:space="preserve">————————</w:t>
      </w:r>
    </w:p>
    <w:p>
      <w:pPr>
        <w:pStyle w:val="Heading4"/>
      </w:pPr>
      <w:r>
        <w:t xml:space="preserve">Outcomes of nonsurgical treatment for congenital thoracic vertebral body malformations in dogs: 13 cases (2009-2016).</w:t>
      </w:r>
    </w:p>
    <w:p/>
    <w:p>
      <w:pPr>
        <w:pStyle w:val="Normal"/>
      </w:pPr>
      <w:r>
        <w:rPr>
          <w:color w:val="323232"/>
        </w:rPr>
        <w:t xml:space="preserve">Sophie Wyatt, Rita Gonçalves, Rodrigo Gutierrez-Quintana, and Steven De Decker.</w:t>
      </w:r>
    </w:p>
    <w:p/>
    <w:p>
      <w:pPr>
        <w:pStyle w:val="Normal"/>
      </w:pPr>
      <w:r>
        <w:rPr>
          <w:color w:val="323232"/>
        </w:rPr>
        <w:t xml:space="preserve">OBJECTIVE To characterize outcomes following nonsurgical treatment of congenital thoracic vertebral body malformations causing neurologic deficits in dogs. DESIGN Retrospective case series. ANIMALS 13 client-owned dogs treated nonsurgically for congenital thoracic vertebral body malformations at 3 veterinary referral hospitals from June 2009 through May 2016. PROCEDURES Data were extracted from the medical records regarding dog signalment, duration and type of clinical signs before referral, general physical and neurologic examination findings, radiographic and MRI findings, and treatments provided after diagnosis. Follow-up data were obtained from records of recheck examinations and via a standardized owner questionnaire. RESULTS All included dogs were screw-tail brachycephalic breeds with a median age of 6 months. All dogs had ambulatory paraparesis and ataxia, and in 1 dog, signs of spinal hyperesthesia could be elicited. Nonsurgical treatments consisted of restricted exercise without (n = 5) or with (3) physiotherapy, physiotherapy without restricted exercise (3), and no exercise modification (2). Seven dogs received additional nonsurgical treatment consisting of prednisolone (n = 5) or gabapentin (2). Four dogs were eventually euthanized because of progressive neurologic deterioration, 2 underwent surgery for the same reason, and the remaining 7 dogs survived for ≥ 170 days after diagnosis, despite progressive neurologic deterioration. CONCLUSIONS AND CLINICAL RELEVANCE Nonsurgical treatment of congenital thoracic vertebral body malformations was associated with an unfavorable outcome in this group of dogs. Despite this treatment, all dogs had progression of clinical signs.</w:t>
      </w:r>
    </w:p>
    <w:p/>
    <w:p>
      <w:pPr>
        <w:pStyle w:val="Normal"/>
      </w:pPr>
      <w:r>
        <w:rPr>
          <w:color w:val="323232"/>
        </w:rPr>
        <w:t xml:space="preserve">J Am Vet Med Assoc, 2018 vol. 253 (6) pp. 768-773.</w:t>
      </w:r>
    </w:p>
    <w:p>
      <w:r>
        <w:rPr>
          <w:rStyle w:val="Hyperlink"/>
        </w:rPr>
        <w:fldChar w:fldCharType="begin"/>
      </w:r>
      <w:r>
        <w:rPr>
          <w:rStyle w:val="Hyperlink"/>
        </w:rPr>
        <w:instrText xml:space="preserve"> HYPERLINK "http://eutils.ncbi.nlm.nih.gov/entrez/eutils/elink.fcgi?dbfrom=pubmed&amp;id=30179095&amp;retmode=ref&amp;cmd=prlinks"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http://eutils.ncbi.nlm.nih.gov/entrez/eutils/elink.fcgi?dbfrom=pubmed&amp;id=30179095&amp;retmode=ref&amp;cmd=prlinks</w:t>
      </w:r>
      <w:r>
        <w:rPr>
          <w:rStyle w:val="Hyperlink"/>
        </w:rPr>
        <w:fldChar w:fldCharType="end"/>
      </w:r>
    </w:p>
    <w:p>
      <w:pPr>
        <w:pStyle w:val="Normal"/>
      </w:pPr>
      <w:r>
        <w:rPr>
          <w:color w:val="323232"/>
        </w:rPr>
        <w:t xml:space="preserve">————————</w:t>
      </w:r>
    </w:p>
    <w:p>
      <w:pPr>
        <w:pStyle w:val="Heading4"/>
      </w:pPr>
      <w:r>
        <w:t xml:space="preserve">Seizure etiologic classification and long-term outcome for cats with juvenile-onset seizures.</w:t>
      </w:r>
    </w:p>
    <w:p/>
    <w:p>
      <w:pPr>
        <w:pStyle w:val="Normal"/>
      </w:pPr>
      <w:r>
        <w:rPr>
          <w:color w:val="323232"/>
        </w:rPr>
        <w:t xml:space="preserve">Muna Qahwash and Heidi L Barnes Heller.</w:t>
      </w:r>
    </w:p>
    <w:p/>
    <w:p>
      <w:pPr>
        <w:pStyle w:val="Normal"/>
      </w:pPr>
      <w:r>
        <w:rPr>
          <w:color w:val="323232"/>
        </w:rPr>
        <w:t xml:space="preserve">OBJECTIVE To identify seizure etiologic classification for cats that developed seizures at &lt; 12 months of age and describe the long-term outcome of affected cats. DESIGN Retrospective cohort study. ANIMALS 15 client-owned cats with seizures that began at &lt; 12 months of age. PROCEDURES Information on each cat was obtained from the medical records, veterinarians, and owners. Inclusion required an onset of seizures before 12 months of age and a complete medical record, including a final diagnosis. RESULTS 7 of the 15 cats had structural epilepsy, 4 had idiopathic epilepsy, and 4 had reactive seizures. Median age at seizure onset was 27 weeks (range, 0.4 to 41 weeks). Cluster seizures were reported in 6 cats, and status epilepticus was reported in 2. Age at the onset of seizures, presence of cluster seizures, and seizure semiology (ie, generalized vs focal seizures) were not significantly associated with seizure etiologic classification. CONCLUSIONS AND CLINICAL RELEVANCE Results suggested that cats that developed seizures at &lt; 12 months of age were more likely to have structural epilepsy than idiopathic epilepsy or reactive seizures. Therefore, advanced diagnostic imaging is recommended in cats with juvenile-onset seizures if metabolic and toxic causes are excluded.</w:t>
      </w:r>
    </w:p>
    <w:p/>
    <w:p>
      <w:pPr>
        <w:pStyle w:val="Normal"/>
      </w:pPr>
      <w:r>
        <w:rPr>
          <w:color w:val="323232"/>
        </w:rPr>
        <w:t xml:space="preserve">J Am Vet Med Assoc, 2018 vol. 253 (6) pp. 763-767.</w:t>
      </w:r>
    </w:p>
    <w:p>
      <w:r>
        <w:rPr>
          <w:rStyle w:val="Hyperlink"/>
        </w:rPr>
        <w:fldChar w:fldCharType="begin"/>
      </w:r>
      <w:r>
        <w:rPr>
          <w:rStyle w:val="Hyperlink"/>
        </w:rPr>
        <w:instrText xml:space="preserve"> HYPERLINK "http://eutils.ncbi.nlm.nih.gov/entrez/eutils/elink.fcgi?dbfrom=pubmed&amp;id=30179086&amp;retmode=ref&amp;cmd=prlinks"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http://eutils.ncbi.nlm.nih.gov/entrez/eutils/elink.fcgi?dbfrom=pubmed&amp;id=30179086&amp;retmode=ref&amp;cmd=prlinks</w:t>
      </w:r>
      <w:r>
        <w:rPr>
          <w:rStyle w:val="Hyperlink"/>
        </w:rPr>
        <w:fldChar w:fldCharType="end"/>
      </w:r>
    </w:p>
    <w:p>
      <w:pPr>
        <w:pStyle w:val="Normal"/>
      </w:pPr>
      <w:r>
        <w:rPr>
          <w:color w:val="323232"/>
        </w:rPr>
        <w:t xml:space="preserve">————————</w:t>
      </w:r>
    </w:p>
    <w:p>
      <w:pPr>
        <w:pStyle w:val="Heading4"/>
      </w:pPr>
      <w:r>
        <w:t xml:space="preserve">Incidence of chyloabdomen diagnosis in dogs and cats and corresponding clinical signs, clinicopathologic test results, and outcomes: 53 cases (1984-2014).</w:t>
      </w:r>
    </w:p>
    <w:p/>
    <w:p>
      <w:pPr>
        <w:pStyle w:val="Normal"/>
      </w:pPr>
      <w:r>
        <w:rPr>
          <w:color w:val="323232"/>
        </w:rPr>
        <w:t xml:space="preserve">Alex Hatch, Karl E Jandrey, Matt C Tenwolde, and Michael S Kent.</w:t>
      </w:r>
    </w:p>
    <w:p/>
    <w:p>
      <w:pPr>
        <w:pStyle w:val="Normal"/>
      </w:pPr>
      <w:r>
        <w:rPr>
          <w:color w:val="323232"/>
        </w:rPr>
        <w:t xml:space="preserve">OBJECTIVE To determine the incidence of chyloabdomen diagnosis in cats and dogs and characterize and compare between species the corresponding clinical signs, clinicopathologic test results, and outcomes. DESIGN Retrospective case series. ANIMALS 36 cats and 17 dogs in which chyloabdomen was diagnosed at a veterinary teaching hospital between 1984 and 2014. PROCEDURES Medical records were reviewed, and data retrieved included patient signalment; clinical signs at initial evaluation; results of physical examination, diagnostic tests, and imaging studies; and outcomes. Survival analyses, descriptive statistics, and comparisons between species were completed. RESULTS The incidence of chyloabdomen at the veterinary teaching hospital during the study period was 2.0 cases/100,000 admissions for cats and 2.8 cases/100,000 admissions for dogs. The mean age at diagnosis of chyloabdomen in cats was 11.3 years, compared with 6.9 years in dogs. The most common clinical signs in dogs and cats combined were lethargy (39/51 [76%]) and anorexia (37/51 [73%]), but fewer (23/53 [43%]) had abdominal distention. Chylothorax was a common comorbidity (25/53 [47%]), with malignant neoplasia being the most common underlying diagnosis (24/53 [45%]). Survival analyses included 44 patients; median survival time from diagnosis of chyloabdomen was 31 days overall, 8 days for patients with malignant neoplasia, and 73 days for patients without neoplasia. CONCLUSIONS AND CLINICAL RELEVANCE There were multiple causes of chyloabdomen in dogs and cats of the study, and outcome depended on underlying cause. Because of this and the rarity of chyloabdomen, a multicenter prospective study of disease progression, treatment response, and clinical outcome for dogs and cats with chyloabdomen is needed.</w:t>
      </w:r>
    </w:p>
    <w:p/>
    <w:p>
      <w:pPr>
        <w:pStyle w:val="Normal"/>
      </w:pPr>
      <w:r>
        <w:rPr>
          <w:color w:val="323232"/>
        </w:rPr>
        <w:t xml:space="preserve">J Am Vet Med Assoc, 2018 vol. 253 (7) pp. 886-892.</w:t>
      </w:r>
    </w:p>
    <w:p>
      <w:r>
        <w:rPr>
          <w:rStyle w:val="Hyperlink"/>
        </w:rPr>
        <w:fldChar w:fldCharType="begin"/>
      </w:r>
      <w:r>
        <w:rPr>
          <w:rStyle w:val="Hyperlink"/>
        </w:rPr>
        <w:instrText xml:space="preserve"> HYPERLINK "http://eutils.ncbi.nlm.nih.gov/entrez/eutils/elink.fcgi?dbfrom=pubmed&amp;id=30211644&amp;retmode=ref&amp;cmd=prlinks"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http://eutils.ncbi.nlm.nih.gov/entrez/eutils/elink.fcgi?dbfrom=pubmed&amp;id=30211644&amp;retmode=ref&amp;cmd=prlinks</w:t>
      </w:r>
      <w:r>
        <w:rPr>
          <w:rStyle w:val="Hyperlink"/>
        </w:rPr>
        <w:fldChar w:fldCharType="end"/>
      </w:r>
    </w:p>
    <w:p>
      <w:pPr>
        <w:pStyle w:val="Normal"/>
      </w:pPr>
      <w:r>
        <w:rPr>
          <w:color w:val="323232"/>
        </w:rPr>
        <w:t xml:space="preserve">————————</w:t>
      </w:r>
    </w:p>
    <w:p>
      <w:pPr>
        <w:pStyle w:val="Heading4"/>
      </w:pPr>
      <w:r>
        <w:t xml:space="preserve">Investigation of potential risk factors for mesenteric volvulus in military working dogs.</w:t>
      </w:r>
    </w:p>
    <w:p/>
    <w:p>
      <w:pPr>
        <w:pStyle w:val="Normal"/>
      </w:pPr>
      <w:r>
        <w:rPr>
          <w:color w:val="323232"/>
        </w:rPr>
        <w:t xml:space="preserve">Shane J Andrews, Todd M Thomas, Joe G Hauptman, and Bryden J Stanley.</w:t>
      </w:r>
    </w:p>
    <w:p/>
    <w:p>
      <w:pPr>
        <w:pStyle w:val="Normal"/>
      </w:pPr>
      <w:r>
        <w:rPr>
          <w:color w:val="323232"/>
        </w:rPr>
        <w:t xml:space="preserve">OBJECTIVE To identify risk factors for mesenteric volvulus (MV) in military working dogs (MWDs). DESIGN Retrospective case-control study. ANIMALS 211 MWDs (54 with and 157 without MV [case and control dogs, respectively]). PROCEDURES Medical records (cases and controls) and necropsy reports (cases) were reviewed. Signalment, pertinent medical and surgical history, behavior and temperament characteristics, feeding schedules, and training types were recorded. Weather patterns for regions where dogs resided were researched. Data were evaluated statistically to identify potential risk factors for MV. RESULTS Risk factors significantly associated with MV included German Shepherd Dog breed (OR, 11.5), increasing age (OR, 2.0), and history of prophylactic gastropexy (OR, 65.9), other abdominal surgery (after gastropexy and requiring a separate anesthetic episode; OR, 16.9), and gastrointestinal disease (OR, 5.4). Post hoc analysis of the subset of MWDs that underwent gastropexy suggested that postoperative complications were associated with MV in these dogs but type of gastropexy and surgeon experience level were not. CONCLUSIONS AND CLINICAL RELEVANCE Data supported earlier findings that German Shepherd Dog breed and history of gastrointestinal disease were risk factors for MV. The MWDs with a history of prophylactic gastropexy or other abdominal surgery were more likely to acquire MV than were those without such history. These findings warrant further study. Despite the association between prophylactic gastropexy and MV, the authors remain supportive of this procedure to help prevent the more common disease of gastric dilatation-volvulus.</w:t>
      </w:r>
    </w:p>
    <w:p/>
    <w:p>
      <w:pPr>
        <w:pStyle w:val="Normal"/>
      </w:pPr>
      <w:r>
        <w:rPr>
          <w:color w:val="323232"/>
        </w:rPr>
        <w:t xml:space="preserve">J Am Vet Med Assoc, 2018 vol. 253 (7) pp. 877-885.</w:t>
      </w:r>
    </w:p>
    <w:p>
      <w:r>
        <w:rPr>
          <w:rStyle w:val="Hyperlink"/>
        </w:rPr>
        <w:fldChar w:fldCharType="begin"/>
      </w:r>
      <w:r>
        <w:rPr>
          <w:rStyle w:val="Hyperlink"/>
        </w:rPr>
        <w:instrText xml:space="preserve"> HYPERLINK "http://eutils.ncbi.nlm.nih.gov/entrez/eutils/elink.fcgi?dbfrom=pubmed&amp;id=30211640&amp;retmode=ref&amp;cmd=prlinks"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http://eutils.ncbi.nlm.nih.gov/entrez/eutils/elink.fcgi?dbfrom=pubmed&amp;id=30211640&amp;retmode=ref&amp;cmd=prlinks</w:t>
      </w:r>
      <w:r>
        <w:rPr>
          <w:rStyle w:val="Hyperlink"/>
        </w:rPr>
        <w:fldChar w:fldCharType="end"/>
      </w:r>
    </w:p>
    <w:p>
      <w:pPr>
        <w:pStyle w:val="Normal"/>
      </w:pPr>
      <w:r>
        <w:rPr>
          <w:color w:val="323232"/>
        </w:rPr>
        <w:t xml:space="preserve">————————</w:t>
      </w:r>
    </w:p>
    <w:p>
      <w:pPr>
        <w:pStyle w:val="Heading4"/>
      </w:pPr>
      <w:r>
        <w:t xml:space="preserve">Retrospective analysis of incidence, clinical features, potential risk factors, and prognostic indicators for aspiration pneumonia in three brachycephalic dog breeds.</w:t>
      </w:r>
    </w:p>
    <w:p/>
    <w:p>
      <w:pPr>
        <w:pStyle w:val="Normal"/>
      </w:pPr>
      <w:r>
        <w:rPr>
          <w:color w:val="323232"/>
        </w:rPr>
        <w:t xml:space="preserve">Hannah P Darcy, Karen Humm, and Gert Ter Haar.</w:t>
      </w:r>
    </w:p>
    <w:p/>
    <w:p>
      <w:pPr>
        <w:pStyle w:val="Normal"/>
      </w:pPr>
      <w:r>
        <w:rPr>
          <w:color w:val="323232"/>
        </w:rPr>
        <w:t xml:space="preserve">OBJECTIVE To investigate incidence, clinical features, potential risk factors, and prognostic indicators for aspiration pneumonia in Pugs, French Bulldogs, and Bulldogs. DESIGN Retrospective, observational study. ANIMALS 41 brachycephalic dogs with aspiration pneumonia. PROCEDURES Medical records of a veterinary referral hospital were retrospectively searched to identify Pugs, French Bulldogs, and Bulldogs treated for aspiration pneumonia between 2006 and 2015. Signalment, clinical data, and outcomes were recorded. Variables of interest were analyzed for statistical associations with outcome. Incidence of aspiration pneumonia for the population of interest was compared with that for all other dog breeds and for the general hospital population of dogs during the study. RESULTS 41 of 2,141 (1.91%) dogs of the selected brachycephalic breeds and 396 of 80,137 (0.49%) dogs overall had a diagnosis of aspiration pneumonia. Relative risk of the disease in the population of interest was 3.77 times that for all other breeds. Median age at disease onset was greater for Pugs (83 months) than for French Bulldogs (8 months) and Bulldogs (6 months). History of gastrointestinal signs was the most commonly observed preidentified risk factor (27/41 [66%]) in these breeds. Neurologic disease was significantly more common in Pugs than in French Bulldogs and Bulldogs. On univariate analysis, increased age, male sex, obtundation, hypoalbuminemia, azotemia, and high liver enzyme activities were associated with nonsurvival; on logistic regression, increased age was associated with nonsurvival. CONCLUSIONS AND CLINICAL RELEVANCE Age at onset and presence of other risk factors for aspiration pneumonia may vary among brachycephalic dog breeds. Prospective studies are needed to determine common risk factors and prognostic indicators for aspiration pneumonia in the larger population of brachycephalic dogs.</w:t>
      </w:r>
    </w:p>
    <w:p/>
    <w:p>
      <w:pPr>
        <w:pStyle w:val="Normal"/>
      </w:pPr>
      <w:r>
        <w:rPr>
          <w:color w:val="323232"/>
        </w:rPr>
        <w:t xml:space="preserve">J Am Vet Med Assoc, 2018 vol. 253 (7) pp. 869-876.</w:t>
      </w:r>
    </w:p>
    <w:p>
      <w:r>
        <w:rPr>
          <w:rStyle w:val="Hyperlink"/>
        </w:rPr>
        <w:fldChar w:fldCharType="begin"/>
      </w:r>
      <w:r>
        <w:rPr>
          <w:rStyle w:val="Hyperlink"/>
        </w:rPr>
        <w:instrText xml:space="preserve"> HYPERLINK "http://eutils.ncbi.nlm.nih.gov/entrez/eutils/elink.fcgi?dbfrom=pubmed&amp;id=30211637&amp;retmode=ref&amp;cmd=prlinks"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http://eutils.ncbi.nlm.nih.gov/entrez/eutils/elink.fcgi?dbfrom=pubmed&amp;id=30211637&amp;retmode=ref&amp;cmd=prlinks</w:t>
      </w:r>
      <w:r>
        <w:rPr>
          <w:rStyle w:val="Hyperlink"/>
        </w:rPr>
        <w:fldChar w:fldCharType="end"/>
      </w:r>
    </w:p>
    <w:p>
      <w:pPr>
        <w:pStyle w:val="Normal"/>
      </w:pPr>
      <w:r>
        <w:rPr>
          <w:color w:val="323232"/>
        </w:rPr>
        <w:t xml:space="preserve">————————</w:t>
      </w:r>
    </w:p>
    <w:p>
      <w:pPr>
        <w:pStyle w:val="Heading4"/>
      </w:pPr>
      <w:r>
        <w:t xml:space="preserve">Comparison of major complication and survival rates between surgical ligation and use of a canine ductal occluder device for treatment of dogs with left-to-right shunting patent ductus arteriosus.</w:t>
      </w:r>
    </w:p>
    <w:p/>
    <w:p>
      <w:pPr>
        <w:pStyle w:val="Normal"/>
      </w:pPr>
      <w:r>
        <w:rPr>
          <w:color w:val="323232"/>
        </w:rPr>
        <w:t xml:space="preserve">Bharadhwaj Ranganathan, Nicole L LeBlanc, Katherine F Scollan, Katy L Townsend, Deepmala Agarwal, and Milan Milovancev.</w:t>
      </w:r>
    </w:p>
    <w:p/>
    <w:p>
      <w:pPr>
        <w:pStyle w:val="Normal"/>
      </w:pPr>
      <w:r>
        <w:rPr>
          <w:color w:val="323232"/>
        </w:rPr>
        <w:t xml:space="preserve">OBJECTIVE To compare rates of major intraoperative complications and survival to hospital discharge between surgical ligation (SL) and canine ductal occluder (CDO) implantation for treatment of dogs with left-to-right shunting patent ductus arteriosus (PDA). DESIGN Retrospective cohort study. ANIMALS 120 client-owned dogs with left-to-right shunting PDA (62 treated by SL and 58 treated by CDO implantation). PROCEDURES Data were retrieved from medical records of included dogs regarding signalment, medical history, vertebral heart scale, preoperative echocardiographic findings, complications encountered during surgery, and durations of anesthesia and surgery (SL or CDO implantation). Data were compared between dogs treated by SL and those treated by CDO implantation. RESULTS Dogs treated by CDO implantation were significantly older and heavier than dogs treated by SL and had more pathological cardiac remodeling (as indicated by mitral regurgitation scores, left atrial-to-aortic root diameter ratios, and fractional shortening values). Durations of anesthesia and surgery were also significantly longer for CDO implantation versus SL. The major complication rate for dogs treated by SL (6/62 [10%]) was significantly greater than that for dogs treated by CDO implantation (0/58 [0%]). One dog in the SL group died during surgery. Overall rate of survival to hospital discharge was 99% (119/120). CONCLUSIONS AND CLINICAL RELEVANCE Both SL and CDO implantation were viable methods for PDA attenuation in the evaluated dogs. Although a greater proportion of dogs had major complications during the SL procedure, the 2 procedures had comparable rates of survival to hospital discharge.</w:t>
      </w:r>
    </w:p>
    <w:p/>
    <w:p>
      <w:pPr>
        <w:pStyle w:val="Normal"/>
      </w:pPr>
      <w:r>
        <w:rPr>
          <w:color w:val="323232"/>
        </w:rPr>
        <w:t xml:space="preserve">J Am Vet Med Assoc, 2018 vol. 253 (8) pp. 1046-1052.</w:t>
      </w:r>
    </w:p>
    <w:p>
      <w:r>
        <w:rPr>
          <w:rStyle w:val="Hyperlink"/>
        </w:rPr>
        <w:fldChar w:fldCharType="begin"/>
      </w:r>
      <w:r>
        <w:rPr>
          <w:rStyle w:val="Hyperlink"/>
        </w:rPr>
        <w:instrText xml:space="preserve"> HYPERLINK "http://eutils.ncbi.nlm.nih.gov/entrez/eutils/elink.fcgi?dbfrom=pubmed&amp;id=30272512&amp;retmode=ref&amp;cmd=prlinks"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http://eutils.ncbi.nlm.nih.gov/entrez/eutils/elink.fcgi?dbfrom=pubmed&amp;id=30272512&amp;retmode=ref&amp;cmd=prlinks</w:t>
      </w:r>
      <w:r>
        <w:rPr>
          <w:rStyle w:val="Hyperlink"/>
        </w:rPr>
        <w:fldChar w:fldCharType="end"/>
      </w:r>
    </w:p>
    <w:p>
      <w:pPr>
        <w:pStyle w:val="Normal"/>
      </w:pPr>
      <w:r>
        <w:rPr>
          <w:color w:val="323232"/>
        </w:rPr>
        <w:t xml:space="preserve">————————</w:t>
      </w:r>
    </w:p>
    <w:p>
      <w:pPr>
        <w:pStyle w:val="Heading4"/>
      </w:pPr>
      <w:r>
        <w:t xml:space="preserve">Diagnostic value of vertebral left atrial size as determined from thoracic radiographs for assessment of left atrial size in dogs with myxomatous mitral valve disease.</w:t>
      </w:r>
    </w:p>
    <w:p/>
    <w:p>
      <w:pPr>
        <w:pStyle w:val="Normal"/>
      </w:pPr>
      <w:r>
        <w:rPr>
          <w:color w:val="323232"/>
        </w:rPr>
        <w:t xml:space="preserve">Elizabeth L Malcolm, Lance C Visser, Kathryn L Phillips, and Lynelle R Johnson.</w:t>
      </w:r>
    </w:p>
    <w:p/>
    <w:p>
      <w:pPr>
        <w:pStyle w:val="Normal"/>
      </w:pPr>
      <w:r>
        <w:rPr>
          <w:color w:val="323232"/>
        </w:rPr>
        <w:t xml:space="preserve">OBJECTIVE To describe vertebral left atrial size (VLAS), a quantitative method to estimate left atrial (LA) size radiographically, and to determine its diagnostic value for prediction of echocardiographic LA enlargement in dogs with myxomatous mitral valve disease (MMVD) of varying severity. DESIGN Prospective observational study. ANIMALS 103 client-owned dogs with a left-sided systolic murmur. PROCEDURES For each dog, 3-view thoracic radiographs were obtained within 24 hours of an echocardiographic examination. The VLAS was measured on right and left lateral thoracic radiographs and compared with the left atrium-to-aortic root ratio acquired from short-axis (LA:AoSx) and long-axis (LA:AoLx) echocardiographic images. Left atrial enlargement was defined as an LA:AoLx ≥ 2.6 or LA:AoSx ≥ 1.6. Dogs were allocated to 4 groups on the basis of MMVD severity. RESULTS Of the 103 dogs, 15, 40, 26, and 22 were assigned to the control (no echocardiographic abnormalities), stage B1 (hemodynamically irrelevant MMVD), B2 (hemodynamically relevant MMVD), and C-D (MMVD with congestive heart failure) groups, respectively. Median VLAS, LA:AoSx, and LA:AoLx for the stage B2 and C-D groups were significantly greater than the corresponding medians for the control and stage B1 groups. There was a moderate positive correlation between VLAS and both LA:AoSx and LA:AoLx. Receiver operating characteristic analyses revealed that a VLAS ≥ 2.3 vertebrae was a useful predictor of LA enlargement. Intraobserver and interobserver agreements for VLAS measurements were high. CONCLUSIONS AND CLINICAL RELEVANCE Results indicated VLAS was a repeatable and useful radiographic measurement for prediction of LA enlargement in dogs with MMVD.</w:t>
      </w:r>
    </w:p>
    <w:p/>
    <w:p>
      <w:pPr>
        <w:pStyle w:val="Normal"/>
      </w:pPr>
      <w:r>
        <w:rPr>
          <w:color w:val="323232"/>
        </w:rPr>
        <w:t xml:space="preserve">J Am Vet Med Assoc, 2018 vol. 253 (8) pp. 1038-1045.</w:t>
      </w:r>
    </w:p>
    <w:p>
      <w:r>
        <w:rPr>
          <w:rStyle w:val="Hyperlink"/>
        </w:rPr>
        <w:fldChar w:fldCharType="begin"/>
      </w:r>
      <w:r>
        <w:rPr>
          <w:rStyle w:val="Hyperlink"/>
        </w:rPr>
        <w:instrText xml:space="preserve"> HYPERLINK "http://eutils.ncbi.nlm.nih.gov/entrez/eutils/elink.fcgi?dbfrom=pubmed&amp;id=30272515&amp;retmode=ref&amp;cmd=prlinks"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http://eutils.ncbi.nlm.nih.gov/entrez/eutils/elink.fcgi?dbfrom=pubmed&amp;id=30272515&amp;retmode=ref&amp;cmd=prlinks</w:t>
      </w:r>
      <w:r>
        <w:rPr>
          <w:rStyle w:val="Hyperlink"/>
        </w:rPr>
        <w:fldChar w:fldCharType="end"/>
      </w:r>
    </w:p>
    <w:p>
      <w:pPr>
        <w:pStyle w:val="Normal"/>
      </w:pPr>
      <w:r>
        <w:rPr>
          <w:color w:val="323232"/>
        </w:rPr>
        <w:t xml:space="preserve">————————</w:t>
      </w:r>
    </w:p>
    <w:p>
      <w:pPr>
        <w:pStyle w:val="Heading4"/>
      </w:pPr>
      <w:r>
        <w:t xml:space="preserve">Likelihood and outcome of esophageal perforation secondary to esophageal foreign body in dogs.</w:t>
      </w:r>
    </w:p>
    <w:p/>
    <w:p>
      <w:pPr>
        <w:pStyle w:val="Normal"/>
      </w:pPr>
      <w:r>
        <w:rPr>
          <w:color w:val="323232"/>
        </w:rPr>
        <w:t xml:space="preserve">Allyson A Sterman, Kelley M Thieman Mankin, Kathleen M Ham, and Audrey K Cook.</w:t>
      </w:r>
    </w:p>
    <w:p/>
    <w:p>
      <w:pPr>
        <w:pStyle w:val="Normal"/>
      </w:pPr>
      <w:r>
        <w:rPr>
          <w:color w:val="323232"/>
        </w:rPr>
        <w:t xml:space="preserve">OBJECTIVE To determine the likelihood and outcome of esophageal perforation secondary to an esophageal foreign body (EFB) in dogs. DESIGN Retrospective observational study. ANIMALS 125 dogs evaluated for EFB at 2 veterinary teaching hospitals from January 2005 through December 2013. PROCEDURES Data were retrieved from the medical record of each dog regarding variables hypothesized to be associated with esophageal perforation, whether esophageal perforation was present, and survival to hospital discharge. Variables were examined for associations with various outcomes. RESULTS Bones (55/125 [44%]) and fishhooks (37/125 [30%]) were the most common types of EFBs. Fifteen (12%) dogs had an esophageal perforation (10 with a fishhook EFB and 5 with a bone EFB). No association was identified between dog body weight and esophageal perforation. Esophageal perforation was more likely in dogs with a fishhook EFB (10/37 [27%]) versus other EFBs (5/88 [6%]; OR, 6.1; 95% confidence interval, 1.9 to 9.6). Median interval from fishhook or bone ingestion to initial evaluation was significantly longer for dogs with (12 and 96 hours, respectively) versus without (1 and 24 hours, respectively) perforation. Thirteen of 15 (87%) dogs with esophageal perforation survived to hospital discharge, including all 10 dogs with perforation secondary to fishhook ingestion. Eight survivors with esophageal perforation required no surgical intervention. CONCLUSIONS AND CLINICAL RELEVANCE Esophageal perforation was uncommon in the evaluated dogs with an EFB, and no surgical intervention was required for a large proportion of them. Fishhooks and delay between EFB ingestion and initial evaluation were risk factors for perforation.</w:t>
      </w:r>
    </w:p>
    <w:p/>
    <w:p>
      <w:pPr>
        <w:pStyle w:val="Normal"/>
      </w:pPr>
      <w:r>
        <w:rPr>
          <w:color w:val="323232"/>
        </w:rPr>
        <w:t xml:space="preserve">J Am Vet Med Assoc, 2018 vol. 253 (8) pp. 1053-1056.</w:t>
      </w:r>
    </w:p>
    <w:p>
      <w:r>
        <w:rPr>
          <w:rStyle w:val="Hyperlink"/>
        </w:rPr>
        <w:fldChar w:fldCharType="begin"/>
      </w:r>
      <w:r>
        <w:rPr>
          <w:rStyle w:val="Hyperlink"/>
        </w:rPr>
        <w:instrText xml:space="preserve"> HYPERLINK "http://eutils.ncbi.nlm.nih.gov/entrez/eutils/elink.fcgi?dbfrom=pubmed&amp;id=30272517&amp;retmode=ref&amp;cmd=prlinks"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http://eutils.ncbi.nlm.nih.gov/entrez/eutils/elink.fcgi?dbfrom=pubmed&amp;id=30272517&amp;retmode=ref&amp;cmd=prlinks</w:t>
      </w:r>
      <w:r>
        <w:rPr>
          <w:rStyle w:val="Hyperlink"/>
        </w:rPr>
        <w:fldChar w:fldCharType="end"/>
      </w:r>
    </w:p>
    <w:p>
      <w:pPr>
        <w:pStyle w:val="Normal"/>
      </w:pPr>
      <w:r>
        <w:rPr>
          <w:color w:val="323232"/>
        </w:rPr>
        <w:t xml:space="preserve">————————</w:t>
      </w:r>
    </w:p>
    <w:p>
      <w:pPr>
        <w:pStyle w:val="Heading4"/>
      </w:pPr>
      <w:r>
        <w:t xml:space="preserve">Owner-witnessed cardiopulmonary resuscitation in small animal emergency veterinary medicine.</w:t>
      </w:r>
    </w:p>
    <w:p/>
    <w:p>
      <w:pPr>
        <w:pStyle w:val="Normal"/>
      </w:pPr>
      <w:r>
        <w:rPr>
          <w:color w:val="323232"/>
        </w:rPr>
        <w:t xml:space="preserve">Lindsey M Fejfar, Elizabeth A Rozanski, and Megan K Mueller.</w:t>
      </w:r>
    </w:p>
    <w:p/>
    <w:p>
      <w:pPr>
        <w:pStyle w:val="Normal"/>
      </w:pPr>
      <w:r>
        <w:rPr>
          <w:color w:val="323232"/>
        </w:rPr>
        <w:t xml:space="preserve">OBJECTIVE To determine opinions of veterinary emergency health-care providers on the topic of owner-witnessed CPR in small animal emergency medicine and to identify reasons for opposition or support of owner-witnessed CPR. DESIGN Cross-sectional survey. SAMPLE 358 surveys completed by American College of Veterinary Emergency and Critical Care diplomates and residents as well as other emergency-care veterinarians and veterinary technicians between August 14, 2016, and September 14, 2016. PROCEDURES An internet-based survey was used to collect data on respondent demographics, CPR experience, and opinions about owner-witnessed CPR. Responses were collected, and the Fisher exact test or χ2 test was used to compare distributions of various opinions toward owner-witnessed CPR among certain respondent groups. RESULTS Owner presence during CPR was opposed by 277 of 356 (77.8%) respondents, with no substantial differences among demographic groups. Respondents with ≤ 10 years of experience were less willing to allow owner presence during CPR, compared with respondents with &gt; 10 years of experience. Respondents who worked at practices that allowed owner presence during CPR were more likely to report emotional benefit for owners. CONCLUSIONS AND CLINICAL RELEVANCE Veterinary professionals surveyed had similar concerns about owner-witnessed CPR, as has been reported by human health-care providers about family-witnessed resuscitation. However, emotional benefits from family-witnessed resuscitation in human health care have been reported, and emotional impacts of owner-witnessed CPR could be an area of research in veterinary medicine. In addition, investigation is needed to obtain more information about pet owner wishes in regard to witnessing CPR performed on their pets.</w:t>
      </w:r>
    </w:p>
    <w:p/>
    <w:p>
      <w:pPr>
        <w:pStyle w:val="Normal"/>
      </w:pPr>
      <w:r>
        <w:rPr>
          <w:color w:val="323232"/>
        </w:rPr>
        <w:t xml:space="preserve">J Am Vet Med Assoc, 2018 vol. 253 (8) pp. 1032-1037.</w:t>
      </w:r>
    </w:p>
    <w:p>
      <w:r>
        <w:rPr>
          <w:rStyle w:val="Hyperlink"/>
        </w:rPr>
        <w:fldChar w:fldCharType="begin"/>
      </w:r>
      <w:r>
        <w:rPr>
          <w:rStyle w:val="Hyperlink"/>
        </w:rPr>
        <w:instrText xml:space="preserve"> HYPERLINK "http://eutils.ncbi.nlm.nih.gov/entrez/eutils/elink.fcgi?dbfrom=pubmed&amp;id=30272518&amp;retmode=ref&amp;cmd=prlinks"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http://eutils.ncbi.nlm.nih.gov/entrez/eutils/elink.fcgi?dbfrom=pubmed&amp;id=30272518&amp;retmode=ref&amp;cmd=prlinks</w:t>
      </w:r>
      <w:r>
        <w:rPr>
          <w:rStyle w:val="Hyperlink"/>
        </w:rPr>
        <w:fldChar w:fldCharType="end"/>
      </w:r>
    </w:p>
    <w:p>
      <w:pPr>
        <w:pStyle w:val="Normal"/>
      </w:pPr>
      <w:r>
        <w:rPr>
          <w:color w:val="323232"/>
        </w:rPr>
        <w:t xml:space="preserve">————————</w:t>
      </w:r>
    </w:p>
    <w:p>
      <w:pPr>
        <w:pStyle w:val="Heading4"/>
      </w:pPr>
      <w:r>
        <w:t xml:space="preserve">Transient depression of pelvic limb reflexes in dogs with acute focal thoracolumbar myelopathy.</w:t>
      </w:r>
    </w:p>
    <w:p/>
    <w:p>
      <w:pPr>
        <w:pStyle w:val="Normal"/>
      </w:pPr>
      <w:r>
        <w:rPr>
          <w:color w:val="323232"/>
        </w:rPr>
        <w:t xml:space="preserve">Amy W Hodshon and William B Thomas.</w:t>
      </w:r>
    </w:p>
    <w:p/>
    <w:p>
      <w:pPr>
        <w:pStyle w:val="Normal"/>
      </w:pPr>
      <w:r>
        <w:rPr>
          <w:color w:val="323232"/>
        </w:rPr>
        <w:t xml:space="preserve">OBJECTIVE To determine the prevalence of depressed pelvic limb reflexes and changes in those reflexes over time in dogs with acute thoracolumbar myelopathy. DESIGN Prospective study. ANIMALS 34 dogs. PROCEDURES Dogs with acute pelvic limb paralysis caused by acute noncompressive nucleus pulposus extrusion (ANNPE), fibrocartilaginous embolism (FCE), or compressive intervertebral disk herniation (IVDH) within the T3-L3 spinal cord segments were enrolled in the study. Dogs with depressed or absent pelvic limb withdrawal reflexes as determined by 2 examiners were classified as affected and underwent additional testing to rule out multifocal lesions. Pelvic limb reflexes of affected dogs were reassessed every 12 hours until they returned to normal. Neurologic examinations were performed at 4 and 8 weeks after initial examination for some dogs. RESULTS Compressive IVDH, ANNPE, and FCE were diagnosed in 30, 1, and 3 dogs, respectively. Nine (5 with compressive IVDH and all 4 with FCE or ANNPE) of 34 (26%) dogs were classified as affected. Patellar reflexes were depressed in 2 of 9 affected dogs. The median time required for withdrawal reflexes to return to normal was 60 hours (range, 12 to 156 hours). Onset duration of paralysis was negatively associated with the odds of a dog being classified as affected. CONCLUSIONS AND CLINICAL RELEVANCE Results indicated that dogs with focal thoracolumbar spinal cord lesions, especially those with peracute onset of paralysis, can develop transient depression of pelvic limb reflexes. Awareness of this phenomenon is important for veterinarians to accurately localize lesions and develop appropriate diagnostic plans and prognoses.</w:t>
      </w:r>
    </w:p>
    <w:p/>
    <w:p>
      <w:pPr>
        <w:pStyle w:val="Normal"/>
      </w:pPr>
      <w:r>
        <w:rPr>
          <w:color w:val="323232"/>
        </w:rPr>
        <w:t xml:space="preserve">J Am Vet Med Assoc, 2018 vol. 253 (8) pp. 1022-1031.</w:t>
      </w:r>
    </w:p>
    <w:p>
      <w:r>
        <w:rPr>
          <w:rStyle w:val="Hyperlink"/>
        </w:rPr>
        <w:fldChar w:fldCharType="begin"/>
      </w:r>
      <w:r>
        <w:rPr>
          <w:rStyle w:val="Hyperlink"/>
        </w:rPr>
        <w:instrText xml:space="preserve"> HYPERLINK "http://eutils.ncbi.nlm.nih.gov/entrez/eutils/elink.fcgi?dbfrom=pubmed&amp;id=30272519&amp;retmode=ref&amp;cmd=prlinks"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http://eutils.ncbi.nlm.nih.gov/entrez/eutils/elink.fcgi?dbfrom=pubmed&amp;id=30272519&amp;retmode=ref&amp;cmd=prlinks</w:t>
      </w:r>
      <w:r>
        <w:rPr>
          <w:rStyle w:val="Hyperlink"/>
        </w:rPr>
        <w:fldChar w:fldCharType="end"/>
      </w:r>
    </w:p>
    <w:p>
      <w:pPr>
        <w:pStyle w:val="Normal"/>
      </w:pPr>
      <w:r>
        <w:rPr>
          <w:color w:val="323232"/>
        </w:rPr>
        <w:t xml:space="preserve">————————</w:t>
      </w:r>
    </w:p>
    <w:p>
      <w:pPr>
        <w:pStyle w:val="Heading4"/>
      </w:pPr>
      <w:r>
        <w:t xml:space="preserve">Risk factors for temporary tracheostomy tube placement following surgery to alleviate signs of brachycephalic obstructive airway syndrome in dogs.</w:t>
      </w:r>
    </w:p>
    <w:p/>
    <w:p>
      <w:pPr>
        <w:pStyle w:val="Normal"/>
      </w:pPr>
      <w:r>
        <w:rPr>
          <w:color w:val="323232"/>
        </w:rPr>
        <w:t xml:space="preserve">David B Worth, Janet A Grimes, David A Jiménez, Amie Koenig, and Chad W Schmiedt.</w:t>
      </w:r>
    </w:p>
    <w:p/>
    <w:p>
      <w:pPr>
        <w:pStyle w:val="Normal"/>
      </w:pPr>
      <w:r>
        <w:rPr>
          <w:color w:val="323232"/>
        </w:rPr>
        <w:t xml:space="preserve">OBJECTIVE To identify risk factors for temporary tracheostomy tube placement (TTTP) following surgery for alleviation of signs associated with brachycephalic obstructive airway syndrome (BOAS) in dogs. DESIGN Retrospective case-control study. ANIMALS 122 client-owned dogs with BOAS that underwent surgery to alleviate clinical signs (BOAS surgery). PROCEDURES The medical records database of a veterinary teaching hospital was searched to identify dogs that underwent BOAS surgery from January 2007 through March 2016. Of the 198 dogs identified, 12 required postoperative TTTP (cases); 110 of the remaining 186 dogs were randomly selected as controls. Data regarding signalment and select preoperative, intraoperative, and postoperative variables were extracted from the medical record of each dog. Variables were compared between cases and controls and evaluated for an association with the odds of postoperative TTTP. RESULTS Body condition score, tracheal diameter-to-thoracic inlet ratio, staphylectomy technique, and mortality rate did not differ significantly between cases and controls. The odds of postoperative TTTP increased approximately 30% (OR, 1.3) for each 1-year increase in patient age. Postoperative administration of corticosteroids and presence of pneumonia were also positively associated with the odds of postoperative TTTP. Median duration of hospitalization was significantly longer for cases than controls. CONCLUSIONS AND CLINICAL RELEVANCE Age was positively associated with the odds of TTTP in dogs after BOAS surgery, and TTTP led to prolonged hospitalization. Thus, early identification and intervention may be beneficial for dogs with BOAS. The associations between TTTP and postoperative corticosteroid use or pneumonia were likely not causal, but reflective of patient disease severity.</w:t>
      </w:r>
    </w:p>
    <w:p/>
    <w:p>
      <w:pPr>
        <w:pStyle w:val="Normal"/>
      </w:pPr>
      <w:r>
        <w:rPr>
          <w:color w:val="323232"/>
        </w:rPr>
        <w:t xml:space="preserve">J Am Vet Med Assoc, 2018 vol. 253 (9) pp. 1158-1163.</w:t>
      </w:r>
    </w:p>
    <w:p>
      <w:r>
        <w:rPr>
          <w:rStyle w:val="Hyperlink"/>
        </w:rPr>
        <w:fldChar w:fldCharType="begin"/>
      </w:r>
      <w:r>
        <w:rPr>
          <w:rStyle w:val="Hyperlink"/>
        </w:rPr>
        <w:instrText xml:space="preserve"> HYPERLINK "http://eutils.ncbi.nlm.nih.gov/entrez/eutils/elink.fcgi?dbfrom=pubmed&amp;id=30311524&amp;retmode=ref&amp;cmd=prlinks"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http://eutils.ncbi.nlm.nih.gov/entrez/eutils/elink.fcgi?dbfrom=pubmed&amp;id=30311524&amp;retmode=ref&amp;cmd=prlinks</w:t>
      </w:r>
      <w:r>
        <w:rPr>
          <w:rStyle w:val="Hyperlink"/>
        </w:rPr>
        <w:fldChar w:fldCharType="end"/>
      </w:r>
    </w:p>
    <w:p>
      <w:pPr>
        <w:pStyle w:val="Normal"/>
      </w:pPr>
      <w:r>
        <w:rPr>
          <w:color w:val="323232"/>
        </w:rPr>
        <w:t xml:space="preserve">————————</w:t>
      </w:r>
    </w:p>
    <w:p>
      <w:pPr>
        <w:pStyle w:val="Heading4"/>
      </w:pPr>
      <w:r>
        <w:t xml:space="preserve">Effects of the use of silver-coated urinary catheters on the incidence of catheter-associated bacteriuria and urinary tract infection in dogs.</w:t>
      </w:r>
    </w:p>
    <w:p/>
    <w:p>
      <w:pPr>
        <w:pStyle w:val="Normal"/>
      </w:pPr>
      <w:r>
        <w:rPr>
          <w:color w:val="323232"/>
        </w:rPr>
        <w:t xml:space="preserve">Adam T Ogilvie, Brigitte A Brisson, William R Gow, Shannon Wainberg, Ameet Singh, and J Scott Weese.</w:t>
      </w:r>
    </w:p>
    <w:p/>
    <w:p>
      <w:pPr>
        <w:pStyle w:val="Normal"/>
      </w:pPr>
      <w:r>
        <w:rPr>
          <w:color w:val="323232"/>
        </w:rPr>
        <w:t xml:space="preserve">OBJECTIVE To determine the effects of silver-coated versus standard silicone urinary catheters on the incidence of catheter-associated bacteriuria (CAB) and catheter-associated urinary tract infection (CAUTI) in dogs. DESIGN Randomized controlled clinical trial. ANIMALS 36 dogs requiring urinary bladder catheterization for ≥ 24 hours. PROCEDURES Dogs were randomly assigned to receive a silver-coated or non-silver-coated (control) silicone Foley catheter. Urine samples for cytologic examination and bacterial culture were collected at the time of catheter insertion and daily until catheters were removed (≥ 24 hours to 7 days later). Results were compared between groups. RESULTS No significant differences were identified between catheter groups in the incidence of CAB or CAUTI. Although the median time to development of cytologically detected bacteriuria, culture-detected bacteriuria, and CAUTI did not differ significantly between groups, median time to CAB development (either method) was significantly longer for dogs that received a control catheter rather than a silver-coated catheter. For both types of catheters combined, older age was a significant predictor of culture-detected bacteriuria, and longer duration of catheterization was a significant predictor of culture-detected bacteriuria and overall CAB. CONCLUSIONS AND CLINICAL RELEVANCE Silver-coated urinary catheters provided no clinical benefit over standard urinary catheters for the dogs of this study and were associated with earlier development of CAB but not CAUTI. A larger prospective study is required to definitively determine whether the use of silver-coated urinary catheters should or should not be considered to reduce the risk of CAB or CAUTI in dogs.</w:t>
      </w:r>
    </w:p>
    <w:p/>
    <w:p>
      <w:pPr>
        <w:pStyle w:val="Normal"/>
      </w:pPr>
      <w:r>
        <w:rPr>
          <w:color w:val="323232"/>
        </w:rPr>
        <w:t xml:space="preserve">J Am Vet Med Assoc, 2018 vol. 253 (10) pp. 1289-1293.</w:t>
      </w:r>
    </w:p>
    <w:p>
      <w:r>
        <w:rPr>
          <w:rStyle w:val="Hyperlink"/>
        </w:rPr>
        <w:fldChar w:fldCharType="begin"/>
      </w:r>
      <w:r>
        <w:rPr>
          <w:rStyle w:val="Hyperlink"/>
        </w:rPr>
        <w:instrText xml:space="preserve"> HYPERLINK "http://eutils.ncbi.nlm.nih.gov/entrez/eutils/elink.fcgi?dbfrom=pubmed&amp;id=30398417&amp;retmode=ref&amp;cmd=prlinks"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http://eutils.ncbi.nlm.nih.gov/entrez/eutils/elink.fcgi?dbfrom=pubmed&amp;id=30398417&amp;retmode=ref&amp;cmd=prlinks</w:t>
      </w:r>
      <w:r>
        <w:rPr>
          <w:rStyle w:val="Hyperlink"/>
        </w:rPr>
        <w:fldChar w:fldCharType="end"/>
      </w:r>
    </w:p>
    <w:p>
      <w:pPr>
        <w:pStyle w:val="Normal"/>
      </w:pPr>
      <w:r>
        <w:rPr>
          <w:color w:val="323232"/>
        </w:rPr>
        <w:t xml:space="preserve">————————</w:t>
      </w:r>
    </w:p>
    <w:p>
      <w:pPr>
        <w:pStyle w:val="Heading4"/>
      </w:pPr>
      <w:r>
        <w:t xml:space="preserve">Interventional treatment of benign nasopharyngeal stenosis and imperforate nasopharynx in dogs and cats: 46 cases (2005-2013).</w:t>
      </w:r>
    </w:p>
    <w:p/>
    <w:p>
      <w:pPr>
        <w:pStyle w:val="Normal"/>
      </w:pPr>
      <w:r>
        <w:rPr>
          <w:color w:val="323232"/>
        </w:rPr>
        <w:t xml:space="preserve">Stacy Burdick, Allyson C Berent, Chick Weisse, Douglas Palma, Lori Asprea, Kenneth Lamb, and Erik Tozier.</w:t>
      </w:r>
    </w:p>
    <w:p/>
    <w:p>
      <w:pPr>
        <w:pStyle w:val="Normal"/>
      </w:pPr>
      <w:r>
        <w:rPr>
          <w:color w:val="323232"/>
        </w:rPr>
        <w:t xml:space="preserve">OBJECTIVE To determine outcome for dogs and cats with benign nasopharyngeal stenosis or an imperforate nasopharynx that underwent balloon dilatation or metallic stent placement. DESIGN Retrospective case series. ANIMALS 15 dogs and 31 cats. PROCEDURES Medical records were retrospectively reviewed, and data on signalment, history, clinical signs, lesion location, treatment, and outcome were obtained. Patients were excluded if &lt; 6 months of follow-up information was available. RESULTS 5 dogs and 22 cats underwent balloon dilatation, and results were successful in 11 (0 dogs and 11 cats) of the 27 (41%). Stents were placed in 34 patients (including 15 in which balloon dilatation had been unsuccessful). Uncovered stents were placed in 30 patients, and results were successful in 20 (67%). Covered stents were placed in 11 patients (including 7 in which uncovered stent placement was unsuccessful), and results were successful in all 11. Twenty-three of the 34 (68%) patients in which stents were placed developed complications. The most common complications were tissue ingrowth (n = 10), chronic infection (7), and stent fracture (5) for the 30 patients with uncovered stents and chronic infection (8) and oronasal fistula (3) for the 11 patients with covered stents. Overall, outcome was successful in 36 of the 46 (78%) patients (median follow-up time, 24 months; range, 2 to 109 months). CONCLUSIONS AND CLINICAL RELEVANCE Results suggested that in dogs and cats, nasopharyngeal stenosis and imperforate nasopharynx can be successfully treated with balloon dilatation or stent placement, but that there was a high risk of failure with balloon dilatation alone and a high risk of complications regardless of procedure.</w:t>
      </w:r>
    </w:p>
    <w:p/>
    <w:p>
      <w:pPr>
        <w:pStyle w:val="Normal"/>
      </w:pPr>
      <w:r>
        <w:rPr>
          <w:color w:val="323232"/>
        </w:rPr>
        <w:t xml:space="preserve">J Am Vet Med Assoc, 2018 vol. 253 (10) pp. 1300-1308.</w:t>
      </w:r>
    </w:p>
    <w:p>
      <w:r>
        <w:rPr>
          <w:rStyle w:val="Hyperlink"/>
        </w:rPr>
        <w:fldChar w:fldCharType="begin"/>
      </w:r>
      <w:r>
        <w:rPr>
          <w:rStyle w:val="Hyperlink"/>
        </w:rPr>
        <w:instrText xml:space="preserve"> HYPERLINK "http://eutils.ncbi.nlm.nih.gov/entrez/eutils/elink.fcgi?dbfrom=pubmed&amp;id=30398419&amp;retmode=ref&amp;cmd=prlinks"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http://eutils.ncbi.nlm.nih.gov/entrez/eutils/elink.fcgi?dbfrom=pubmed&amp;id=30398419&amp;retmode=ref&amp;cmd=prlinks</w:t>
      </w:r>
      <w:r>
        <w:rPr>
          <w:rStyle w:val="Hyperlink"/>
        </w:rPr>
        <w:fldChar w:fldCharType="end"/>
      </w:r>
    </w:p>
    <w:p>
      <w:pPr>
        <w:pStyle w:val="Normal"/>
      </w:pPr>
      <w:r>
        <w:rPr>
          <w:color w:val="323232"/>
        </w:rPr>
        <w:t xml:space="preserve">————————</w:t>
      </w:r>
    </w:p>
    <w:p>
      <w:pPr>
        <w:pStyle w:val="Heading4"/>
      </w:pPr>
      <w:r>
        <w:t xml:space="preserve">Use of a subcutaneous ureteral bypass device for treatment of benign ureteral obstruction in cats: 174 ureters in 134 cats (2009-2015).</w:t>
      </w:r>
    </w:p>
    <w:p/>
    <w:p>
      <w:pPr>
        <w:pStyle w:val="Normal"/>
      </w:pPr>
      <w:r>
        <w:rPr>
          <w:color w:val="323232"/>
        </w:rPr>
        <w:t xml:space="preserve">Allyson C Berent, Chick W Weisse, Demetrius H Bagley, and Kenneth Lamb.</w:t>
      </w:r>
    </w:p>
    <w:p/>
    <w:p>
      <w:pPr>
        <w:pStyle w:val="Normal"/>
      </w:pPr>
      <w:r>
        <w:rPr>
          <w:color w:val="323232"/>
        </w:rPr>
        <w:t xml:space="preserve">OBJECTIVE To determine outcomes of subcutaneous ureteral bypass (SUB) device placement for treatment of benign ureteral obstruction in cats. DESIGN Retrospective case series. ANIMALS 134 cats with SUB devices placed in 174 obstructed ureters during 144 hospitalizations. PROCEDURES Medical records of cats that underwent SUB device placement for treatment of benign ureteral obstruction between 2009 and 2015 were reviewed. The SUB device was placed by use of fluoroscopic and surgical methods. Signalment, history, diagnostic imaging results, postprocedural results, duration of hospitalization, complications, and short- and long-term outcomes were recorded. RESULTS Ureteral obstructions were caused by ureterolithiasis (114/174 [65.5%]), stricture (28/174 [16.1%]), both ureterolithiasis and stricture (29/174 [16.7%]), or pyonephrosis (1/174 [0.6%]); in 2 (1.1%) cats, the cause was not recorded. Fifty-two of the 134 (39%) cats had bilateral ureteral obstruction. At admission, 127 (95%) cats were azotemic. Median serum creatinine concentrations at admission and 3 months after SUB device placement were 6.6 and 2.6 mg/dL, respectively. Median renal pelvis diameters before and after the procedure were 9.2 and 1.5 mm, respectively. Postsurgical complications included device occlusion with blood clots (14/172 [8.1%]), device leakage (6/172 [3.5%]), and kinking of the device tubing (8/174 [4.6%]). Cats survived to hospital discharge after 135 of the 144 (94%) hospital admissions. The most common long-term complication was catheter mineralization (40/165 [24.2%]), which was documented a median of 463 days after device placement. A high postoperative serum ionized calcium concentration was significantly associated with SUB device occlusion. CONCLUSIONS AND CLINICAL RELEVANCE Results suggested that SUB device placement may be a viable option for treatment of cats with benign ureteral obstruction.</w:t>
      </w:r>
    </w:p>
    <w:p/>
    <w:p>
      <w:pPr>
        <w:pStyle w:val="Normal"/>
      </w:pPr>
      <w:r>
        <w:rPr>
          <w:color w:val="323232"/>
        </w:rPr>
        <w:t xml:space="preserve">J Am Vet Med Assoc, 2018 vol. 253 (10) pp. 1309-1327.</w:t>
      </w:r>
    </w:p>
    <w:p>
      <w:r>
        <w:rPr>
          <w:rStyle w:val="Hyperlink"/>
        </w:rPr>
        <w:fldChar w:fldCharType="begin"/>
      </w:r>
      <w:r>
        <w:rPr>
          <w:rStyle w:val="Hyperlink"/>
        </w:rPr>
        <w:instrText xml:space="preserve"> HYPERLINK "http://eutils.ncbi.nlm.nih.gov/entrez/eutils/elink.fcgi?dbfrom=pubmed&amp;id=30398425&amp;retmode=ref&amp;cmd=prlinks"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http://eutils.ncbi.nlm.nih.gov/entrez/eutils/elink.fcgi?dbfrom=pubmed&amp;id=30398425&amp;retmode=ref&amp;cmd=prlinks</w:t>
      </w:r>
      <w:r>
        <w:rPr>
          <w:rStyle w:val="Hyperlink"/>
        </w:rPr>
        <w:fldChar w:fldCharType="end"/>
      </w:r>
    </w:p>
    <w:p>
      <w:pPr>
        <w:pStyle w:val="Normal"/>
      </w:pPr>
      <w:r>
        <w:rPr>
          <w:color w:val="323232"/>
        </w:rPr>
        <w:t xml:space="preserve">————————</w:t>
      </w:r>
    </w:p>
    <w:p>
      <w:pPr>
        <w:pStyle w:val="Heading4"/>
      </w:pPr>
      <w:r>
        <w:t xml:space="preserve">Bias, sensitivity, and specificity of Doppler ultrasonic flow detector measurement of blood pressure for detecting and monitoring hypotension in anesthetized dogs.</w:t>
      </w:r>
    </w:p>
    <w:p/>
    <w:p>
      <w:pPr>
        <w:pStyle w:val="Normal"/>
      </w:pPr>
      <w:r>
        <w:rPr>
          <w:color w:val="323232"/>
        </w:rPr>
        <w:t xml:space="preserve">Lisa A Bourazak and Erik H Hofmeister.</w:t>
      </w:r>
    </w:p>
    <w:p/>
    <w:p>
      <w:pPr>
        <w:pStyle w:val="Normal"/>
      </w:pPr>
      <w:r>
        <w:rPr>
          <w:color w:val="323232"/>
        </w:rPr>
        <w:t xml:space="preserve">OBJECTIVE To determine the bias, sensitivity, and specificity of Doppler ultrasonic flow detector measurement of blood pressure (DBPM) to detect hypotension in dogs with various disease states and to determine whether patient characteristics could affect accuracy of DBPM in dogs. DESIGN Prospective cross-sectional study. ANIMALS 146 client-owned dogs undergoing general anesthesia at a veterinary teaching hospital between April 2007 and August 2010. PROCEDURES Data collected for each dog were breed, limb conformation, sex, American Society of Anesthesiologists physical status classification, anesthetic protocol, surgical procedure, arterial catheter size and location, and DBPM location. Doppler and invasive blood pressure measurements (IBPMs; criterion standard) were simultaneously recorded every 5 minutes throughout anesthesia. Hypotension was defined as mean arterial blood pressure &lt; 60 mm Hg or DBPM &lt; 90 mm Hg. Repeated-measures Bland-Altman analysis was performed to determine bias between DBPMs and IBPMs. Overall sensitivity and specificity of DBPM to detect hypotension were calculated with 2 methods, and values were recalculated for specific patient groups and compared. RESULTS Bias of DBPM was 2.8 mm Hg with wide 95% limits of agreement (-46.4 to 51.9 mm Hg). For the 2 calculation methods, sensitivity of DBPM to detect hypotension was 69.2% and 66.7% and specificity was 82.2% and 86.8%. No significant differences in sensitivity or specificity were identified regarding limb conformation, gauge of catheter (20 vs 22) used for IBPM, or side (ipsilateral or contralateral) of paired measurements. CONCLUSIONS AND CLINICAL RELEVANCE Results indicated that in dogs of the present study, DBPM was unreliable for detecting hypotension.</w:t>
      </w:r>
    </w:p>
    <w:p/>
    <w:p>
      <w:pPr>
        <w:pStyle w:val="Normal"/>
      </w:pPr>
      <w:r>
        <w:rPr>
          <w:color w:val="323232"/>
        </w:rPr>
        <w:t xml:space="preserve">J Am Vet Med Assoc, 2018 vol. 253 (11) pp. 1433-1438.</w:t>
      </w:r>
    </w:p>
    <w:p>
      <w:r>
        <w:rPr>
          <w:rStyle w:val="Hyperlink"/>
        </w:rPr>
        <w:fldChar w:fldCharType="begin"/>
      </w:r>
      <w:r>
        <w:rPr>
          <w:rStyle w:val="Hyperlink"/>
        </w:rPr>
        <w:instrText xml:space="preserve"> HYPERLINK "http://eutils.ncbi.nlm.nih.gov/entrez/eutils/elink.fcgi?dbfrom=pubmed&amp;id=30451616&amp;retmode=ref&amp;cmd=prlinks"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http://eutils.ncbi.nlm.nih.gov/entrez/eutils/elink.fcgi?dbfrom=pubmed&amp;id=30451616&amp;retmode=ref&amp;cmd=prlinks</w:t>
      </w:r>
      <w:r>
        <w:rPr>
          <w:rStyle w:val="Hyperlink"/>
        </w:rPr>
        <w:fldChar w:fldCharType="end"/>
      </w:r>
    </w:p>
    <w:p>
      <w:pPr>
        <w:pStyle w:val="Normal"/>
      </w:pPr>
      <w:r>
        <w:rPr>
          <w:color w:val="323232"/>
        </w:rPr>
        <w:t xml:space="preserve">————————</w:t>
      </w:r>
    </w:p>
    <w:p>
      <w:pPr>
        <w:pStyle w:val="Heading4"/>
      </w:pPr>
      <w:r>
        <w:t xml:space="preserve">Outcomes of surgical repair of congenital palatal defects in dogs.</w:t>
      </w:r>
    </w:p>
    <w:p/>
    <w:p>
      <w:pPr>
        <w:pStyle w:val="Normal"/>
      </w:pPr>
      <w:r>
        <w:rPr>
          <w:color w:val="323232"/>
        </w:rPr>
        <w:t xml:space="preserve">Santiago Peralta, Robert D Campbell, Nadine Fiani, Kimi H Kan-Rohrer, and Frank J M Verstraete.</w:t>
      </w:r>
    </w:p>
    <w:p/>
    <w:p>
      <w:pPr>
        <w:pStyle w:val="Normal"/>
      </w:pPr>
      <w:r>
        <w:rPr>
          <w:color w:val="323232"/>
        </w:rPr>
        <w:t xml:space="preserve">OBJECTIVE To determine and identify variables associated with outcomes of surgical repair of congenital palatal defects in dogs. DESIGN Retrospective case series with nested observational study. ANIMALS 26 dogs that underwent surgical repair of congenital palatal defects at 2 veterinary teaching hospitals from 2007 to 2016. PROCEDURES Data were collected from medical records regarding dog age and body weight at the time of surgical defect repair, prior surgical history, skull type (brachycephalic, mesocephalic, or dolichocephalic), surgical technique used for defect repair, and defect severity. Functional outcome as well as frequency and location of oronasal fistula (ONF) formation were recorded. These outcomes were compared among various groups. RESULTS Surgical defect repair achieved functional success in 22 of the 26 (85%) dogs. An ONF formed after initial repair in 13 (50%) dogs, and the most common location was the hard palate. Hard palate ONF formation was more common in dogs &gt; 8 months of age at the time of initial repair; ONF at the junction between the hard and soft palates was more common in dogs &gt; 8 months of age at the time of initial repair and in dogs with a history of failed surgical repair. An unsuccessful functional outcome was more common in dogs weighing &lt; 1 kg (2.2 lb) at the time of initial repair. CONCLUSIONS AND CLINICAL RELEVANCE Patient age, patient size, and defect characteristics should be taken into consideration when planning and assessing prognoses for surgical repair of congenital palatal defects in dogs.</w:t>
      </w:r>
    </w:p>
    <w:p/>
    <w:p>
      <w:pPr>
        <w:pStyle w:val="Normal"/>
      </w:pPr>
      <w:r>
        <w:rPr>
          <w:color w:val="323232"/>
        </w:rPr>
        <w:t xml:space="preserve">J Am Vet Med Assoc, 2018 vol. 253 (11) pp. 1445-1451.</w:t>
      </w:r>
    </w:p>
    <w:p>
      <w:r>
        <w:rPr>
          <w:rStyle w:val="Hyperlink"/>
        </w:rPr>
        <w:fldChar w:fldCharType="begin"/>
      </w:r>
      <w:r>
        <w:rPr>
          <w:rStyle w:val="Hyperlink"/>
        </w:rPr>
        <w:instrText xml:space="preserve"> HYPERLINK "http://eutils.ncbi.nlm.nih.gov/entrez/eutils/elink.fcgi?dbfrom=pubmed&amp;id=30451614&amp;retmode=ref&amp;cmd=prlinks"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http://eutils.ncbi.nlm.nih.gov/entrez/eutils/elink.fcgi?dbfrom=pubmed&amp;id=30451614&amp;retmode=ref&amp;cmd=prlinks</w:t>
      </w:r>
      <w:r>
        <w:rPr>
          <w:rStyle w:val="Hyperlink"/>
        </w:rPr>
        <w:fldChar w:fldCharType="end"/>
      </w:r>
    </w:p>
    <w:p>
      <w:pPr>
        <w:pStyle w:val="Normal"/>
      </w:pPr>
      <w:r>
        <w:rPr>
          <w:color w:val="323232"/>
        </w:rPr>
        <w:t xml:space="preserve">————————</w:t>
      </w:r>
    </w:p>
    <w:p>
      <w:pPr>
        <w:pStyle w:val="Heading4"/>
      </w:pPr>
      <w:r>
        <w:t xml:space="preserve">Analytic performance evaluation of a veterinary-specific ELISA for measurement of serum cortisol concentrations of dogs.</w:t>
      </w:r>
    </w:p>
    <w:p/>
    <w:p>
      <w:pPr>
        <w:pStyle w:val="Normal"/>
      </w:pPr>
      <w:r>
        <w:rPr>
          <w:color w:val="323232"/>
        </w:rPr>
        <w:t xml:space="preserve">Michael B Lane, Bente Flatland, Shelly J Olin, Kellie A Fecteau, Markus Rick, and Luca Giori.</w:t>
      </w:r>
    </w:p>
    <w:p/>
    <w:p>
      <w:pPr>
        <w:pStyle w:val="Normal"/>
      </w:pPr>
      <w:r>
        <w:rPr>
          <w:color w:val="323232"/>
        </w:rPr>
        <w:t xml:space="preserve">OBJECTIVE To investigate the precision of an ELISA for measurement of serum cortisol concentration (SCC) in dogs, assess agreement between this ELISA and 2 validated chemiluminescence assays (CLAs), and evaluate the clinical implications of any bias associated with this ELISA when measuring SCC in dogs. DESIGN Evaluation study. SAMPLE 75 stored, frozen serum samples from client-owned dogs. PROCEDURES Enzyme-linked immunosorbent assay precision was evaluated by measuring SCC of pooled serum samples. Agreement with standard methods was evaluated with Spearman rank correlation, Passing-Bablok regression, and Bland-Altman analysis to compare SCCs obtained with the ELISA and the 2 CLAs. An error grid was used to evaluate identified bias. RESULTS Within-laboratory coefficients of variation for pooled serum samples with low, medium, and high SCCs were 21.4%, 28.9%, and 13.0%, respectively. There was a high correlation between ELISA results (for all samples combined) and results of the 2 CLAs (CLA 1, r = 0.96; CLA 2, r = 0.97), but constant and proportional biases between the ELISA and CLAs were present at all concentrations. Clinically important disagreement between ELISA results and CLA results occurred in 16 of 63 (25%) samples, particularly with low and high SCCs. CONCLUSIONS AND CLINICAL RELEVANCE Results suggested that the rate of clinical disagreement between the ELISA and CLAs was sufficiently high to recommend that equivocal results obtained with the ELISA be confirmed by a reference laboratory. Further evaluation of analytic performance of the ELISA should focus on samples with very high and very low SCCs.</w:t>
      </w:r>
    </w:p>
    <w:p/>
    <w:p>
      <w:pPr>
        <w:pStyle w:val="Normal"/>
      </w:pPr>
      <w:r>
        <w:rPr>
          <w:color w:val="323232"/>
        </w:rPr>
        <w:t xml:space="preserve">J Am Vet Med Assoc, 2018 vol. 253 (12) pp. 1580-1588.</w:t>
      </w:r>
    </w:p>
    <w:p>
      <w:r>
        <w:rPr>
          <w:rStyle w:val="Hyperlink"/>
        </w:rPr>
        <w:fldChar w:fldCharType="begin"/>
      </w:r>
      <w:r>
        <w:rPr>
          <w:rStyle w:val="Hyperlink"/>
        </w:rPr>
        <w:instrText xml:space="preserve"> HYPERLINK "http://eutils.ncbi.nlm.nih.gov/entrez/eutils/elink.fcgi?dbfrom=pubmed&amp;id=30668258&amp;retmode=ref&amp;cmd=prlinks"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http://eutils.ncbi.nlm.nih.gov/entrez/eutils/elink.fcgi?dbfrom=pubmed&amp;id=30668258&amp;retmode=ref&amp;cmd=prlinks</w:t>
      </w:r>
      <w:r>
        <w:rPr>
          <w:rStyle w:val="Hyperlink"/>
        </w:rPr>
        <w:fldChar w:fldCharType="end"/>
      </w:r>
    </w:p>
    <w:p>
      <w:pPr>
        <w:pStyle w:val="Normal"/>
      </w:pPr>
      <w:r>
        <w:rPr>
          <w:color w:val="323232"/>
        </w:rPr>
        <w:t xml:space="preserve">————————</w:t>
      </w:r>
    </w:p>
    <w:p>
      <w:pPr>
        <w:pStyle w:val="Heading4"/>
      </w:pPr>
      <w:r>
        <w:t xml:space="preserve">Incidence of and risk factors for major complications or death in dogs undergoing cytoreductive surgery for treatment of suspected primary intracranial masses.</w:t>
      </w:r>
    </w:p>
    <w:p/>
    <w:p>
      <w:pPr>
        <w:pStyle w:val="Normal"/>
      </w:pPr>
      <w:r>
        <w:rPr>
          <w:color w:val="323232"/>
        </w:rPr>
        <w:t xml:space="preserve">Rickard J Kohler, Susan A Arnold, Daniel J Eck, Christopher B Thomson, Matthew A Hunt, and G Elizabeth Pluhar.</w:t>
      </w:r>
    </w:p>
    <w:p/>
    <w:p>
      <w:pPr>
        <w:pStyle w:val="Normal"/>
      </w:pPr>
      <w:r>
        <w:rPr>
          <w:color w:val="323232"/>
        </w:rPr>
        <w:t xml:space="preserve">OBJECTIVE To determine incidence of and risk factors for major complications occurring in dogs within 30 days after cytoreductive surgery performed by a single pair of surgeons for treatment of suspected primary intracranial masses. DESIGN Retrospective cohort study. ANIMALS 160 client-owned dogs that underwent cytoreductive surgery for treatment of suspected primary intracranial masses between January 2009 and December 2015 at a veterinary teaching hospital. PROCEDURES Medical records were retrospectively reviewed for complications occurring within 30 days after surgery. Data (eg, signalment, clinical signs, previous treatments, preoperative neurologic examination findings, neuroanatomical location, time from onset of clinical signs to surgery, surgical approach, and histopathologic diagnosis) were analyzed for associations with death and with development of major complications other than death. RESULTS 21 (13.1%) dogs died (11 during hospitalization and 10 after discharge) and 30 (18.8%) developed major complications other than death during the first 30 days after surgery. Dogs with abnormal preoperative neurologic examination findings were more likely to develop complications or die. Dogs undergoing a suboccipital approach were more likely to die. The most common postoperative complications other than death were seizures (n = 18 [11.3%]), worsening of neurologic status (6 [3.8%]), and aspiration pneumonia (6 [3.8%]). CONCLUSIONS AND CLINICAL RELEVANCE Results of the present study provided valuable information on predisposing factors, odds of major complications or death, and incidences of major complications or death in dogs during the first 30 days after undergoing cytoreductive surgery for treatment of suspected primary intracranial masses. Careful case selection may help improve outcomes and minimize complications.</w:t>
      </w:r>
    </w:p>
    <w:p/>
    <w:p>
      <w:pPr>
        <w:pStyle w:val="Normal"/>
      </w:pPr>
      <w:r>
        <w:rPr>
          <w:color w:val="323232"/>
        </w:rPr>
        <w:t xml:space="preserve">J Am Vet Med Assoc, 2018 vol. 253 (12) pp. 1594-1603.</w:t>
      </w:r>
    </w:p>
    <w:p>
      <w:r>
        <w:rPr>
          <w:rStyle w:val="Hyperlink"/>
        </w:rPr>
        <w:fldChar w:fldCharType="begin"/>
      </w:r>
      <w:r>
        <w:rPr>
          <w:rStyle w:val="Hyperlink"/>
        </w:rPr>
        <w:instrText xml:space="preserve"> HYPERLINK "http://eutils.ncbi.nlm.nih.gov/entrez/eutils/elink.fcgi?dbfrom=pubmed&amp;id=30668253&amp;retmode=ref&amp;cmd=prlinks"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http://eutils.ncbi.nlm.nih.gov/entrez/eutils/elink.fcgi?dbfrom=pubmed&amp;id=30668253&amp;retmode=ref&amp;cmd=prlinks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