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the American Veterinary Medical Association 2017</w:t>
      </w:r>
    </w:p>
    <w:p>
      <w:pPr>
        <w:pStyle w:val="Heading2"/>
      </w:pPr>
      <w:r>
        <w:t xml:space="preserve">JAVMA 2017; Vol 250-251; Issues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Evaluation of eicosanoid concentrations in stored units of canine packed red blood cells.</w:t>
      </w:r>
    </w:p>
    <w:p/>
    <w:p>
      <w:pPr>
        <w:pStyle w:val="Normal"/>
      </w:pPr>
      <w:r>
        <w:rPr>
          <w:color w:val="323232"/>
        </w:rPr>
        <w:t xml:space="preserve">Rachel R Blake, Jung Hwa Lee, Matt K Ross, Todd M Archer, Robert W Wills, Andrew J Mackin, and John M Thomason.</w:t>
      </w:r>
    </w:p>
    <w:p/>
    <w:p>
      <w:pPr>
        <w:pStyle w:val="Normal"/>
      </w:pPr>
      <w:r>
        <w:rPr>
          <w:color w:val="323232"/>
        </w:rPr>
        <w:t xml:space="preserve">OBJECTIVE To evaluate eicosanoid concentrations in freshly prepared canine packed RBCs (PRBCs) and to assess changes in eicosanoid concentrations in PRBC units over time during storage and under transfusion conditions. DESIGN Prospective study. SAMPLE 25 plasma samples from 14 healthy Greyhounds. PROCEDURES Plasma samples were obtained during PRBC preparation (donation samples), and the PRBC units were then stored at 4°C until used for transfusion (≤ 21 days later; n = 17) or mock transfusion if expired (22 to 24 days later; 8). Immediately prior to use, 100 mL of saline (0.9% NaCl) solution was added to each unit and a pretransfusion sample was collected. A posttransfusion sample was collected after transfusion or mock transfusion. Concentrations of arachidonic acid, prostaglandin (PG) F2α, PGE2, PGD2, thromboxane B2, 6-keto-PGF1α, and leukotriene B4 were measured by liquid chromatography-mass spectrometry and analyzed statistically. RESULTS Median arachidonic acid concentration was significantly decreased in posttransfusion samples, compared with the concentration in donation samples. Median PGF2α, 6-keto-PGF1α, and leukotriene B4 concentrations were significantly increased in pretransfusion samples, compared with those in donation samples. Median PGF2α, thromboxane B2, and 6-keto-PGF1α concentrations were significantly increased in posttransfusion samples, compared with those in pretransfusion samples. Duration of PRBC storage had significant associations with pretransfusion and posttransfusion arachidonic acid and thromboxane B2 concentrations. CONCLUSIONS AND CLINICAL RELEVANCE Concentrations of several proinflammatory eicosanoids increased in PRBC units during storage, transfusion, or both. Accumulation of these products could potentially contribute to adverse transfusion reactions, and investigation of the potential association between eicosanoid concentrations in PRBCs and the incidence of transfusion reactions in dogs is warranted.</w:t>
      </w:r>
    </w:p>
    <w:p/>
    <w:p>
      <w:pPr>
        <w:pStyle w:val="Normal"/>
      </w:pPr>
      <w:r>
        <w:rPr>
          <w:color w:val="323232"/>
        </w:rPr>
        <w:t xml:space="preserve">J Am Vet Med Assoc, 2017 vol. 250 (2) pp. 191-198.</w:t>
      </w:r>
    </w:p>
    <w:p>
      <w:r>
        <w:rPr>
          <w:rStyle w:val="Hyperlink"/>
        </w:rPr>
        <w:fldChar w:fldCharType="begin"/>
      </w:r>
      <w:r>
        <w:rPr>
          <w:rStyle w:val="Hyperlink"/>
        </w:rPr>
        <w:instrText xml:space="preserve"> HYPERLINK "http://eutils.ncbi.nlm.nih.gov/entrez/eutils/elink.fcgi?dbfrom=pubmed&amp;id=28058946&amp;retmode=ref&amp;cmd=prlinks"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http://eutils.ncbi.nlm.nih.gov/entrez/eutils/elink.fcgi?dbfrom=pubmed&amp;id=28058946&amp;retmode=ref&amp;cmd=prlinks</w:t>
      </w:r>
      <w:r>
        <w:rPr>
          <w:rStyle w:val="Hyperlink"/>
        </w:rPr>
        <w:fldChar w:fldCharType="end"/>
      </w:r>
    </w:p>
    <w:p>
      <w:pPr>
        <w:pStyle w:val="Normal"/>
      </w:pPr>
      <w:r>
        <w:rPr>
          <w:color w:val="323232"/>
        </w:rPr>
        <w:t xml:space="preserve">————————</w:t>
      </w:r>
    </w:p>
    <w:p>
      <w:pPr>
        <w:pStyle w:val="Heading4"/>
      </w:pPr>
      <w:r>
        <w:t xml:space="preserve">Incidence of incompatible crossmatch results in dogs admitted to a veterinary teaching hospital with no history of prior red blood cell transfusion.</w:t>
      </w:r>
    </w:p>
    <w:p/>
    <w:p>
      <w:pPr>
        <w:pStyle w:val="Normal"/>
      </w:pPr>
      <w:r>
        <w:rPr>
          <w:color w:val="323232"/>
        </w:rPr>
        <w:t xml:space="preserve">Adesola Odunayo, Kayode Garraway, Barton W Rohrbach, Amanda Rainey, and Jennifer Stokes.</w:t>
      </w:r>
    </w:p>
    <w:p/>
    <w:p>
      <w:pPr>
        <w:pStyle w:val="Normal"/>
      </w:pPr>
      <w:r>
        <w:rPr>
          <w:color w:val="323232"/>
        </w:rPr>
        <w:t xml:space="preserve">OBJECTIVE To determine the incidence of incompatible crossmatch results in dogs without a history of prior RBC transfusion and to evaluate changes in Hct following RBC administration for transfusion-naïve dogs that did and did not have crossmatching performed. DESIGN Retrospective study. ANIMALS 169 client-owned dogs. PROCEDURES Information obtained from the medical records included signalment, pretransfusion Hct or PCV, and crossmatching results where applicable. Dogs that underwent major crossmatching (n = 149) as part of pretransfusion screening were each crossmatched with 3 potential donors. Donor blood was obtained from a commercial source and tested negative for dog erythrocyte antigens (DEAs) 1.1, 1.2, and 7 but positive for DEA 4. Mean change in Hct after transfusion was compared between crossmatch-tested dogs (57/91 that subsequently underwent RBC transfusion) and 20 other dogs that underwent RBC transfusion without prior crossmatching by statistical methods. RESULTS 25 of 149 (17%) dogs evaluated by crossmatching were incompatible with 1 or 2 of the 3 potential donors. All 149 dogs were compatible with ≥ 1 potential donor. Mean ± SD change in Hct after transfusion was significantly higher in dogs that had crossmatching performed (12.5 ± 8.6%) than in dogs that did not undergo crossmatching (9.0 ± 4.3%). CONCLUSIONS AND CLINICAL RELEVANCE Results indicated immunologic incompatibility can exist between first-time transfusion recipients and potential blood donor dogs. The clinical importance of these findings could not be evaluated, but considering the potential for immediate or delayed hemolytic transfusion reactions or shortened RBC life span, the authors suggest veterinarians consider crossmatching all dogs prior to transfusion when possible.</w:t>
      </w:r>
    </w:p>
    <w:p/>
    <w:p>
      <w:pPr>
        <w:pStyle w:val="Normal"/>
      </w:pPr>
      <w:r>
        <w:rPr>
          <w:color w:val="323232"/>
        </w:rPr>
        <w:t xml:space="preserve">J Am Vet Med Assoc, 2017 vol. 250 (3) pp. 303-308.</w:t>
      </w:r>
    </w:p>
    <w:p>
      <w:r>
        <w:rPr>
          <w:rStyle w:val="Hyperlink"/>
        </w:rPr>
        <w:fldChar w:fldCharType="begin"/>
      </w:r>
      <w:r>
        <w:rPr>
          <w:rStyle w:val="Hyperlink"/>
        </w:rPr>
        <w:instrText xml:space="preserve"> HYPERLINK "http://eutils.ncbi.nlm.nih.gov/entrez/eutils/elink.fcgi?dbfrom=pubmed&amp;id=28117642&amp;retmode=ref&amp;cmd=prlinks"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http://eutils.ncbi.nlm.nih.gov/entrez/eutils/elink.fcgi?dbfrom=pubmed&amp;id=28117642&amp;retmode=ref&amp;cmd=prlinks</w:t>
      </w:r>
      <w:r>
        <w:rPr>
          <w:rStyle w:val="Hyperlink"/>
        </w:rPr>
        <w:fldChar w:fldCharType="end"/>
      </w:r>
    </w:p>
    <w:p>
      <w:pPr>
        <w:pStyle w:val="Normal"/>
      </w:pPr>
      <w:r>
        <w:rPr>
          <w:color w:val="323232"/>
        </w:rPr>
        <w:t xml:space="preserve">————————</w:t>
      </w:r>
    </w:p>
    <w:p>
      <w:pPr>
        <w:pStyle w:val="Heading4"/>
      </w:pPr>
      <w:r>
        <w:t xml:space="preserve">A systematic review and meta-analysis of the association between Mycoplasma spp and upper and lower respiratory tract disease in cats.</w:t>
      </w:r>
    </w:p>
    <w:p/>
    <w:p>
      <w:pPr>
        <w:pStyle w:val="Normal"/>
      </w:pPr>
      <w:r>
        <w:rPr>
          <w:color w:val="323232"/>
        </w:rPr>
        <w:t xml:space="preserve">Kevin Le Boedec.</w:t>
      </w:r>
    </w:p>
    <w:p/>
    <w:p>
      <w:pPr>
        <w:pStyle w:val="Normal"/>
      </w:pPr>
      <w:r>
        <w:rPr>
          <w:color w:val="323232"/>
        </w:rPr>
        <w:t xml:space="preserve">OBJECTIVE To critically assess available data from controlled observational studies on the pathogenic role of Mycoplasma spp in the upper respiratory tract (URT) and lower respiratory tract (LRT) of cats. DESIGN Systematic review and meta-analysis. SAMPLE 12 studies. PROCEDURES Seven electronic databases were searched for relevant publications. Risk of bias was assessed via the Newcastle-Ottawa Scale. Meta-analyses, stratified by URT versus LRT disease, were performed to estimate pooled ORs and 95% confidence intervals (CIs) for the association between Mycoplasma isolation and URT or LRT disease. Subanalyses by diagnostic method, sampling site, and environment (shelter vs nonshelter) were planned for studies on URT disease. RESULTS A significant association was found between isolation of mycoplasmal organisms and URT disease (pooled OR, 1.65; 95% CI, 1.14 to 2.40) but not LRT disease (pooled OR, 1.56; 95% CI, 0.51 to 4.76). The association with URT disease was only significant when conjunctival or pharyngeal samples from nonshelter cats were analyzed with a Mycoplasma felis-specific PCR assay. CONCLUSIONS AND CLINICAL RELEVANCE Results suggested that M felis may be a primary pathogen in cats with URT disease, warranting treatment in infected cats. The environment was important to consider when interpreting a mycoplasma-positive sample because of aclinical carriage, especially in shelter cats. Further investigations are needed to determine the role, if any, of mycoplasmal organisms in LRT disease of cats.</w:t>
      </w:r>
    </w:p>
    <w:p/>
    <w:p>
      <w:pPr>
        <w:pStyle w:val="Normal"/>
      </w:pPr>
      <w:r>
        <w:rPr>
          <w:color w:val="323232"/>
        </w:rPr>
        <w:t xml:space="preserve">J Am Vet Med Assoc, 2017 vol. 250 (4) pp. 397-407.</w:t>
      </w:r>
    </w:p>
    <w:p>
      <w:r>
        <w:rPr>
          <w:rStyle w:val="Hyperlink"/>
        </w:rPr>
        <w:fldChar w:fldCharType="begin"/>
      </w:r>
      <w:r>
        <w:rPr>
          <w:rStyle w:val="Hyperlink"/>
        </w:rPr>
        <w:instrText xml:space="preserve"> HYPERLINK "http://eutils.ncbi.nlm.nih.gov/entrez/eutils/elink.fcgi?dbfrom=pubmed&amp;id=28165317&amp;retmode=ref&amp;cmd=prlinks"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http://eutils.ncbi.nlm.nih.gov/entrez/eutils/elink.fcgi?dbfrom=pubmed&amp;id=28165317&amp;retmode=ref&amp;cmd=prlinks</w:t>
      </w:r>
      <w:r>
        <w:rPr>
          <w:rStyle w:val="Hyperlink"/>
        </w:rPr>
        <w:fldChar w:fldCharType="end"/>
      </w:r>
    </w:p>
    <w:p>
      <w:pPr>
        <w:pStyle w:val="Normal"/>
      </w:pPr>
      <w:r>
        <w:rPr>
          <w:color w:val="323232"/>
        </w:rPr>
        <w:t xml:space="preserve">————————</w:t>
      </w:r>
    </w:p>
    <w:p>
      <w:pPr>
        <w:pStyle w:val="Heading4"/>
      </w:pPr>
      <w:r>
        <w:t xml:space="preserve">Colonoscopic and histologic features of rectal masses in dogs: 82 cases (1995-2012).</w:t>
      </w:r>
    </w:p>
    <w:p/>
    <w:p>
      <w:pPr>
        <w:pStyle w:val="Normal"/>
      </w:pPr>
      <w:r>
        <w:rPr>
          <w:color w:val="323232"/>
        </w:rPr>
        <w:t xml:space="preserve">Krista N Adamovich-Rippe, Philipp D Mayhew, Stanley L Marks, Laura E Selmic, William T N Culp, Angela M Youello, Jeffrey J Runge, David E Holt, Philip H Kass, and John R Peauroi.</w:t>
      </w:r>
    </w:p>
    <w:p/>
    <w:p>
      <w:pPr>
        <w:pStyle w:val="Normal"/>
      </w:pPr>
      <w:r>
        <w:rPr>
          <w:color w:val="323232"/>
        </w:rPr>
        <w:t xml:space="preserve">OBJECTIVE To evaluate colonoscopic and histologic features of rectal masses in dogs. DESIGN Retrospective case series. ANIMALS 82 client-owned dogs with rectal masses that underwent colonoscopy. PROCEDURES Medical records of dogs with rectal masses that underwent colonoscopy were reviewed. History, signalment, clinical signs, results of physical examination, diagnostic imaging findings, and results of colonoscopy (including complications) were recorded. When available, tissue samples obtained during colonoscopy and by means of surgical biopsy were reviewed by a single board-certified pathologist. Histologic features and tumor grade (when applicable) of tissue samples obtained during colonoscopy versus surgical biopsy were compared. RESULTS Multiple rectal masses were observed during colonoscopy in 6 of the 82 dogs, but no lesions were visualized orad to the colorectal junction. Results of histologic evaluation of surgical biopsy specimens were consistent with a diagnosis of epithelial neoplasia in 58 of 64 dogs, of which 71% were classified as benign adenoma or polyp and 29% were classified as adenocarcinoma in situ or adenocarcinoma. Complications of colonoscopy occurred in 3 of 82 dogs but were considered minor. A discrepancy in diagnosis occurred in 5 of 16 dogs for which both colonoscopic and surgical biopsy samples were available for histologic review. CONCLUSIONS AND CLINICAL RELEVANCE Results suggested that multiple rectal masses are uncommon in dogs, and secondary lesions orad to the colorectal junction were not found in this study. Colonoscopy was associated with few complications, but the need for colonoscopic assessment of the entire colon in this patient population may merit reevaluation.</w:t>
      </w:r>
    </w:p>
    <w:p/>
    <w:p>
      <w:pPr>
        <w:pStyle w:val="Normal"/>
      </w:pPr>
      <w:r>
        <w:rPr>
          <w:color w:val="323232"/>
        </w:rPr>
        <w:t xml:space="preserve">J Am Vet Med Assoc, 2017 vol. 250 (4) pp. 424-430.</w:t>
      </w:r>
    </w:p>
    <w:p>
      <w:r>
        <w:rPr>
          <w:rStyle w:val="Hyperlink"/>
        </w:rPr>
        <w:fldChar w:fldCharType="begin"/>
      </w:r>
      <w:r>
        <w:rPr>
          <w:rStyle w:val="Hyperlink"/>
        </w:rPr>
        <w:instrText xml:space="preserve"> HYPERLINK "http://eutils.ncbi.nlm.nih.gov/entrez/eutils/elink.fcgi?dbfrom=pubmed&amp;id=28165313&amp;retmode=ref&amp;cmd=prlinks"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http://eutils.ncbi.nlm.nih.gov/entrez/eutils/elink.fcgi?dbfrom=pubmed&amp;id=28165313&amp;retmode=ref&amp;cmd=prlinks</w:t>
      </w:r>
      <w:r>
        <w:rPr>
          <w:rStyle w:val="Hyperlink"/>
        </w:rPr>
        <w:fldChar w:fldCharType="end"/>
      </w:r>
    </w:p>
    <w:p>
      <w:pPr>
        <w:pStyle w:val="Normal"/>
      </w:pPr>
      <w:r>
        <w:rPr>
          <w:color w:val="323232"/>
        </w:rPr>
        <w:t xml:space="preserve">————————</w:t>
      </w:r>
    </w:p>
    <w:p>
      <w:pPr>
        <w:pStyle w:val="Heading4"/>
      </w:pPr>
      <w:r>
        <w:t xml:space="preserve">Effect of anesthesia-associated hypotension on neurologic outcome in dogs undergoing hemilaminectomy because of acute, severe thoracolumbar intervertebral disk herniation: 56 cases (2007-2013).</w:t>
      </w:r>
    </w:p>
    <w:p/>
    <w:p>
      <w:pPr>
        <w:pStyle w:val="Normal"/>
      </w:pPr>
      <w:r>
        <w:rPr>
          <w:color w:val="323232"/>
        </w:rPr>
        <w:t xml:space="preserve">Alexandra Dixon and Amy E Fauber.</w:t>
      </w:r>
    </w:p>
    <w:p/>
    <w:p>
      <w:pPr>
        <w:pStyle w:val="Normal"/>
      </w:pPr>
      <w:r>
        <w:rPr>
          <w:color w:val="323232"/>
        </w:rPr>
        <w:t xml:space="preserve">OBJECTIVE To evaluate the effect of anesthesia-associated hypotension on final motor and urinary function in paraplegic dogs without nociception that underwent hemilaminectomy because of acute, severe thoracolumbar intervertebral disk herniation (IVDH). DESIGN Retrospective case series. ANIMALS 56 paraplegic dogs with acute thoracolumbar IVDH and absent nociception. PROCEDURES Medical records were reviewed, and signalment, history, anesthetic details, and results of serial neurologic assessments performed for at least 4 weeks after surgery were recorded. Motor function was retrospectively scored with a 5-point scale, and urinary function was scored with a 3-point scale. Hypotension was defined as MAP ≤ 60 mm Hg or SAP ≤ 80 mm Hg for at least 2 consecutive readings 5 minutes apart. Associations between hypotension and outcome were assessed by use of the Fisher exact test. RESULTS Thirty-three (59%) patients experienced hypotension during anesthesia. Thirty-four (61%) patients (20/33 with and 14/23 without hypotension) regained ambulation. Whether dogs regained motor or urinary function was not significantly associated with the occurrence of hypotension (P = 0.35 and P = 0.86, respectively), the duration of hypotension (P = 0.213 and P = 0.274), or the lowest blood pressure recorded (P = 0.556 and P = 0.699). CONCLUSIONS AND CLINICAL RELEVANCE For this group of dogs undergoing hemilaminectomy because of acute, severe thoracolumbar IVDH, anesthesia-associated hypotension was not significantly associated with whether dogs regained motor or urinary function after surgery. However, normotension should be the goal in all patients with spinal cord injuries, especially patients undergoing general anesthesia.</w:t>
      </w:r>
    </w:p>
    <w:p/>
    <w:p>
      <w:pPr>
        <w:pStyle w:val="Normal"/>
      </w:pPr>
      <w:r>
        <w:rPr>
          <w:color w:val="323232"/>
        </w:rPr>
        <w:t xml:space="preserve">J Am Vet Med Assoc, 2017 vol. 250 (4) pp. 417-423.</w:t>
      </w:r>
    </w:p>
    <w:p>
      <w:r>
        <w:rPr>
          <w:rStyle w:val="Hyperlink"/>
        </w:rPr>
        <w:fldChar w:fldCharType="begin"/>
      </w:r>
      <w:r>
        <w:rPr>
          <w:rStyle w:val="Hyperlink"/>
        </w:rPr>
        <w:instrText xml:space="preserve"> HYPERLINK "http://eutils.ncbi.nlm.nih.gov/entrez/eutils/elink.fcgi?dbfrom=pubmed&amp;id=28165305&amp;retmode=ref&amp;cmd=prlinks"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http://eutils.ncbi.nlm.nih.gov/entrez/eutils/elink.fcgi?dbfrom=pubmed&amp;id=28165305&amp;retmode=ref&amp;cmd=prlinks</w:t>
      </w:r>
      <w:r>
        <w:rPr>
          <w:rStyle w:val="Hyperlink"/>
        </w:rPr>
        <w:fldChar w:fldCharType="end"/>
      </w:r>
    </w:p>
    <w:p>
      <w:pPr>
        <w:pStyle w:val="Normal"/>
      </w:pPr>
      <w:r>
        <w:rPr>
          <w:color w:val="323232"/>
        </w:rPr>
        <w:t xml:space="preserve">————————</w:t>
      </w:r>
    </w:p>
    <w:p>
      <w:pPr>
        <w:pStyle w:val="Heading4"/>
      </w:pPr>
      <w:r>
        <w:t xml:space="preserve">Effects of acepromazine and trazodone on anesthetic induction dose of propofol and cardiovascular variables in dogs undergoing general anesthesia for orthopedic surgery.</w:t>
      </w:r>
    </w:p>
    <w:p/>
    <w:p>
      <w:pPr>
        <w:pStyle w:val="Normal"/>
      </w:pPr>
      <w:r>
        <w:rPr>
          <w:color w:val="323232"/>
        </w:rPr>
        <w:t xml:space="preserve">Lindsey A Murphy, Michele Barletta, Lynelle F Graham, Lorna J Reichl, Margaret M Duxbury, and Jane E Quandt.</w:t>
      </w:r>
    </w:p>
    <w:p/>
    <w:p>
      <w:pPr>
        <w:pStyle w:val="Normal"/>
      </w:pPr>
      <w:r>
        <w:rPr>
          <w:color w:val="323232"/>
        </w:rPr>
        <w:t xml:space="preserve">OBJECTIVE To compare the doses of propofol required to induce general anesthesia in dogs premedicated with acepromazine maleate or trazodone hydrochloride and compare the effects of these premedicants on cardiovascular variables in dogs anesthetized for orthopedic surgery. DESIGN Prospective, randomized study. ANIMALS 30 systemically healthy client-owned dogs. PROCEDURES 15 dogs received acepromazine (0.01 to 0.03 mg</w:t>
      </w:r>
      <w:r>
        <w:rPr>
          <w:i w:val="1"/>
          <w:color w:val="323232"/>
        </w:rPr>
        <w:t xml:space="preserve">kg [0.005 to 0.014 mg</w:t>
      </w:r>
      <w:r>
        <w:rPr>
          <w:color w:val="323232"/>
        </w:rPr>
        <w:t xml:space="preserve">lb], IM) 30 minutes before anesthetic induction and 15 received trazodone (5 mg</w:t>
      </w:r>
      <w:r>
        <w:rPr>
          <w:i w:val="1"/>
          <w:color w:val="323232"/>
        </w:rPr>
        <w:t xml:space="preserve">kg [2.27 mg</w:t>
      </w:r>
      <w:r>
        <w:rPr>
          <w:color w:val="323232"/>
        </w:rPr>
        <w:t xml:space="preserve">lb] for patients &gt; 10 kg or 7 mg</w:t>
      </w:r>
      <w:r>
        <w:rPr>
          <w:i w:val="1"/>
          <w:color w:val="323232"/>
        </w:rPr>
        <w:t xml:space="preserve">kg [3.18 mg</w:t>
      </w:r>
      <w:r>
        <w:rPr>
          <w:color w:val="323232"/>
        </w:rPr>
        <w:t xml:space="preserve">lb] for patients ≤ 10 kg, PO) 2 hours before induction. Both groups received morphine sulfate (1 mg</w:t>
      </w:r>
      <w:r>
        <w:rPr>
          <w:i w:val="1"/>
          <w:color w:val="323232"/>
        </w:rPr>
        <w:t xml:space="preserve">kg [0.45 mg</w:t>
      </w:r>
      <w:r>
        <w:rPr>
          <w:color w:val="323232"/>
        </w:rPr>
        <w:t xml:space="preserve">lb], IM) 30 minutes before induction. Anesthesia was induced with propofol (4 to 6 mg</w:t>
      </w:r>
      <w:r>
        <w:rPr>
          <w:i w:val="1"/>
          <w:color w:val="323232"/>
        </w:rPr>
        <w:t xml:space="preserve">kg [1.82 to 2.73 mg</w:t>
      </w:r>
      <w:r>
        <w:rPr>
          <w:color w:val="323232"/>
        </w:rPr>
        <w:t xml:space="preserve">lb], IV, to effect) and maintained with isoflurane or sevoflurane in oxygen. Bupivacaine (0.5 mg</w:t>
      </w:r>
      <w:r>
        <w:rPr>
          <w:i w:val="1"/>
          <w:color w:val="323232"/>
        </w:rPr>
        <w:t xml:space="preserve">kg [0.227 mg</w:t>
      </w:r>
      <w:r>
        <w:rPr>
          <w:color w:val="323232"/>
        </w:rPr>
        <w:t xml:space="preserve">lb]) and morphine (0.1 mg</w:t>
      </w:r>
      <w:r>
        <w:rPr>
          <w:i w:val="1"/>
          <w:color w:val="323232"/>
        </w:rPr>
        <w:t xml:space="preserve">kg [0.045 mg</w:t>
      </w:r>
      <w:r>
        <w:rPr>
          <w:color w:val="323232"/>
        </w:rPr>
        <w:t xml:space="preserve">lb]) were administered epidurally. Dogs underwent tibial plateau leveling osteotomy (n = 22) or tibial tuberosity advancement (8) and were monitored throughout anesthesia. Propofol induction doses and cardiovascular variables (heart rate and systemic, mean, and diastolic arterial blood pressures) were compared between groups. RESULTS The mean dose of propofol required for anesthetic induction and all cardiovascular variables evaluated did not differ between groups. Intraoperative hypotension developed in 6 and 5 dogs of the acepromazine and trazodone groups, respectively; bradycardia requiring intervention developed in 3 dogs/group. One dog that received trazodone had priapism 24 hours later and was treated successfully. No other adverse effects were reported. CONCLUSIONS AND CLINICAL RELEVANCE At the described dosages, cardiovascular effects of trazodone were similar to those of acepromazine in healthy dogs undergoing anesthesia for orthopedic surgery.</w:t>
      </w:r>
    </w:p>
    <w:p/>
    <w:p>
      <w:pPr>
        <w:pStyle w:val="Normal"/>
      </w:pPr>
      <w:r>
        <w:rPr>
          <w:color w:val="323232"/>
        </w:rPr>
        <w:t xml:space="preserve">J Am Vet Med Assoc, 2017 vol. 250 (4) pp. 408-416.</w:t>
      </w:r>
    </w:p>
    <w:p>
      <w:r>
        <w:rPr>
          <w:rStyle w:val="Hyperlink"/>
        </w:rPr>
        <w:fldChar w:fldCharType="begin"/>
      </w:r>
      <w:r>
        <w:rPr>
          <w:rStyle w:val="Hyperlink"/>
        </w:rPr>
        <w:instrText xml:space="preserve"> HYPERLINK "http://eutils.ncbi.nlm.nih.gov/entrez/eutils/elink.fcgi?dbfrom=pubmed&amp;id=28165304&amp;retmode=ref&amp;cmd=prlinks"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http://eutils.ncbi.nlm.nih.gov/entrez/eutils/elink.fcgi?dbfrom=pubmed&amp;id=28165304&amp;retmode=ref&amp;cmd=prlinks</w:t>
      </w:r>
      <w:r>
        <w:rPr>
          <w:rStyle w:val="Hyperlink"/>
        </w:rPr>
        <w:fldChar w:fldCharType="end"/>
      </w:r>
    </w:p>
    <w:p>
      <w:pPr>
        <w:pStyle w:val="Normal"/>
      </w:pPr>
      <w:r>
        <w:rPr>
          <w:color w:val="323232"/>
        </w:rPr>
        <w:t xml:space="preserve">————————</w:t>
      </w:r>
    </w:p>
    <w:p>
      <w:pPr>
        <w:pStyle w:val="Heading4"/>
      </w:pPr>
      <w:r>
        <w:t xml:space="preserve">Accuracy of point-of-care lung ultrasonography for the diagnosis of cardiogenic pulmonary edema in dogs and cats with acute dyspnea.</w:t>
      </w:r>
    </w:p>
    <w:p/>
    <w:p>
      <w:pPr>
        <w:pStyle w:val="Normal"/>
      </w:pPr>
      <w:r>
        <w:rPr>
          <w:color w:val="323232"/>
        </w:rPr>
        <w:t xml:space="preserve">Jessica L Ward, Gregory R Lisciandro, Bruce W Keene, Sandra P Tou, and Teresa C DeFrancesco.</w:t>
      </w:r>
    </w:p>
    <w:p/>
    <w:p>
      <w:pPr>
        <w:pStyle w:val="Normal"/>
      </w:pPr>
      <w:r>
        <w:rPr>
          <w:color w:val="323232"/>
        </w:rPr>
        <w:t xml:space="preserve">OBJECTIVE To determine the accuracy of a point-of-care lung ultrasonography (LUS) protocol designed to diagnose cardiogenic pulmonary edema (CPE) in dyspneic dogs and cats. DESIGN Diagnostic test evaluation. ANIMALS 76 dogs and 24 cats evaluated for dyspnea. PROCEDURES Dogs and cats were evaluated by LUS; B lines were counted at 4 anatomic sites on each hemithorax. A site was scored as positive when &gt; 3 B lines were identified. Animals with ≥ 2 positive sites identified on each hemithorax were considered positive for CPE. Medical records were evaluated to obtain a final diagnosis (reference standard) for calculation of the sensitivity and specificity of LUS and thoracic radiography for the diagnosis of CPE. RESULTS Dogs and cats with a final diagnosis of CPE had a higher number of positive LUS sites than did those with noncardiac causes of dyspnea. Overall sensitivity and specificity of LUS for the diagnosis of CPE were 84% and 74%, respectively, and these values were similar to those of thoracic radiography (85% and 87%, respectively). Use of LUS generally led to the misdiagnosis of CPE (ie, a false-positive result) in animals with diffuse interstitial or alveolar disease. Interobserver agreement on LUS results was high (κ &gt; 0.85). CONCLUSIONS AND CLINICAL RELEVANCE LUS was useful for predicting CPE as the cause of dyspnea in dogs and cats, although this technique could not be used to differentiate CPE from other causes of diffuse interstitial or alveolar disease. Point-of-care LUS has promise as a diagnostic tool for dyspneic dogs and cats.</w:t>
      </w:r>
    </w:p>
    <w:p/>
    <w:p>
      <w:pPr>
        <w:pStyle w:val="Normal"/>
      </w:pPr>
      <w:r>
        <w:rPr>
          <w:color w:val="323232"/>
        </w:rPr>
        <w:t xml:space="preserve">J Am Vet Med Assoc, 2017 vol. 250 (6) pp. 666-675.</w:t>
      </w:r>
    </w:p>
    <w:p>
      <w:r>
        <w:rPr>
          <w:rStyle w:val="Hyperlink"/>
        </w:rPr>
        <w:fldChar w:fldCharType="begin"/>
      </w:r>
      <w:r>
        <w:rPr>
          <w:rStyle w:val="Hyperlink"/>
        </w:rPr>
        <w:instrText xml:space="preserve"> HYPERLINK "http://eutils.ncbi.nlm.nih.gov/entrez/eutils/elink.fcgi?dbfrom=pubmed&amp;id=28263112&amp;retmode=ref&amp;cmd=prlinks"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http://eutils.ncbi.nlm.nih.gov/entrez/eutils/elink.fcgi?dbfrom=pubmed&amp;id=28263112&amp;retmode=ref&amp;cmd=prlinks</w:t>
      </w:r>
      <w:r>
        <w:rPr>
          <w:rStyle w:val="Hyperlink"/>
        </w:rPr>
        <w:fldChar w:fldCharType="end"/>
      </w:r>
    </w:p>
    <w:p>
      <w:pPr>
        <w:pStyle w:val="Normal"/>
      </w:pPr>
      <w:r>
        <w:rPr>
          <w:color w:val="323232"/>
        </w:rPr>
        <w:t xml:space="preserve">————————</w:t>
      </w:r>
    </w:p>
    <w:p>
      <w:pPr>
        <w:pStyle w:val="Heading4"/>
      </w:pPr>
      <w:r>
        <w:t xml:space="preserve">Factors associated with anesthetic-related death in dogs and cats in primary care veterinary hospitals.</w:t>
      </w:r>
    </w:p>
    <w:p/>
    <w:p>
      <w:pPr>
        <w:pStyle w:val="Normal"/>
      </w:pPr>
      <w:r>
        <w:rPr>
          <w:color w:val="323232"/>
        </w:rPr>
        <w:t xml:space="preserve">Nora S Matthews, Thomas J Mohn, Mingyin Yang, Nathaniel Spofford, Alison Marsh, Karen Faunt, Elizabeth M Lund, and Sandra L Lefebvre.</w:t>
      </w:r>
    </w:p>
    <w:p/>
    <w:p>
      <w:pPr>
        <w:pStyle w:val="Normal"/>
      </w:pPr>
      <w:r>
        <w:rPr>
          <w:color w:val="323232"/>
        </w:rPr>
        <w:t xml:space="preserve">OBJECTIVE To identify risk factors for anesthetic-related death in pet dogs and cats. DESIGN Matched case-control study. ANIMALS 237 dogs and 181 cats. PROCEDURES Electronic medical records from 822 hospitals were examined to identify dogs and cats that underwent general anesthesia (including sedation) or sedation alone and had death attributable to the anesthetic episode ≤ 7 days later (case animals; 115 dogs and 89 cats) or survived &gt; 7 days afterward (control animals [matched by species and hospital]; 122 dogs and 92 cats). Information on patient characteristics and data related to the anesthesia session were extracted. Conditional multivariable logistic regression was performed to identify factors associated with anesthetic-related death for each species. RESULTS The anesthetic-related death rate was higher for cats (11/10,000 anesthetic episodes [0.11%]) than for dogs (5/10,000 anesthetic episodes [0.05%]). Increasing age was associated with increased odds of death for both species, as was undergoing nonelective (vs elective) procedures. Odds of death for dogs were significantly greater when preanesthetic physical examination results were not recorded (vs recorded) or when preanesthetic Hct was outside (vs within) the reference range. Odds of death for cats were greater when intra-anesthesia records for oxygen saturation as measured by pulse oximetry were absent. Underweight dogs had almost 15 times the odds of death as nonunderweight dogs; for cats, odds of death increased with increasing body weight (but not with overweight body condition). CONCLUSIONS AND CLINICAL RELEVANCE Several factors were associated with anesthetic-related death in cats and dogs. This information may be useful for development of strategies to reduce anesthetic-related risks when possible and for education of pet owners about anesthetic risks.</w:t>
      </w:r>
    </w:p>
    <w:p/>
    <w:p>
      <w:pPr>
        <w:pStyle w:val="Normal"/>
      </w:pPr>
      <w:r>
        <w:rPr>
          <w:color w:val="323232"/>
        </w:rPr>
        <w:t xml:space="preserve">J Am Vet Med Assoc, 2017 vol. 250 (6) pp. 655-665.</w:t>
      </w:r>
    </w:p>
    <w:p>
      <w:r>
        <w:rPr>
          <w:rStyle w:val="Hyperlink"/>
        </w:rPr>
        <w:fldChar w:fldCharType="begin"/>
      </w:r>
      <w:r>
        <w:rPr>
          <w:rStyle w:val="Hyperlink"/>
        </w:rPr>
        <w:instrText xml:space="preserve"> HYPERLINK "http://eutils.ncbi.nlm.nih.gov/entrez/eutils/elink.fcgi?dbfrom=pubmed&amp;id=28263113&amp;retmode=ref&amp;cmd=prlinks"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http://eutils.ncbi.nlm.nih.gov/entrez/eutils/elink.fcgi?dbfrom=pubmed&amp;id=28263113&amp;retmode=ref&amp;cmd=prlinks</w:t>
      </w:r>
      <w:r>
        <w:rPr>
          <w:rStyle w:val="Hyperlink"/>
        </w:rPr>
        <w:fldChar w:fldCharType="end"/>
      </w:r>
    </w:p>
    <w:p>
      <w:pPr>
        <w:pStyle w:val="Normal"/>
      </w:pPr>
      <w:r>
        <w:rPr>
          <w:color w:val="323232"/>
        </w:rPr>
        <w:t xml:space="preserve">————————</w:t>
      </w:r>
    </w:p>
    <w:p>
      <w:pPr>
        <w:pStyle w:val="Heading4"/>
      </w:pPr>
      <w:r>
        <w:t xml:space="preserve">Effects of various factors on Doppler ultrasonographic measurements of radial and coccygeal arterial blood pressure in privately owned, conscious cats.</w:t>
      </w:r>
    </w:p>
    <w:p/>
    <w:p>
      <w:pPr>
        <w:pStyle w:val="Normal"/>
      </w:pPr>
      <w:r>
        <w:rPr>
          <w:color w:val="323232"/>
        </w:rPr>
        <w:t xml:space="preserve">Jacqueline C Whittemore, Michael R Nystrom, and Dianne I Mawby.</w:t>
      </w:r>
    </w:p>
    <w:p/>
    <w:p>
      <w:pPr>
        <w:pStyle w:val="Normal"/>
      </w:pPr>
      <w:r>
        <w:rPr>
          <w:color w:val="323232"/>
        </w:rPr>
        <w:t xml:space="preserve">OBJECTIVE To assess the effects of age, body condition score (BCS), and muscle condition score (MCS) on radial and coccygeal systolic arterial blood pressure (SAP) in cats. DESIGN Prospective randomized trial. ANIMALS 66 privately owned cats enrolled between May and December 2010. PROCEDURES BCS and MCS of cats were assessed by 2 investigators; SAP was measured via Doppler ultrasonic flow detector, with cats positioned in right lateral or sternal recumbency for measurements at the radial or coccygeal artery, respectively, with order of site randomized. Associations among variables were assessed through correlation coefficients, partial correlation coefficients, and ANCOVA. RESULTS Interrater reliability for BCS and MCS assessment was high (correlation coefficients, 0.95 and 0.83, respectively). No significant effect was identified for order of SAP measurement sites. Coccygeal and radial SAP were positively correlated (ρ = 0.45). The median difference in coccygeal versus radial SAP was 19 mm Hg, but differences were not consistently positive or negative. Radial SAP was positively correlated with age (ρ = 0.48) and negatively correlated with MCS (ρ = -0.30). On the basis of the correlation analysis, the association between radial SAP and MCS reflected the confounding influence of age. Coccygeal SAP was not significantly correlated with age, BCS, or MCS. CONCLUSIONS AND CLINICAL RELEVANCE Use of the coccygeal artery is recommended to reduce the confounding effects of age and sarcopenia on Doppler ultrasonographic SAP measurements in cats. Additionally, monitoring for changes in MCS is recommended for cats undergoing serial SAP measurement.</w:t>
      </w:r>
    </w:p>
    <w:p/>
    <w:p>
      <w:pPr>
        <w:pStyle w:val="Normal"/>
      </w:pPr>
      <w:r>
        <w:rPr>
          <w:color w:val="323232"/>
        </w:rPr>
        <w:t xml:space="preserve">J Am Vet Med Assoc, 2017 vol. 250 (7) pp. 763-769.</w:t>
      </w:r>
    </w:p>
    <w:p>
      <w:r>
        <w:rPr>
          <w:rStyle w:val="Hyperlink"/>
        </w:rPr>
        <w:fldChar w:fldCharType="begin"/>
      </w:r>
      <w:r>
        <w:rPr>
          <w:rStyle w:val="Hyperlink"/>
        </w:rPr>
        <w:instrText xml:space="preserve"> HYPERLINK "http://eutils.ncbi.nlm.nih.gov/entrez/eutils/elink.fcgi?dbfrom=pubmed&amp;id=28306487&amp;retmode=ref&amp;cmd=prlinks"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http://eutils.ncbi.nlm.nih.gov/entrez/eutils/elink.fcgi?dbfrom=pubmed&amp;id=28306487&amp;retmode=ref&amp;cmd=prlinks</w:t>
      </w:r>
      <w:r>
        <w:rPr>
          <w:rStyle w:val="Hyperlink"/>
        </w:rPr>
        <w:fldChar w:fldCharType="end"/>
      </w:r>
    </w:p>
    <w:p>
      <w:pPr>
        <w:pStyle w:val="Normal"/>
      </w:pPr>
      <w:r>
        <w:rPr>
          <w:color w:val="323232"/>
        </w:rPr>
        <w:t xml:space="preserve">————————</w:t>
      </w:r>
    </w:p>
    <w:p>
      <w:pPr>
        <w:pStyle w:val="Heading4"/>
      </w:pPr>
      <w:r>
        <w:t xml:space="preserve">Evaluation for association between urolithiasis and chronic kidney disease in cats.</w:t>
      </w:r>
    </w:p>
    <w:p/>
    <w:p>
      <w:pPr>
        <w:pStyle w:val="Normal"/>
      </w:pPr>
      <w:r>
        <w:rPr>
          <w:color w:val="323232"/>
        </w:rPr>
        <w:t xml:space="preserve">Andréanne Cléroux, Kate Alexander, Guy Beauchamp, and Marilyn Dunn.</w:t>
      </w:r>
    </w:p>
    <w:p/>
    <w:p>
      <w:pPr>
        <w:pStyle w:val="Normal"/>
      </w:pPr>
      <w:r>
        <w:rPr>
          <w:color w:val="323232"/>
        </w:rPr>
        <w:t xml:space="preserve">OBJECTIVE To determine whether urolithiasis is associated with chronic kidney disease (CKD) in cats. DESIGN Retrospective case-control study. ANIMALS 126 cats (59 and 67 with and without urolithiasis, respectively). PROCEDURES Medical records from June 2006 to July 2013 were searched to identify cats that underwent abdominal or focal urinary tract ultrasonography and for which serum creatinine concentration and urine specific gravity data were obtained ≤ 14 days before or after the examination. In cats with (urolithiasis group) and without (control group) urolithiasis, the presence of CKD was determined according to International Renal Interest Society guidelines. Information recorded included signalment, body weight, serum creatinine concentration, and urine specific gravity; when present, the location and number of uroliths were noted. Differences between groups and associations between group and categorical variables were analyzed statistically. RESULTS Age, weight, sex, and breed did not differ between groups. The prevalence of CKD was significantly higher in cats with urolithiasis than in the control group. Among cats with urolithiasis, there was a negative association between CKD and presence of cystoliths. There was no association between urolithiasis and the stage of CKD or between presence of CKD and location of nephroliths in the kidney. CONCLUSIONS AND CLINICAL RELEVANCE Results confirmed a positive association between urolithiasis and CKD in the feline population studied and suggested that cats with urolithiasis should be evaluated for CKD. Further research is warranted to assess the nature of the relationship between CKD and urolithiasis in cats.</w:t>
      </w:r>
    </w:p>
    <w:p/>
    <w:p>
      <w:pPr>
        <w:pStyle w:val="Normal"/>
      </w:pPr>
      <w:r>
        <w:rPr>
          <w:color w:val="323232"/>
        </w:rPr>
        <w:t xml:space="preserve">J Am Vet Med Assoc, 2017 vol. 250 (7) pp. 770-774.</w:t>
      </w:r>
    </w:p>
    <w:p>
      <w:r>
        <w:rPr>
          <w:rStyle w:val="Hyperlink"/>
        </w:rPr>
        <w:fldChar w:fldCharType="begin"/>
      </w:r>
      <w:r>
        <w:rPr>
          <w:rStyle w:val="Hyperlink"/>
        </w:rPr>
        <w:instrText xml:space="preserve"> HYPERLINK "http://eutils.ncbi.nlm.nih.gov/entrez/eutils/elink.fcgi?dbfrom=pubmed&amp;id=28306489&amp;retmode=ref&amp;cmd=prlinks"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http://eutils.ncbi.nlm.nih.gov/entrez/eutils/elink.fcgi?dbfrom=pubmed&amp;id=28306489&amp;retmode=ref&amp;cmd=prlinks</w:t>
      </w:r>
      <w:r>
        <w:rPr>
          <w:rStyle w:val="Hyperlink"/>
        </w:rPr>
        <w:fldChar w:fldCharType="end"/>
      </w:r>
    </w:p>
    <w:p>
      <w:pPr>
        <w:pStyle w:val="Normal"/>
      </w:pPr>
      <w:r>
        <w:rPr>
          <w:color w:val="323232"/>
        </w:rPr>
        <w:t xml:space="preserve">————————</w:t>
      </w:r>
    </w:p>
    <w:p>
      <w:pPr>
        <w:pStyle w:val="Heading4"/>
      </w:pPr>
      <w:r>
        <w:t xml:space="preserve">Seroprevalence of heartworm infection, risk factors for seropositivity, and frequency of prescribing heartworm preventives for cats in the United States and Canada.</w:t>
      </w:r>
    </w:p>
    <w:p/>
    <w:p>
      <w:pPr>
        <w:pStyle w:val="Normal"/>
      </w:pPr>
      <w:r>
        <w:rPr>
          <w:color w:val="323232"/>
        </w:rPr>
        <w:t xml:space="preserve">Julie K Levy, Amie N Burling, Michael M Crandall, Sylvia J Tucker, Erin G Wood, and Jessie D Foster.</w:t>
      </w:r>
    </w:p>
    <w:p/>
    <w:p>
      <w:pPr>
        <w:pStyle w:val="Normal"/>
      </w:pPr>
      <w:r>
        <w:rPr>
          <w:color w:val="323232"/>
        </w:rPr>
        <w:t xml:space="preserve">OBJECTIVE To determine the seroprevalence of heartworm infection, risk factors for seropositivity, and frequency of prescribing heartworm preventives for cats. DESIGN Prospective cross-sectional study. ANIMALS 34,975 cats from 1,353 veterinary clinics (n = 26,707) and 125 animal shelters (8,268) in the United States and Canada. PROCEDURES Blood samples were collected from all cats and tested with a point-of-care ELISA for Dirofilaria immitis antigen, FeLV antigen, and FIV antibody. Results were compared among geographic regions and various cat groupings. RESULTS Seropositivity for heartworm antigen in cats was identified in 35 states but not in Canada; overall seroprevalence in the United States was 0.4%. Seroprevalence of heartworm infection was highest in the southern United States. A 3-fold increase in the proportion of seropositive cats was identified for those with (vs without) outdoor access, and a 2.5-fold increase was identified for cats that were unhealthy (vs healthy) when tested. Seroprevalence was 0.3% in healthy cats, 0.7% in cats with oral disease, 0.9% in cats with abscesses or bite wounds, and 1.0% in cats with respiratory disease. Coinfection with a retrovirus increased the risk of heartworm infection. Heartworm preventives were prescribed for only 12.6% of cats at testing, and prescribing was more common in regions with a higher seroprevalence. CONCLUSIONS AND CLINICAL RELEVANCE At an estimated prevalence of 0.4%, hundreds of thousands of cats in the United States are likely infected with heartworms. Given the difficulty in diagnosing infection at all clinically relevant parasite stages and lack of curative treatment options, efforts should be increased to ensure all cats receive heartworm preventives.</w:t>
      </w:r>
    </w:p>
    <w:p/>
    <w:p>
      <w:pPr>
        <w:pStyle w:val="Normal"/>
      </w:pPr>
      <w:r>
        <w:rPr>
          <w:color w:val="323232"/>
        </w:rPr>
        <w:t xml:space="preserve">J Am Vet Med Assoc, 2017 vol. 250 (8) pp. 873-880.</w:t>
      </w:r>
    </w:p>
    <w:p>
      <w:r>
        <w:rPr>
          <w:rStyle w:val="Hyperlink"/>
        </w:rPr>
        <w:fldChar w:fldCharType="begin"/>
      </w:r>
      <w:r>
        <w:rPr>
          <w:rStyle w:val="Hyperlink"/>
        </w:rPr>
        <w:instrText xml:space="preserve"> HYPERLINK "http://eutils.ncbi.nlm.nih.gov/entrez/eutils/elink.fcgi?dbfrom=pubmed&amp;id=28358636&amp;retmode=ref&amp;cmd=prlinks"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http://eutils.ncbi.nlm.nih.gov/entrez/eutils/elink.fcgi?dbfrom=pubmed&amp;id=28358636&amp;retmode=ref&amp;cmd=prlinks</w:t>
      </w:r>
      <w:r>
        <w:rPr>
          <w:rStyle w:val="Hyperlink"/>
        </w:rPr>
        <w:fldChar w:fldCharType="end"/>
      </w:r>
    </w:p>
    <w:p>
      <w:pPr>
        <w:pStyle w:val="Normal"/>
      </w:pPr>
      <w:r>
        <w:rPr>
          <w:color w:val="323232"/>
        </w:rPr>
        <w:t xml:space="preserve">————————</w:t>
      </w:r>
    </w:p>
    <w:p>
      <w:pPr>
        <w:pStyle w:val="Heading4"/>
      </w:pPr>
      <w:r>
        <w:t xml:space="preserve">Survival analysis of hypotensive cats admitted to an intensive care unit with or without hyperlactatemia: 39 cases (2005-2011).</w:t>
      </w:r>
    </w:p>
    <w:p/>
    <w:p>
      <w:pPr>
        <w:pStyle w:val="Normal"/>
      </w:pPr>
      <w:r>
        <w:rPr>
          <w:color w:val="323232"/>
        </w:rPr>
        <w:t xml:space="preserve">Emily K Shea, Stefan C Dombrowski, and Deborah C Silverstein.</w:t>
      </w:r>
    </w:p>
    <w:p/>
    <w:p>
      <w:pPr>
        <w:pStyle w:val="Normal"/>
      </w:pPr>
      <w:r>
        <w:rPr>
          <w:color w:val="323232"/>
        </w:rPr>
        <w:t xml:space="preserve">OBJECTIVE To examine the association between blood lactate concentration and survival to hospital discharge in critically ill hypotensive cats. DESIGN Retrospective case series. ANIMALS 39 cats admitted to an intensive care unit of a university veterinary hospital between January 2005 and December 2011 for which blood lactate concentration was recorded ≤ 1 hour before or after a Doppler-derived arterial blood pressure measurement ≤ 90 mm Hg (ie, hypotension) was obtained. PROCEDURES Medical records of each cat were reviewed to assess survival to hospital discharge, illness severity, duration of hospitalization, age, body weight, and PCV. Results were compared between hypotensive cats with and without hyperlactatemia (blood lactate concentration ≥ 2.5 mmol/ L). RESULTS 6 of 39 (15%) hypotensive cats survived to hospital discharge. Twelve (31%) cats were normolactatemic (blood lactate concentration &lt; 2.5 mmol/L), and 27 (69%) were hyperlactatemic. Hypotensive cats with normolactatemia had a higher blood pressure and higher survival rate than hypotensive cats with hyperlactatemia. Five-day Kaplan-Meier survival rates were 57% for normolactatemic cats and 17% for hyperlactatemic cats. Age, body weight, duration of hospitalization, PCV, and illness severity did not differ significantly between hypotensive cats with and without hyperlactatemia. CONCLUSIONS AND CLINICAL RELEVANCE Hypotensive, normolactatemic cats in an intensive care unit had a significantly greater chance of survival to hospital discharge than their hyperlactatemic counterparts. Blood lactate concentration may be a useful prognostic indicator for this patient population when used in conjunction with other clinical and laboratory findings.</w:t>
      </w:r>
    </w:p>
    <w:p/>
    <w:p>
      <w:pPr>
        <w:pStyle w:val="Normal"/>
      </w:pPr>
      <w:r>
        <w:rPr>
          <w:color w:val="323232"/>
        </w:rPr>
        <w:t xml:space="preserve">J Am Vet Med Assoc, 2017 vol. 250 (8) pp. 887-893.</w:t>
      </w:r>
    </w:p>
    <w:p>
      <w:r>
        <w:rPr>
          <w:rStyle w:val="Hyperlink"/>
        </w:rPr>
        <w:fldChar w:fldCharType="begin"/>
      </w:r>
      <w:r>
        <w:rPr>
          <w:rStyle w:val="Hyperlink"/>
        </w:rPr>
        <w:instrText xml:space="preserve"> HYPERLINK "http://eutils.ncbi.nlm.nih.gov/entrez/eutils/elink.fcgi?dbfrom=pubmed&amp;id=28358631&amp;retmode=ref&amp;cmd=prlinks"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http://eutils.ncbi.nlm.nih.gov/entrez/eutils/elink.fcgi?dbfrom=pubmed&amp;id=28358631&amp;retmode=ref&amp;cmd=prlinks</w:t>
      </w:r>
      <w:r>
        <w:rPr>
          <w:rStyle w:val="Hyperlink"/>
        </w:rPr>
        <w:fldChar w:fldCharType="end"/>
      </w:r>
    </w:p>
    <w:p>
      <w:pPr>
        <w:pStyle w:val="Normal"/>
      </w:pPr>
      <w:r>
        <w:rPr>
          <w:color w:val="323232"/>
        </w:rPr>
        <w:t xml:space="preserve">————————</w:t>
      </w:r>
    </w:p>
    <w:p>
      <w:pPr>
        <w:pStyle w:val="Heading4"/>
      </w:pPr>
      <w:r>
        <w:t xml:space="preserve">Agreement between microscopic examination and bacterial culture of bile samples for detection of bactibilia in dogs and cats with hepatobiliary disease.</w:t>
      </w:r>
    </w:p>
    <w:p/>
    <w:p>
      <w:pPr>
        <w:pStyle w:val="Normal"/>
      </w:pPr>
      <w:r>
        <w:rPr>
          <w:color w:val="323232"/>
        </w:rPr>
        <w:t xml:space="preserve">Medora B Pashmakova, Julie Piccione, Micah A Bishop, Whitney R Nelson, and Sara D Lawhon.</w:t>
      </w:r>
    </w:p>
    <w:p/>
    <w:p>
      <w:pPr>
        <w:pStyle w:val="Normal"/>
      </w:pPr>
      <w:r>
        <w:rPr>
          <w:color w:val="323232"/>
        </w:rPr>
        <w:t xml:space="preserve">OBJECTIVE To evaluate the agreement between results of microscopic examination and bacterial culture of bile samples from dogs and cats with hepatobiliary disease for detection of bactibilia. DESIGN Cross-sectional study. ANIMALS 31 dogs and 21 cats with hepatobiliary disease for which subsequent microscopic examination and bacterial culture of bile samples was performed from 2004 through 2014. PROCEDURES Electronic medical records of included dogs and cats were reviewed to extract data regarding diagnosis, antimicrobials administered, and results of microscopic examination and bacterial culture of bile samples. Agreement between these 2 diagnostic tests was assessed by calculation of the Cohen κ value. RESULTS 17 (33%) dogs and cats had bactibilia identified by microscopic examination of bile samples, and 11 (21%) had bactibilia identified via bacterial culture. Agreement between these 2 tests was substantial (percentage agreement [positive and negative results], 85%; κ = 0.62; 95% confidence interval, 0.38 to 0.89) and improved to almost perfect when calculated for only animals that received no antimicrobials within 24 hours prior to sample collection (percentage agreement, 94%; κ = 0.84; 95% confidence interval, 0.61 to 1.00). CONCLUSIONS AND CLINICAL RELEVANCE Results indicated that agreement between microscopic examination and bacterial culture of bile samples for detection of bactibilia is optimized when dogs and cats are not receiving antimicrobials at the time of sample collection. Concurrent bacterial culture and microscopic examination of bile samples are recommended for all cats and dogs evaluated for hepatobiliary disease.</w:t>
      </w:r>
    </w:p>
    <w:p/>
    <w:p>
      <w:pPr>
        <w:pStyle w:val="Normal"/>
      </w:pPr>
      <w:r>
        <w:rPr>
          <w:color w:val="323232"/>
        </w:rPr>
        <w:t xml:space="preserve">J Am Vet Med Assoc, 2017 vol. 250 (9) pp. 1007-1013.</w:t>
      </w:r>
    </w:p>
    <w:p>
      <w:r>
        <w:rPr>
          <w:rStyle w:val="Hyperlink"/>
        </w:rPr>
        <w:fldChar w:fldCharType="begin"/>
      </w:r>
      <w:r>
        <w:rPr>
          <w:rStyle w:val="Hyperlink"/>
        </w:rPr>
        <w:instrText xml:space="preserve"> HYPERLINK "http://eutils.ncbi.nlm.nih.gov/entrez/eutils/elink.fcgi?dbfrom=pubmed&amp;id=28414601&amp;retmode=ref&amp;cmd=prlinks"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http://eutils.ncbi.nlm.nih.gov/entrez/eutils/elink.fcgi?dbfrom=pubmed&amp;id=28414601&amp;retmode=ref&amp;cmd=prlinks</w:t>
      </w:r>
      <w:r>
        <w:rPr>
          <w:rStyle w:val="Hyperlink"/>
        </w:rPr>
        <w:fldChar w:fldCharType="end"/>
      </w:r>
    </w:p>
    <w:p>
      <w:pPr>
        <w:pStyle w:val="Normal"/>
      </w:pPr>
      <w:r>
        <w:rPr>
          <w:color w:val="323232"/>
        </w:rPr>
        <w:t xml:space="preserve">————————</w:t>
      </w:r>
    </w:p>
    <w:p>
      <w:pPr>
        <w:pStyle w:val="Heading4"/>
      </w:pPr>
      <w:r>
        <w:t xml:space="preserve">Effects of a transdermal lidocaine patch on indicators of postoperative pain in dogs undergoing midline ovariohysterectomy.</w:t>
      </w:r>
    </w:p>
    <w:p/>
    <w:p>
      <w:pPr>
        <w:pStyle w:val="Normal"/>
      </w:pPr>
      <w:r>
        <w:rPr>
          <w:color w:val="323232"/>
        </w:rPr>
        <w:t xml:space="preserve">Danielle K Merema, Emily K Schoenrock, Kevin Le Boedec, and Maureen A McMichael.</w:t>
      </w:r>
    </w:p>
    <w:p/>
    <w:p>
      <w:pPr>
        <w:pStyle w:val="Normal"/>
      </w:pPr>
      <w:r>
        <w:rPr>
          <w:color w:val="323232"/>
        </w:rPr>
        <w:t xml:space="preserve">OBJECTIVE To determine the effects of a transdermal lidocaine patch (TLP) on indicators of postoperative pain in healthy dogs following ovariohysterectomy. DESIGN Randomized, blinded controlled trial. ANIMALS 40 healthy shelter-owned female dogs admitted to a student surgery program for ovariohysterectomy. PROCEDURES Dogs were randomly assigned to receive after ovariohysterectomy a 5-cm-wide strip of TLP applied topically on both sides of the incision, for the full length of the incision and a wound dressing (n = 19) or a placebo patch (nonmedicated wound dressing; 21). All dogs underwent midline ovariohysterectomy. Immediately afterward, dogs received 2 IM morphine injections, carprofen (SC, q 12 h for 2 days), and the assigned patch (left in place for 18 hours). Postoperative comfort was evaluated by use of the short form of the Glasgow Composite Measures Pain Scale and serum cortisol concentrations measured prior to premedication and 1, 2, 4, 6, 8, 10, and 18 hours after surgery. RESULTS No significant difference in pain scores or serum cortisol concentrations was identified between dogs that received the TLP and dogs that received a placebo patch after ovariohysterectomy. CONCLUSIONS AND CLINICAL RELEVANCE The TLP provided no additional analgesic benefit to dogs treated concurrently with recommended doses of morphine and carprofen following ovariohysterectomy. Additional studies are needed to investigate whether similar results might be achieved in dogs treated concurrently with other analgesics. (J Am Vet Med Assoc 2017;250:1140-1147).</w:t>
      </w:r>
    </w:p>
    <w:p/>
    <w:p>
      <w:pPr>
        <w:pStyle w:val="Normal"/>
      </w:pPr>
      <w:r>
        <w:rPr>
          <w:color w:val="323232"/>
        </w:rPr>
        <w:t xml:space="preserve">J Am Vet Med Assoc, 2017 vol. 250 (10) pp. 1140-1147.</w:t>
      </w:r>
    </w:p>
    <w:p>
      <w:r>
        <w:rPr>
          <w:rStyle w:val="Hyperlink"/>
        </w:rPr>
        <w:fldChar w:fldCharType="begin"/>
      </w:r>
      <w:r>
        <w:rPr>
          <w:rStyle w:val="Hyperlink"/>
        </w:rPr>
        <w:instrText xml:space="preserve"> HYPERLINK "http://eutils.ncbi.nlm.nih.gov/entrez/eutils/elink.fcgi?dbfrom=pubmed&amp;id=28467739&amp;retmode=ref&amp;cmd=prlinks"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http://eutils.ncbi.nlm.nih.gov/entrez/eutils/elink.fcgi?dbfrom=pubmed&amp;id=28467739&amp;retmode=ref&amp;cmd=prlinks</w:t>
      </w:r>
      <w:r>
        <w:rPr>
          <w:rStyle w:val="Hyperlink"/>
        </w:rPr>
        <w:fldChar w:fldCharType="end"/>
      </w:r>
    </w:p>
    <w:p>
      <w:pPr>
        <w:pStyle w:val="Normal"/>
      </w:pPr>
      <w:r>
        <w:rPr>
          <w:color w:val="323232"/>
        </w:rPr>
        <w:t xml:space="preserve">————————</w:t>
      </w:r>
    </w:p>
    <w:p>
      <w:pPr>
        <w:pStyle w:val="Heading4"/>
      </w:pPr>
      <w:r>
        <w:t xml:space="preserve">Splenomegaly in small-breed dogs: 45 cases(2005-2011).</w:t>
      </w:r>
    </w:p>
    <w:p/>
    <w:p>
      <w:pPr>
        <w:pStyle w:val="Normal"/>
      </w:pPr>
      <w:r>
        <w:rPr>
          <w:color w:val="323232"/>
        </w:rPr>
        <w:t xml:space="preserve">Erin E Corbin, Ryan P Cavanaugh, Pamela Schwartz, Katherine I Zawadzki, and Taryn Donovan.</w:t>
      </w:r>
    </w:p>
    <w:p/>
    <w:p>
      <w:pPr>
        <w:pStyle w:val="Normal"/>
      </w:pPr>
      <w:r>
        <w:rPr>
          <w:color w:val="323232"/>
        </w:rPr>
        <w:t xml:space="preserve">OBJECTIVE To assess causes of splenomegaly and postsurgical outcomes in small-breed (ie, &lt; 16-kg [&lt; 35.2-lb]) dogs that underwent splenectomy and evaluate associations among malignant disease, hemoperitoneum, and survival time in these patients. DESIGN Retrospective case series. ANIMALS 45 client-owned dogs. PROCEDURES Medical records of 2 veterinary facilities were reviewed to identify small-breed dogs that underwent splenectomy and had a histologic diagnosis recorded. Data analyzed included signalment, diagnosis, presence or absence of hemoperitoneum, and survival time. RESULTS 21 dogs had malignant neoplasia and 24 had benign splenic diseases. Hemangiosarcoma was the most common malignancy (14/21 [67%] dogs) and lymphoid nodular hyperplasia, hematoma, or extramedullary hematopoiesis (alone or in combination) was most commonly diagnosed in dogs with benign disease (17/24 [71%]). Wheaton Terriers were significantly more likely to have malignant splenic disease than were dogs of other breeds. Malignant splenic disease and the presence of hemoperitoneum had significant negative associations with survival time. Malignant disease was not significantly associated with the presence of hemoperitoneum. CONCLUSIONS AND CLINICAL RELEVANCE Causes for splenomegaly and survival times were similar to those previously reported for populations that primarily included large-breed dogs. There were approximately equal numbers of benign and malignant causes for splenomegaly in this population. Results suggested that Wheaton Terriers with splenomegaly had a higher likelihood of malignant neoplasia than other breeds and that hemoperitoneum may not be a significant predictor of malignancy in small-breed dogs. However, further research including a larger number of dogs is needed to confirm these findings. (J Am Vet Med Assoc 2017;250:1148-1154).</w:t>
      </w:r>
    </w:p>
    <w:p/>
    <w:p>
      <w:pPr>
        <w:pStyle w:val="Normal"/>
      </w:pPr>
      <w:r>
        <w:rPr>
          <w:color w:val="323232"/>
        </w:rPr>
        <w:t xml:space="preserve">J Am Vet Med Assoc, 2017 vol. 250 (10) pp. 1148-1154.</w:t>
      </w:r>
    </w:p>
    <w:p>
      <w:r>
        <w:rPr>
          <w:rStyle w:val="Hyperlink"/>
        </w:rPr>
        <w:fldChar w:fldCharType="begin"/>
      </w:r>
      <w:r>
        <w:rPr>
          <w:rStyle w:val="Hyperlink"/>
        </w:rPr>
        <w:instrText xml:space="preserve"> HYPERLINK "http://eutils.ncbi.nlm.nih.gov/entrez/eutils/elink.fcgi?dbfrom=pubmed&amp;id=28467747&amp;retmode=ref&amp;cmd=prlinks"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http://eutils.ncbi.nlm.nih.gov/entrez/eutils/elink.fcgi?dbfrom=pubmed&amp;id=28467747&amp;retmode=ref&amp;cmd=prlinks</w:t>
      </w:r>
      <w:r>
        <w:rPr>
          <w:rStyle w:val="Hyperlink"/>
        </w:rPr>
        <w:fldChar w:fldCharType="end"/>
      </w:r>
    </w:p>
    <w:p>
      <w:pPr>
        <w:pStyle w:val="Normal"/>
      </w:pPr>
      <w:r>
        <w:rPr>
          <w:color w:val="323232"/>
        </w:rPr>
        <w:t xml:space="preserve">————————</w:t>
      </w:r>
    </w:p>
    <w:p>
      <w:pPr>
        <w:pStyle w:val="Heading4"/>
      </w:pPr>
      <w:r>
        <w:t xml:space="preserve">Prevalence of serum antibody titers against canine distemper virus and canine parvovirus in dogs hospitalized in an intensive care unit.</w:t>
      </w:r>
    </w:p>
    <w:p/>
    <w:p>
      <w:pPr>
        <w:pStyle w:val="Normal"/>
      </w:pPr>
      <w:r>
        <w:rPr>
          <w:color w:val="323232"/>
        </w:rPr>
        <w:t xml:space="preserve">Jennifer L Mahon, Elizabeth A Rozanski, and April L Paul.</w:t>
      </w:r>
    </w:p>
    <w:p/>
    <w:p>
      <w:pPr>
        <w:pStyle w:val="Normal"/>
      </w:pPr>
      <w:r>
        <w:rPr>
          <w:color w:val="323232"/>
        </w:rPr>
        <w:t xml:space="preserve">OBJECTIVE To determine the prevalence of dogs hospitalized in an intensive care unit (ICU) with serum antibody titers against canine distemper virus (CDV) and canine parvovirus (CPV). DESIGN Prospective observational study. ANIMALS 80 dogs. PROCEDURES Dogs hospitalized in an ICU for &gt; 12 hours between February 1 and June 1, 2015, that had at least 0.25 mL of serum left over from diagnostic testing were eligible for study inclusion. Dogs with serum antibody titers &gt; 1:32 (as determined by serum neutralization) and &gt; 1:80 (as determined by hemagglutination inhibition) were considered seropositive for CDV and CPV, respectively. The date of last vaccination was obtained from the medical record of each dog. RESULTS Of the 80 dogs, 40 (50%) and 65 (81%) dogs were seropositive for CDV and CPV, respectively. Of the 40 dogs that were seronegative for CDV, 27 had been vaccinated against CDV within 3 years prior to testing. Of the 15 dogs that were seronegative for CPV, 3 had been vaccinated against CPV within 3 years prior to testing. Ten dogs were seronegative for both CDV and CPV. CONCLUSIONS AND CLINICAL RELEVANCE Results indicated the prevalence of dogs hospitalized in an ICU that were seropositive for CDV and CPV was lower than expected given the high vaccination rate reported for dogs. Although the antibody titer necessary to prevent disease caused by CDV or CPV in critically ill dogs is unknown, adherence to infectious disease control guidelines is warranted when CDV- or CPV-infected dogs are treated in an ICU.</w:t>
      </w:r>
    </w:p>
    <w:p/>
    <w:p>
      <w:pPr>
        <w:pStyle w:val="Normal"/>
      </w:pPr>
      <w:r>
        <w:rPr>
          <w:color w:val="323232"/>
        </w:rPr>
        <w:t xml:space="preserve">J Am Vet Med Assoc, 2017 vol. 250 (12) pp. 1413-1418.</w:t>
      </w:r>
    </w:p>
    <w:p>
      <w:r>
        <w:rPr>
          <w:rStyle w:val="Hyperlink"/>
        </w:rPr>
        <w:fldChar w:fldCharType="begin"/>
      </w:r>
      <w:r>
        <w:rPr>
          <w:rStyle w:val="Hyperlink"/>
        </w:rPr>
        <w:instrText xml:space="preserve"> HYPERLINK "http://eutils.ncbi.nlm.nih.gov/entrez/eutils/elink.fcgi?dbfrom=pubmed&amp;id=28569640&amp;retmode=ref&amp;cmd=prlinks"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http://eutils.ncbi.nlm.nih.gov/entrez/eutils/elink.fcgi?dbfrom=pubmed&amp;id=28569640&amp;retmode=ref&amp;cmd=prlinks</w:t>
      </w:r>
      <w:r>
        <w:rPr>
          <w:rStyle w:val="Hyperlink"/>
        </w:rPr>
        <w:fldChar w:fldCharType="end"/>
      </w:r>
    </w:p>
    <w:p>
      <w:pPr>
        <w:pStyle w:val="Normal"/>
      </w:pPr>
      <w:r>
        <w:rPr>
          <w:color w:val="323232"/>
        </w:rPr>
        <w:t xml:space="preserve">————————</w:t>
      </w:r>
    </w:p>
    <w:p>
      <w:pPr>
        <w:pStyle w:val="Heading4"/>
      </w:pPr>
      <w:r>
        <w:t xml:space="preserve">Effect of hospitalization on gastrointestinal motility and pH in dogs.</w:t>
      </w:r>
    </w:p>
    <w:p/>
    <w:p>
      <w:pPr>
        <w:pStyle w:val="Normal"/>
      </w:pPr>
      <w:r>
        <w:rPr>
          <w:color w:val="323232"/>
        </w:rPr>
        <w:t xml:space="preserve">Kanawee Warrit, Pedro Boscan, Leah E Ferguson, Allison M Bradley, Kristy L Dowers, and David C Twedt.</w:t>
      </w:r>
    </w:p>
    <w:p/>
    <w:p>
      <w:pPr>
        <w:pStyle w:val="Normal"/>
      </w:pPr>
      <w:r>
        <w:rPr>
          <w:color w:val="323232"/>
        </w:rPr>
        <w:t xml:space="preserve">OBJECTIVE To determine the effect of hospitalization on gastrointestinal motility and pH in healthy dogs. DESIGN Experimental study. ANIMALS 12 healthy adult dogs. PROCEDURES A wireless motility capsule (WMC) that measured pressure, transit time, and pH within the gastrointestinal tract was administered orally to dogs in 2 phases. In the first phase, dogs received the WMC at the hospital and then returned to their home to follow their daily routine. In the second phase, dogs were hospitalized, housed individually, had abdominal radiography performed daily, and were leash exercised 4 to 6 times/d until the WMC passed in the feces. All dogs received the same diet twice per day in both phases. Data were compared between phases with the Wilcoxon signed rank test. RESULTS Data were collected from 11 dogs; 1 dog was excluded because the WMC failed to exit the stomach. Median gastric emptying time during hospitalization (71.8 hours; range, 10.7 to 163.0 hours) was significantly longer than at home (17.6 hours; range, 9.7 to 80.8 hours). Values of all other gastric, small bowel, and large bowel parameters (motility index, motility pattern, pH, and transit time) were similar between phases. No change in gastric pH was detected over the hospitalization period. High interdog variability was evident for all measured parameters. CONCLUSIONS AND CLINICAL RELEVANCE Hospitalization of dogs may result in a prolonged gastric emptying time, which could adversely affect gastric emptying of meals, transit of orally administered drugs, or assessments of underlying motility disorders.</w:t>
      </w:r>
    </w:p>
    <w:p/>
    <w:p>
      <w:pPr>
        <w:pStyle w:val="Normal"/>
      </w:pPr>
      <w:r>
        <w:rPr>
          <w:color w:val="323232"/>
        </w:rPr>
        <w:t xml:space="preserve">J Am Vet Med Assoc, 2017 vol. 251 (1) pp. 65-70.</w:t>
      </w:r>
    </w:p>
    <w:p>
      <w:r>
        <w:rPr>
          <w:rStyle w:val="Hyperlink"/>
        </w:rPr>
        <w:fldChar w:fldCharType="begin"/>
      </w:r>
      <w:r>
        <w:rPr>
          <w:rStyle w:val="Hyperlink"/>
        </w:rPr>
        <w:instrText xml:space="preserve"> HYPERLINK "http://eutils.ncbi.nlm.nih.gov/entrez/eutils/elink.fcgi?dbfrom=pubmed&amp;id=28621589&amp;retmode=ref&amp;cmd=prlinks"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http://eutils.ncbi.nlm.nih.gov/entrez/eutils/elink.fcgi?dbfrom=pubmed&amp;id=28621589&amp;retmode=ref&amp;cmd=prlinks</w:t>
      </w:r>
      <w:r>
        <w:rPr>
          <w:rStyle w:val="Hyperlink"/>
        </w:rPr>
        <w:fldChar w:fldCharType="end"/>
      </w:r>
    </w:p>
    <w:p>
      <w:pPr>
        <w:pStyle w:val="Normal"/>
      </w:pPr>
      <w:r>
        <w:rPr>
          <w:color w:val="323232"/>
        </w:rPr>
        <w:t xml:space="preserve">————————</w:t>
      </w:r>
    </w:p>
    <w:p>
      <w:pPr>
        <w:pStyle w:val="Heading4"/>
      </w:pPr>
      <w:r>
        <w:t xml:space="preserve">Effect of different types of classical music played at a veterinary hospital on dog behavior and owner satisfaction.</w:t>
      </w:r>
    </w:p>
    <w:p/>
    <w:p>
      <w:pPr>
        <w:pStyle w:val="Normal"/>
      </w:pPr>
      <w:r>
        <w:rPr>
          <w:color w:val="323232"/>
        </w:rPr>
        <w:t xml:space="preserve">Whitney J Engler and Melissa Bain.</w:t>
      </w:r>
    </w:p>
    <w:p/>
    <w:p>
      <w:pPr>
        <w:pStyle w:val="Normal"/>
      </w:pPr>
      <w:r>
        <w:rPr>
          <w:color w:val="323232"/>
        </w:rPr>
        <w:t xml:space="preserve">OBJECTIVE To determine the effect of different types of classical music played during a veterinary visit on dog behavior and owner satisfaction. DESIGN Prospective randomized controlled study. ANIMALS 74 dogs examined at a veterinary teaching hospital. PROCEDURES Dogs examined for a wellness visit, presurgical health evaluation, or nonurgent illness were exposed to 1 of 3 treatments (modified classical music, the same music in its original format, and no music [control]) while in the examination room. Owners completed a standardized survey regarding the dog's behavior and their satisfaction with the visit. Clinicians completed a separate standardized survey regarding the dog's behavior. Information regarding monetary charges, procedures performed, diagnoses, and physiologic variables was obtained from the electronic medical record after the appointment. RESULTS Owners rated their dog's anxiety level in the waiting room greater than that in the examination room regardless of treatment. Mean anxiety and aggression scores of dogs during the physical examination as rated by owners were significantly greater than those assigned by clinicians. Visit satisfaction for owners exposed to original classical music was significantly greater than that for owners not exposed to music. CONCLUSIONS AND CLINICAL RELEVANCE Results suggested placing a pet and its owner into an examination room instead of a waiting room immediately after clinic arrival may ameliorate pet anxiety during the veterinary visit. Playing classical music at a low volume can be a simple and cost-effective way to improve owner satisfaction with the veterinary visit. Further research is necessary to determine the effects of music on pet anxiety.</w:t>
      </w:r>
    </w:p>
    <w:p/>
    <w:p>
      <w:pPr>
        <w:pStyle w:val="Normal"/>
      </w:pPr>
      <w:r>
        <w:rPr>
          <w:color w:val="323232"/>
        </w:rPr>
        <w:t xml:space="preserve">J Am Vet Med Assoc, 2017 vol. 251 (2) pp. 195-200.</w:t>
      </w:r>
    </w:p>
    <w:p>
      <w:r>
        <w:rPr>
          <w:rStyle w:val="Hyperlink"/>
        </w:rPr>
        <w:fldChar w:fldCharType="begin"/>
      </w:r>
      <w:r>
        <w:rPr>
          <w:rStyle w:val="Hyperlink"/>
        </w:rPr>
        <w:instrText xml:space="preserve"> HYPERLINK "http://eutils.ncbi.nlm.nih.gov/entrez/eutils/elink.fcgi?dbfrom=pubmed&amp;id=28671495&amp;retmode=ref&amp;cmd=prlinks"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http://eutils.ncbi.nlm.nih.gov/entrez/eutils/elink.fcgi?dbfrom=pubmed&amp;id=28671495&amp;retmode=ref&amp;cmd=prlinks</w:t>
      </w:r>
      <w:r>
        <w:rPr>
          <w:rStyle w:val="Hyperlink"/>
        </w:rPr>
        <w:fldChar w:fldCharType="end"/>
      </w:r>
    </w:p>
    <w:p>
      <w:pPr>
        <w:pStyle w:val="Normal"/>
      </w:pPr>
      <w:r>
        <w:rPr>
          <w:color w:val="323232"/>
        </w:rPr>
        <w:t xml:space="preserve">————————</w:t>
      </w:r>
    </w:p>
    <w:p>
      <w:pPr>
        <w:pStyle w:val="Heading4"/>
      </w:pPr>
      <w:r>
        <w:t xml:space="preserve">Seroprevalences of feline leukemia virus and feline immunodeficiency virus infection in cats in the United States and Canada and risk factors for seropositivity.</w:t>
      </w:r>
    </w:p>
    <w:p/>
    <w:p>
      <w:pPr>
        <w:pStyle w:val="Normal"/>
      </w:pPr>
      <w:r>
        <w:rPr>
          <w:color w:val="323232"/>
        </w:rPr>
        <w:t xml:space="preserve">Amie N Burling, Julie K Levy, H Morgan Scott, Michael M Crandall, Sylvia J Tucker, Erin G Wood, and Jessie D Foster.</w:t>
      </w:r>
    </w:p>
    <w:p/>
    <w:p>
      <w:pPr>
        <w:pStyle w:val="Normal"/>
      </w:pPr>
      <w:r>
        <w:rPr>
          <w:color w:val="323232"/>
        </w:rPr>
        <w:t xml:space="preserve">OBJECTIVE To estimate seroprevalences for FeLV antigen and anti-FIV antibody and risk factors for seropositivity among cats in the United States and Canada. DESIGN Cross-sectional study. ANIMALS 62,301 cats tested at 1,396 veterinary clinics (n = 45,406) and 127 animal shelters (16,895). PROCEDURES Blood samples were tested with a point-of-care ELISA for FeLV antigen and anti-FIV antibody. Seroprevalence was estimated, and risk factors for seropositivity were evaluated with bivariate and multivariable mixed-model logistic regression analyses adjusted for within-clinic or within-shelter dependencies. RESULTS Overall, seroprevalence was 3.1% for FeLV antigen and 3.6% for anti-FIV antibody. Adult age, outdoor access, clinical disease, and being a sexually intact male were risk factors for seropositivity for each virus. Odds of seropositivity for each virus were greater for cats tested in clinics than for those tested in shelters. Of 1,611 cats with oral disease, 76 (4.7%) and 157 (9.7%) were seropositive for FeLV and FIV, respectively. Of 4,835 cats with respiratory disease, 385 (8.0%) were seropositive for FeLV and 308 (6.4%) were seropositive for FIV. Of 1,983 cats with abscesses or bite wounds, 110 (5.5%) and 247 (12.5%) were seropositive for FeLV and FIV, respectively. Overall, 2,368 of 17,041 (13.9%) unhealthy cats were seropositive for either or both viruses, compared with 1,621 of 45,260 (3.6%) healthy cats. CONCLUSIONS AND CLINICAL RELEVANCE Seroprevalences for FeLV antigen and anti-FIV antibody were similar to those reported in previous studies over the past decade. Taken together, these results indicated a need to improve compliance with existing guidelines for management of feline retroviruses.</w:t>
      </w:r>
    </w:p>
    <w:p/>
    <w:p>
      <w:pPr>
        <w:pStyle w:val="Normal"/>
      </w:pPr>
      <w:r>
        <w:rPr>
          <w:color w:val="323232"/>
        </w:rPr>
        <w:t xml:space="preserve">J Am Vet Med Assoc, 2017 vol. 251 (2) pp. 187-194.</w:t>
      </w:r>
    </w:p>
    <w:p>
      <w:r>
        <w:rPr>
          <w:rStyle w:val="Hyperlink"/>
        </w:rPr>
        <w:fldChar w:fldCharType="begin"/>
      </w:r>
      <w:r>
        <w:rPr>
          <w:rStyle w:val="Hyperlink"/>
        </w:rPr>
        <w:instrText xml:space="preserve"> HYPERLINK "http://eutils.ncbi.nlm.nih.gov/entrez/eutils/elink.fcgi?dbfrom=pubmed&amp;id=28671491&amp;retmode=ref&amp;cmd=prlinks"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http://eutils.ncbi.nlm.nih.gov/entrez/eutils/elink.fcgi?dbfrom=pubmed&amp;id=28671491&amp;retmode=ref&amp;cmd=prlinks</w:t>
      </w:r>
      <w:r>
        <w:rPr>
          <w:rStyle w:val="Hyperlink"/>
        </w:rPr>
        <w:fldChar w:fldCharType="end"/>
      </w:r>
    </w:p>
    <w:p>
      <w:pPr>
        <w:pStyle w:val="Normal"/>
      </w:pPr>
      <w:r>
        <w:rPr>
          <w:color w:val="323232"/>
        </w:rPr>
        <w:t xml:space="preserve">————————</w:t>
      </w:r>
    </w:p>
    <w:p>
      <w:pPr>
        <w:pStyle w:val="Heading4"/>
      </w:pPr>
      <w:r>
        <w:t xml:space="preserve">Diagnostic usefulness of laparoscopy versus exploratory laparotomy for dogs with suspected gastrointestinal obstruction.</w:t>
      </w:r>
    </w:p>
    <w:p/>
    <w:p>
      <w:pPr>
        <w:pStyle w:val="Normal"/>
      </w:pPr>
      <w:r>
        <w:rPr>
          <w:color w:val="323232"/>
        </w:rPr>
        <w:t xml:space="preserve">Katie S Barry, J Brad Case, Matthew D Winter, Fernando L Garcia-Pereira, Gareth Buckley, and Matthew D Johnson.</w:t>
      </w:r>
    </w:p>
    <w:p/>
    <w:p>
      <w:pPr>
        <w:pStyle w:val="Normal"/>
      </w:pPr>
      <w:r>
        <w:rPr>
          <w:color w:val="323232"/>
        </w:rPr>
        <w:t xml:space="preserve">OBJECTIVE To evaluate the feasibility of laparoscopy versus exploratory laparotomy for the diagnosis of specific lesions in dogs with suspected gastrointestinal obstruction. DESIGN Controlled trial. ANIMALS 16 client-owned dogs with physical and radiographic findings consistent with gastrointestinal obstruction. PROCEDURES Single-incision laparoscopy with intracorporeal and extracorporeal examination of the gastrointestinal tract was performed by 1 surgeon. Immediately afterward, exploratory laparotomy was performed by a second surgeon. Accessibility and gross appearance of organs, surgical diagnoses, incision lengths, procedure duration, and complications were compared between diagnostic techniques. RESULTS Mean (95% confidence interval) incision length was 4.9 cm (3.9 to 5.9 cm) for laparoscopy and 16.4 cm (14.0 to 18.7 cm) for exploratory laparotomy. Mean (95% confidence interval) procedure duration was 36.8 minutes (31.6 to 41.2 minutes) and 12.8 minutes (11.4 to 14.3 minutes), respectively. Diagnoses of the cause of obstruction were the same with both methods. In 13 dogs, the laparoscopic examination was successfully completed, and in the other 3, it was incomplete. In 4 dogs in which laparoscopy was successful, conversion to exploratory laparotomy or considerable extension of the laparoscopic incision would have been required to allow subsequent surgical treatment of identified lesions. No dogs developed major complications, and minor complication rates were similar between procedures. CONCLUSIONS AND CLINICAL RELEVANCE Laparoscopy was feasible and clinically applicable in dogs with suspected gastrointestinal obstruction. Careful patient selection and liberal criteria for conversion to an open surgical approach are recommended when laparoscopy is considered for the diagnosis of gastrointestinal lesions in dogs.</w:t>
      </w:r>
    </w:p>
    <w:p/>
    <w:p>
      <w:pPr>
        <w:pStyle w:val="Normal"/>
      </w:pPr>
      <w:r>
        <w:rPr>
          <w:color w:val="323232"/>
        </w:rPr>
        <w:t xml:space="preserve">J Am Vet Med Assoc, 2017 vol. 251 (3) pp. 307-314.</w:t>
      </w:r>
    </w:p>
    <w:p>
      <w:r>
        <w:rPr>
          <w:rStyle w:val="Hyperlink"/>
        </w:rPr>
        <w:fldChar w:fldCharType="begin"/>
      </w:r>
      <w:r>
        <w:rPr>
          <w:rStyle w:val="Hyperlink"/>
        </w:rPr>
        <w:instrText xml:space="preserve"> HYPERLINK "http://eutils.ncbi.nlm.nih.gov/entrez/eutils/elink.fcgi?dbfrom=pubmed&amp;id=28703661&amp;retmode=ref&amp;cmd=prlinks"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http://eutils.ncbi.nlm.nih.gov/entrez/eutils/elink.fcgi?dbfrom=pubmed&amp;id=28703661&amp;retmode=ref&amp;cmd=prlinks</w:t>
      </w:r>
      <w:r>
        <w:rPr>
          <w:rStyle w:val="Hyperlink"/>
        </w:rPr>
        <w:fldChar w:fldCharType="end"/>
      </w:r>
    </w:p>
    <w:p>
      <w:pPr>
        <w:pStyle w:val="Normal"/>
      </w:pPr>
      <w:r>
        <w:rPr>
          <w:color w:val="323232"/>
        </w:rPr>
        <w:t xml:space="preserve">————————</w:t>
      </w:r>
    </w:p>
    <w:p>
      <w:pPr>
        <w:pStyle w:val="Heading4"/>
      </w:pPr>
      <w:r>
        <w:t xml:space="preserve">Ultrasonographic and computed tomographic characterization and localization of suspected mechanical gastrointestinal obstruction in dogs.</w:t>
      </w:r>
    </w:p>
    <w:p/>
    <w:p>
      <w:pPr>
        <w:pStyle w:val="Normal"/>
      </w:pPr>
      <w:r>
        <w:rPr>
          <w:color w:val="323232"/>
        </w:rPr>
        <w:t xml:space="preserve">Matthew D Winter, Katie S Barry, Matthew D Johnson, Clifford R Berry, and J Brad Case.</w:t>
      </w:r>
    </w:p>
    <w:p/>
    <w:p>
      <w:pPr>
        <w:pStyle w:val="Normal"/>
      </w:pPr>
      <w:r>
        <w:rPr>
          <w:color w:val="323232"/>
        </w:rPr>
        <w:t xml:space="preserve">OBJECTIVE To evaluate the usefulness of noncontrast abdominal CT and abdominal ultrasonography for the detection of mechanical gastrointestinal obstruction in dogs and compare intestinal diameter ratios between dogs with and without obstruction. DESIGN Controlled trial. ANIMALS 16 client-owned dogs with physical and radiographic findings consistent with mechanical gastrointestinal obstruction. PROCEDURES Abdominal ultrasonography and CT were performed for all dogs, followed by laparoscopy and exploratory laparotomy. Time required for image acquisition and presence and location of gastrointestinal obstruction were assessed with both imaging modalities. Findings were compared with those of exploratory surgery. Maximum and minimum intestinal diameters were recorded on CT scans; values were converted to a ratio and compared between dogs with and without obstruction. RESULTS Results of abdominal CT and exploratory surgery for the diagnosis of mechanical obstruction agreed for all 16 dogs; 10 dogs had complete obstruction, 3 had partial obstruction, and 3 had no obstruction. In 1 dog with functional ileus, abdominal ultrasonography resulted in an incorrect diagnosis of mechanical obstruction. Median (interquartile range) image acquisition time for abdominal CT (2.5 minutes [2.0 to 3.8 minutes]) was markedly and significantly shorter than that for ultrasonography (26.0 minutes [22.0 to 35.8 minutes]). In both dorsal and transverse CT planes, dogs with gastrointestinal obstruction (partial or complete) had significantly larger intestinal diameter ratios than dogs without obstruction. CONCLUSIONS AND CLINICAL RELEVANCE Abdominal CT was feasible, rapid, and accurate for the diagnosis of mechanical obstruction in dogs with clinical signs and physical examination findings consistent with partial or complete gastrointestinal obstruction.</w:t>
      </w:r>
    </w:p>
    <w:p/>
    <w:p>
      <w:pPr>
        <w:pStyle w:val="Normal"/>
      </w:pPr>
      <w:r>
        <w:rPr>
          <w:color w:val="323232"/>
        </w:rPr>
        <w:t xml:space="preserve">J Am Vet Med Assoc, 2017 vol. 251 (3) pp. 315-321.</w:t>
      </w:r>
    </w:p>
    <w:p>
      <w:r>
        <w:rPr>
          <w:rStyle w:val="Hyperlink"/>
        </w:rPr>
        <w:fldChar w:fldCharType="begin"/>
      </w:r>
      <w:r>
        <w:rPr>
          <w:rStyle w:val="Hyperlink"/>
        </w:rPr>
        <w:instrText xml:space="preserve"> HYPERLINK "http://eutils.ncbi.nlm.nih.gov/entrez/eutils/elink.fcgi?dbfrom=pubmed&amp;id=28703680&amp;retmode=ref&amp;cmd=prlinks"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http://eutils.ncbi.nlm.nih.gov/entrez/eutils/elink.fcgi?dbfrom=pubmed&amp;id=28703680&amp;retmode=ref&amp;cmd=prlinks</w:t>
      </w:r>
      <w:r>
        <w:rPr>
          <w:rStyle w:val="Hyperlink"/>
        </w:rPr>
        <w:fldChar w:fldCharType="end"/>
      </w:r>
    </w:p>
    <w:p>
      <w:pPr>
        <w:pStyle w:val="Normal"/>
      </w:pPr>
      <w:r>
        <w:rPr>
          <w:color w:val="323232"/>
        </w:rPr>
        <w:t xml:space="preserve">————————</w:t>
      </w:r>
    </w:p>
    <w:p>
      <w:pPr>
        <w:pStyle w:val="Heading4"/>
      </w:pPr>
      <w:r>
        <w:t xml:space="preserve">Comparison between double-pigtail ureteral stents and ureteral bypass devices for treatment of ureterolithiasis in cats.</w:t>
      </w:r>
    </w:p>
    <w:p/>
    <w:p>
      <w:pPr>
        <w:pStyle w:val="Normal"/>
      </w:pPr>
      <w:r>
        <w:rPr>
          <w:color w:val="323232"/>
        </w:rPr>
        <w:t xml:space="preserve">Claire Deroy, Diego Rossetti, Guillaume Ragetly, Juan Hernandez, and Cyrill Poncet.</w:t>
      </w:r>
    </w:p>
    <w:p/>
    <w:p>
      <w:pPr>
        <w:pStyle w:val="Normal"/>
      </w:pPr>
      <w:r>
        <w:rPr>
          <w:color w:val="323232"/>
        </w:rPr>
        <w:t xml:space="preserve">OBJECTIVE To compare the complication rates and outcomes in cats with ureteral obstruction treated by placement of double-pigtail ureteral stents or ureteral bypass (UB) devices. DESIGN Retrospective cohort study. ANIMALS Cats with unilateral or bilateral ureterolithiasis that received double-pigtail ureteral stents (30 stents in 27 cats; stent group) or UB devices (30 devices in 23 cats; UB group). PROCEDURES Medical records were reviewed to collect data on signalment, clinical signs, serum biochemical data, surgical procedure, duration of hospitalization, complications, and follow-up (≥ 6 months after placement) information. Outcomes were compared between device types. RESULTS Median durations of surgery and hospitalization were significantly longer in the stent versus UB group. Perioperative mortality rate was 18% (5/27) in the stent group and 13% (3/23) in the UB group. Median survival time was shorter in the stent versus UB group. Stent placement was associated with a greater risk of lower urinary tract-related signs, such as hematuria (52% [14/27]) and pollakiuria or stranguria (48% [13/27]). The risk of device occlusion was also greater in the stent (26% [7/27]) versus UB (4% [1/23]) group. The percentage of cats requiring additional procedures to treat complications was greater in the stent (44%; complications included uroabdomen, stent occlusion, and refractory cystitis) versus UB (9%; complications included UB occlusion and urethral obstruction) group. CONCLUSIONS AND CLINICAL RELEVANCE Although the benefits of stent placement in the treatment of ureteral obstruction in cats have been established, results suggested that cats treated with UB devices had a lower risk of complications and a longer survival time than those treated with double-pigtail ureteral stents.</w:t>
      </w:r>
    </w:p>
    <w:p/>
    <w:p>
      <w:pPr>
        <w:pStyle w:val="Normal"/>
      </w:pPr>
      <w:r>
        <w:rPr>
          <w:color w:val="323232"/>
        </w:rPr>
        <w:t xml:space="preserve">J Am Vet Med Assoc, 2017 vol. 251 (4) pp. 429-437.</w:t>
      </w:r>
    </w:p>
    <w:p>
      <w:r>
        <w:rPr>
          <w:rStyle w:val="Hyperlink"/>
        </w:rPr>
        <w:fldChar w:fldCharType="begin"/>
      </w:r>
      <w:r>
        <w:rPr>
          <w:rStyle w:val="Hyperlink"/>
        </w:rPr>
        <w:instrText xml:space="preserve"> HYPERLINK "http://eutils.ncbi.nlm.nih.gov/entrez/eutils/elink.fcgi?dbfrom=pubmed&amp;id=28763282&amp;retmode=ref&amp;cmd=prlinks"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http://eutils.ncbi.nlm.nih.gov/entrez/eutils/elink.fcgi?dbfrom=pubmed&amp;id=28763282&amp;retmode=ref&amp;cmd=prlinks</w:t>
      </w:r>
      <w:r>
        <w:rPr>
          <w:rStyle w:val="Hyperlink"/>
        </w:rPr>
        <w:fldChar w:fldCharType="end"/>
      </w:r>
    </w:p>
    <w:p>
      <w:pPr>
        <w:pStyle w:val="Normal"/>
      </w:pPr>
      <w:r>
        <w:rPr>
          <w:color w:val="323232"/>
        </w:rPr>
        <w:t xml:space="preserve">————————</w:t>
      </w:r>
    </w:p>
    <w:p>
      <w:pPr>
        <w:pStyle w:val="Heading4"/>
      </w:pPr>
      <w:r>
        <w:t xml:space="preserve">Effect of a synthetic feline facial pheromone product on stress scores and incidence of upper respiratory tract infection in shelter cats.</w:t>
      </w:r>
    </w:p>
    <w:p/>
    <w:p>
      <w:pPr>
        <w:pStyle w:val="Normal"/>
      </w:pPr>
      <w:r>
        <w:rPr>
          <w:color w:val="323232"/>
        </w:rPr>
        <w:t xml:space="preserve">Robin M Chadwin, Melissa J Bain, and Philip H Kass.</w:t>
      </w:r>
    </w:p>
    <w:p/>
    <w:p>
      <w:pPr>
        <w:pStyle w:val="Normal"/>
      </w:pPr>
      <w:r>
        <w:rPr>
          <w:color w:val="323232"/>
        </w:rPr>
        <w:t xml:space="preserve">OBJECTIVE To determine whether a synthetic feline facial pheromone product would decrease stress scores and upper respiratory tract infection (URI) incidence in shelter-housed cats. DESIGN Randomized controlled clinical trial. ANIMALS 336 stray, feral, owner-relinquished, or legally impounded cats at 2 animal shelters in northern California. PROCEDURES 5 cat holding rooms (3 at shelter A and 2 at shelter B) were used. A diffuser containing either synthetic pheromone or placebo was randomly assigned to each room, and cats were exposed for a 21-day period. Data collected on each cat included signalment, daily stress scores, and daily URI incidence. After 21 days, diffusers were removed for a 7-day washout period. The type of diffuser in each room was switched, and data were collected for another 21 days. Findings were statistically compared between exposure types and other groupings. RESULTS Cox proportional hazard analysis revealed no significant difference between exposure (pheromone or placebo) and URI incidence. Mixed-effects ordinal logistic regression revealed no significant relationship between exposure and daily stress scores. Three covariates had significant ORs: number of days in holding (OR, 0.80; 95% confidence interval [CI], 0.76 to 0.84), owner-relinquished versus stray (OR, 3.25; 95% CI, 1.18 to 8.94), and feral versus adult cat room at shelter A (OR, 11.10; 95% CI, 4.47 to 27.60). CONCLUSIONS AND CLINICAL RELEVANCE No evidence was found that the evaluated synthetic feline facial pheromone product had any effect on stress scores or URI incidence in shelter-housed cats. Therefore, other established methods for stress and URI reduction should be used in shelter settings.</w:t>
      </w:r>
    </w:p>
    <w:p/>
    <w:p>
      <w:pPr>
        <w:pStyle w:val="Normal"/>
      </w:pPr>
      <w:r>
        <w:rPr>
          <w:color w:val="323232"/>
        </w:rPr>
        <w:t xml:space="preserve">J Am Vet Med Assoc, 2017 vol. 251 (4) pp. 413-420.</w:t>
      </w:r>
    </w:p>
    <w:p>
      <w:r>
        <w:rPr>
          <w:rStyle w:val="Hyperlink"/>
        </w:rPr>
        <w:fldChar w:fldCharType="begin"/>
      </w:r>
      <w:r>
        <w:rPr>
          <w:rStyle w:val="Hyperlink"/>
        </w:rPr>
        <w:instrText xml:space="preserve"> HYPERLINK "http://eutils.ncbi.nlm.nih.gov/entrez/eutils/elink.fcgi?dbfrom=pubmed&amp;id=28763279&amp;retmode=ref&amp;cmd=prlinks"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http://eutils.ncbi.nlm.nih.gov/entrez/eutils/elink.fcgi?dbfrom=pubmed&amp;id=28763279&amp;retmode=ref&amp;cmd=prlinks</w:t>
      </w:r>
      <w:r>
        <w:rPr>
          <w:rStyle w:val="Hyperlink"/>
        </w:rPr>
        <w:fldChar w:fldCharType="end"/>
      </w:r>
    </w:p>
    <w:p>
      <w:pPr>
        <w:pStyle w:val="Normal"/>
      </w:pPr>
      <w:r>
        <w:rPr>
          <w:color w:val="323232"/>
        </w:rPr>
        <w:t xml:space="preserve">————————</w:t>
      </w:r>
    </w:p>
    <w:p>
      <w:pPr>
        <w:pStyle w:val="Heading4"/>
      </w:pPr>
      <w:r>
        <w:t xml:space="preserve">Multicenter evaluation of signalment and comorbid conditions associated with aortic thrombotic disease in dogs.</w:t>
      </w:r>
    </w:p>
    <w:p/>
    <w:p>
      <w:pPr>
        <w:pStyle w:val="Normal"/>
      </w:pPr>
      <w:r>
        <w:rPr>
          <w:color w:val="323232"/>
        </w:rPr>
        <w:t xml:space="preserve">Randolph L Winter and Christine M Budke.</w:t>
      </w:r>
    </w:p>
    <w:p/>
    <w:p>
      <w:pPr>
        <w:pStyle w:val="Normal"/>
      </w:pPr>
      <w:r>
        <w:rPr>
          <w:color w:val="323232"/>
        </w:rPr>
        <w:t xml:space="preserve">OBJECTIVE To assess signalment and concurrent disease processes in dogs with aortic thrombotic disease (ATD). DESIGN Retrospective case-control study. ANIMALS Dogs examined at North American veterinary teaching hospitals from 1985 through 2011 with medical records submitted to the Veterinary Medical Database. PROCEDURES Medical records were reviewed to identify dogs with a diagnosis of ATD (case dogs). Five control dogs without a diagnosis of ATD were then identified for every case dog. Data were collected regarding dog age, sex, breed, body weight, and concurrent disease processes. RESULTS ATD was diagnosed in 291 of the 984,973 (0.03%) dogs included in the database. The odds of a dog having ATD did not differ significantly by sex, age, or body weight. Compared with mixed-breed dogs, Shetland Sheepdogs had a significantly higher odds of ATD (OR, 2.59). Protein-losing nephropathy (64/291 [22%]) was the most commonly recorded concurrent disease in dogs with ATD. CONCLUSIONS AND CLINICAL RELEVANCE Dogs with ATD did not differ significantly from dogs without ATD in most signalment variables. Contrary to previous reports, cardiac disease was not a common concurrent diagnosis in dogs with ATD.</w:t>
      </w:r>
    </w:p>
    <w:p/>
    <w:p>
      <w:pPr>
        <w:pStyle w:val="Normal"/>
      </w:pPr>
      <w:r>
        <w:rPr>
          <w:color w:val="323232"/>
        </w:rPr>
        <w:t xml:space="preserve">J Am Vet Med Assoc, 2017 vol. 251 (4) pp. 438-442.</w:t>
      </w:r>
    </w:p>
    <w:p>
      <w:r>
        <w:rPr>
          <w:rStyle w:val="Hyperlink"/>
        </w:rPr>
        <w:fldChar w:fldCharType="begin"/>
      </w:r>
      <w:r>
        <w:rPr>
          <w:rStyle w:val="Hyperlink"/>
        </w:rPr>
        <w:instrText xml:space="preserve"> HYPERLINK "http://eutils.ncbi.nlm.nih.gov/entrez/eutils/elink.fcgi?dbfrom=pubmed&amp;id=28763280&amp;retmode=ref&amp;cmd=prlinks"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http://eutils.ncbi.nlm.nih.gov/entrez/eutils/elink.fcgi?dbfrom=pubmed&amp;id=28763280&amp;retmode=ref&amp;cmd=prlinks</w:t>
      </w:r>
      <w:r>
        <w:rPr>
          <w:rStyle w:val="Hyperlink"/>
        </w:rPr>
        <w:fldChar w:fldCharType="end"/>
      </w:r>
    </w:p>
    <w:p>
      <w:pPr>
        <w:pStyle w:val="Normal"/>
      </w:pPr>
      <w:r>
        <w:rPr>
          <w:color w:val="323232"/>
        </w:rPr>
        <w:t xml:space="preserve">————————</w:t>
      </w:r>
    </w:p>
    <w:p>
      <w:pPr>
        <w:pStyle w:val="Heading4"/>
      </w:pPr>
      <w:r>
        <w:t xml:space="preserve">Outcome of laparoscopic ovariectomy and laparoscopic-assisted ovariohysterectomy in dogs: 278 cases (2003-2013).</w:t>
      </w:r>
    </w:p>
    <w:p/>
    <w:p>
      <w:pPr>
        <w:pStyle w:val="Normal"/>
      </w:pPr>
      <w:r>
        <w:rPr>
          <w:color w:val="323232"/>
        </w:rPr>
        <w:t xml:space="preserve">Kayla M Corriveau, Michelle A Giuffrida, Philipp D Mayhew, and Jeffrey J Runge.</w:t>
      </w:r>
    </w:p>
    <w:p/>
    <w:p>
      <w:pPr>
        <w:pStyle w:val="Normal"/>
      </w:pPr>
      <w:r>
        <w:rPr>
          <w:color w:val="323232"/>
        </w:rPr>
        <w:t xml:space="preserve">OBJECTIVE To compare outcomes for laparoscopic ovariectomy (LapOVE) and laparoscopic-assisted ovariohysterectomy (LapOVH) in dogs. DESIGN Retrospective case series. ANIMALS 278 female dogs. PROCEDURES Medical records of female dogs that underwent laparoscopic sterilization between 2003 and 2013 were reviewed. History, signalment, results of physical examination, results of preoperative diagnostic testing, details of the surgical procedure, durations of anesthesia and surgery, intraoperative and immediate postoperative (ie, during hospitalization) complications, and short- (≤ 14 days after surgery) and long-term (&gt; 14 days after surgery) outcomes were recorded. Data for patients undergoing LapOVE versus LapOVH were compared. RESULTS Intraoperative and immediate postoperative complications were infrequent, and incidence did not differ between groups. Duration of surgery for LapOVE was significantly less than that for LapOVH; however, potential confounders were not assessed. Surgical site infection was identified in 3 of 224 (1.3%) dogs. At the time of long-term follow-up, postoperative urinary incontinence was reported in 7 of 125 (5.6%) dogs that underwent LapOVE and 12 of 82 (14.6%) dogs that underwent LapOVH. None of the dogs had reportedly developed estrus or pyometra by the time of final follow-up. Overall, 205 of 207 (99%) owners were satisfied with the surgery, and 196 of 207 (95%) would consider laparoscopic sterilization for their dogs in the future. CONCLUSIONS AND CLINICAL RELEVANCE Results suggested that short- and long-term outcomes were similar for female dogs undergoing sterilization by means of LapOVE or LapOVH; however, surgery time may have been shorter for dogs that underwent LapOVE. Most owners were satisfied with the outcome of laparoscopic sterilization.</w:t>
      </w:r>
    </w:p>
    <w:p/>
    <w:p>
      <w:pPr>
        <w:pStyle w:val="Normal"/>
      </w:pPr>
      <w:r>
        <w:rPr>
          <w:color w:val="323232"/>
        </w:rPr>
        <w:t xml:space="preserve">J Am Vet Med Assoc, 2017 vol. 251 (4) pp. 443-450.</w:t>
      </w:r>
    </w:p>
    <w:p>
      <w:r>
        <w:rPr>
          <w:rStyle w:val="Hyperlink"/>
        </w:rPr>
        <w:fldChar w:fldCharType="begin"/>
      </w:r>
      <w:r>
        <w:rPr>
          <w:rStyle w:val="Hyperlink"/>
        </w:rPr>
        <w:instrText xml:space="preserve"> HYPERLINK "http://eutils.ncbi.nlm.nih.gov/entrez/eutils/elink.fcgi?dbfrom=pubmed&amp;id=28763276&amp;retmode=ref&amp;cmd=prlinks"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http://eutils.ncbi.nlm.nih.gov/entrez/eutils/elink.fcgi?dbfrom=pubmed&amp;id=28763276&amp;retmode=ref&amp;cmd=prlinks</w:t>
      </w:r>
      <w:r>
        <w:rPr>
          <w:rStyle w:val="Hyperlink"/>
        </w:rPr>
        <w:fldChar w:fldCharType="end"/>
      </w:r>
    </w:p>
    <w:p>
      <w:pPr>
        <w:pStyle w:val="Normal"/>
      </w:pPr>
      <w:r>
        <w:rPr>
          <w:color w:val="323232"/>
        </w:rPr>
        <w:t xml:space="preserve">————————</w:t>
      </w:r>
    </w:p>
    <w:p>
      <w:pPr>
        <w:pStyle w:val="Heading4"/>
      </w:pPr>
      <w:r>
        <w:t xml:space="preserve">Evaluation of clinical and histologic factors associated with survival time in dogs with stage II splenic hemangiosarcoma treated by splenectomy and adjuvant chemotherapy: 30 cases (2011-2014).</w:t>
      </w:r>
    </w:p>
    <w:p/>
    <w:p>
      <w:pPr>
        <w:pStyle w:val="Normal"/>
      </w:pPr>
      <w:r>
        <w:rPr>
          <w:color w:val="323232"/>
        </w:rPr>
        <w:t xml:space="preserve">Antony S Moore, Kenneth M Rassnick, and Angela E Frimberger.</w:t>
      </w:r>
    </w:p>
    <w:p/>
    <w:p>
      <w:pPr>
        <w:pStyle w:val="Normal"/>
      </w:pPr>
      <w:r>
        <w:rPr>
          <w:color w:val="323232"/>
        </w:rPr>
        <w:t xml:space="preserve">OBJECTIVE To determine histologic and clinical factors associated with survival time in dogs with stage II splenic hemangiosarcoma treated by splenectomy and a chemotherapy protocol in which an anthracycline was alternated with lomustine. DESIGN Retrospective case series. ANIMALS 30 dogs with stage II splenic hemangiosarcoma. PROCEDURES Medical records of 3 facilities were reviewed to identify dogs treated for stage II splenic hemangiosarcoma between June 2011 and October 2014. Information collected included signalment, disease staging data, whether anemia was present, date of splenectomy, chemotherapy protocol, adverse effects, and date of death or last follow-up. Histologic slides were reviewed and scored by pathologists. Associations between variables of interest and survival data were evaluated statistically. RESULTS Median survival time for all dogs was 158 days (range, 55 to 560 days), and the 1-year survival rate was 16%. On multivariate analysis, only the histologically determined mitotic score was significantly associated with survival time. The median survival time of 292 days for dogs with a mitotic score of 0 (&lt; 11 mitoses/10 hpf; n = 9) was significantly longer than that for dogs with higher scores (indicating higher mitotic rates); the 1-year survival rate for these dogs was 42%. CONCLUSIONS AND CLINICAL RELEVANCE Results suggested that future studies should take histologic factors, particularly mitotic rate, as well as tumor stage into account when assessing treatment effects on survival time of dogs with splenic hemangiosarcoma.</w:t>
      </w:r>
    </w:p>
    <w:p/>
    <w:p>
      <w:pPr>
        <w:pStyle w:val="Normal"/>
      </w:pPr>
      <w:r>
        <w:rPr>
          <w:color w:val="323232"/>
        </w:rPr>
        <w:t xml:space="preserve">J Am Vet Med Assoc, 2017 vol. 251 (5) pp. 559-565.</w:t>
      </w:r>
    </w:p>
    <w:p>
      <w:r>
        <w:rPr>
          <w:rStyle w:val="Hyperlink"/>
        </w:rPr>
        <w:fldChar w:fldCharType="begin"/>
      </w:r>
      <w:r>
        <w:rPr>
          <w:rStyle w:val="Hyperlink"/>
        </w:rPr>
        <w:instrText xml:space="preserve"> HYPERLINK "http://eutils.ncbi.nlm.nih.gov/entrez/eutils/elink.fcgi?dbfrom=pubmed&amp;id=28828962&amp;retmode=ref&amp;cmd=prlinks"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http://eutils.ncbi.nlm.nih.gov/entrez/eutils/elink.fcgi?dbfrom=pubmed&amp;id=28828962&amp;retmode=ref&amp;cmd=prlinks</w:t>
      </w:r>
      <w:r>
        <w:rPr>
          <w:rStyle w:val="Hyperlink"/>
        </w:rPr>
        <w:fldChar w:fldCharType="end"/>
      </w:r>
    </w:p>
    <w:p>
      <w:pPr>
        <w:pStyle w:val="Normal"/>
      </w:pPr>
      <w:r>
        <w:rPr>
          <w:color w:val="323232"/>
        </w:rPr>
        <w:t xml:space="preserve">————————</w:t>
      </w:r>
    </w:p>
    <w:p>
      <w:pPr>
        <w:pStyle w:val="Heading4"/>
      </w:pPr>
      <w:r>
        <w:t xml:space="preserve">Evaluation of interobserver agreement for postoperative pain and sedation assessment in cats.</w:t>
      </w:r>
    </w:p>
    <w:p/>
    <w:p>
      <w:pPr>
        <w:pStyle w:val="Normal"/>
      </w:pPr>
      <w:r>
        <w:rPr>
          <w:color w:val="323232"/>
        </w:rPr>
        <w:t xml:space="preserve">Javier Benito, Beatriz P Monteiro, Guy Beauchamp, B Duncan X Lascelles, and Paulo V Steagall.</w:t>
      </w:r>
    </w:p>
    <w:p/>
    <w:p>
      <w:pPr>
        <w:pStyle w:val="Normal"/>
      </w:pPr>
      <w:r>
        <w:rPr>
          <w:color w:val="323232"/>
        </w:rPr>
        <w:t xml:space="preserve">OBJECTIVE To evaluate agreement between observers with different training and experience for assessment of postoperative pain and sedation in cats by use of a dynamic and interactive visual analog scale (DIVAS) and for assessment of postoperative pain in the same cats with a multidimensional composite pain scale (MCPS). DESIGN Randomized, controlled, blinded study. ANIMALS 45 adult cats undergoing ovariohysterectomy. PROCEDURES Cats received 1 of 3 preoperative treatments: bupivacaine, IP; meloxicam, SC with saline (0.9% NaCl) solution, IP, (positive control); or saline solution only, IP (negative control). All cats received premedication with buprenorphine prior to general anesthesia. An experienced observer (observer 1; male; native language, Spanish) used scales in English, and an inexperienced observer (observer 2; female; native language, French) used scales in French to assess signs of sedation and pain. Rescue analgesia was administered according to MCPS scoring by observer 1. Mean pain and sedation scores per treatment and time point, proportions of cats in each group with MCPS scores necessitating rescue analgesia, and mean MCPS scores assigned at the time of rescue analgesia were compared between observers. Agreement was assessed by intraclass correlation coefficient determination. Percentage disagreement between observers on the need for rescue analgesia was calculated. RESULTS Interobserver agreements for pain scores were good, and that for sedation scores was fair. On the basis of observer 1's MCPS scores, a greater proportion of cats in the negative control group received rescue analgesia than in the bupivacaine or positive control groups. Scores from observer 2 indicated a greater proportion of cats in the negative control group than in the positive control group required rescue analgesia but identified no significant difference between the negative control and bupivacaine groups for this variable. Overall, disagreement regarding need for rescue analgesia was identified for 22 of 360 (6.1%) paired observations. CONCLUSIONS AND CLINICAL RELEVANCE Interobserver differences in assessing pain can lead to different conclusions regarding treatment effectiveness.</w:t>
      </w:r>
    </w:p>
    <w:p/>
    <w:p>
      <w:pPr>
        <w:pStyle w:val="Normal"/>
      </w:pPr>
      <w:r>
        <w:rPr>
          <w:color w:val="323232"/>
        </w:rPr>
        <w:t xml:space="preserve">J Am Vet Med Assoc, 2017 vol. 251 (5) pp. 544-551.</w:t>
      </w:r>
    </w:p>
    <w:p>
      <w:r>
        <w:rPr>
          <w:rStyle w:val="Hyperlink"/>
        </w:rPr>
        <w:fldChar w:fldCharType="begin"/>
      </w:r>
      <w:r>
        <w:rPr>
          <w:rStyle w:val="Hyperlink"/>
        </w:rPr>
        <w:instrText xml:space="preserve"> HYPERLINK "http://eutils.ncbi.nlm.nih.gov/entrez/eutils/elink.fcgi?dbfrom=pubmed&amp;id=28828950&amp;retmode=ref&amp;cmd=prlinks"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http://eutils.ncbi.nlm.nih.gov/entrez/eutils/elink.fcgi?dbfrom=pubmed&amp;id=28828950&amp;retmode=ref&amp;cmd=prlinks</w:t>
      </w:r>
      <w:r>
        <w:rPr>
          <w:rStyle w:val="Hyperlink"/>
        </w:rPr>
        <w:fldChar w:fldCharType="end"/>
      </w:r>
    </w:p>
    <w:p>
      <w:pPr>
        <w:pStyle w:val="Normal"/>
      </w:pPr>
      <w:r>
        <w:rPr>
          <w:color w:val="323232"/>
        </w:rPr>
        <w:t xml:space="preserve">————————</w:t>
      </w:r>
    </w:p>
    <w:p>
      <w:pPr>
        <w:pStyle w:val="Heading4"/>
      </w:pPr>
      <w:r>
        <w:t xml:space="preserve">Comparison of clinical findings between dogs with suspected anaphylaxis and dogs with confirmed sepsis.</w:t>
      </w:r>
    </w:p>
    <w:p/>
    <w:p>
      <w:pPr>
        <w:pStyle w:val="Normal"/>
      </w:pPr>
      <w:r>
        <w:rPr>
          <w:color w:val="323232"/>
        </w:rPr>
        <w:t xml:space="preserve">Andrea M Walters, Mauria A O'Brien, Laura E Selmic, and Maureen A McMichael.</w:t>
      </w:r>
    </w:p>
    <w:p/>
    <w:p>
      <w:pPr>
        <w:pStyle w:val="Normal"/>
      </w:pPr>
      <w:r>
        <w:rPr>
          <w:color w:val="323232"/>
        </w:rPr>
        <w:t xml:space="preserve">OBJECTIVE To compare clinical signs, laboratory test results, and imaging findings between dogs with suspected anaphylaxis and dogs with sepsis. DESIGN Retrospective case-case study. ANIMALS 10 dogs with suspected anaphylaxis and 22 dogs with confirmed sepsis that met the criteria for systemic inflammatory response syndrome. PROCEDURES Medical records for dogs in each group were reviewed and data extracted regarding signalment; reason for hospital admission; physical examination findings; results of CBC, serum biochemical analysis, coagulation testing, cytologic examination, and microbial culture; and imaging reports. RESULTS All dogs in the anaphylaxis group fulfilled the criteria for systemic inflammatory response syndrome. Dogs in both groups had gastrointestinal signs, lethargy, mentation change, and bleeding abnormalities. Dogs with suspected anaphylaxis had a significantly higher eosinophil count and serum alanine aminotransferase activity and lower blood pH than dogs with sepsis. Dogs with sepsis had a significantly higher band neutrophil count, serum globulins concentration, and serum alkaline phosphatase activity and lower serum glucose concentration. Dogs in both groups had intracavitary free fluid and ultrasonographic findings of thickened intestines, gas or fluid-filled intestines, and a thickened gallbladder wall. CONCLUSIONS AND CLINICAL RELEVANCE Clinical signs, laboratory values, and imaging findings may be similar in dogs with sepsis or anaphylaxis. Given the marked difference in prognosis and treatment, early differentiation is important. Anaphylaxis should be considered if a septic nidus cannot be identified, and supportive care should be considered for such patients.</w:t>
      </w:r>
    </w:p>
    <w:p/>
    <w:p>
      <w:pPr>
        <w:pStyle w:val="Normal"/>
      </w:pPr>
      <w:r>
        <w:rPr>
          <w:color w:val="323232"/>
        </w:rPr>
        <w:t xml:space="preserve">J Am Vet Med Assoc, 2017 vol. 251 (6) pp. 681-688.</w:t>
      </w:r>
    </w:p>
    <w:p>
      <w:r>
        <w:rPr>
          <w:rStyle w:val="Hyperlink"/>
        </w:rPr>
        <w:fldChar w:fldCharType="begin"/>
      </w:r>
      <w:r>
        <w:rPr>
          <w:rStyle w:val="Hyperlink"/>
        </w:rPr>
        <w:instrText xml:space="preserve"> HYPERLINK "http://eutils.ncbi.nlm.nih.gov/entrez/eutils/elink.fcgi?dbfrom=pubmed&amp;id=28857707&amp;retmode=ref&amp;cmd=prlinks"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http://eutils.ncbi.nlm.nih.gov/entrez/eutils/elink.fcgi?dbfrom=pubmed&amp;id=28857707&amp;retmode=ref&amp;cmd=prlinks</w:t>
      </w:r>
      <w:r>
        <w:rPr>
          <w:rStyle w:val="Hyperlink"/>
        </w:rPr>
        <w:fldChar w:fldCharType="end"/>
      </w:r>
    </w:p>
    <w:p>
      <w:pPr>
        <w:pStyle w:val="Normal"/>
      </w:pPr>
      <w:r>
        <w:rPr>
          <w:color w:val="323232"/>
        </w:rPr>
        <w:t xml:space="preserve">————————</w:t>
      </w:r>
    </w:p>
    <w:p>
      <w:pPr>
        <w:pStyle w:val="Heading4"/>
      </w:pPr>
      <w:r>
        <w:t xml:space="preserve">Isoniazid toxicosis in dogs: 137 cases (2004-2014).</w:t>
      </w:r>
    </w:p>
    <w:p/>
    <w:p>
      <w:pPr>
        <w:pStyle w:val="Normal"/>
      </w:pPr>
      <w:r>
        <w:rPr>
          <w:color w:val="323232"/>
        </w:rPr>
        <w:t xml:space="preserve">Dustin R Schmid, Justine A Lee, Tina A Wismer, Pedro Paulo V P Diniz, and Robert J Murtaugh.</w:t>
      </w:r>
    </w:p>
    <w:p/>
    <w:p>
      <w:pPr>
        <w:pStyle w:val="Normal"/>
      </w:pPr>
      <w:r>
        <w:rPr>
          <w:color w:val="323232"/>
        </w:rPr>
        <w:t xml:space="preserve">OBJECTIVE To establish the minimum toxic dose of isoniazid in dogs, characterize the clinical signs and outcomes for dogs following isoniazid ingestion, and determine whether IV administration of pyridoxine to dogs with isoniazid toxicosis is protective against death. DESIGN Retrospective case series. ANIMALS 137 dogs with isoniazid toxicosis. PROCEDURES The electronic database of the American Society for the Prevention of Cruelty to Animals Animal Poison Control Center was reviewed from January 2004 through December 2014 to identify dogs with isoniazid toxicosis. For each dog identified, information extracted from the medical record included signalment, estimated dose of isoniazid ingested, clinical signs, treatment, and outcome. Follow-up communication with pet owners or primary care veterinarians was performed when necessary to obtain missing information. RESULTS Clinical signs of isoniazid toxicosis were observed in 134 of 137 (98%) dogs and included seizures (n = 104), CNS signs without seizures (94), and gastrointestinal (41), cardiovascular (19), urogenital (4), and respiratory (1) abnormalities. Of the 87 dogs for which the outcome was available, 61 survived, 18 died, and 8 were euthanized. Probability of survival was positively associated with body weight and IV administration of pyridoxine and negatively associated with dose of isoniazid ingested and presence of seizures. Dogs that received pyridoxine IV were 29 times as likely to survive as dogs that did not receive pyridoxine IV. CONCLUSIONS AND CLINICAL RELEVANCE Results indicated rapid diagnosis of isoniazid toxicosis and prompt treatment of affected dogs with pyridoxine and other supportive care were imperative for achieving a successful outcome.</w:t>
      </w:r>
    </w:p>
    <w:p/>
    <w:p>
      <w:pPr>
        <w:pStyle w:val="Normal"/>
      </w:pPr>
      <w:r>
        <w:rPr>
          <w:color w:val="323232"/>
        </w:rPr>
        <w:t xml:space="preserve">J Am Vet Med Assoc, 2017 vol. 251 (6) pp. 689-695.</w:t>
      </w:r>
    </w:p>
    <w:p>
      <w:r>
        <w:rPr>
          <w:rStyle w:val="Hyperlink"/>
        </w:rPr>
        <w:fldChar w:fldCharType="begin"/>
      </w:r>
      <w:r>
        <w:rPr>
          <w:rStyle w:val="Hyperlink"/>
        </w:rPr>
        <w:instrText xml:space="preserve"> HYPERLINK "http://eutils.ncbi.nlm.nih.gov/entrez/eutils/elink.fcgi?dbfrom=pubmed&amp;id=28857697&amp;retmode=ref&amp;cmd=prlinks"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http://eutils.ncbi.nlm.nih.gov/entrez/eutils/elink.fcgi?dbfrom=pubmed&amp;id=28857697&amp;retmode=ref&amp;cmd=prlinks</w:t>
      </w:r>
      <w:r>
        <w:rPr>
          <w:rStyle w:val="Hyperlink"/>
        </w:rPr>
        <w:fldChar w:fldCharType="end"/>
      </w:r>
    </w:p>
    <w:p>
      <w:pPr>
        <w:pStyle w:val="Normal"/>
      </w:pPr>
      <w:r>
        <w:rPr>
          <w:color w:val="323232"/>
        </w:rPr>
        <w:t xml:space="preserve">————————</w:t>
      </w:r>
    </w:p>
    <w:p>
      <w:pPr>
        <w:pStyle w:val="Heading4"/>
      </w:pPr>
      <w:r>
        <w:t xml:space="preserve">Antihistaminic and cardiorespiratory effects of diphenhydramine hydrochloride in anesthetized dogs undergoing excision of mast cell tumors.</w:t>
      </w:r>
    </w:p>
    <w:p/>
    <w:p>
      <w:pPr>
        <w:pStyle w:val="Normal"/>
      </w:pPr>
      <w:r>
        <w:rPr>
          <w:color w:val="323232"/>
        </w:rPr>
        <w:t xml:space="preserve">Andrea Sanchez, Alexander Valverde, Melissa Sinclair, Cornelia Mosley, Ameet Singh, Anthony J Mutsaers, Brad Hanna, Ron Johnson, Yu Gu, and Michelle Beaudoin-Kimble.</w:t>
      </w:r>
    </w:p>
    <w:p/>
    <w:p>
      <w:pPr>
        <w:pStyle w:val="Normal"/>
      </w:pPr>
      <w:r>
        <w:rPr>
          <w:color w:val="323232"/>
        </w:rPr>
        <w:t xml:space="preserve">OBJECTIVE To evaluate the effects of IV diphenhydramine hydrochloride administration on cardiorespiratory variables in anesthetized dogs undergoing mast cell tumor (MCT) excision. DESIGN Randomized, blinded clinical trial. ANIMALS 16 client-owned dogs with MCTs. PROCEDURES In a standardized isoflurane anesthesia session that included mechanical ventilation, dogs received diphenhydramine hydrochloride (1 mg</w:t>
      </w:r>
      <w:r>
        <w:rPr>
          <w:i w:val="1"/>
          <w:color w:val="323232"/>
        </w:rPr>
        <w:t xml:space="preserve">kg [0.45 mg</w:t>
      </w:r>
      <w:r>
        <w:rPr>
          <w:color w:val="323232"/>
        </w:rPr>
        <w:t xml:space="preserve">lb], IV; n = 8) or an equivalent volume of saline (0.9% NaCl) solution (IV; control treatment; 8) 10 minutes after induction. Cardiorespiratory variables were recorded throughout anesthesia and MCT excision, and blood samples for determination of plasma diphenhydramine and histamine concentrations were collected prior to premedication (baseline), throughout anesthesia, and 2 hours after extubation. RESULTS Cardiorespiratory values in both treatment groups were acceptable for anesthetized dogs. Mean ± SD diastolic arterial blood pressure was significantly lower in the diphenhydramine versus control group during tumor dissection (52 ± 10 mm Hg vs 62 ± 9 mm Hg) and surgical closure (51 ± 10 mm Hg vs 65 ± 9 mm Hg). Mean arterial blood pressure was significantly lower in the diphenhydramine versus control group during surgical closure (65 ± 12 mm Hg vs 78 ± 11 mm Hg), despite a higher cardiac index value. Plasma histamine concentrations were nonsignificantly higher than baseline during maximal manipulation of the tumor and surgical preparation in the diphenhydramine group and during surgical dissection in the control group. CONCLUSIONS AND CLINICAL RELEVANCE IV administration of diphenhydramine prior to MCT excision had no clear clinical cardiorespiratory benefits over placebo in isoflurane-anesthetized dogs.</w:t>
      </w:r>
    </w:p>
    <w:p/>
    <w:p>
      <w:pPr>
        <w:pStyle w:val="Normal"/>
      </w:pPr>
      <w:r>
        <w:rPr>
          <w:color w:val="323232"/>
        </w:rPr>
        <w:t xml:space="preserve">J Am Vet Med Assoc, 2017 vol. 251 (7) pp. 804-813.</w:t>
      </w:r>
    </w:p>
    <w:p>
      <w:r>
        <w:rPr>
          <w:rStyle w:val="Hyperlink"/>
        </w:rPr>
        <w:fldChar w:fldCharType="begin"/>
      </w:r>
      <w:r>
        <w:rPr>
          <w:rStyle w:val="Hyperlink"/>
        </w:rPr>
        <w:instrText xml:space="preserve"> HYPERLINK "http://eutils.ncbi.nlm.nih.gov/entrez/eutils/elink.fcgi?dbfrom=pubmed&amp;id=28967819&amp;retmode=ref&amp;cmd=prlinks"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http://eutils.ncbi.nlm.nih.gov/entrez/eutils/elink.fcgi?dbfrom=pubmed&amp;id=28967819&amp;retmode=ref&amp;cmd=prlinks</w:t>
      </w:r>
      <w:r>
        <w:rPr>
          <w:rStyle w:val="Hyperlink"/>
        </w:rPr>
        <w:fldChar w:fldCharType="end"/>
      </w:r>
    </w:p>
    <w:p>
      <w:pPr>
        <w:pStyle w:val="Normal"/>
      </w:pPr>
      <w:r>
        <w:rPr>
          <w:color w:val="323232"/>
        </w:rPr>
        <w:t xml:space="preserve">————————</w:t>
      </w:r>
    </w:p>
    <w:p>
      <w:pPr>
        <w:pStyle w:val="Heading4"/>
      </w:pPr>
      <w:r>
        <w:t xml:space="preserve">Clinical performance of a commercial point-of-care urine culture system for identification of bacteriuria in dogs.</w:t>
      </w:r>
    </w:p>
    <w:p/>
    <w:p>
      <w:pPr>
        <w:pStyle w:val="Normal"/>
      </w:pPr>
      <w:r>
        <w:rPr>
          <w:color w:val="323232"/>
        </w:rPr>
        <w:t xml:space="preserve">Anna Uhl, Faye A Hartmann, and Katrina R Viviano.</w:t>
      </w:r>
    </w:p>
    <w:p/>
    <w:p>
      <w:pPr>
        <w:pStyle w:val="Normal"/>
      </w:pPr>
      <w:r>
        <w:rPr>
          <w:color w:val="323232"/>
        </w:rPr>
        <w:t xml:space="preserve">OBJECTIVE To evaluate the clinical performance of a commercially available compartmentalized urine culture and antimicrobial susceptibility test plate (CCSP) for identification of canine bacteriuria and assessment of isolate antimicrobial susceptibility. DESIGN Cross-sectional study. ANIMALS 71 dogs. PROCEDURES Urine samples (n = 84) were divided into 3 aliquots. One aliquot (reference culture) was plated on culture medium ≤ 1 hour after collection for quantitative culture and testing by standard laboratory methods, another was stored at 4°C for 24 hours (to mimic storage practices at primary care facilities) and then processed by standard methods, and the third was applied to a CCSP ≤ 1 hour after collection to be processed and interpreted according to manufacturer instructions. Results were compared with those for reference culture, which was used as the criterion reference standard. Sensitivity, specificity, positive and negative predictive values, and agreement between methods was evaluated. RESULTS 43 isolates (25 single and 9 multiple isolates) were identified in 34 reference cultures. All results for stored cultures were identical to those for reference cultures. Overall sensitivity of the CCSP method to detect bacteriuria was 93%, and specificity was 100%. Thirty-three of 43 (77%) and 19 of 33 (58%) CCSP bacterial isolates were correctly identified to the genus and species level, respectively. The CCSP antimicrobial susceptibility results matched those for reference cultures for 13 of 33 (39%) isolates evaluated. CONCLUSIONS AND CLINICAL RELEVANCE Limitations of the CCSP method included inaccuracy of some antimicrobial susceptibility test results and failure to correctly identify bacteriuria in some dogs.</w:t>
      </w:r>
    </w:p>
    <w:p/>
    <w:p>
      <w:pPr>
        <w:pStyle w:val="Normal"/>
      </w:pPr>
      <w:r>
        <w:rPr>
          <w:color w:val="323232"/>
        </w:rPr>
        <w:t xml:space="preserve">J Am Vet Med Assoc, 2017 vol. 251 (8) pp. 922-928.</w:t>
      </w:r>
    </w:p>
    <w:p>
      <w:r>
        <w:rPr>
          <w:rStyle w:val="Hyperlink"/>
        </w:rPr>
        <w:fldChar w:fldCharType="begin"/>
      </w:r>
      <w:r>
        <w:rPr>
          <w:rStyle w:val="Hyperlink"/>
        </w:rPr>
        <w:instrText xml:space="preserve"> HYPERLINK "http://eutils.ncbi.nlm.nih.gov/entrez/eutils/elink.fcgi?dbfrom=pubmed&amp;id=28959929&amp;retmode=ref&amp;cmd=prlinks"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http://eutils.ncbi.nlm.nih.gov/entrez/eutils/elink.fcgi?dbfrom=pubmed&amp;id=28959929&amp;retmode=ref&amp;cmd=prlinks</w:t>
      </w:r>
      <w:r>
        <w:rPr>
          <w:rStyle w:val="Hyperlink"/>
        </w:rPr>
        <w:fldChar w:fldCharType="end"/>
      </w:r>
    </w:p>
    <w:p>
      <w:pPr>
        <w:pStyle w:val="Normal"/>
      </w:pPr>
      <w:r>
        <w:rPr>
          <w:color w:val="323232"/>
        </w:rPr>
        <w:t xml:space="preserve">————————</w:t>
      </w:r>
    </w:p>
    <w:p>
      <w:pPr>
        <w:pStyle w:val="Heading4"/>
      </w:pPr>
      <w:r>
        <w:t xml:space="preserve">Incidence of blood transfusion requirement and factors associated with transfusion following liver lobectomy in dogs and cats: 72 cases (2007-2015).</w:t>
      </w:r>
    </w:p>
    <w:p/>
    <w:p>
      <w:pPr>
        <w:pStyle w:val="Normal"/>
      </w:pPr>
      <w:r>
        <w:rPr>
          <w:color w:val="323232"/>
        </w:rPr>
        <w:t xml:space="preserve">Kayla R Hanson, Armi M Pigott, and Andrew K J Linklater.</w:t>
      </w:r>
    </w:p>
    <w:p/>
    <w:p>
      <w:pPr>
        <w:pStyle w:val="Normal"/>
      </w:pPr>
      <w:r>
        <w:rPr>
          <w:color w:val="323232"/>
        </w:rPr>
        <w:t xml:space="preserve">OBJECTIVE To determine the incidence of blood transfusion, mortality rate, and factors associated with transfusion in dogs and cats undergoing liver lobectomy. DESIGN Retrospective case series. ANIMALS 63 client-owned dogs and 9-client owned cats that underwent liver lobectomy at a specialty veterinary practice from August 2007 through June 2015. PROCEDURES Medical records were reviewed and data extracted regarding dog and cat signalment, hematologic test results before and after surgery, surgical method, number and identity of lobes removed, concurrent surgical procedures, hemoabdomen detected during surgery, incidence of blood transfusion, and survival to hospital discharge (for calculation of mortality rate). Variables were compared between patients that did and did not require transfusion. RESULTS 11 of 63 (17%) dogs and 4 of 9 cats required a blood transfusion. Mortality rate was 8% for dogs and 22% for cats. Pre- and postoperative PCV and plasma total solids concentration were significantly lower and mortality rate significantly higher in dogs requiring transfusion than in dogs not requiring transfusion. Postoperative PCV was significantly lower in cats requiring transfusion than in cats not requiring transfusion. No significant differences in any other variable were identified between dogs and cats requiring versus not requiring transfusion. CONCLUSIONS AND CLINICAL RELEVANCE Dogs and cats undergoing liver lobectomy had a high requirement for blood transfusion, and a higher requirement for transfusion should be anticipated in dogs with perioperative anemia and cats with postoperative anemia. Veterinarians performing liver lobectomies in dogs and cats should have blood products readily available.</w:t>
      </w:r>
    </w:p>
    <w:p/>
    <w:p>
      <w:pPr>
        <w:pStyle w:val="Normal"/>
      </w:pPr>
      <w:r>
        <w:rPr>
          <w:color w:val="323232"/>
        </w:rPr>
        <w:t xml:space="preserve">J Am Vet Med Assoc, 2017 vol. 251 (8) pp. 929-934.</w:t>
      </w:r>
    </w:p>
    <w:p>
      <w:r>
        <w:rPr>
          <w:rStyle w:val="Hyperlink"/>
        </w:rPr>
        <w:fldChar w:fldCharType="begin"/>
      </w:r>
      <w:r>
        <w:rPr>
          <w:rStyle w:val="Hyperlink"/>
        </w:rPr>
        <w:instrText xml:space="preserve"> HYPERLINK "http://eutils.ncbi.nlm.nih.gov/entrez/eutils/elink.fcgi?dbfrom=pubmed&amp;id=28959923&amp;retmode=ref&amp;cmd=prlinks"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http://eutils.ncbi.nlm.nih.gov/entrez/eutils/elink.fcgi?dbfrom=pubmed&amp;id=28959923&amp;retmode=ref&amp;cmd=prlinks</w:t>
      </w:r>
      <w:r>
        <w:rPr>
          <w:rStyle w:val="Hyperlink"/>
        </w:rPr>
        <w:fldChar w:fldCharType="end"/>
      </w:r>
    </w:p>
    <w:p>
      <w:pPr>
        <w:pStyle w:val="Normal"/>
      </w:pPr>
      <w:r>
        <w:rPr>
          <w:color w:val="323232"/>
        </w:rPr>
        <w:t xml:space="preserve">————————</w:t>
      </w:r>
    </w:p>
    <w:p>
      <w:pPr>
        <w:pStyle w:val="Heading4"/>
      </w:pPr>
      <w:r>
        <w:t xml:space="preserve">Use of poliglecaprone 25 for perineal urethrostomy in cats: 61 cases (2007-2013).</w:t>
      </w:r>
    </w:p>
    <w:p/>
    <w:p>
      <w:pPr>
        <w:pStyle w:val="Normal"/>
      </w:pPr>
      <w:r>
        <w:rPr>
          <w:color w:val="323232"/>
        </w:rPr>
        <w:t xml:space="preserve">Daniel L Frem, Heidi A Hottinger, Suzanne L Hunter, and Nicholas J Trout.</w:t>
      </w:r>
    </w:p>
    <w:p/>
    <w:p>
      <w:pPr>
        <w:pStyle w:val="Normal"/>
      </w:pPr>
      <w:r>
        <w:rPr>
          <w:color w:val="323232"/>
        </w:rPr>
        <w:t xml:space="preserve">OBJECTIVE To determine frequency of postoperative complications in cats undergoing perineal urethrostomy (PU) in which poliglecaprone 25 was used for closure and identify possible predisposing factors for development of complications. DESIGN Retrospective case series. ANIMALS 61 cats that underwent PU. PROCEDURES Medical records for cats that underwent PU at Gulf Coast Veterinary Specialists between 2007 and 2012 were reviewed. Information regarding signalment, perioperative conditions, surgical procedures, treatments, and postoperative complications were obtained from medical records and by telephone follow-up. RESULTS 11 of 61 (18%) cats developed minor short-term (ie, ≤ 2 months after surgery) complications, 1 of 61 (1.6%) cats developed a major short-term complication requiring surgical revision, and 16 of 38 (42%) cats developed minor long-term complications. No major long-term complications were identified. Preoperative urinary tract infection was significantly associated with development of minor short-term complications, but use of an indwelling urinary catheter after surgery was not significantly associated with development of postoperative complications. CONCLUSIONS AND CLINICAL RELEVANCE Results suggested that poliglecaprone 25 may be an acceptable suture for apposition of mucosa to skin in cats undergoing PU. Short- and long-term complication rates and percentage of cats requiring revision surgery were comparable to values reported in previous studies in which slowly absorbable or nonabsorbable sutures were used.</w:t>
      </w:r>
    </w:p>
    <w:p/>
    <w:p>
      <w:pPr>
        <w:pStyle w:val="Normal"/>
      </w:pPr>
      <w:r>
        <w:rPr>
          <w:color w:val="323232"/>
        </w:rPr>
        <w:t xml:space="preserve">J Am Vet Med Assoc, 2017 vol. 251 (8) pp. 935-940.</w:t>
      </w:r>
    </w:p>
    <w:p>
      <w:r>
        <w:rPr>
          <w:rStyle w:val="Hyperlink"/>
        </w:rPr>
        <w:fldChar w:fldCharType="begin"/>
      </w:r>
      <w:r>
        <w:rPr>
          <w:rStyle w:val="Hyperlink"/>
        </w:rPr>
        <w:instrText xml:space="preserve"> HYPERLINK "http://eutils.ncbi.nlm.nih.gov/entrez/eutils/elink.fcgi?dbfrom=pubmed&amp;id=28959931&amp;retmode=ref&amp;cmd=prlinks"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http://eutils.ncbi.nlm.nih.gov/entrez/eutils/elink.fcgi?dbfrom=pubmed&amp;id=28959931&amp;retmode=ref&amp;cmd=prlinks</w:t>
      </w:r>
      <w:r>
        <w:rPr>
          <w:rStyle w:val="Hyperlink"/>
        </w:rPr>
        <w:fldChar w:fldCharType="end"/>
      </w:r>
    </w:p>
    <w:p>
      <w:pPr>
        <w:pStyle w:val="Normal"/>
      </w:pPr>
      <w:r>
        <w:rPr>
          <w:color w:val="323232"/>
        </w:rPr>
        <w:t xml:space="preserve">————————</w:t>
      </w:r>
    </w:p>
    <w:p>
      <w:pPr>
        <w:pStyle w:val="Heading4"/>
      </w:pPr>
      <w:r>
        <w:t xml:space="preserve">Clinical, laboratory, and hemostatic findings in cats with naturally occurring sepsis.</w:t>
      </w:r>
    </w:p>
    <w:p/>
    <w:p>
      <w:pPr>
        <w:pStyle w:val="Normal"/>
      </w:pPr>
      <w:r>
        <w:rPr>
          <w:color w:val="323232"/>
        </w:rPr>
        <w:t xml:space="preserve">Sigal Klainbart, Limor Agi, Tali Bdolah-Abram, Efrat Kelmer, and Itamar Aroch.</w:t>
      </w:r>
    </w:p>
    <w:p/>
    <w:p>
      <w:pPr>
        <w:pStyle w:val="Normal"/>
      </w:pPr>
      <w:r>
        <w:rPr>
          <w:color w:val="323232"/>
        </w:rPr>
        <w:t xml:space="preserve">OBJECTIVE To characterize clinical and laboratory findings in cats with naturally occurring sepsis, emphasizing hemostasis-related findings, and evaluate these variables for associations with patient outcomes. DESIGN Prospective, observational, clinical study. ANIMALS 31 cats with sepsis and 33 healthy control cats. PROCEDURES Data collected included history; clinical signs; results of hematologic, serum biochemical, and hemostatic tests; diagnosis; and outcome (survival vs death during hospitalization or ≤ 30 days after hospital discharge). Differences between cats with and without sepsis and associations between variables of interest and death were analyzed statistically. RESULTS The sepsis group included cats with pyothorax (n = 10), septic peritonitis (7), panleukopenia virus infection (5), bite wounds (5), abscesses and diffuse cellulitis (3), and pyometra (1). Common clinical abnormalities included dehydration (21 cats), lethargy (21), anorexia (18), pale mucous membranes (15), and dullness (15). Numerous clinicopathologic abnormalities were identified in cats with sepsis; novel findings included metarubricytosis, hypertriglyceridemia, and high circulating muscle enzyme activities. Median activated partial thromboplastin time and plasma D-dimer concentrations were significantly higher, and total protein C and antithrombin activities were significantly lower, in the sepsis group than in healthy control cats. Disseminated intravascular coagulopathy was uncommon (4/22 [18%] cats with sepsis). None of the clinicopathologic abnormalities were significantly associated with death on multivariate analysis. CONCLUSIONS AND CLINICAL RELEVANCE Cats with sepsis had multiple hematologic, biochemical, and hemostatic abnormalities on hospital admission, including several findings suggestive of hemostatic derangement. Additional research including larger numbers of cats is needed to further investigate these findings and explore associations with outcome.</w:t>
      </w:r>
    </w:p>
    <w:p/>
    <w:p>
      <w:pPr>
        <w:pStyle w:val="Normal"/>
      </w:pPr>
      <w:r>
        <w:rPr>
          <w:color w:val="323232"/>
        </w:rPr>
        <w:t xml:space="preserve">J Am Vet Med Assoc, 2017 vol. 251 (9) pp. 1025-1034.</w:t>
      </w:r>
    </w:p>
    <w:p>
      <w:r>
        <w:rPr>
          <w:rStyle w:val="Hyperlink"/>
        </w:rPr>
        <w:fldChar w:fldCharType="begin"/>
      </w:r>
      <w:r>
        <w:rPr>
          <w:rStyle w:val="Hyperlink"/>
        </w:rPr>
        <w:instrText xml:space="preserve"> HYPERLINK "http://eutils.ncbi.nlm.nih.gov/entrez/eutils/elink.fcgi?dbfrom=pubmed&amp;id=29035656&amp;retmode=ref&amp;cmd=prlinks"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http://eutils.ncbi.nlm.nih.gov/entrez/eutils/elink.fcgi?dbfrom=pubmed&amp;id=29035656&amp;retmode=ref&amp;cmd=prlinks</w:t>
      </w:r>
      <w:r>
        <w:rPr>
          <w:rStyle w:val="Hyperlink"/>
        </w:rPr>
        <w:fldChar w:fldCharType="end"/>
      </w:r>
    </w:p>
    <w:p>
      <w:pPr>
        <w:pStyle w:val="Normal"/>
      </w:pPr>
      <w:r>
        <w:rPr>
          <w:color w:val="323232"/>
        </w:rPr>
        <w:t xml:space="preserve">————————</w:t>
      </w:r>
    </w:p>
    <w:p>
      <w:pPr>
        <w:pStyle w:val="Heading4"/>
      </w:pPr>
      <w:r>
        <w:t xml:space="preserve">Evaluation of mortality rate and predictors of outcome in dogs receiving outpatient treatment for parvoviral enteritis.</w:t>
      </w:r>
    </w:p>
    <w:p/>
    <w:p>
      <w:pPr>
        <w:pStyle w:val="Normal"/>
      </w:pPr>
      <w:r>
        <w:rPr>
          <w:color w:val="323232"/>
        </w:rPr>
        <w:t xml:space="preserve">Kathryn J Sarpong, Jennifer M Lukowski, and Cassandra G Knapp.</w:t>
      </w:r>
    </w:p>
    <w:p/>
    <w:p>
      <w:pPr>
        <w:pStyle w:val="Normal"/>
      </w:pPr>
      <w:r>
        <w:rPr>
          <w:color w:val="323232"/>
        </w:rPr>
        <w:t xml:space="preserve">OBJECTIVE To determine mortality rates and prognostic factors for dogs with parvoviral enteritis receiving outpatient treatment. DESIGN Retrospective case series and case-control study. ANIMALS 130 client-owned dogs with a diagnosis of parvoviral enteritis between August 1, 2012, and January 31, 2015, that were treated with outpatient care. PROCEDURES Medical records were reviewed and data extracted regarding dog age, body weight, breed, and vaccination history; treatments administered; and short-term (≥ 3 day) outcome (determined via telephone call with owner). Treatments were administered according to clinician preference. Mortality rates were calculated overall and for various signalment and treatment groupings and compared. RESULTS 97 (75%) dogs survived and 33 (25%) dogs failed to survive for ≥ 3 days after initial diagnosis of parvoviral enteritis. Compared with distributions in the general hospital population, Chihuahuas, German Shepherd Dogs, pit bull-type dogs, and males were overrepresented. No significant difference was identified between survivors and nonsurvivors regarding age, body weight, or sex. Dogs prescribed a caloric supplement fed every 2 to 4 hours had a mortality rate of 19% (16/85). Most of these dogs had also received fluids administered SC, an antiemetic, and antimicrobials. CONCLUSIONS AND CLINICAL RELEVANCE Clinicians should note the 25% mortality rate of the dogs with parvoviral enteritis that received outpatient care in this study setting when discussing treatment options with owners of affected dogs who are financially unable to pursue hospitalization.</w:t>
      </w:r>
    </w:p>
    <w:p/>
    <w:p>
      <w:pPr>
        <w:pStyle w:val="Normal"/>
      </w:pPr>
      <w:r>
        <w:rPr>
          <w:color w:val="323232"/>
        </w:rPr>
        <w:t xml:space="preserve">J Am Vet Med Assoc, 2017 vol. 251 (9) pp. 1035-1041.</w:t>
      </w:r>
    </w:p>
    <w:p>
      <w:r>
        <w:rPr>
          <w:rStyle w:val="Hyperlink"/>
        </w:rPr>
        <w:fldChar w:fldCharType="begin"/>
      </w:r>
      <w:r>
        <w:rPr>
          <w:rStyle w:val="Hyperlink"/>
        </w:rPr>
        <w:instrText xml:space="preserve"> HYPERLINK "http://eutils.ncbi.nlm.nih.gov/entrez/eutils/elink.fcgi?dbfrom=pubmed&amp;id=29035657&amp;retmode=ref&amp;cmd=prlinks"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http://eutils.ncbi.nlm.nih.gov/entrez/eutils/elink.fcgi?dbfrom=pubmed&amp;id=29035657&amp;retmode=ref&amp;cmd=prlinks</w:t>
      </w:r>
      <w:r>
        <w:rPr>
          <w:rStyle w:val="Hyperlink"/>
        </w:rPr>
        <w:fldChar w:fldCharType="end"/>
      </w:r>
    </w:p>
    <w:p>
      <w:pPr>
        <w:pStyle w:val="Normal"/>
      </w:pPr>
      <w:r>
        <w:rPr>
          <w:color w:val="323232"/>
        </w:rPr>
        <w:t xml:space="preserve">————————</w:t>
      </w:r>
    </w:p>
    <w:p>
      <w:pPr>
        <w:pStyle w:val="Heading4"/>
      </w:pPr>
      <w:r>
        <w:t xml:space="preserve">Outcome of laparoscopic ovariohysterectomy or ovariectomy in dogs with von Willebrand disease or factor VII deficiency: 20 cases (2012-2014).</w:t>
      </w:r>
    </w:p>
    <w:p/>
    <w:p>
      <w:pPr>
        <w:pStyle w:val="Normal"/>
      </w:pPr>
      <w:r>
        <w:rPr>
          <w:color w:val="323232"/>
        </w:rPr>
        <w:t xml:space="preserve">Thomas P Keeshen, J Brad Case, Jeffrey J Runge, Ameet Singh, Philipp D Mayhew, Michele A Steffey, and William T N Culp.</w:t>
      </w:r>
    </w:p>
    <w:p/>
    <w:p>
      <w:pPr>
        <w:pStyle w:val="Normal"/>
      </w:pPr>
      <w:r>
        <w:rPr>
          <w:color w:val="323232"/>
        </w:rPr>
        <w:t xml:space="preserve">OBJECTIVE To describe surgical techniques and perioperative management of dogs with von Willebrand disease (VWD) or factor VII (FVII) deficiency undergoing laparoscopic ovariohysterectomy or ovariectomy and evaluate outcomes. DESIGN Retrospective case series. ANIMALS 20 client-owned dogs with VWD (n = 16) or FVII deficiency (4). PROCEDURES Dogs with VWD or FVII deficiency that underwent laparoscopic ovariohysterectomy or ovariectomy between 2012 and 2014 were retrospectively identified via a multi-institutional review of medical records. RESULTS Median expression of von Willebrand factor was 19% (interquartile range, 18% to 30%). All 16 dogs with VWD were Doberman Pinschers, and all were pretreated with desmopressin; 4 also received cryoprecipitate. One of 4 dogs with FVII deficiency received plasma preoperatively, and 1 was treated with desmopressin; 2 dogs received no preoperative treatment. Laparoscopic ovariectomy was performed in 9 dogs with VWD and 2 dogs with FVII deficiency, laparoscopic ovariectomy with gastropexy was performed in 6 dogs with VWD and 1 dog with FVII deficiency, and laparoscopic-assisted ovariohysterectomy was performed in 1 dog with VWD and 1 dog with FVII deficiency. Iatrogenic splenic laceration requiring conversion to laparotomy occurred during trocar insertion in 1 dog with VWD. No postoperative complications, including signs of hemorrhage, were reported for any dogs. CONCLUSIONS AND CLINICAL RELEVANCE Laparoscopic ovariohysterectomy or ovariectomy in dogs with VWD or FVII deficiency pretreated with desmopressin, cryoprecipitate, or plasma transfusions were not associated with clinical signs of hemorrhage, suggesting that minimally invasive ovariohysterectomy or ovariectomy may be considered in female dogs affected with these coagulopathies.</w:t>
      </w:r>
    </w:p>
    <w:p/>
    <w:p>
      <w:pPr>
        <w:pStyle w:val="Normal"/>
      </w:pPr>
      <w:r>
        <w:rPr>
          <w:color w:val="323232"/>
        </w:rPr>
        <w:t xml:space="preserve">J Am Vet Med Assoc, 2017 vol. 251 (9) pp. 1053-1058.</w:t>
      </w:r>
    </w:p>
    <w:p>
      <w:r>
        <w:rPr>
          <w:rStyle w:val="Hyperlink"/>
        </w:rPr>
        <w:fldChar w:fldCharType="begin"/>
      </w:r>
      <w:r>
        <w:rPr>
          <w:rStyle w:val="Hyperlink"/>
        </w:rPr>
        <w:instrText xml:space="preserve"> HYPERLINK "http://eutils.ncbi.nlm.nih.gov/entrez/eutils/elink.fcgi?dbfrom=pubmed&amp;id=29035661&amp;retmode=ref&amp;cmd=prlinks"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http://eutils.ncbi.nlm.nih.gov/entrez/eutils/elink.fcgi?dbfrom=pubmed&amp;id=29035661&amp;retmode=ref&amp;cmd=prlinks</w:t>
      </w:r>
      <w:r>
        <w:rPr>
          <w:rStyle w:val="Hyperlink"/>
        </w:rPr>
        <w:fldChar w:fldCharType="end"/>
      </w:r>
    </w:p>
    <w:p>
      <w:pPr>
        <w:pStyle w:val="Normal"/>
      </w:pPr>
      <w:r>
        <w:rPr>
          <w:color w:val="323232"/>
        </w:rPr>
        <w:t xml:space="preserve">————————</w:t>
      </w:r>
    </w:p>
    <w:p>
      <w:pPr>
        <w:pStyle w:val="Heading4"/>
      </w:pPr>
      <w:r>
        <w:t xml:space="preserve">Effect of blood collection by the push-pull technique from an indwelling catheter versus direct venipuncture on venous blood gas values before and after administration of alfaxalone or propofol in dogs.</w:t>
      </w:r>
    </w:p>
    <w:p/>
    <w:p>
      <w:pPr>
        <w:pStyle w:val="Normal"/>
      </w:pPr>
      <w:r>
        <w:rPr>
          <w:color w:val="323232"/>
        </w:rPr>
        <w:t xml:space="preserve">Ciara A Barr, Giacomo Gianotti, Carly E Graffeo, Kenneth J Drobatz, and Deborah C Silverstein.</w:t>
      </w:r>
    </w:p>
    <w:p/>
    <w:p>
      <w:pPr>
        <w:pStyle w:val="Normal"/>
      </w:pPr>
      <w:r>
        <w:rPr>
          <w:color w:val="323232"/>
        </w:rPr>
        <w:t xml:space="preserve">OBJECTIVE To compare the effect of blood collection by a push-pull technique from an indwelling IV catheter versus direct venipuncture on venous blood gas values before and after administration of alfaxalone or propofol to dogs. DESIGN Prospective randomized clinical study. ANIMALS 30 healthy client-owned dogs that weighed ≥ 10 kg (22 lb) and were anesthetized for elective surgical procedures. PROCEDURES All dogs were premedicated with methadone (0.5 mg/ kg [0.2 mg/ lb], IM), and 20 to 30 minutes later, anesthesia was induced with either alfaxalone (1 to 3 mg/ kg [0.5 to 1.4 mg/ lb], IV to effect; n = 15) or propofol (2 to 6 mg/ kg [0.9 to 2.7 mg/ lb], IV to effect; 15). Immediately prior to premedication and after anesthesia induction, paired blood samples were collected from the cephalic veins; 1 by direct venipuncture and 1 by use of a push-pull technique from a 20-gauge catheter. All blood samples underwent venous blood gas analysis immediately after collection. Results were compared between sample collection techniques before and after anesthesia induction and between anesthesia induction protocols. RESULTS All results were within established reference ranges. For many variables, statistically significant but clinically irrelevant differences were detected between samples collected by direct venipuncture and those collected by the push-pull technique but not between the 2 anesthesia induction protocols. CONCLUSIONS AND CLINICAL RELEVANCE Results indicated the push-pull technique was an acceptable method for collection of blood samples from dogs for venous blood gas analysis that could be used instead of direct venipuncture for patients with patent IV catheters.</w:t>
      </w:r>
    </w:p>
    <w:p/>
    <w:p>
      <w:pPr>
        <w:pStyle w:val="Normal"/>
      </w:pPr>
      <w:r>
        <w:rPr>
          <w:color w:val="323232"/>
        </w:rPr>
        <w:t xml:space="preserve">J Am Vet Med Assoc, 2017 vol. 251 (10) pp. 1166-1174.</w:t>
      </w:r>
    </w:p>
    <w:p>
      <w:r>
        <w:rPr>
          <w:rStyle w:val="Hyperlink"/>
        </w:rPr>
        <w:fldChar w:fldCharType="begin"/>
      </w:r>
      <w:r>
        <w:rPr>
          <w:rStyle w:val="Hyperlink"/>
        </w:rPr>
        <w:instrText xml:space="preserve"> HYPERLINK "http://eutils.ncbi.nlm.nih.gov/entrez/eutils/elink.fcgi?dbfrom=pubmed&amp;id=29099261&amp;retmode=ref&amp;cmd=prlinks"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http://eutils.ncbi.nlm.nih.gov/entrez/eutils/elink.fcgi?dbfrom=pubmed&amp;id=29099261&amp;retmode=ref&amp;cmd=prlinks</w:t>
      </w:r>
      <w:r>
        <w:rPr>
          <w:rStyle w:val="Hyperlink"/>
        </w:rPr>
        <w:fldChar w:fldCharType="end"/>
      </w:r>
    </w:p>
    <w:p>
      <w:pPr>
        <w:pStyle w:val="Normal"/>
      </w:pPr>
      <w:r>
        <w:rPr>
          <w:color w:val="323232"/>
        </w:rPr>
        <w:t xml:space="preserve">————————</w:t>
      </w:r>
    </w:p>
    <w:p>
      <w:pPr>
        <w:pStyle w:val="Heading4"/>
      </w:pPr>
      <w:r>
        <w:t xml:space="preserve">Effect of brachycephaly and body condition score on respiratory thermoregulation of healthy dogs.</w:t>
      </w:r>
    </w:p>
    <w:p/>
    <w:p>
      <w:pPr>
        <w:pStyle w:val="Normal"/>
      </w:pPr>
      <w:r>
        <w:rPr>
          <w:color w:val="323232"/>
        </w:rPr>
        <w:t xml:space="preserve">Michael S Davis, Sabrina L Cummings, and Mark E Payton.</w:t>
      </w:r>
    </w:p>
    <w:p/>
    <w:p>
      <w:pPr>
        <w:pStyle w:val="Normal"/>
      </w:pPr>
      <w:r>
        <w:rPr>
          <w:color w:val="323232"/>
        </w:rPr>
        <w:t xml:space="preserve">OBJECTIVE To evaluate the effect of brachycephaly and body condition score on respiratory thermoregulation of healthy dogs. DESIGN Prospective study. ANIMALS 52 brachycephalic and 53 nonbrachycephalic dogs. PROCEDURES All dogs were exposed to a cool treatment (temperature, 21.8 ± 1.7°C [71.2 ± 3.1°F]; relative humidity, 62.2 ± 9.7%; and ambient enthalpy, 47.7 ± 6.6 kcal</w:t>
      </w:r>
      <w:r>
        <w:rPr>
          <w:i w:val="1"/>
          <w:color w:val="323232"/>
        </w:rPr>
        <w:t xml:space="preserve">kg) and then a hot treatment (temperature, 32.9 ± 1.7°C [91.2 ± 3.1°F]; relative humidity, 51.9 ± 9.8%; and ambient enthalpy, 74.8 ± 8.7 kcal</w:t>
      </w:r>
      <w:r>
        <w:rPr>
          <w:color w:val="323232"/>
        </w:rPr>
        <w:t xml:space="preserve">kg; heat stress) at least 1 hour later. For each treatment, dogs were allowed to acclimatize to the environment for 15 minutes and then were placed in a sealed whole-body plethysmograph for continuous measurement of the respiratory pattern for 10 minutes. Treatment was discontinued if a dog developed signs of respiratory distress. Respiratory variables and body temperature were compared between the 2 breed types (brachycephalic and nonbrachycephalic) and between treatments. RESULTS Body condition score was positively associated with body temperature independent of environmental conditions or breed type and negatively associated with tidal volume. Brachycephalic dogs had a greater increase in respiratory rate in response to heat stress than did nonbrachycephalic dogs. CONCLUSIONS AND CLINICAL RELEVANCE Results indicated that brachycephalic dogs had decreased capacity for thermoregulation, compared with nonbrachycephalic dogs, but body condition score was a greater determinant of body temperature than breed type. Nevertheless, both upper airway conformation and body condition score should be considered when evaluating whether an individual dog is capable of tolerating heat stress.</w:t>
      </w:r>
    </w:p>
    <w:p/>
    <w:p>
      <w:pPr>
        <w:pStyle w:val="Normal"/>
      </w:pPr>
      <w:r>
        <w:rPr>
          <w:color w:val="323232"/>
        </w:rPr>
        <w:t xml:space="preserve">J Am Vet Med Assoc, 2017 vol. 251 (10) pp. 1160-1165.</w:t>
      </w:r>
    </w:p>
    <w:p>
      <w:r>
        <w:rPr>
          <w:rStyle w:val="Hyperlink"/>
        </w:rPr>
        <w:fldChar w:fldCharType="begin"/>
      </w:r>
      <w:r>
        <w:rPr>
          <w:rStyle w:val="Hyperlink"/>
        </w:rPr>
        <w:instrText xml:space="preserve"> HYPERLINK "http://eutils.ncbi.nlm.nih.gov/entrez/eutils/elink.fcgi?dbfrom=pubmed&amp;id=29099251&amp;retmode=ref&amp;cmd=prlinks"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http://eutils.ncbi.nlm.nih.gov/entrez/eutils/elink.fcgi?dbfrom=pubmed&amp;id=29099251&amp;retmode=ref&amp;cmd=prlinks</w:t>
      </w:r>
      <w:r>
        <w:rPr>
          <w:rStyle w:val="Hyperlink"/>
        </w:rPr>
        <w:fldChar w:fldCharType="end"/>
      </w:r>
    </w:p>
    <w:p>
      <w:pPr>
        <w:pStyle w:val="Normal"/>
      </w:pPr>
      <w:r>
        <w:rPr>
          <w:color w:val="323232"/>
        </w:rPr>
        <w:t xml:space="preserve">————————</w:t>
      </w:r>
    </w:p>
    <w:p>
      <w:pPr>
        <w:pStyle w:val="Heading4"/>
      </w:pPr>
      <w:r>
        <w:t xml:space="preserve">Effects of a single preappointment dose of gabapentin on signs of stress in cats during transportation and veterinary examination.</w:t>
      </w:r>
    </w:p>
    <w:p/>
    <w:p>
      <w:pPr>
        <w:pStyle w:val="Normal"/>
      </w:pPr>
      <w:r>
        <w:rPr>
          <w:color w:val="323232"/>
        </w:rPr>
        <w:t xml:space="preserve">Karen A van Haaften, Lauren R Eichstadt Forsythe, Elizabeth A Stelow, and Melissa J Bain.</w:t>
      </w:r>
    </w:p>
    <w:p/>
    <w:p>
      <w:pPr>
        <w:pStyle w:val="Normal"/>
      </w:pPr>
      <w:r>
        <w:rPr>
          <w:color w:val="323232"/>
        </w:rPr>
        <w:t xml:space="preserve">OBJECTIVE To determine the effects of oral gabapentin administration prior to veterinary examination on signs of stress in cats. DESIGN Randomized, blinded, crossover clinical trial. ANIMALS 20 healthy pet cats with a history of fractious behavior or signs of stress during veterinary examination. PROCEDURES Cats were scheduled for 2 veterinary visits 1 week apart and randomly assigned to receive a capsule containing 100 mg of gabapentin (13.0 to 29.4 mg</w:t>
      </w:r>
      <w:r>
        <w:rPr>
          <w:i w:val="1"/>
          <w:color w:val="323232"/>
        </w:rPr>
        <w:t xml:space="preserve">kg [5.9 to 13.4 mg</w:t>
      </w:r>
      <w:r>
        <w:rPr>
          <w:color w:val="323232"/>
        </w:rPr>
        <w:t xml:space="preserve">lb]) or placebo (lactose powder) prior to the first visit and the opposite treatment prior to the second visit. Owners were instructed to administer the assigned capsule orally 90 minutes prior to placing the cat into a carrier and transporting it to the veterinary hospital. Standardized physical examinations and blood pressure readings were performed. Owners assigned a cat stress score during transportation and examination, and the veterinarian assigned a compliance score at the visit. Scores were compared between treatments, controlling for various factors. RESULTS Owner-assessed cat stress scores during transportation and veterinary examination and veterinarian-assessed compliance scores were significantly lower when cats received gabapentin than when they received the placebo. Sedation was a common effect of gabapentin administration, and ataxia, hypersalivation, and vomiting were also reported. All effects resolved within 8 hours after gabapentin administration. CONCLUSIONS AND CLINICAL RELEVANCE Owners' perception of stress in their cats is a primary reason for failing to seek veterinary care. Results of this study suggested that gabapentin is a safe and effective treatment for cats to help reduce stress and aggression and increase compliance for transportation and veterinary examination.</w:t>
      </w:r>
    </w:p>
    <w:p/>
    <w:p>
      <w:pPr>
        <w:pStyle w:val="Normal"/>
      </w:pPr>
      <w:r>
        <w:rPr>
          <w:color w:val="323232"/>
        </w:rPr>
        <w:t xml:space="preserve">J Am Vet Med Assoc, 2017 vol. 251 (10) pp. 1175-1181.</w:t>
      </w:r>
    </w:p>
    <w:p>
      <w:r>
        <w:rPr>
          <w:rStyle w:val="Hyperlink"/>
        </w:rPr>
        <w:fldChar w:fldCharType="begin"/>
      </w:r>
      <w:r>
        <w:rPr>
          <w:rStyle w:val="Hyperlink"/>
        </w:rPr>
        <w:instrText xml:space="preserve"> HYPERLINK "http://eutils.ncbi.nlm.nih.gov/entrez/eutils/elink.fcgi?dbfrom=pubmed&amp;id=29099247&amp;retmode=ref&amp;cmd=prlinks"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http://eutils.ncbi.nlm.nih.gov/entrez/eutils/elink.fcgi?dbfrom=pubmed&amp;id=29099247&amp;retmode=ref&amp;cmd=prlinks</w:t>
      </w:r>
      <w:r>
        <w:rPr>
          <w:rStyle w:val="Hyperlink"/>
        </w:rPr>
        <w:fldChar w:fldCharType="end"/>
      </w:r>
    </w:p>
    <w:p>
      <w:pPr>
        <w:pStyle w:val="Normal"/>
      </w:pPr>
      <w:r>
        <w:rPr>
          <w:color w:val="323232"/>
        </w:rPr>
        <w:t xml:space="preserve">————————</w:t>
      </w:r>
    </w:p>
    <w:p>
      <w:pPr>
        <w:pStyle w:val="Heading4"/>
      </w:pPr>
      <w:r>
        <w:t xml:space="preserve">Prognosis for dogs with stage III osteosarcoma following treatment with amputation and chemotherapy with and without metastasectomy.</w:t>
      </w:r>
    </w:p>
    <w:p/>
    <w:p>
      <w:pPr>
        <w:pStyle w:val="Normal"/>
      </w:pPr>
      <w:r>
        <w:rPr>
          <w:color w:val="323232"/>
        </w:rPr>
        <w:t xml:space="preserve">Hailey Turner, Bernard Séguin, Deanna R Worley, Nicole P Ehrhart, Mary H Lafferty, Stephen J Withrow, and Laura E Selmic.</w:t>
      </w:r>
    </w:p>
    <w:p/>
    <w:p>
      <w:pPr>
        <w:pStyle w:val="Normal"/>
      </w:pPr>
      <w:r>
        <w:rPr>
          <w:color w:val="323232"/>
        </w:rPr>
        <w:t xml:space="preserve">OBJECTIVE To determine survival times of selected dogs with metastatic (stage III) osteosarcoma, whether disease-free interval (DFI) was associated with survival time after diagnosis of stage III disease (ie, stage III survival time), and whether a survival benefit of metastasectomy existed. DESIGN Retrospective case series with nested cohort study. ANIMALS 194 client-owned dogs treated for histologically confirmed appendicular osteosarcoma from 1997 through 2009. PROCEDURES Dogs were included if they had stage I or II osteosarcoma at the time of initial evaluation, had amputation of the affected appendage and ≥ 1 dose of chemotherapy afterward, and developed metastasis within the follow-up period or prior to death. Data collected from the medical records included signalment, primary tumor location, clinical and laboratory findings, whether metastasectomy was performed, and outcome. Various factors were examined for associations with outcome. RESULTS Dogs that received no treatment for the metastasis had a median survival time between 49 and 57 days after diagnosis of stage III osteosarcoma. Duration of the preceding DFI had no association with this period. Metastasectomy alone was associated with a longer median stage III survival time (232 days) than no metastasectomy (49 days). Among all dogs identified as qualifying for pulmonary metastasectomy on the basis of &lt; 3 pulmonary nodules visible on thoracic radiographs and a DFI &gt; 275 days (n = 21), a survival advantage was also identified for those that actually received pulmonary metastasectomy (6). CONCLUSIONS AND CLINICAL RELEVANCE Preceding DFI had no influence on survival time of dogs with stage III osteosarcoma. Metastasectomy was associated with an increase in survival time for selected dogs.</w:t>
      </w:r>
    </w:p>
    <w:p/>
    <w:p>
      <w:pPr>
        <w:pStyle w:val="Normal"/>
      </w:pPr>
      <w:r>
        <w:rPr>
          <w:color w:val="323232"/>
        </w:rPr>
        <w:t xml:space="preserve">J Am Vet Med Assoc, 2017 vol. 251 (11) pp. 1293-1305.</w:t>
      </w:r>
    </w:p>
    <w:p>
      <w:r>
        <w:rPr>
          <w:rStyle w:val="Hyperlink"/>
        </w:rPr>
        <w:fldChar w:fldCharType="begin"/>
      </w:r>
      <w:r>
        <w:rPr>
          <w:rStyle w:val="Hyperlink"/>
        </w:rPr>
        <w:instrText xml:space="preserve"> HYPERLINK "http://eutils.ncbi.nlm.nih.gov/entrez/eutils/elink.fcgi?dbfrom=pubmed&amp;id=29154712&amp;retmode=ref&amp;cmd=prlinks"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http://eutils.ncbi.nlm.nih.gov/entrez/eutils/elink.fcgi?dbfrom=pubmed&amp;id=29154712&amp;retmode=ref&amp;cmd=prlinks</w:t>
      </w:r>
      <w:r>
        <w:rPr>
          <w:rStyle w:val="Hyperlink"/>
        </w:rPr>
        <w:fldChar w:fldCharType="end"/>
      </w:r>
    </w:p>
    <w:p>
      <w:pPr>
        <w:pStyle w:val="Normal"/>
      </w:pPr>
      <w:r>
        <w:rPr>
          <w:color w:val="323232"/>
        </w:rPr>
        <w:t xml:space="preserve">————————</w:t>
      </w:r>
    </w:p>
    <w:p>
      <w:pPr>
        <w:pStyle w:val="Heading4"/>
      </w:pPr>
      <w:r>
        <w:t xml:space="preserve">Systemic manifestations of Cuterebra infection in dogs and cats: 42 cases (2000-2014).</w:t>
      </w:r>
    </w:p>
    <w:p/>
    <w:p>
      <w:pPr>
        <w:pStyle w:val="Normal"/>
      </w:pPr>
      <w:r>
        <w:rPr>
          <w:color w:val="323232"/>
        </w:rPr>
        <w:t xml:space="preserve">Bronwyn E Rutland, Kevin M Byl, Helle B Hydeskov, Brianna Miniter, and Cheri A Johnson.</w:t>
      </w:r>
    </w:p>
    <w:p/>
    <w:p>
      <w:pPr>
        <w:pStyle w:val="Normal"/>
      </w:pPr>
      <w:r>
        <w:rPr>
          <w:color w:val="323232"/>
        </w:rPr>
        <w:t xml:space="preserve">OBJECTIVE To document clinical signs in cats and dogs with Cuterebra infection, determine the outcome of infected animals, and determine whether Yorkshire Terriers were more commonly affected than other breeds of dogs. DESIGN Retrospective case series. ANIMALS 22 cats and 20 dogs with Cuterebra infection. PROCEDURES Medical records of dogs and cats with Cuterebra infection were reviewed for signalment, history, clinical and laboratory findings, treatment, duration of hospitalization, and outcome. RESULTS Most (16/20 [80%]) of the dogs weighed ≤ 4.5 kg (10 lb), and Yorkshire Terriers were overrepresented (8/20 [40%]), compared with dogs of other breeds. Ten (50%) dogs and 3 (14%) cats had systemic inflammatory response syndrome at the time of initial evaluation, and 8 (40%) dogs but none of the cats had disseminated intravascular coagulation. The overall mortality rate was 17% (7/42), but was higher for dogs (6/20 [30%]) than cats (1/22 [4.5%]). All 6 dogs that died weighed ≤ 4.5 kg and had systemic inflammatory response syndrome, disseminated intravascular coagulation, or both. CONCLUSIONS AND CLINICAL RELEVANCE Results indicated that Cuterebra infection can cause severe systemic illness in small-breed dogs. Yorkshire Terriers were more commonly affected than were dogs of other breeds and, subjectively at least, appeared to be more likely to develop severe systemic illness.</w:t>
      </w:r>
    </w:p>
    <w:p/>
    <w:p>
      <w:pPr>
        <w:pStyle w:val="Normal"/>
      </w:pPr>
      <w:r>
        <w:rPr>
          <w:color w:val="323232"/>
        </w:rPr>
        <w:t xml:space="preserve">J Am Vet Med Assoc, 2017 vol. 251 (12) pp. 1432-1438.</w:t>
      </w:r>
    </w:p>
    <w:p>
      <w:r>
        <w:rPr>
          <w:rStyle w:val="Hyperlink"/>
        </w:rPr>
        <w:fldChar w:fldCharType="begin"/>
      </w:r>
      <w:r>
        <w:rPr>
          <w:rStyle w:val="Hyperlink"/>
        </w:rPr>
        <w:instrText xml:space="preserve"> HYPERLINK "http://eutils.ncbi.nlm.nih.gov/entrez/eutils/elink.fcgi?dbfrom=pubmed&amp;id=29190191&amp;retmode=ref&amp;cmd=prlinks"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http://eutils.ncbi.nlm.nih.gov/entrez/eutils/elink.fcgi?dbfrom=pubmed&amp;id=29190191&amp;retmode=ref&amp;cmd=prlinks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