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Journal of Veterinary Internal Medicine 2019</w:t>
      </w:r>
    </w:p>
    <w:p>
      <w:pPr>
        <w:pStyle w:val="Heading2"/>
      </w:pPr>
      <w:r>
        <w:t xml:space="preserve">JVIM 2019; Vol 33; Issue 1-6</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A pilot study investigating circulating trimethylamine N-oxide and its precursors in dogs with degenerative mitral valve disease with or without congestive heart failure.</w:t>
      </w:r>
    </w:p>
    <w:p/>
    <w:p>
      <w:pPr>
        <w:pStyle w:val="Normal"/>
      </w:pPr>
      <w:r>
        <w:rPr>
          <w:color w:val="323232"/>
        </w:rPr>
        <w:t xml:space="preserve">Emily T Karlin, John E Rush, and Lisa M Freeman.</w:t>
      </w:r>
    </w:p>
    <w:p/>
    <w:p>
      <w:pPr>
        <w:pStyle w:val="Normal"/>
      </w:pPr>
      <w:r>
        <w:rPr>
          <w:color w:val="323232"/>
        </w:rPr>
        <w:t xml:space="preserve">BACKGROUND:Pathophysiologic mechanisms for the development and progression of degenerative mitral valve disease (DMVD) remain elusive. Increased concentrations of circulating trimethylamine N-oxide (TMAO) and its precursors choline and l-carnitine are associated with the presence and severity of heart disease in people.</w:t>
      </w:r>
    </w:p>
    <w:p/>
    <w:p>
      <w:pPr>
        <w:pStyle w:val="Normal"/>
      </w:pPr>
      <w:r>
        <w:rPr>
          <w:color w:val="323232"/>
        </w:rPr>
        <w:t xml:space="preserve">OBJECTIVES:To determine if differences exist in plasma concentrations of TMAO, choline, or l-carnitine among dogs with DMVD and congestive heart failure (CHF), dogs with asymptomatic DMVD, and healthy control dogs.</w:t>
      </w:r>
    </w:p>
    <w:p/>
    <w:p>
      <w:pPr>
        <w:pStyle w:val="Normal"/>
      </w:pPr>
      <w:r>
        <w:rPr>
          <w:color w:val="323232"/>
        </w:rPr>
        <w:t xml:space="preserve">ANIMALS:Thirty client-owned dogs: 10 dogs with CHF secondary to DMVD, 10 dogs with asymptomatic DMVD, and 10 healthy control dogs.</w:t>
      </w:r>
    </w:p>
    <w:p/>
    <w:p>
      <w:pPr>
        <w:pStyle w:val="Normal"/>
      </w:pPr>
      <w:r>
        <w:rPr>
          <w:color w:val="323232"/>
        </w:rPr>
        <w:t xml:space="preserve">METHODS:A pilot cross-sectional study in which echocardiography was performed and fasting plasma concentrations of TMAO, choline, and l-carnitine (total and fractions) were measured.</w:t>
      </w:r>
    </w:p>
    <w:p/>
    <w:p>
      <w:pPr>
        <w:pStyle w:val="Normal"/>
      </w:pPr>
      <w:r>
        <w:rPr>
          <w:color w:val="323232"/>
        </w:rPr>
        <w:t xml:space="preserve">RESULTS:TMAO (P</w:t>
      </w:r>
      <w:r>
        <w:rPr>
          <w:color w:val="323232"/>
        </w:rPr>
        <w:t xml:space="preserve"> </w:t>
      </w:r>
      <w:r>
        <w:rPr>
          <w:color w:val="323232"/>
        </w:rPr>
        <w:t xml:space="preserve">=</w:t>
      </w:r>
      <w:r>
        <w:rPr>
          <w:color w:val="323232"/>
        </w:rPr>
        <w:t xml:space="preserve"> </w:t>
      </w:r>
      <w:r>
        <w:rPr>
          <w:color w:val="323232"/>
        </w:rPr>
        <w:t xml:space="preserve">.03), total l-carnitine (P</w:t>
      </w:r>
      <w:r>
        <w:rPr>
          <w:color w:val="323232"/>
        </w:rPr>
        <w:t xml:space="preserve"> </w:t>
      </w:r>
      <w:r>
        <w:rPr>
          <w:color w:val="323232"/>
        </w:rPr>
        <w:t xml:space="preserve">=</w:t>
      </w:r>
      <w:r>
        <w:rPr>
          <w:color w:val="323232"/>
        </w:rPr>
        <w:t xml:space="preserve"> </w:t>
      </w:r>
      <w:r>
        <w:rPr>
          <w:color w:val="323232"/>
        </w:rPr>
        <w:t xml:space="preserve">.03), carnitine esters (P</w:t>
      </w:r>
      <w:r>
        <w:rPr>
          <w:color w:val="323232"/>
        </w:rPr>
        <w:t xml:space="preserve"> </w:t>
      </w:r>
      <w:r>
        <w:rPr>
          <w:color w:val="323232"/>
        </w:rPr>
        <w:t xml:space="preserve">=</w:t>
      </w:r>
      <w:r>
        <w:rPr>
          <w:color w:val="323232"/>
        </w:rPr>
        <w:t xml:space="preserve"> </w:t>
      </w:r>
      <w:r>
        <w:rPr>
          <w:color w:val="323232"/>
        </w:rPr>
        <w:t xml:space="preserve">.05), and carnitine esters to free carnitine ratio (E/ F ratio; P</w:t>
      </w:r>
      <w:r>
        <w:rPr>
          <w:color w:val="323232"/>
        </w:rPr>
        <w:t xml:space="preserve"> </w:t>
      </w:r>
      <w:r>
        <w:rPr>
          <w:color w:val="323232"/>
        </w:rPr>
        <w:t xml:space="preserve">=</w:t>
      </w:r>
      <w:r>
        <w:rPr>
          <w:color w:val="323232"/>
        </w:rPr>
        <w:t xml:space="preserve"> </w:t>
      </w:r>
      <w:r>
        <w:rPr>
          <w:color w:val="323232"/>
        </w:rPr>
        <w:t xml:space="preserve">.05) were significantly higher in dogs with CHF compared to those with asymptomatic DMVD. TMAO (P</w:t>
      </w:r>
      <w:r>
        <w:rPr>
          <w:color w:val="323232"/>
        </w:rPr>
        <w:t xml:space="preserve"> </w:t>
      </w:r>
      <w:r>
        <w:rPr>
          <w:color w:val="323232"/>
        </w:rPr>
        <w:t xml:space="preserve">=</w:t>
      </w:r>
      <w:r>
        <w:rPr>
          <w:color w:val="323232"/>
        </w:rPr>
        <w:t xml:space="preserve"> </w:t>
      </w:r>
      <w:r>
        <w:rPr>
          <w:color w:val="323232"/>
        </w:rPr>
        <w:t xml:space="preserve">.02), choline (P</w:t>
      </w:r>
      <w:r>
        <w:rPr>
          <w:color w:val="323232"/>
        </w:rPr>
        <w:t xml:space="preserve"> </w:t>
      </w:r>
      <w:r>
        <w:rPr>
          <w:color w:val="323232"/>
        </w:rPr>
        <w:t xml:space="preserve">=</w:t>
      </w:r>
      <w:r>
        <w:rPr>
          <w:color w:val="323232"/>
        </w:rPr>
        <w:t xml:space="preserve"> </w:t>
      </w:r>
      <w:r>
        <w:rPr>
          <w:color w:val="323232"/>
        </w:rPr>
        <w:t xml:space="preserve">.01), total l-carnitine (P</w:t>
      </w:r>
      <w:r>
        <w:rPr>
          <w:color w:val="323232"/>
        </w:rPr>
        <w:t xml:space="preserve"> </w:t>
      </w:r>
      <w:r>
        <w:rPr>
          <w:color w:val="323232"/>
        </w:rPr>
        <w:t xml:space="preserve">=</w:t>
      </w:r>
      <w:r>
        <w:rPr>
          <w:color w:val="323232"/>
        </w:rPr>
        <w:t xml:space="preserve"> </w:t>
      </w:r>
      <w:r>
        <w:rPr>
          <w:color w:val="323232"/>
        </w:rPr>
        <w:t xml:space="preserve">.01), carnitine esters (P</w:t>
      </w:r>
      <w:r>
        <w:rPr>
          <w:color w:val="323232"/>
        </w:rPr>
        <w:t xml:space="preserve"> </w:t>
      </w:r>
      <w:r>
        <w:rPr>
          <w:color w:val="323232"/>
        </w:rPr>
        <w:t xml:space="preserve">=</w:t>
      </w:r>
      <w:r>
        <w:rPr>
          <w:color w:val="323232"/>
        </w:rPr>
        <w:t xml:space="preserve"> </w:t>
      </w:r>
      <w:r>
        <w:rPr>
          <w:color w:val="323232"/>
        </w:rPr>
        <w:t xml:space="preserve">.02), free carnitine (P</w:t>
      </w:r>
      <w:r>
        <w:rPr>
          <w:color w:val="323232"/>
        </w:rPr>
        <w:t xml:space="preserve"> </w:t>
      </w:r>
      <w:r>
        <w:rPr>
          <w:color w:val="323232"/>
        </w:rPr>
        <w:t xml:space="preserve">=</w:t>
      </w:r>
      <w:r>
        <w:rPr>
          <w:color w:val="323232"/>
        </w:rPr>
        <w:t xml:space="preserve"> </w:t>
      </w:r>
      <w:r>
        <w:rPr>
          <w:color w:val="323232"/>
        </w:rPr>
        <w:t xml:space="preserve">.02), and E/F ratio (P</w:t>
      </w:r>
      <w:r>
        <w:rPr>
          <w:color w:val="323232"/>
        </w:rPr>
        <w:t xml:space="preserve"> </w:t>
      </w:r>
      <w:r>
        <w:rPr>
          <w:color w:val="323232"/>
        </w:rPr>
        <w:t xml:space="preserve">=</w:t>
      </w:r>
      <w:r>
        <w:rPr>
          <w:color w:val="323232"/>
        </w:rPr>
        <w:t xml:space="preserve"> </w:t>
      </w:r>
      <w:r>
        <w:rPr>
          <w:color w:val="323232"/>
        </w:rPr>
        <w:t xml:space="preserve">.009) were significantly higher in dogs with CHF compared to healthy controls.</w:t>
      </w:r>
    </w:p>
    <w:p/>
    <w:p>
      <w:pPr>
        <w:pStyle w:val="Normal"/>
      </w:pPr>
      <w:r>
        <w:rPr>
          <w:color w:val="323232"/>
        </w:rPr>
        <w:t xml:space="preserve">CONCLUSIONS AND CLINICAL IMPORTANCE:Dogs with CHF secondary to DMVD had higher concentrations of TMAO compared to both asymptomatic DMVD dogs and healthy controls. Larger prospective studies are warranted to determine if TMAO plays a role in the development or progression of DMVD or CHF.</w:t>
      </w:r>
    </w:p>
    <w:p/>
    <w:p>
      <w:pPr>
        <w:pStyle w:val="Normal"/>
      </w:pPr>
      <w:r>
        <w:rPr>
          <w:color w:val="323232"/>
        </w:rPr>
        <w:t xml:space="preserve">J Vet Intern Med, 2019 vol. 33 (1) pp. 46-53.</w:t>
      </w:r>
    </w:p>
    <w:p>
      <w:r>
        <w:rPr>
          <w:rStyle w:val="Hyperlink"/>
        </w:rPr>
        <w:fldChar w:fldCharType="begin"/>
      </w:r>
      <w:r>
        <w:rPr>
          <w:rStyle w:val="Hyperlink"/>
        </w:rPr>
        <w:instrText xml:space="preserve"> HYPERLINK "http://eutils.ncbi.nlm.nih.gov/entrez/eutils/elink.fcgi?dbfrom=pubmed&amp;id=30511765&amp;retmode=ref&amp;cmd=prlinks"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http://eutils.ncbi.nlm.nih.gov/entrez/eutils/elink.fcgi?dbfrom=pubmed&amp;id=30511765&amp;retmode=ref&amp;cmd=prlinks</w:t>
      </w:r>
      <w:r>
        <w:rPr>
          <w:rStyle w:val="Hyperlink"/>
        </w:rPr>
        <w:fldChar w:fldCharType="end"/>
      </w:r>
    </w:p>
    <w:p>
      <w:pPr>
        <w:pStyle w:val="Normal"/>
      </w:pPr>
      <w:r>
        <w:rPr>
          <w:color w:val="323232"/>
        </w:rPr>
        <w:t xml:space="preserve">————————</w:t>
      </w:r>
    </w:p>
    <w:p>
      <w:pPr>
        <w:pStyle w:val="Heading4"/>
      </w:pPr>
      <w:r>
        <w:t xml:space="preserve">Evaluation of a high-sensitivity cardiac troponin I assay compared to a first-generation cardiac troponin I assay in Doberman Pinschers with and without dilated cardiomyopathy.</w:t>
      </w:r>
    </w:p>
    <w:p/>
    <w:p>
      <w:pPr>
        <w:pStyle w:val="Normal"/>
      </w:pPr>
      <w:r>
        <w:rPr>
          <w:color w:val="323232"/>
        </w:rPr>
        <w:t xml:space="preserve">Lena Klüser, Elizabeth T Maier, and Gerhard Wess.</w:t>
      </w:r>
    </w:p>
    <w:p/>
    <w:p>
      <w:pPr>
        <w:pStyle w:val="Normal"/>
      </w:pPr>
      <w:r>
        <w:rPr>
          <w:color w:val="323232"/>
        </w:rPr>
        <w:t xml:space="preserve">BACKGROUND:Echocardiography and 24-hour ECG are the gold standard tests to diagnose dilated cardiomyopathy (DCM) in Doberman Pinschers (DP), but myocardial damage might be detected earlier using a high-sensitivity cardiac troponin I (hs-cTnI) assay.</w:t>
      </w:r>
    </w:p>
    <w:p/>
    <w:p>
      <w:pPr>
        <w:pStyle w:val="Normal"/>
      </w:pPr>
      <w:r>
        <w:rPr>
          <w:color w:val="323232"/>
        </w:rPr>
        <w:t xml:space="preserve">OBJECTIVE:To evaluate and compare an hs-cTnI assay (Advia Centaur TnI-Ultra assay) with a conventional cTnI assay in DP with different stages of DCM and in healthy DP.</w:t>
      </w:r>
    </w:p>
    <w:p/>
    <w:p>
      <w:pPr>
        <w:pStyle w:val="Normal"/>
      </w:pPr>
      <w:r>
        <w:rPr>
          <w:color w:val="323232"/>
        </w:rPr>
        <w:t xml:space="preserve">ANIMALS:Three hundred forty-five examinations from 162 DP with and 179 DP without DCM.</w:t>
      </w:r>
    </w:p>
    <w:p/>
    <w:p>
      <w:pPr>
        <w:pStyle w:val="Normal"/>
      </w:pPr>
      <w:r>
        <w:rPr>
          <w:color w:val="323232"/>
        </w:rPr>
        <w:t xml:space="preserve">METHODS:Prospective longitudinal study. Dogs were allocated into 6 groups based on echocardiographic and 24-hour ECG criteria: (1) healthy group (179 dogs), (2) last-normal group (29 dogs), which included dogs that were considered to be healthy at the time of their examination but were assigned to the last-normal group retrospectively when DCM was diagnosed at their next examination within 1.5</w:t>
      </w:r>
      <w:r>
        <w:rPr>
          <w:color w:val="323232"/>
        </w:rPr>
        <w:t xml:space="preserve"> </w:t>
      </w:r>
      <w:r>
        <w:rPr>
          <w:color w:val="323232"/>
        </w:rPr>
        <w:t xml:space="preserve">years, (3) only arrhythmias (45 dogs, 119 examinations), (4) only echocardiographic changes (24 dogs, 61 examinations), (5) echocardiographic changes with ventricular premature complexes (41 dogs, 100 examinations), and (6) decompensated (23 dogs, 36 examinations). Hs-cTnI and conventional cTnI concentration measurements were performed and compared.</w:t>
      </w:r>
    </w:p>
    <w:p/>
    <w:p>
      <w:pPr>
        <w:pStyle w:val="Normal"/>
      </w:pPr>
      <w:r>
        <w:rPr>
          <w:color w:val="323232"/>
        </w:rPr>
        <w:t xml:space="preserve">RESULTS:A cutoff value of hs-cTnI concentration &gt;0.113</w:t>
      </w:r>
      <w:r>
        <w:rPr>
          <w:color w:val="323232"/>
        </w:rPr>
        <w:t xml:space="preserve"> </w:t>
      </w:r>
      <w:r>
        <w:rPr>
          <w:color w:val="323232"/>
        </w:rPr>
        <w:t xml:space="preserve">ng/mL had a sensitivity of 81.2% and a specificity of 73.2% to identify the presence of DCM. The conventional cTnI assay showed a similar test performance, but the hs-cTnI assay identified more dogs (21/29 dogs, 72%) in the last-normal group compared to the conventional cTnI test (18/29 dogs, 62%).</w:t>
      </w:r>
    </w:p>
    <w:p/>
    <w:p>
      <w:pPr>
        <w:pStyle w:val="Normal"/>
      </w:pPr>
      <w:r>
        <w:rPr>
          <w:color w:val="323232"/>
        </w:rPr>
        <w:t xml:space="preserve">CONCLUSIONS AND CLINICAL IMPORTANCE:The hs-cTnI is an additional test with good potential to identify early DCM.</w:t>
      </w:r>
    </w:p>
    <w:p/>
    <w:p>
      <w:pPr>
        <w:pStyle w:val="Normal"/>
      </w:pPr>
      <w:r>
        <w:rPr>
          <w:color w:val="323232"/>
        </w:rPr>
        <w:t xml:space="preserve">J Vet Intern Med, 2019 vol. 33 (1) pp. 54-63.</w:t>
      </w:r>
    </w:p>
    <w:p>
      <w:r>
        <w:rPr>
          <w:rStyle w:val="Hyperlink"/>
        </w:rPr>
        <w:fldChar w:fldCharType="begin"/>
      </w:r>
      <w:r>
        <w:rPr>
          <w:rStyle w:val="Hyperlink"/>
        </w:rPr>
        <w:instrText xml:space="preserve"> HYPERLINK "http://dx.doi.org/10.1111/jvim.15384" </w:instrText>
      </w:r>
      <w:r>
        <w:rPr>
          <w:rStyle w:val="Hyperlink"/>
        </w:rPr>
      </w:r>
      <w:r>
        <w:rPr>
          <w:rStyle w:val="Hyperlink"/>
        </w:rPr>
        <w:fldChar w:fldCharType="separate"/>
      </w:r>
      <w:pPr>
        <w:pStyle w:val="Normal"/>
      </w:pPr>
      <w:r>
        <w:rPr>
          <w:rStyle w:val="Hyperlink"/>
        </w:rPr>
        <w:t xml:space="preserve">http://dx.doi.org/10.1111/jvim.15384</w:t>
      </w:r>
      <w:r>
        <w:rPr>
          <w:rStyle w:val="Hyperlink"/>
        </w:rPr>
        <w:fldChar w:fldCharType="end"/>
      </w:r>
    </w:p>
    <w:p>
      <w:pPr>
        <w:pStyle w:val="Normal"/>
      </w:pPr>
      <w:r>
        <w:rPr>
          <w:color w:val="323232"/>
        </w:rPr>
        <w:t xml:space="preserve">————————</w:t>
      </w:r>
    </w:p>
    <w:p>
      <w:pPr>
        <w:pStyle w:val="Heading4"/>
      </w:pPr>
      <w:r>
        <w:t xml:space="preserve">Behavior in dogs with spontaneous hypothyroidism during treatment with levothyroxine.</w:t>
      </w:r>
    </w:p>
    <w:p/>
    <w:p>
      <w:pPr>
        <w:pStyle w:val="Normal"/>
      </w:pPr>
      <w:r>
        <w:rPr>
          <w:color w:val="323232"/>
        </w:rPr>
        <w:t xml:space="preserve">Alenka Hrovat, Tiny De Keuster, Hans S Kooistra, Luc Duchateau, Mark A Oyama, Kathelijne Peremans, and Sylvie Daminet.</w:t>
      </w:r>
    </w:p>
    <w:p/>
    <w:p>
      <w:pPr>
        <w:pStyle w:val="Normal"/>
      </w:pPr>
      <w:r>
        <w:rPr>
          <w:color w:val="323232"/>
        </w:rPr>
        <w:t xml:space="preserve">BACKGROUND:Thyroid hormone supplementation anecdotally has been described as a valid treatment option for dogs with aggression-related problems. However, prospective, controlled, and blinded trials evaluating behavior and neurohormonal status in hypothyroid dogs during treatment with levothyroxine are lacking.</w:t>
      </w:r>
    </w:p>
    <w:p/>
    <w:p>
      <w:pPr>
        <w:pStyle w:val="Normal"/>
      </w:pPr>
      <w:r>
        <w:rPr>
          <w:color w:val="323232"/>
        </w:rPr>
        <w:t xml:space="preserve">OBJECTIVE:Levothyroxine supplementation will have a significant influence on the behavior and neurohormonal status of dogs with spontaneous hypothyroidism.</w:t>
      </w:r>
    </w:p>
    <w:p/>
    <w:p>
      <w:pPr>
        <w:pStyle w:val="Normal"/>
      </w:pPr>
      <w:r>
        <w:rPr>
          <w:color w:val="323232"/>
        </w:rPr>
        <w:t xml:space="preserve">ANIMALS:Twenty client-owned dogs diagnosed with spontaneous hypothyroidism.</w:t>
      </w:r>
    </w:p>
    <w:p/>
    <w:p>
      <w:pPr>
        <w:pStyle w:val="Normal"/>
      </w:pPr>
      <w:r>
        <w:rPr>
          <w:color w:val="323232"/>
        </w:rPr>
        <w:t xml:space="preserve">METHODS:This prospective study was to evaluate the behavior of dogs, which was screened at initial presentation, and after 6</w:t>
      </w:r>
      <w:r>
        <w:rPr>
          <w:color w:val="323232"/>
        </w:rPr>
        <w:t xml:space="preserve"> </w:t>
      </w:r>
      <w:r>
        <w:rPr>
          <w:color w:val="323232"/>
        </w:rPr>
        <w:t xml:space="preserve">weeks, and 6</w:t>
      </w:r>
      <w:r>
        <w:rPr>
          <w:color w:val="323232"/>
        </w:rPr>
        <w:t xml:space="preserve"> </w:t>
      </w:r>
      <w:r>
        <w:rPr>
          <w:color w:val="323232"/>
        </w:rPr>
        <w:t xml:space="preserve">months of treatment with levothyroxine (starting dosage 10</w:t>
      </w:r>
      <w:r>
        <w:rPr>
          <w:color w:val="323232"/>
        </w:rPr>
        <w:t xml:space="preserve"> </w:t>
      </w:r>
      <w:r>
        <w:rPr>
          <w:color w:val="323232"/>
        </w:rPr>
        <w:t xml:space="preserve">μg/kg PO q12h) using the standardized Canine Behavioral Assessment and Research Questionnaire (C-BARQ). At each time period, circulating serotonin and prolactin (PRL) concentrations were evaluated using a commercially validated ELISA kit and heterologous radioimmunoassay, respectively.</w:t>
      </w:r>
    </w:p>
    <w:p/>
    <w:p>
      <w:pPr>
        <w:pStyle w:val="Normal"/>
      </w:pPr>
      <w:r>
        <w:rPr>
          <w:color w:val="323232"/>
        </w:rPr>
        <w:t xml:space="preserve">RESULTS:After 6</w:t>
      </w:r>
      <w:r>
        <w:rPr>
          <w:color w:val="323232"/>
        </w:rPr>
        <w:t xml:space="preserve"> </w:t>
      </w:r>
      <w:r>
        <w:rPr>
          <w:color w:val="323232"/>
        </w:rPr>
        <w:t xml:space="preserve">weeks of thyroid hormone supplementation, C-BARQ scores demonstrated a significant increase in activity of hypothyroid dogs (P</w:t>
      </w:r>
      <w:r>
        <w:rPr>
          <w:color w:val="323232"/>
        </w:rPr>
        <w:t xml:space="preserve"> </w:t>
      </w:r>
      <w:r>
        <w:rPr>
          <w:color w:val="323232"/>
        </w:rPr>
        <w:t xml:space="preserve">&lt;</w:t>
      </w:r>
      <w:r>
        <w:rPr>
          <w:color w:val="323232"/>
        </w:rPr>
        <w:t xml:space="preserve"> </w:t>
      </w:r>
      <w:r>
        <w:rPr>
          <w:color w:val="323232"/>
        </w:rPr>
        <w:t xml:space="preserve">.01). No significant change in any of the behavioral signs was observed after 6</w:t>
      </w:r>
      <w:r>
        <w:rPr>
          <w:color w:val="323232"/>
        </w:rPr>
        <w:t xml:space="preserve"> </w:t>
      </w:r>
      <w:r>
        <w:rPr>
          <w:color w:val="323232"/>
        </w:rPr>
        <w:t xml:space="preserve">months of treatment. No significant difference in circulating concentrations of serotonin (P</w:t>
      </w:r>
      <w:r>
        <w:rPr>
          <w:color w:val="323232"/>
        </w:rPr>
        <w:t xml:space="preserve"> </w:t>
      </w:r>
      <w:r>
        <w:rPr>
          <w:color w:val="323232"/>
        </w:rPr>
        <w:t xml:space="preserve">&gt;</w:t>
      </w:r>
      <w:r>
        <w:rPr>
          <w:color w:val="323232"/>
        </w:rPr>
        <w:t xml:space="preserve"> </w:t>
      </w:r>
      <w:r>
        <w:rPr>
          <w:color w:val="323232"/>
        </w:rPr>
        <w:t xml:space="preserve">.99 and P</w:t>
      </w:r>
      <w:r>
        <w:rPr>
          <w:color w:val="323232"/>
        </w:rPr>
        <w:t xml:space="preserve"> </w:t>
      </w:r>
      <w:r>
        <w:rPr>
          <w:color w:val="323232"/>
        </w:rPr>
        <w:t xml:space="preserve">=</w:t>
      </w:r>
      <w:r>
        <w:rPr>
          <w:color w:val="323232"/>
        </w:rPr>
        <w:t xml:space="preserve"> </w:t>
      </w:r>
      <w:r>
        <w:rPr>
          <w:color w:val="323232"/>
        </w:rPr>
        <w:t xml:space="preserve">.46) and PRL (P</w:t>
      </w:r>
      <w:r>
        <w:rPr>
          <w:color w:val="323232"/>
        </w:rPr>
        <w:t xml:space="preserve"> </w:t>
      </w:r>
      <w:r>
        <w:rPr>
          <w:color w:val="323232"/>
        </w:rPr>
        <w:t xml:space="preserve">=</w:t>
      </w:r>
      <w:r>
        <w:rPr>
          <w:color w:val="323232"/>
        </w:rPr>
        <w:t xml:space="preserve"> </w:t>
      </w:r>
      <w:r>
        <w:rPr>
          <w:color w:val="323232"/>
        </w:rPr>
        <w:t xml:space="preserve">.99 and P</w:t>
      </w:r>
      <w:r>
        <w:rPr>
          <w:color w:val="323232"/>
        </w:rPr>
        <w:t xml:space="preserve"> </w:t>
      </w:r>
      <w:r>
        <w:rPr>
          <w:color w:val="323232"/>
        </w:rPr>
        <w:t xml:space="preserve">=</w:t>
      </w:r>
      <w:r>
        <w:rPr>
          <w:color w:val="323232"/>
        </w:rPr>
        <w:t xml:space="preserve"> </w:t>
      </w:r>
      <w:r>
        <w:rPr>
          <w:color w:val="323232"/>
        </w:rPr>
        <w:t xml:space="preserve">.37) were noted between the 6-week and 6-month periods compared with baseline.</w:t>
      </w:r>
    </w:p>
    <w:p/>
    <w:p>
      <w:pPr>
        <w:pStyle w:val="Normal"/>
      </w:pPr>
      <w:r>
        <w:rPr>
          <w:color w:val="323232"/>
        </w:rPr>
        <w:t xml:space="preserve">CONCLUSIONS AND CLINICAL IMPORTANCE:The results of this study indicate increased activity of hypothyroid dogs after 6</w:t>
      </w:r>
      <w:r>
        <w:rPr>
          <w:color w:val="323232"/>
        </w:rPr>
        <w:t xml:space="preserve"> </w:t>
      </w:r>
      <w:r>
        <w:rPr>
          <w:color w:val="323232"/>
        </w:rPr>
        <w:t xml:space="preserve">weeks of thyroid hormone supplementation. None of the hypothyroid dogs in this cohort showed a significant change in any of the evaluated behavioral signs and neurohormonal status after 6</w:t>
      </w:r>
      <w:r>
        <w:rPr>
          <w:color w:val="323232"/>
        </w:rPr>
        <w:t xml:space="preserve"> </w:t>
      </w:r>
      <w:r>
        <w:rPr>
          <w:color w:val="323232"/>
        </w:rPr>
        <w:t xml:space="preserve">months of thyroid hormone supplementation.</w:t>
      </w:r>
    </w:p>
    <w:p/>
    <w:p>
      <w:pPr>
        <w:pStyle w:val="Normal"/>
      </w:pPr>
      <w:r>
        <w:rPr>
          <w:color w:val="323232"/>
        </w:rPr>
        <w:t xml:space="preserve">J Vet Intern Med, 2019 vol. 33 (1) pp. 64-71.</w:t>
      </w:r>
    </w:p>
    <w:p>
      <w:r>
        <w:rPr>
          <w:rStyle w:val="Hyperlink"/>
        </w:rPr>
        <w:fldChar w:fldCharType="begin"/>
      </w:r>
      <w:r>
        <w:rPr>
          <w:rStyle w:val="Hyperlink"/>
        </w:rPr>
        <w:instrText xml:space="preserve"> HYPERLINK "http://dx.doi.org/10.1111/jvim.15342" </w:instrText>
      </w:r>
      <w:r>
        <w:rPr>
          <w:rStyle w:val="Hyperlink"/>
        </w:rPr>
      </w:r>
      <w:r>
        <w:rPr>
          <w:rStyle w:val="Hyperlink"/>
        </w:rPr>
        <w:fldChar w:fldCharType="separate"/>
      </w:r>
      <w:pPr>
        <w:pStyle w:val="Normal"/>
      </w:pPr>
      <w:r>
        <w:rPr>
          <w:rStyle w:val="Hyperlink"/>
        </w:rPr>
        <w:t xml:space="preserve">http://dx.doi.org/10.1111/jvim.15342</w:t>
      </w:r>
      <w:r>
        <w:rPr>
          <w:rStyle w:val="Hyperlink"/>
        </w:rPr>
        <w:fldChar w:fldCharType="end"/>
      </w:r>
    </w:p>
    <w:p>
      <w:pPr>
        <w:pStyle w:val="Normal"/>
      </w:pPr>
      <w:r>
        <w:rPr>
          <w:color w:val="323232"/>
        </w:rPr>
        <w:t xml:space="preserve">————————</w:t>
      </w:r>
    </w:p>
    <w:p>
      <w:pPr>
        <w:pStyle w:val="Heading4"/>
      </w:pPr>
      <w:r>
        <w:t xml:space="preserve">Concurrent pituitary and adrenocortical lesions on computed tomography imaging in dogs with spontaneous hypercortisolism.</w:t>
      </w:r>
    </w:p>
    <w:p/>
    <w:p>
      <w:pPr>
        <w:pStyle w:val="Normal"/>
      </w:pPr>
      <w:r>
        <w:rPr>
          <w:color w:val="323232"/>
        </w:rPr>
        <w:t xml:space="preserve">Kirsten L van Bokhorst, Hans S Kooistra, Susanne A E B Boroffka, and Sara Galac.</w:t>
      </w:r>
    </w:p>
    <w:p/>
    <w:p>
      <w:pPr>
        <w:pStyle w:val="Normal"/>
      </w:pPr>
      <w:r>
        <w:rPr>
          <w:color w:val="323232"/>
        </w:rPr>
        <w:t xml:space="preserve">BACKGROUND:Spontaneous hypercortisolism or Cushing's syndrome in dogs is either pituitary or adrenal dependent, but concurrent pituitary and adrenal hypercortisolism also has been reported.</w:t>
      </w:r>
    </w:p>
    <w:p/>
    <w:p>
      <w:pPr>
        <w:pStyle w:val="Normal"/>
      </w:pPr>
      <w:r>
        <w:rPr>
          <w:color w:val="323232"/>
        </w:rPr>
        <w:t xml:space="preserve">OBJECTIVE:To determine how often concurrent pituitary and adrenal lesions are present in dogs with spontaneous hypercortisolism.</w:t>
      </w:r>
    </w:p>
    <w:p/>
    <w:p>
      <w:pPr>
        <w:pStyle w:val="Normal"/>
      </w:pPr>
      <w:r>
        <w:rPr>
          <w:color w:val="323232"/>
        </w:rPr>
        <w:t xml:space="preserve">ANIMALS:Two hundred one client-owned dogs with spontaneous hypercortisolism.</w:t>
      </w:r>
    </w:p>
    <w:p/>
    <w:p>
      <w:pPr>
        <w:pStyle w:val="Normal"/>
      </w:pPr>
      <w:r>
        <w:rPr>
          <w:color w:val="323232"/>
        </w:rPr>
        <w:t xml:space="preserve">METHODS:Retrospective study. Pre- and post-contrast computed tomography (CT) scans of the pituitary and adrenal glands were performed in dogs with confirmed hypercortisolism.</w:t>
      </w:r>
    </w:p>
    <w:p/>
    <w:p>
      <w:pPr>
        <w:pStyle w:val="Normal"/>
      </w:pPr>
      <w:r>
        <w:rPr>
          <w:color w:val="323232"/>
        </w:rPr>
        <w:t xml:space="preserve">RESULTS:In dogs with dexamethasone-suppressible hypercortisolism (122/201), 78 dogs (64%) had an enlarged pituitary gland (median pituitary height</w:t>
      </w:r>
      <w:r>
        <w:rPr>
          <w:i w:val="1"/>
          <w:color w:val="323232"/>
        </w:rPr>
        <w:t xml:space="preserve">brain area [P</w:t>
      </w:r>
      <w:r>
        <w:rPr>
          <w:color w:val="323232"/>
        </w:rPr>
        <w:t xml:space="preserve">B], 0.43 × 10-2 mm-1 ; range, 0.32-1.21 × 10-2 mm-1 ). Two of these 78 dogs had concurrent adrenal lesions. In the remaining dogs (44/122; 36%), the pituitary gland was not enlarged. In the dexamethasone-resistant group (79/201), the pituitary gland was enlarged in 47 dogs (59%; median P/B, 0.57 × 10-2 ; range, 0.32-1.50 × 10-2 mm-1 ). Eight of these 47 dogs (17%) had concurrent adrenal lesions. In the remaining 32 dexamethasone-resistant dogs (41%), the pituitary gland was not enlarged. Among them, 27 dogs had adrenal lesions and suppressed ACTH concentrations consistent with adrenal-dependent hypercortisolism and 5 dogs were diagnosed with pituitary-dependent hypercortisolism.</w:t>
      </w:r>
    </w:p>
    <w:p/>
    <w:p>
      <w:pPr>
        <w:pStyle w:val="Normal"/>
      </w:pPr>
      <w:r>
        <w:rPr>
          <w:color w:val="323232"/>
        </w:rPr>
        <w:t xml:space="preserve">CONCLUSIONS AND CLINICAL IMPORTANCE:Concurrent pituitary and adrenal lesions were present in 5% of all dogs with hypercortisolism and in 10% of the dexamethasone-resistant dogs. Diagnostic imaging of both pituitary and adrenal glands should be included in the diagnostic evaluation of every dog with spontaneous hypercortisolism to obtain information needed for estimation of prognosis and choosing the optimal treatment.</w:t>
      </w:r>
    </w:p>
    <w:p/>
    <w:p>
      <w:pPr>
        <w:pStyle w:val="Normal"/>
      </w:pPr>
      <w:r>
        <w:rPr>
          <w:color w:val="323232"/>
        </w:rPr>
        <w:t xml:space="preserve">J Vet Intern Med, 2019 vol. 33 (1) pp. 72-78.</w:t>
      </w:r>
    </w:p>
    <w:p>
      <w:r>
        <w:rPr>
          <w:rStyle w:val="Hyperlink"/>
        </w:rPr>
        <w:fldChar w:fldCharType="begin"/>
      </w:r>
      <w:r>
        <w:rPr>
          <w:rStyle w:val="Hyperlink"/>
        </w:rPr>
        <w:instrText xml:space="preserve"> HYPERLINK "http://dx.doi.org/10.1111/jvim.15378" </w:instrText>
      </w:r>
      <w:r>
        <w:rPr>
          <w:rStyle w:val="Hyperlink"/>
        </w:rPr>
      </w:r>
      <w:r>
        <w:rPr>
          <w:rStyle w:val="Hyperlink"/>
        </w:rPr>
        <w:fldChar w:fldCharType="separate"/>
      </w:r>
      <w:pPr>
        <w:pStyle w:val="Normal"/>
      </w:pPr>
      <w:r>
        <w:rPr>
          <w:rStyle w:val="Hyperlink"/>
        </w:rPr>
        <w:t xml:space="preserve">http://dx.doi.org/10.1111/jvim.15378</w:t>
      </w:r>
      <w:r>
        <w:rPr>
          <w:rStyle w:val="Hyperlink"/>
        </w:rPr>
        <w:fldChar w:fldCharType="end"/>
      </w:r>
    </w:p>
    <w:p>
      <w:pPr>
        <w:pStyle w:val="Normal"/>
      </w:pPr>
      <w:r>
        <w:rPr>
          <w:color w:val="323232"/>
        </w:rPr>
        <w:t xml:space="preserve">————————</w:t>
      </w:r>
    </w:p>
    <w:p>
      <w:pPr>
        <w:pStyle w:val="Heading4"/>
      </w:pPr>
      <w:r>
        <w:t xml:space="preserve">Computed tomographic angiography and ultrasonography in the diagnosis and evaluation of acute pancreatitis in dogs.</w:t>
      </w:r>
    </w:p>
    <w:p/>
    <w:p>
      <w:pPr>
        <w:pStyle w:val="Normal"/>
      </w:pPr>
      <w:r>
        <w:rPr>
          <w:color w:val="323232"/>
        </w:rPr>
        <w:t xml:space="preserve">John M French, David C Twedt, Sangeeta Rao, and Angela J Marolf.</w:t>
      </w:r>
    </w:p>
    <w:p/>
    <w:p>
      <w:pPr>
        <w:pStyle w:val="Normal"/>
      </w:pPr>
      <w:r>
        <w:rPr>
          <w:color w:val="323232"/>
        </w:rPr>
        <w:t xml:space="preserve">BACKGROUND:Acute pancreatitis in dogs is an under-diagnosed disease. Current diagnostic methods are insufficient at identifying sequelae and lack prognostic capability. Computed tomographic angiography (CTA) is accurate for diagnosis and prognostication of pancreatitis in humans.</w:t>
      </w:r>
    </w:p>
    <w:p/>
    <w:p>
      <w:pPr>
        <w:pStyle w:val="Normal"/>
      </w:pPr>
      <w:r>
        <w:rPr>
          <w:color w:val="323232"/>
        </w:rPr>
        <w:t xml:space="preserve">OBJECTIVES:In comparison to ultrasound (US), CTA will (1) better diagnose more severe pancreatitis and sequelae and (2) provide assessment of patient outcome by identification of pancreatic contrast enhancement patterns.</w:t>
      </w:r>
    </w:p>
    <w:p/>
    <w:p>
      <w:pPr>
        <w:pStyle w:val="Normal"/>
      </w:pPr>
      <w:r>
        <w:rPr>
          <w:color w:val="323232"/>
        </w:rPr>
        <w:t xml:space="preserve">ANIMALS:Twenty-six client-owned dogs suspected to have acute pancreatitis.</w:t>
      </w:r>
    </w:p>
    <w:p/>
    <w:p>
      <w:pPr>
        <w:pStyle w:val="Normal"/>
      </w:pPr>
      <w:r>
        <w:rPr>
          <w:color w:val="323232"/>
        </w:rPr>
        <w:t xml:space="preserve">METHODS:US and CTA examinations performed at time of admission were compared to determine the detection of pancreatic changes and sequelae. CTA findings also were compared to outcome indicators for prognosis of dogs with acute pancreatitis. Specific canine pancreatic lipase (cPL) samples were obtained and compared with CTA findings.</w:t>
      </w:r>
    </w:p>
    <w:p/>
    <w:p>
      <w:pPr>
        <w:pStyle w:val="Normal"/>
      </w:pPr>
      <w:r>
        <w:rPr>
          <w:color w:val="323232"/>
        </w:rPr>
        <w:t xml:space="preserve">RESULTS:Ten of 26 dogs had heterogeneous contrast enhancement of the pancreas. Compared to US, CTA better identified portal vein thrombosis (P</w:t>
      </w:r>
      <w:r>
        <w:rPr>
          <w:color w:val="323232"/>
        </w:rPr>
        <w:t xml:space="preserve"> </w:t>
      </w:r>
      <w:r>
        <w:rPr>
          <w:color w:val="323232"/>
        </w:rPr>
        <w:t xml:space="preserve">=</w:t>
      </w:r>
      <w:r>
        <w:rPr>
          <w:color w:val="323232"/>
        </w:rPr>
        <w:t xml:space="preserve"> </w:t>
      </w:r>
      <w:r>
        <w:rPr>
          <w:color w:val="323232"/>
        </w:rPr>
        <w:t xml:space="preserve">.003). Patients with heterogeneous contrast enhancement had longer hospitalization (P</w:t>
      </w:r>
      <w:r>
        <w:rPr>
          <w:color w:val="323232"/>
        </w:rPr>
        <w:t xml:space="preserve"> </w:t>
      </w:r>
      <w:r>
        <w:rPr>
          <w:color w:val="323232"/>
        </w:rPr>
        <w:t xml:space="preserve">=</w:t>
      </w:r>
      <w:r>
        <w:rPr>
          <w:color w:val="323232"/>
        </w:rPr>
        <w:t xml:space="preserve"> </w:t>
      </w:r>
      <w:r>
        <w:rPr>
          <w:color w:val="323232"/>
        </w:rPr>
        <w:t xml:space="preserve">.01), including hospital stays for &gt;5 days (P</w:t>
      </w:r>
      <w:r>
        <w:rPr>
          <w:color w:val="323232"/>
        </w:rPr>
        <w:t xml:space="preserve"> </w:t>
      </w:r>
      <w:r>
        <w:rPr>
          <w:color w:val="323232"/>
        </w:rPr>
        <w:t xml:space="preserve">=</w:t>
      </w:r>
      <w:r>
        <w:rPr>
          <w:color w:val="323232"/>
        </w:rPr>
        <w:t xml:space="preserve"> </w:t>
      </w:r>
      <w:r>
        <w:rPr>
          <w:color w:val="323232"/>
        </w:rPr>
        <w:t xml:space="preserve">.02), had more relapses, and were more likely to have portal vein thrombosis (P</w:t>
      </w:r>
      <w:r>
        <w:rPr>
          <w:color w:val="323232"/>
        </w:rPr>
        <w:t xml:space="preserve"> </w:t>
      </w:r>
      <w:r>
        <w:rPr>
          <w:color w:val="323232"/>
        </w:rPr>
        <w:t xml:space="preserve">=</w:t>
      </w:r>
      <w:r>
        <w:rPr>
          <w:color w:val="323232"/>
        </w:rPr>
        <w:t xml:space="preserve"> </w:t>
      </w:r>
      <w:r>
        <w:rPr>
          <w:color w:val="323232"/>
        </w:rPr>
        <w:t xml:space="preserve">.002). Patients with heterogeneous contrast enhancement had increased spec cPL (P</w:t>
      </w:r>
      <w:r>
        <w:rPr>
          <w:color w:val="323232"/>
        </w:rPr>
        <w:t xml:space="preserve"> </w:t>
      </w:r>
      <w:r>
        <w:rPr>
          <w:color w:val="323232"/>
        </w:rPr>
        <w:t xml:space="preserve">=</w:t>
      </w:r>
      <w:r>
        <w:rPr>
          <w:color w:val="323232"/>
        </w:rPr>
        <w:t xml:space="preserve"> </w:t>
      </w:r>
      <w:r>
        <w:rPr>
          <w:color w:val="323232"/>
        </w:rPr>
        <w:t xml:space="preserve">.006).</w:t>
      </w:r>
    </w:p>
    <w:p/>
    <w:p>
      <w:pPr>
        <w:pStyle w:val="Normal"/>
      </w:pPr>
      <w:r>
        <w:rPr>
          <w:color w:val="323232"/>
        </w:rPr>
        <w:t xml:space="preserve">CONCLUSIONS AND CLINICAL IMPORTANCE:In comparison to US, CTA better identified dogs with more severe acute pancreatitis and those with portal vein thrombosis, factors that may predict longer hospitalization and increased risk of relapse. The presence of heterogeneous contrast enhancement and portal vein thrombosis may change therapy for patients with acute pancreatitis.</w:t>
      </w:r>
    </w:p>
    <w:p/>
    <w:p>
      <w:pPr>
        <w:pStyle w:val="Normal"/>
      </w:pPr>
      <w:r>
        <w:rPr>
          <w:color w:val="323232"/>
        </w:rPr>
        <w:t xml:space="preserve">J Vet Intern Med, 2019 vol. 33 (1) pp. 79-88.</w:t>
      </w:r>
    </w:p>
    <w:p>
      <w:r>
        <w:rPr>
          <w:rStyle w:val="Hyperlink"/>
        </w:rPr>
        <w:fldChar w:fldCharType="begin"/>
      </w:r>
      <w:r>
        <w:rPr>
          <w:rStyle w:val="Hyperlink"/>
        </w:rPr>
        <w:instrText xml:space="preserve"> HYPERLINK "http://dx.doi.org/10.1111/jvim.15364" </w:instrText>
      </w:r>
      <w:r>
        <w:rPr>
          <w:rStyle w:val="Hyperlink"/>
        </w:rPr>
      </w:r>
      <w:r>
        <w:rPr>
          <w:rStyle w:val="Hyperlink"/>
        </w:rPr>
        <w:fldChar w:fldCharType="separate"/>
      </w:r>
      <w:pPr>
        <w:pStyle w:val="Normal"/>
      </w:pPr>
      <w:r>
        <w:rPr>
          <w:rStyle w:val="Hyperlink"/>
        </w:rPr>
        <w:t xml:space="preserve">http://dx.doi.org/10.1111/jvim.15364</w:t>
      </w:r>
      <w:r>
        <w:rPr>
          <w:rStyle w:val="Hyperlink"/>
        </w:rPr>
        <w:fldChar w:fldCharType="end"/>
      </w:r>
    </w:p>
    <w:p>
      <w:pPr>
        <w:pStyle w:val="Normal"/>
      </w:pPr>
      <w:r>
        <w:rPr>
          <w:color w:val="323232"/>
        </w:rPr>
        <w:t xml:space="preserve">————————</w:t>
      </w:r>
    </w:p>
    <w:p>
      <w:pPr>
        <w:pStyle w:val="Heading4"/>
      </w:pPr>
      <w:r>
        <w:t xml:space="preserve">Prevalence of Clostridium perfringens netE and netF toxin genes in the feces of dogs with acute hemorrhagic diarrhea syndrome.</w:t>
      </w:r>
    </w:p>
    <w:p/>
    <w:p>
      <w:pPr>
        <w:pStyle w:val="Normal"/>
      </w:pPr>
      <w:r>
        <w:rPr>
          <w:color w:val="323232"/>
        </w:rPr>
        <w:t xml:space="preserve">Natalie Sindern, Jan S Suchodolski, Christian M Leutenegger, Iman Mehdizadeh Gohari, John F Prescott, Anna-Lena Proksch, Ralf S Mueller, Kathrin Busch, and Stefan Unterer.</w:t>
      </w:r>
    </w:p>
    <w:p/>
    <w:p>
      <w:pPr>
        <w:pStyle w:val="Normal"/>
      </w:pPr>
      <w:r>
        <w:rPr>
          <w:color w:val="323232"/>
        </w:rPr>
        <w:t xml:space="preserve">BACKGROUND:Recently, novel pore-forming toxin genes designated netE and netF were identified in a Clostridium perfringens type A strain isolated from a dog with acute hemorrhagic diarrhea.</w:t>
      </w:r>
    </w:p>
    <w:p/>
    <w:p>
      <w:pPr>
        <w:pStyle w:val="Normal"/>
      </w:pPr>
      <w:r>
        <w:rPr>
          <w:color w:val="323232"/>
        </w:rPr>
        <w:t xml:space="preserve">OBJECTIVES:Pore-forming toxins could play an important role in the disease pattern of acute hemorrhagic diarrhea syndrome (AHDS) in dogs. Thus, we aimed to determine the prevalence of C. perfringens genes encoding for netE and netF in the feces of dogs with AHDS and to evaluate any association between selected clinical variables and the presence of these toxin genes.</w:t>
      </w:r>
    </w:p>
    <w:p/>
    <w:p>
      <w:pPr>
        <w:pStyle w:val="Normal"/>
      </w:pPr>
      <w:r>
        <w:rPr>
          <w:color w:val="323232"/>
        </w:rPr>
        <w:t xml:space="preserve">ANIMALS:In total, 174 dogs were included in the study.</w:t>
      </w:r>
    </w:p>
    <w:p/>
    <w:p>
      <w:pPr>
        <w:pStyle w:val="Normal"/>
      </w:pPr>
      <w:r>
        <w:rPr>
          <w:color w:val="323232"/>
        </w:rPr>
        <w:t xml:space="preserve">METHODS:Fecal samples of all dogs were tested by real-time polymerase chain reaction for netE and netF genes. Time to recovery, hospitalization time, and selected laboratory variables were compared between dogs with AHDS that were positive or negative for the toxin genes.</w:t>
      </w:r>
    </w:p>
    <w:p/>
    <w:p>
      <w:pPr>
        <w:pStyle w:val="Normal"/>
      </w:pPr>
      <w:r>
        <w:rPr>
          <w:color w:val="323232"/>
        </w:rPr>
        <w:t xml:space="preserve">RESULTS:A significant difference was found among the 3 groups in the prevalence of the pore-forming toxin genes netE and netF: dogs with AHDS: 26 of 54 (48.1%); dogs with canine parvovirus (CPV) infection: 0 of 54 (0%); and healthy dogs: 8 of 66 (12.1%; P &lt;</w:t>
      </w:r>
      <w:r>
        <w:rPr>
          <w:color w:val="323232"/>
        </w:rPr>
        <w:t xml:space="preserve"> </w:t>
      </w:r>
      <w:r>
        <w:rPr>
          <w:color w:val="323232"/>
        </w:rPr>
        <w:t xml:space="preserve">.001). In dogs with AHDS, no significant difference was detected in any variables evaluated between netE-positive and netF-positive and netE-negative and netF-negative dogs.</w:t>
      </w:r>
    </w:p>
    <w:p/>
    <w:p>
      <w:pPr>
        <w:pStyle w:val="Normal"/>
      </w:pPr>
      <w:r>
        <w:rPr>
          <w:color w:val="323232"/>
        </w:rPr>
        <w:t xml:space="preserve">CONCLUSIONS AND CLINICAL IMPORTANCE:The prevalence of C. perfringens encoding for netE and netF is significantly higher in dogs with AHDS compared to control dogs. Further studies are warranted to evaluate whether these toxins are an inciting cause for AHDS in dogs.</w:t>
      </w:r>
    </w:p>
    <w:p/>
    <w:p>
      <w:pPr>
        <w:pStyle w:val="Normal"/>
      </w:pPr>
      <w:r>
        <w:rPr>
          <w:color w:val="323232"/>
        </w:rPr>
        <w:t xml:space="preserve">J Vet Intern Med, 2019 vol. 33 (1) pp. 100-105.</w:t>
      </w:r>
    </w:p>
    <w:p>
      <w:r>
        <w:rPr>
          <w:rStyle w:val="Hyperlink"/>
        </w:rPr>
        <w:fldChar w:fldCharType="begin"/>
      </w:r>
      <w:r>
        <w:rPr>
          <w:rStyle w:val="Hyperlink"/>
        </w:rPr>
        <w:instrText xml:space="preserve"> HYPERLINK "http://dx.doi.org/10.1111/jvim.15361" </w:instrText>
      </w:r>
      <w:r>
        <w:rPr>
          <w:rStyle w:val="Hyperlink"/>
        </w:rPr>
      </w:r>
      <w:r>
        <w:rPr>
          <w:rStyle w:val="Hyperlink"/>
        </w:rPr>
        <w:fldChar w:fldCharType="separate"/>
      </w:r>
      <w:pPr>
        <w:pStyle w:val="Normal"/>
      </w:pPr>
      <w:r>
        <w:rPr>
          <w:rStyle w:val="Hyperlink"/>
        </w:rPr>
        <w:t xml:space="preserve">http://dx.doi.org/10.1111/jvim.15361</w:t>
      </w:r>
      <w:r>
        <w:rPr>
          <w:rStyle w:val="Hyperlink"/>
        </w:rPr>
        <w:fldChar w:fldCharType="end"/>
      </w:r>
    </w:p>
    <w:p>
      <w:pPr>
        <w:pStyle w:val="Normal"/>
      </w:pPr>
      <w:r>
        <w:rPr>
          <w:color w:val="323232"/>
        </w:rPr>
        <w:t xml:space="preserve">————————</w:t>
      </w:r>
    </w:p>
    <w:p>
      <w:pPr>
        <w:pStyle w:val="Heading4"/>
      </w:pPr>
      <w:r>
        <w:t xml:space="preserve">Relationship between cobalamin and folate deficiencies and anemia in dogs.</w:t>
      </w:r>
    </w:p>
    <w:p/>
    <w:p>
      <w:pPr>
        <w:pStyle w:val="Normal"/>
      </w:pPr>
      <w:r>
        <w:rPr>
          <w:color w:val="323232"/>
        </w:rPr>
        <w:t xml:space="preserve">Emma Stanley, Elizabeth Appleman, Ariel Schlag, and Andrea Siegel.</w:t>
      </w:r>
    </w:p>
    <w:p/>
    <w:p>
      <w:pPr>
        <w:pStyle w:val="Normal"/>
      </w:pPr>
      <w:r>
        <w:rPr>
          <w:color w:val="323232"/>
        </w:rPr>
        <w:t xml:space="preserve">BACKGROUND:Megaloblastic, nonregenerative anemia is a well-known consequence of cobalamin or folate deficiencies in humans but is not recognized in hypocobalaminemic or hypofolatemic dogs. Establishment of relationships between hypocobalaminemia or hypofolatemia and hematologic disease would encourage vitamin B testing, and potentially supplementation, in anemic dogs.</w:t>
      </w:r>
    </w:p>
    <w:p/>
    <w:p>
      <w:pPr>
        <w:pStyle w:val="Normal"/>
      </w:pPr>
      <w:r>
        <w:rPr>
          <w:color w:val="323232"/>
        </w:rPr>
        <w:t xml:space="preserve">OBJECTIVES:To determine the prevalence of anemia in hypocobalaminemic or hypofolatemic dogs and to report the prevalence of hypocobalaminemia and hypofolatemia and nonregenerative anemia, macrocytosis, and anisocytosis in anemic dogs.</w:t>
      </w:r>
    </w:p>
    <w:p/>
    <w:p>
      <w:pPr>
        <w:pStyle w:val="Normal"/>
      </w:pPr>
      <w:r>
        <w:rPr>
          <w:color w:val="323232"/>
        </w:rPr>
        <w:t xml:space="preserve">ANIMALS:One hundred and fourteen client-owned dogs with known serum cobalamin and folate concentrations and CBCs and 42 client-owned anemic dogs.</w:t>
      </w:r>
    </w:p>
    <w:p/>
    <w:p>
      <w:pPr>
        <w:pStyle w:val="Normal"/>
      </w:pPr>
      <w:r>
        <w:rPr>
          <w:color w:val="323232"/>
        </w:rPr>
        <w:t xml:space="preserve">METHODS:Retrospective comparison of anemia prevalence in hypocobalaminemic or hypofolatemic and normocobalaminemic or normofolatemic dogs was performed. Prospective measurement of erythrocyte variables and cobalamin and folate concentrations in anemic dogs was carried out; relationships among hypocobalaminemia and regenerative status, mean corpuscular volume, and red cell distribution width were evaluated.</w:t>
      </w:r>
    </w:p>
    <w:p/>
    <w:p>
      <w:pPr>
        <w:pStyle w:val="Normal"/>
      </w:pPr>
      <w:r>
        <w:rPr>
          <w:color w:val="323232"/>
        </w:rPr>
        <w:t xml:space="preserve">RESULTS:Significant differences in prevalence of anemia between hypocobalaminemic (36%) and normocobalaminemic dogs (26%; P</w:t>
      </w:r>
      <w:r>
        <w:rPr>
          <w:color w:val="323232"/>
        </w:rPr>
        <w:t xml:space="preserve"> </w:t>
      </w:r>
      <w:r>
        <w:rPr>
          <w:color w:val="323232"/>
        </w:rPr>
        <w:t xml:space="preserve">=</w:t>
      </w:r>
      <w:r>
        <w:rPr>
          <w:color w:val="323232"/>
        </w:rPr>
        <w:t xml:space="preserve"> </w:t>
      </w:r>
      <w:r>
        <w:rPr>
          <w:color w:val="323232"/>
        </w:rPr>
        <w:t xml:space="preserve">.23) or between hypofolatemic (31%) and normofolatemic dogs (30%; P</w:t>
      </w:r>
      <w:r>
        <w:rPr>
          <w:color w:val="323232"/>
        </w:rPr>
        <w:t xml:space="preserve"> </w:t>
      </w:r>
      <w:r>
        <w:rPr>
          <w:color w:val="323232"/>
        </w:rPr>
        <w:t xml:space="preserve">=</w:t>
      </w:r>
      <w:r>
        <w:rPr>
          <w:color w:val="323232"/>
        </w:rPr>
        <w:t xml:space="preserve"> </w:t>
      </w:r>
      <w:r>
        <w:rPr>
          <w:color w:val="323232"/>
        </w:rPr>
        <w:t xml:space="preserve">.99) were not detected. Between hypocobalaminemic and normocobalaminemic dogs, no significant differences in prevalence of nonregenerative anemia (69% vs 63%; P</w:t>
      </w:r>
      <w:r>
        <w:rPr>
          <w:color w:val="323232"/>
        </w:rPr>
        <w:t xml:space="preserve"> </w:t>
      </w:r>
      <w:r>
        <w:rPr>
          <w:color w:val="323232"/>
        </w:rPr>
        <w:t xml:space="preserve">=</w:t>
      </w:r>
      <w:r>
        <w:rPr>
          <w:color w:val="323232"/>
        </w:rPr>
        <w:t xml:space="preserve"> </w:t>
      </w:r>
      <w:r>
        <w:rPr>
          <w:color w:val="323232"/>
        </w:rPr>
        <w:t xml:space="preserve">.65), macrocytosis (17% vs 0%; P</w:t>
      </w:r>
      <w:r>
        <w:rPr>
          <w:color w:val="323232"/>
        </w:rPr>
        <w:t xml:space="preserve"> </w:t>
      </w:r>
      <w:r>
        <w:rPr>
          <w:color w:val="323232"/>
        </w:rPr>
        <w:t xml:space="preserve">=</w:t>
      </w:r>
      <w:r>
        <w:rPr>
          <w:color w:val="323232"/>
        </w:rPr>
        <w:t xml:space="preserve"> </w:t>
      </w:r>
      <w:r>
        <w:rPr>
          <w:color w:val="323232"/>
        </w:rPr>
        <w:t xml:space="preserve">.53), or anisocytosis (28% vs 0%; P</w:t>
      </w:r>
      <w:r>
        <w:rPr>
          <w:color w:val="323232"/>
        </w:rPr>
        <w:t xml:space="preserve"> </w:t>
      </w:r>
      <w:r>
        <w:rPr>
          <w:color w:val="323232"/>
        </w:rPr>
        <w:t xml:space="preserve">=</w:t>
      </w:r>
      <w:r>
        <w:rPr>
          <w:color w:val="323232"/>
        </w:rPr>
        <w:t xml:space="preserve"> </w:t>
      </w:r>
      <w:r>
        <w:rPr>
          <w:color w:val="323232"/>
        </w:rPr>
        <w:t xml:space="preserve">.14) were detected. Anemic dogs had high prevalence of vitamin B deficiencies (nonregenerative: 64% hypocobalaminemic, 18% hypofolatemic; regenerative: 57% hypocobalaminemic, 21% hypofolatemic).</w:t>
      </w:r>
    </w:p>
    <w:p/>
    <w:p>
      <w:pPr>
        <w:pStyle w:val="Normal"/>
      </w:pPr>
      <w:r>
        <w:rPr>
          <w:color w:val="323232"/>
        </w:rPr>
        <w:t xml:space="preserve">CONCLUSIONS AND CLINICAL IMPORTANCE:The association between cobalamin and folate deficiencies and macrocytic, nonregenerative anemia established in humans is not routinely present in dogs.</w:t>
      </w:r>
    </w:p>
    <w:p/>
    <w:p>
      <w:pPr>
        <w:pStyle w:val="Normal"/>
      </w:pPr>
      <w:r>
        <w:rPr>
          <w:color w:val="323232"/>
        </w:rPr>
        <w:t xml:space="preserve">J Vet Intern Med, 2019 vol. 33 (1) pp. 106-113.</w:t>
      </w:r>
    </w:p>
    <w:p>
      <w:r>
        <w:rPr>
          <w:rStyle w:val="Hyperlink"/>
        </w:rPr>
        <w:fldChar w:fldCharType="begin"/>
      </w:r>
      <w:r>
        <w:rPr>
          <w:rStyle w:val="Hyperlink"/>
        </w:rPr>
        <w:instrText xml:space="preserve"> HYPERLINK "http://dx.doi.org/10.1111/jvim.15348" </w:instrText>
      </w:r>
      <w:r>
        <w:rPr>
          <w:rStyle w:val="Hyperlink"/>
        </w:rPr>
      </w:r>
      <w:r>
        <w:rPr>
          <w:rStyle w:val="Hyperlink"/>
        </w:rPr>
        <w:fldChar w:fldCharType="separate"/>
      </w:r>
      <w:pPr>
        <w:pStyle w:val="Normal"/>
      </w:pPr>
      <w:r>
        <w:rPr>
          <w:rStyle w:val="Hyperlink"/>
        </w:rPr>
        <w:t xml:space="preserve">http://dx.doi.org/10.1111/jvim.15348</w:t>
      </w:r>
      <w:r>
        <w:rPr>
          <w:rStyle w:val="Hyperlink"/>
        </w:rPr>
        <w:fldChar w:fldCharType="end"/>
      </w:r>
    </w:p>
    <w:p>
      <w:pPr>
        <w:pStyle w:val="Normal"/>
      </w:pPr>
      <w:r>
        <w:rPr>
          <w:color w:val="323232"/>
        </w:rPr>
        <w:t xml:space="preserve">————————</w:t>
      </w:r>
    </w:p>
    <w:p>
      <w:pPr>
        <w:pStyle w:val="Heading4"/>
      </w:pPr>
      <w:r>
        <w:t xml:space="preserve">Clinical features of canine pulmonary veno-occlusive disease and pulmonary capillary hemangiomatosis.</w:t>
      </w:r>
    </w:p>
    <w:p/>
    <w:p>
      <w:pPr>
        <w:pStyle w:val="Normal"/>
      </w:pPr>
      <w:r>
        <w:rPr>
          <w:color w:val="323232"/>
        </w:rPr>
        <w:t xml:space="preserve">Carol R Reinero, L Ari Jutkowitz, Nathan Nelson, Isabelle Masseau, Samuel Jennings, and Kurt Williams.</w:t>
      </w:r>
    </w:p>
    <w:p/>
    <w:p>
      <w:pPr>
        <w:pStyle w:val="Normal"/>
      </w:pPr>
      <w:r>
        <w:rPr>
          <w:color w:val="323232"/>
        </w:rPr>
        <w:t xml:space="preserve">BACKGROUND:Histologic features of pulmonary veno-occlusive disease (PVOD) and pulmonary capillary hemangiomatosis (PCH) have been described in dogs but without a thorough clinical description.</w:t>
      </w:r>
    </w:p>
    <w:p/>
    <w:p>
      <w:pPr>
        <w:pStyle w:val="Normal"/>
      </w:pPr>
      <w:r>
        <w:rPr>
          <w:color w:val="323232"/>
        </w:rPr>
        <w:t xml:space="preserve">OBJECTIVES:To report the clinical features, diagnostics, treatment, and outcome of dogs with histologic evidence of PVOD and PCH.</w:t>
      </w:r>
    </w:p>
    <w:p/>
    <w:p>
      <w:pPr>
        <w:pStyle w:val="Normal"/>
      </w:pPr>
      <w:r>
        <w:rPr>
          <w:color w:val="323232"/>
        </w:rPr>
        <w:t xml:space="preserve">ANIMALS:Fifteen pet dogs meeting histopathologic criteria of PVOD (occlusive remodeling of small-sized to medium-sized pulmonary veins) or PCH (alveolar capillary proliferation and congestion), or both.</w:t>
      </w:r>
    </w:p>
    <w:p/>
    <w:p>
      <w:pPr>
        <w:pStyle w:val="Normal"/>
      </w:pPr>
      <w:r>
        <w:rPr>
          <w:color w:val="323232"/>
        </w:rPr>
        <w:t xml:space="preserve">METHODS:Medical records of dogs with PVOD and PCH identified based on histopathologic features between 2003 and 2017 were retrospectively reviewed.</w:t>
      </w:r>
    </w:p>
    <w:p/>
    <w:p>
      <w:pPr>
        <w:pStyle w:val="Normal"/>
      </w:pPr>
      <w:r>
        <w:rPr>
          <w:color w:val="323232"/>
        </w:rPr>
        <w:t xml:space="preserve">RESULTS:Fifteen dogs met inclusion criteria of a histologic diagnosis of PVOD or PCH or both. Dogs were older (median 11</w:t>
      </w:r>
      <w:r>
        <w:rPr>
          <w:color w:val="323232"/>
        </w:rPr>
        <w:t xml:space="preserve"> </w:t>
      </w:r>
      <w:r>
        <w:rPr>
          <w:color w:val="323232"/>
        </w:rPr>
        <w:t xml:space="preserve">years) with no apparent breed or sex predisposition. Dogs presented with acute clinical signs (median 3</w:t>
      </w:r>
      <w:r>
        <w:rPr>
          <w:color w:val="323232"/>
        </w:rPr>
        <w:t xml:space="preserve"> </w:t>
      </w:r>
      <w:r>
        <w:rPr>
          <w:color w:val="323232"/>
        </w:rPr>
        <w:t xml:space="preserve">days), usually respiratory distress. Thoracic radiography (available in 10 dogs) revealed right cardiomegaly and patchy or diffuse interstitial to alveolar patterns, with 9 dogs having a normal left cardiac silhouette. In 5 dogs tested, pulmonary arterial hypertension (PAH) was documented. In all 3 dogs, thoracic computed tomography scans showed pulmonary arterial enlargement and perivascular diffuse nodular ground-glass opacities. Ten of 15 dogs died within 1</w:t>
      </w:r>
      <w:r>
        <w:rPr>
          <w:color w:val="323232"/>
        </w:rPr>
        <w:t xml:space="preserve"> </w:t>
      </w:r>
      <w:r>
        <w:rPr>
          <w:color w:val="323232"/>
        </w:rPr>
        <w:t xml:space="preserve">day; median survival was 3</w:t>
      </w:r>
      <w:r>
        <w:rPr>
          <w:color w:val="323232"/>
        </w:rPr>
        <w:t xml:space="preserve"> </w:t>
      </w:r>
      <w:r>
        <w:rPr>
          <w:color w:val="323232"/>
        </w:rPr>
        <w:t xml:space="preserve">days.</w:t>
      </w:r>
    </w:p>
    <w:p/>
    <w:p>
      <w:pPr>
        <w:pStyle w:val="Normal"/>
      </w:pPr>
      <w:r>
        <w:rPr>
          <w:color w:val="323232"/>
        </w:rPr>
        <w:t xml:space="preserve">CONCLUSIONS AND CLINICAL IMPORTANCE:In dogs with PAH, the inability to document left-sided congestive heart failure and failure to identify another cause of signs of respiratory disease should increase suspicion for PVOD and PCH. With increased awareness of PVOD and PCH by clinicians and pathologists, dogs with compatible clinicopathologic features should be evaluated for these pulmonary vascular disorders.</w:t>
      </w:r>
    </w:p>
    <w:p/>
    <w:p>
      <w:pPr>
        <w:pStyle w:val="Normal"/>
      </w:pPr>
      <w:r>
        <w:rPr>
          <w:color w:val="323232"/>
        </w:rPr>
        <w:t xml:space="preserve">J Vet Intern Med, 2019 vol. 33 (1) pp. 114-123.</w:t>
      </w:r>
    </w:p>
    <w:p>
      <w:r>
        <w:rPr>
          <w:rStyle w:val="Hyperlink"/>
        </w:rPr>
        <w:fldChar w:fldCharType="begin"/>
      </w:r>
      <w:r>
        <w:rPr>
          <w:rStyle w:val="Hyperlink"/>
        </w:rPr>
        <w:instrText xml:space="preserve"> HYPERLINK "http://dx.doi.org/10.1111/jvim.15351" </w:instrText>
      </w:r>
      <w:r>
        <w:rPr>
          <w:rStyle w:val="Hyperlink"/>
        </w:rPr>
      </w:r>
      <w:r>
        <w:rPr>
          <w:rStyle w:val="Hyperlink"/>
        </w:rPr>
        <w:fldChar w:fldCharType="separate"/>
      </w:r>
      <w:pPr>
        <w:pStyle w:val="Normal"/>
      </w:pPr>
      <w:r>
        <w:rPr>
          <w:rStyle w:val="Hyperlink"/>
        </w:rPr>
        <w:t xml:space="preserve">http://dx.doi.org/10.1111/jvim.15351</w:t>
      </w:r>
      <w:r>
        <w:rPr>
          <w:rStyle w:val="Hyperlink"/>
        </w:rPr>
        <w:fldChar w:fldCharType="end"/>
      </w:r>
    </w:p>
    <w:p>
      <w:pPr>
        <w:pStyle w:val="Normal"/>
      </w:pPr>
      <w:r>
        <w:rPr>
          <w:color w:val="323232"/>
        </w:rPr>
        <w:t xml:space="preserve">————————</w:t>
      </w:r>
    </w:p>
    <w:p>
      <w:pPr>
        <w:pStyle w:val="Heading4"/>
      </w:pPr>
      <w:r>
        <w:t xml:space="preserve">Influence of canine donor plasma hemostatic protein concentration on quality of cryoprecipitate.</w:t>
      </w:r>
    </w:p>
    <w:p/>
    <w:p>
      <w:pPr>
        <w:pStyle w:val="Normal"/>
      </w:pPr>
      <w:r>
        <w:rPr>
          <w:color w:val="323232"/>
        </w:rPr>
        <w:t xml:space="preserve">Macy Drinkhouse, Marjory B Brooks, Darko Stefanovski, Kimberly Marryott, and Mary Beth Callan.</w:t>
      </w:r>
    </w:p>
    <w:p/>
    <w:p>
      <w:pPr>
        <w:pStyle w:val="Normal"/>
      </w:pPr>
      <w:r>
        <w:rPr>
          <w:color w:val="323232"/>
        </w:rPr>
        <w:t xml:space="preserve">BACKGROUND:Cryoprecipitate (CRYO) is a plasma component containing high concentrations of factor VIII (FVIII), von Willebrand factor (VWF), and fibrinogen. Because Greyhounds are reported to have lower plasma VWF and fibrinogen concentrations, their plasma may not yield high potency CRYO.</w:t>
      </w:r>
    </w:p>
    <w:p/>
    <w:p>
      <w:pPr>
        <w:pStyle w:val="Normal"/>
      </w:pPr>
      <w:r>
        <w:rPr>
          <w:color w:val="323232"/>
        </w:rPr>
        <w:t xml:space="preserve">OBJECTIVES:To determine if plasma hemostatic protein concentration is a good predictor of CRYO potency and if a difference exists in quality of CRYO prepared from Greyhounds versus non-Greyhounds.</w:t>
      </w:r>
    </w:p>
    <w:p/>
    <w:p>
      <w:pPr>
        <w:pStyle w:val="Normal"/>
      </w:pPr>
      <w:r>
        <w:rPr>
          <w:color w:val="323232"/>
        </w:rPr>
        <w:t xml:space="preserve">ANIMALS:Twenty Greyhounds and 20 non-Greyhounds.</w:t>
      </w:r>
    </w:p>
    <w:p/>
    <w:p>
      <w:pPr>
        <w:pStyle w:val="Normal"/>
      </w:pPr>
      <w:r>
        <w:rPr>
          <w:color w:val="323232"/>
        </w:rPr>
        <w:t xml:space="preserve">METHODS:A 450</w:t>
      </w:r>
      <w:r>
        <w:rPr>
          <w:color w:val="323232"/>
        </w:rPr>
        <w:t xml:space="preserve"> </w:t>
      </w:r>
      <w:r>
        <w:rPr>
          <w:color w:val="323232"/>
        </w:rPr>
        <w:t xml:space="preserve">mL unit of blood was collected from each donor, centrifuged to prepare fresh frozen plasma (FFP), and processed to CRYO. Aliquots of FFP and CRYO were analyzed for FVIII, VWF, and fibrinogen content and factor recovery.</w:t>
      </w:r>
    </w:p>
    <w:p/>
    <w:p>
      <w:pPr>
        <w:pStyle w:val="Normal"/>
      </w:pPr>
      <w:r>
        <w:rPr>
          <w:color w:val="323232"/>
        </w:rPr>
        <w:t xml:space="preserve">RESULTS:A positive correlation was found among donor plasma FVIII, VWF and fibrinogen concentration, and CRYO factor content (P</w:t>
      </w:r>
      <w:r>
        <w:rPr>
          <w:color w:val="323232"/>
        </w:rPr>
        <w:t xml:space="preserve"> </w:t>
      </w:r>
      <w:r>
        <w:rPr>
          <w:color w:val="323232"/>
        </w:rPr>
        <w:t xml:space="preserve">&lt;</w:t>
      </w:r>
      <w:r>
        <w:rPr>
          <w:color w:val="323232"/>
        </w:rPr>
        <w:t xml:space="preserve"> </w:t>
      </w:r>
      <w:r>
        <w:rPr>
          <w:color w:val="323232"/>
        </w:rPr>
        <w:t xml:space="preserve">.001). Mean recovery was highest for VWF (67%), followed by fibrinogen (47%), and FVIII (37%). No breed difference was found in mean CRYO FVIII content, but CRYO VWF and fibrinogen were lower in Greyhounds (P</w:t>
      </w:r>
      <w:r>
        <w:rPr>
          <w:color w:val="323232"/>
        </w:rPr>
        <w:t xml:space="preserve"> </w:t>
      </w:r>
      <w:r>
        <w:rPr>
          <w:color w:val="323232"/>
        </w:rPr>
        <w:t xml:space="preserve">=</w:t>
      </w:r>
      <w:r>
        <w:rPr>
          <w:color w:val="323232"/>
        </w:rPr>
        <w:t xml:space="preserve"> </w:t>
      </w:r>
      <w:r>
        <w:rPr>
          <w:color w:val="323232"/>
        </w:rPr>
        <w:t xml:space="preserve">.004 and P</w:t>
      </w:r>
      <w:r>
        <w:rPr>
          <w:color w:val="323232"/>
        </w:rPr>
        <w:t xml:space="preserve"> </w:t>
      </w:r>
      <w:r>
        <w:rPr>
          <w:color w:val="323232"/>
        </w:rPr>
        <w:t xml:space="preserve">&lt;</w:t>
      </w:r>
      <w:r>
        <w:rPr>
          <w:color w:val="323232"/>
        </w:rPr>
        <w:t xml:space="preserve"> </w:t>
      </w:r>
      <w:r>
        <w:rPr>
          <w:color w:val="323232"/>
        </w:rPr>
        <w:t xml:space="preserve">.001, respectively). No difference was found between Greyhounds and non-Greyhounds for the number of CRYO units meeting human blood banking standards.</w:t>
      </w:r>
    </w:p>
    <w:p/>
    <w:p>
      <w:pPr>
        <w:pStyle w:val="Normal"/>
      </w:pPr>
      <w:r>
        <w:rPr>
          <w:color w:val="323232"/>
        </w:rPr>
        <w:t xml:space="preserve">CONCLUSIONS AND CLINICAL IMPORTANCE:Factor concentration in FFP is associated with CRYO potency, suggesting that prescreening of blood donors may enhance CRYO quality. Despite lower VWF and fibrinogen content, CRYO prepared from Greyhounds is acceptable based on blood banking standards for humans, indicating that Greyhound FFP does not need to be excluded from CRYO production.</w:t>
      </w:r>
    </w:p>
    <w:p/>
    <w:p>
      <w:pPr>
        <w:pStyle w:val="Normal"/>
      </w:pPr>
      <w:r>
        <w:rPr>
          <w:color w:val="323232"/>
        </w:rPr>
        <w:t xml:space="preserve">J Vet Intern Med, 2019 vol. 33 (1) pp. 124-131.</w:t>
      </w:r>
    </w:p>
    <w:p>
      <w:r>
        <w:rPr>
          <w:rStyle w:val="Hyperlink"/>
        </w:rPr>
        <w:fldChar w:fldCharType="begin"/>
      </w:r>
      <w:r>
        <w:rPr>
          <w:rStyle w:val="Hyperlink"/>
        </w:rPr>
        <w:instrText xml:space="preserve"> HYPERLINK "http://eutils.ncbi.nlm.nih.gov/entrez/eutils/elink.fcgi?dbfrom=pubmed&amp;id=30548342&amp;retmode=ref&amp;cmd=prlinks"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http://eutils.ncbi.nlm.nih.gov/entrez/eutils/elink.fcgi?dbfrom=pubmed&amp;id=30548342&amp;retmode=ref&amp;cmd=prlinks</w:t>
      </w:r>
      <w:r>
        <w:rPr>
          <w:rStyle w:val="Hyperlink"/>
        </w:rPr>
        <w:fldChar w:fldCharType="end"/>
      </w:r>
    </w:p>
    <w:p>
      <w:pPr>
        <w:pStyle w:val="Normal"/>
      </w:pPr>
      <w:r>
        <w:rPr>
          <w:color w:val="323232"/>
        </w:rPr>
        <w:t xml:space="preserve">————————</w:t>
      </w:r>
    </w:p>
    <w:p>
      <w:pPr>
        <w:pStyle w:val="Heading4"/>
      </w:pPr>
      <w:r>
        <w:t xml:space="preserve">Correlation of plasma coagulation tests and fibrinogenClauss with rotational thromboelastometry parameters and prediction of bleeding in dogs.</w:t>
      </w:r>
    </w:p>
    <w:p/>
    <w:p>
      <w:pPr>
        <w:pStyle w:val="Normal"/>
      </w:pPr>
      <w:r>
        <w:rPr>
          <w:color w:val="323232"/>
        </w:rPr>
        <w:t xml:space="preserve">Nathalie M Enk, Annette P N Kutter, Claudia Kuemmerle Fraune, and Nadja E Sigrist.</w:t>
      </w:r>
    </w:p>
    <w:p/>
    <w:p>
      <w:pPr>
        <w:pStyle w:val="Normal"/>
      </w:pPr>
      <w:r>
        <w:rPr>
          <w:color w:val="323232"/>
        </w:rPr>
        <w:t xml:space="preserve">BACKGROUND:Correlation of plasma fibrinogen concentration (fibrinogenClauss ) with rotational thromboelastometry (ROTEM) parameters has not been investigated in dogs.</w:t>
      </w:r>
    </w:p>
    <w:p/>
    <w:p>
      <w:pPr>
        <w:pStyle w:val="Normal"/>
      </w:pPr>
      <w:r>
        <w:rPr>
          <w:color w:val="323232"/>
        </w:rPr>
        <w:t xml:space="preserve">OBJECTIVES:To determine the correlation between plasma coagulation tests and fibrinogenClauss with ROTEM parameters and to evaluate their ability to predict bleeding in dogs.</w:t>
      </w:r>
    </w:p>
    <w:p/>
    <w:p>
      <w:pPr>
        <w:pStyle w:val="Normal"/>
      </w:pPr>
      <w:r>
        <w:rPr>
          <w:color w:val="323232"/>
        </w:rPr>
        <w:t xml:space="preserve">ANIMALS:Ninety-seven dogs with concurrent determination of fibrinogenClauss and fibrin polymerization test (FIBTEM) analysis.</w:t>
      </w:r>
    </w:p>
    <w:p/>
    <w:p>
      <w:pPr>
        <w:pStyle w:val="Normal"/>
      </w:pPr>
      <w:r>
        <w:rPr>
          <w:color w:val="323232"/>
        </w:rPr>
        <w:t xml:space="preserve">METHODS:Signalment, pretreatment, clinical signs of bleeding, fibrinogenClauss , plasma coagulation test results, hematocrit, platelet count, FIBTEM, extrinsic (EXTEM) and intrinsic (INTEM) activated ROTEM assays were retrieved retrospectively. Correlations between fibrinogenClauss and FIBTEM maximum clot firmness (MCFFIBTEM ) and between prothrombin time (PT) or activated partial thromboplastin time (aPTT) and ROTEM parameters were determined. Dogs were further assigned to groups with or without clinical signs of bleeding. The prognostic significance of significantly different parameters to predict bleeding was evaluated.</w:t>
      </w:r>
    </w:p>
    <w:p/>
    <w:p>
      <w:pPr>
        <w:pStyle w:val="Normal"/>
      </w:pPr>
      <w:r>
        <w:rPr>
          <w:color w:val="323232"/>
        </w:rPr>
        <w:t xml:space="preserve">RESULTS:FibrinogenClauss showed strong correlation with MCFFIBTEM (r</w:t>
      </w:r>
      <w:r>
        <w:rPr>
          <w:color w:val="323232"/>
        </w:rPr>
        <w:t xml:space="preserve"> </w:t>
      </w:r>
      <w:r>
        <w:rPr>
          <w:color w:val="323232"/>
        </w:rPr>
        <w:t xml:space="preserve">=</w:t>
      </w:r>
      <w:r>
        <w:rPr>
          <w:color w:val="323232"/>
        </w:rPr>
        <w:t xml:space="preserve"> </w:t>
      </w:r>
      <w:r>
        <w:rPr>
          <w:color w:val="323232"/>
        </w:rPr>
        <w:t xml:space="preserve">0.860, n</w:t>
      </w:r>
      <w:r>
        <w:rPr>
          <w:color w:val="323232"/>
        </w:rPr>
        <w:t xml:space="preserve"> </w:t>
      </w:r>
      <w:r>
        <w:rPr>
          <w:color w:val="323232"/>
        </w:rPr>
        <w:t xml:space="preserve">=</w:t>
      </w:r>
      <w:r>
        <w:rPr>
          <w:color w:val="323232"/>
        </w:rPr>
        <w:t xml:space="preserve"> </w:t>
      </w:r>
      <w:r>
        <w:rPr>
          <w:color w:val="323232"/>
        </w:rPr>
        <w:t xml:space="preserve">97, P</w:t>
      </w:r>
      <w:r>
        <w:rPr>
          <w:color w:val="323232"/>
        </w:rPr>
        <w:t xml:space="preserve"> </w:t>
      </w:r>
      <w:r>
        <w:rPr>
          <w:color w:val="323232"/>
        </w:rPr>
        <w:t xml:space="preserve">&lt;</w:t>
      </w:r>
      <w:r>
        <w:rPr>
          <w:color w:val="323232"/>
        </w:rPr>
        <w:t xml:space="preserve"> </w:t>
      </w:r>
      <w:r>
        <w:rPr>
          <w:color w:val="323232"/>
        </w:rPr>
        <w:t xml:space="preserve">.001). PT showed strong correlation with EXTEM clotting time (CTEXTEM ) (r</w:t>
      </w:r>
      <w:r>
        <w:rPr>
          <w:color w:val="323232"/>
        </w:rPr>
        <w:t xml:space="preserve"> </w:t>
      </w:r>
      <w:r>
        <w:rPr>
          <w:color w:val="323232"/>
        </w:rPr>
        <w:t xml:space="preserve">=</w:t>
      </w:r>
      <w:r>
        <w:rPr>
          <w:color w:val="323232"/>
        </w:rPr>
        <w:t xml:space="preserve"> </w:t>
      </w:r>
      <w:r>
        <w:rPr>
          <w:color w:val="323232"/>
        </w:rPr>
        <w:t xml:space="preserve">0.839, n</w:t>
      </w:r>
      <w:r>
        <w:rPr>
          <w:color w:val="323232"/>
        </w:rPr>
        <w:t xml:space="preserve"> </w:t>
      </w:r>
      <w:r>
        <w:rPr>
          <w:color w:val="323232"/>
        </w:rPr>
        <w:t xml:space="preserve">=</w:t>
      </w:r>
      <w:r>
        <w:rPr>
          <w:color w:val="323232"/>
        </w:rPr>
        <w:t xml:space="preserve"> </w:t>
      </w:r>
      <w:r>
        <w:rPr>
          <w:color w:val="323232"/>
        </w:rPr>
        <w:t xml:space="preserve">53, P</w:t>
      </w:r>
      <w:r>
        <w:rPr>
          <w:color w:val="323232"/>
        </w:rPr>
        <w:t xml:space="preserve"> </w:t>
      </w:r>
      <w:r>
        <w:rPr>
          <w:color w:val="323232"/>
        </w:rPr>
        <w:t xml:space="preserve">&lt;</w:t>
      </w:r>
      <w:r>
        <w:rPr>
          <w:color w:val="323232"/>
        </w:rPr>
        <w:t xml:space="preserve"> </w:t>
      </w:r>
      <w:r>
        <w:rPr>
          <w:color w:val="323232"/>
        </w:rPr>
        <w:t xml:space="preserve">.001), and aPTT was strongly correlated with INTEM CT (CTINTEM ) (r</w:t>
      </w:r>
      <w:r>
        <w:rPr>
          <w:color w:val="323232"/>
        </w:rPr>
        <w:t xml:space="preserve"> </w:t>
      </w:r>
      <w:r>
        <w:rPr>
          <w:color w:val="323232"/>
        </w:rPr>
        <w:t xml:space="preserve">=</w:t>
      </w:r>
      <w:r>
        <w:rPr>
          <w:color w:val="323232"/>
        </w:rPr>
        <w:t xml:space="preserve"> </w:t>
      </w:r>
      <w:r>
        <w:rPr>
          <w:color w:val="323232"/>
        </w:rPr>
        <w:t xml:space="preserve">0.664, n</w:t>
      </w:r>
      <w:r>
        <w:rPr>
          <w:color w:val="323232"/>
        </w:rPr>
        <w:t xml:space="preserve"> </w:t>
      </w:r>
      <w:r>
        <w:rPr>
          <w:color w:val="323232"/>
        </w:rPr>
        <w:t xml:space="preserve">=</w:t>
      </w:r>
      <w:r>
        <w:rPr>
          <w:color w:val="323232"/>
        </w:rPr>
        <w:t xml:space="preserve"> </w:t>
      </w:r>
      <w:r>
        <w:rPr>
          <w:color w:val="323232"/>
        </w:rPr>
        <w:t xml:space="preserve">31, P</w:t>
      </w:r>
      <w:r>
        <w:rPr>
          <w:color w:val="323232"/>
        </w:rPr>
        <w:t xml:space="preserve"> </w:t>
      </w:r>
      <w:r>
        <w:rPr>
          <w:color w:val="323232"/>
        </w:rPr>
        <w:t xml:space="preserve">&lt;</w:t>
      </w:r>
      <w:r>
        <w:rPr>
          <w:color w:val="323232"/>
        </w:rPr>
        <w:t xml:space="preserve"> </w:t>
      </w:r>
      <w:r>
        <w:rPr>
          <w:color w:val="323232"/>
        </w:rPr>
        <w:t xml:space="preserve">.001). Platelet count, PT/aPTT, EXTEM clot formation time (CFTEXTEM ), MCFEXTEM , EXTEM maximum clot elasticity (MCEEXTEM ), and CTINTEM were significantly different between groups. A CTINTEM &gt;149</w:t>
      </w:r>
      <w:r>
        <w:rPr>
          <w:color w:val="323232"/>
        </w:rPr>
        <w:t xml:space="preserve"> </w:t>
      </w:r>
      <w:r>
        <w:rPr>
          <w:color w:val="323232"/>
        </w:rPr>
        <w:t xml:space="preserve">seconds was 100% sensitive to detect bleeding.</w:t>
      </w:r>
    </w:p>
    <w:p/>
    <w:p>
      <w:pPr>
        <w:pStyle w:val="Normal"/>
      </w:pPr>
      <w:r>
        <w:rPr>
          <w:color w:val="323232"/>
        </w:rPr>
        <w:t xml:space="preserve">CONCLUSIONS AND CLINICAL IMPORTANCE:The MCFFIBTEM can be used to evaluate the effect of fibrinogen on hemostasis as an alternative to determination of fibrinogenClauss . In addition, CTEXTEM and CTINTEM are strongly correlated with PT and aPTT, respectively.</w:t>
      </w:r>
    </w:p>
    <w:p/>
    <w:p>
      <w:pPr>
        <w:pStyle w:val="Normal"/>
      </w:pPr>
      <w:r>
        <w:rPr>
          <w:color w:val="323232"/>
        </w:rPr>
        <w:t xml:space="preserve">J Vet Intern Med, 2019 vol. 33 (1) pp. 132-140.</w:t>
      </w:r>
    </w:p>
    <w:p>
      <w:r>
        <w:rPr>
          <w:rStyle w:val="Hyperlink"/>
        </w:rPr>
        <w:fldChar w:fldCharType="begin"/>
      </w:r>
      <w:r>
        <w:rPr>
          <w:rStyle w:val="Hyperlink"/>
        </w:rPr>
        <w:instrText xml:space="preserve"> HYPERLINK "http://dx.doi.org/10.1111/jvim.15365" </w:instrText>
      </w:r>
      <w:r>
        <w:rPr>
          <w:rStyle w:val="Hyperlink"/>
        </w:rPr>
      </w:r>
      <w:r>
        <w:rPr>
          <w:rStyle w:val="Hyperlink"/>
        </w:rPr>
        <w:fldChar w:fldCharType="separate"/>
      </w:r>
      <w:pPr>
        <w:pStyle w:val="Normal"/>
      </w:pPr>
      <w:r>
        <w:rPr>
          <w:rStyle w:val="Hyperlink"/>
        </w:rPr>
        <w:t xml:space="preserve">http://dx.doi.org/10.1111/jvim.15365</w:t>
      </w:r>
      <w:r>
        <w:rPr>
          <w:rStyle w:val="Hyperlink"/>
        </w:rPr>
        <w:fldChar w:fldCharType="end"/>
      </w:r>
    </w:p>
    <w:p>
      <w:pPr>
        <w:pStyle w:val="Normal"/>
      </w:pPr>
      <w:r>
        <w:rPr>
          <w:color w:val="323232"/>
        </w:rPr>
        <w:t xml:space="preserve">————————</w:t>
      </w:r>
    </w:p>
    <w:p>
      <w:pPr>
        <w:pStyle w:val="Heading4"/>
      </w:pPr>
      <w:r>
        <w:t xml:space="preserve">Hepatic leptospiral infections in dogs without obvious renal involvement.</w:t>
      </w:r>
    </w:p>
    <w:p/>
    <w:p>
      <w:pPr>
        <w:pStyle w:val="Normal"/>
      </w:pPr>
      <w:r>
        <w:rPr>
          <w:color w:val="323232"/>
        </w:rPr>
        <w:t xml:space="preserve">Katie E McCallum, Fernando Constantino-Casas, John M Cullen, James H Warland, Harry Swales, Niamh Linghley, Andre J Kortum, Alex J Sterritt, Tristan Cogan, and Penny J Watson.</w:t>
      </w:r>
    </w:p>
    <w:p/>
    <w:p>
      <w:pPr>
        <w:pStyle w:val="Normal"/>
      </w:pPr>
      <w:r>
        <w:rPr>
          <w:color w:val="323232"/>
        </w:rPr>
        <w:t xml:space="preserve">BACKGROUND:Reports of chronic hepatitis in dogs caused by Leptospira spp. are confined to small case series. Fluorescence in situ hybridization (FISH) allows the identification of spirochetes in liver samples. Consequently, this technique may help elucidate the role of Leptospira spp. in cases of chronic hepatitis.</w:t>
      </w:r>
    </w:p>
    <w:p/>
    <w:p>
      <w:pPr>
        <w:pStyle w:val="Normal"/>
      </w:pPr>
      <w:r>
        <w:rPr>
          <w:color w:val="323232"/>
        </w:rPr>
        <w:t xml:space="preserve">OBJECTIVES:To describe cases of hepatic leptospirosis in dogs diagnosed by FISH and subsequent polymerase chain reaction (PCR) speciation, with the absence of clinically relevant renal involvement.</w:t>
      </w:r>
    </w:p>
    <w:p/>
    <w:p>
      <w:pPr>
        <w:pStyle w:val="Normal"/>
      </w:pPr>
      <w:r>
        <w:rPr>
          <w:color w:val="323232"/>
        </w:rPr>
        <w:t xml:space="preserve">ANIMALS:Ten client-owned dogs.</w:t>
      </w:r>
    </w:p>
    <w:p/>
    <w:p>
      <w:pPr>
        <w:pStyle w:val="Normal"/>
      </w:pPr>
      <w:r>
        <w:rPr>
          <w:color w:val="323232"/>
        </w:rPr>
        <w:t xml:space="preserve">METHODS:Retrospective case series from the University of Cambridge presented between 2013 and 2016 or cases consulted by telephone advice during this time period. Cases were selected based on histopathologically confirmed granulomatous hepatitis and leptospiral organisms identified by FISH and PCR speciation (Leptospira interrogans/kirschneri).</w:t>
      </w:r>
    </w:p>
    <w:p/>
    <w:p>
      <w:pPr>
        <w:pStyle w:val="Normal"/>
      </w:pPr>
      <w:r>
        <w:rPr>
          <w:color w:val="323232"/>
        </w:rPr>
        <w:t xml:space="preserve">RESULTS:All cases had increased liver enzyme activities, and FISH in combination with PCR speciation-confirmed infection with L. interrogans/ kirschneri. Four dogs underwent repeat liver biopsy, FISH and PCR speciation 4-15</w:t>
      </w:r>
      <w:r>
        <w:rPr>
          <w:color w:val="323232"/>
        </w:rPr>
        <w:t xml:space="preserve"> </w:t>
      </w:r>
      <w:r>
        <w:rPr>
          <w:color w:val="323232"/>
        </w:rPr>
        <w:t xml:space="preserve">months after initial presentation and doxycycline treatment with 1 dog undergoing repeat sampling at necropsy. Three dogs that underwent repeat biopsy remained positive for L. interrogans/ kirschneri infection. Six dogs were alive at the time of manuscript preparation and 4 dogs were euthanized as a result of progressive liver disease.</w:t>
      </w:r>
    </w:p>
    <w:p/>
    <w:p>
      <w:pPr>
        <w:pStyle w:val="Normal"/>
      </w:pPr>
      <w:r>
        <w:rPr>
          <w:color w:val="323232"/>
        </w:rPr>
        <w:t xml:space="preserve">CONCLUSIONS AND CLINICAL IMPORTANCE:The presence of hepatic leptospiral organisms may be associated with chronic granulomatous hepatitis without clinical evidence of renal involvement. Further studies are necessary to elucidate the etiological role of these organisms in the disease.</w:t>
      </w:r>
    </w:p>
    <w:p/>
    <w:p>
      <w:pPr>
        <w:pStyle w:val="Normal"/>
      </w:pPr>
      <w:r>
        <w:rPr>
          <w:color w:val="323232"/>
        </w:rPr>
        <w:t xml:space="preserve">J Vet Intern Med, 2019 vol. 33 (1) pp. 141-150.</w:t>
      </w:r>
    </w:p>
    <w:p>
      <w:r>
        <w:rPr>
          <w:rStyle w:val="Hyperlink"/>
        </w:rPr>
        <w:fldChar w:fldCharType="begin"/>
      </w:r>
      <w:r>
        <w:rPr>
          <w:rStyle w:val="Hyperlink"/>
        </w:rPr>
        <w:instrText xml:space="preserve"> HYPERLINK "http://dx.doi.org/10.1111/jvim.15340" </w:instrText>
      </w:r>
      <w:r>
        <w:rPr>
          <w:rStyle w:val="Hyperlink"/>
        </w:rPr>
      </w:r>
      <w:r>
        <w:rPr>
          <w:rStyle w:val="Hyperlink"/>
        </w:rPr>
        <w:fldChar w:fldCharType="separate"/>
      </w:r>
      <w:pPr>
        <w:pStyle w:val="Normal"/>
      </w:pPr>
      <w:r>
        <w:rPr>
          <w:rStyle w:val="Hyperlink"/>
        </w:rPr>
        <w:t xml:space="preserve">http://dx.doi.org/10.1111/jvim.15340</w:t>
      </w:r>
      <w:r>
        <w:rPr>
          <w:rStyle w:val="Hyperlink"/>
        </w:rPr>
        <w:fldChar w:fldCharType="end"/>
      </w:r>
    </w:p>
    <w:p>
      <w:pPr>
        <w:pStyle w:val="Normal"/>
      </w:pPr>
      <w:r>
        <w:rPr>
          <w:color w:val="323232"/>
        </w:rPr>
        <w:t xml:space="preserve">————————</w:t>
      </w:r>
    </w:p>
    <w:p>
      <w:pPr>
        <w:pStyle w:val="Heading4"/>
      </w:pPr>
      <w:r>
        <w:t xml:space="preserve">Association of circulating microRNA-122 and microRNA-29a with stage of fibrosis and progression of chronic hepatitis in Labrador Retrievers.</w:t>
      </w:r>
    </w:p>
    <w:p/>
    <w:p>
      <w:pPr>
        <w:pStyle w:val="Normal"/>
      </w:pPr>
      <w:r>
        <w:rPr>
          <w:color w:val="323232"/>
        </w:rPr>
        <w:t xml:space="preserve">Manabu Sakai, Bart Spee, Guy C M Grinwis, Louis C Penning, Monique E van Wolferen, Luc J W van der Laan, and Hille Fieten.</w:t>
      </w:r>
    </w:p>
    <w:p/>
    <w:p>
      <w:pPr>
        <w:pStyle w:val="Normal"/>
      </w:pPr>
      <w:r>
        <w:rPr>
          <w:color w:val="323232"/>
        </w:rPr>
        <w:t xml:space="preserve">BACKGROUND:Chronic hepatitis (CH) in dogs is common and has the tendency to progress to liver cirrhosis (LC). Circulating microRNAs might have the potential as markers for disease progression.</w:t>
      </w:r>
    </w:p>
    <w:p/>
    <w:p>
      <w:pPr>
        <w:pStyle w:val="Normal"/>
      </w:pPr>
      <w:r>
        <w:rPr>
          <w:color w:val="323232"/>
        </w:rPr>
        <w:t xml:space="preserve">OBJECTIVES:To investigate whether concentration of specific microRNAs in serum correlate with the stage and grade of CH in Labrador Retrievers.</w:t>
      </w:r>
    </w:p>
    <w:p/>
    <w:p>
      <w:pPr>
        <w:pStyle w:val="Normal"/>
      </w:pPr>
      <w:r>
        <w:rPr>
          <w:color w:val="323232"/>
        </w:rPr>
        <w:t xml:space="preserve">ANIMALS:Twenty-two Labrador Retrievers with histological CH (n</w:t>
      </w:r>
      <w:r>
        <w:rPr>
          <w:color w:val="323232"/>
        </w:rPr>
        <w:t xml:space="preserve"> </w:t>
      </w:r>
      <w:r>
        <w:rPr>
          <w:color w:val="323232"/>
        </w:rPr>
        <w:t xml:space="preserve">=</w:t>
      </w:r>
      <w:r>
        <w:rPr>
          <w:color w:val="323232"/>
        </w:rPr>
        <w:t xml:space="preserve"> </w:t>
      </w:r>
      <w:r>
        <w:rPr>
          <w:color w:val="323232"/>
        </w:rPr>
        <w:t xml:space="preserve">8), LC (n</w:t>
      </w:r>
      <w:r>
        <w:rPr>
          <w:color w:val="323232"/>
        </w:rPr>
        <w:t xml:space="preserve"> </w:t>
      </w:r>
      <w:r>
        <w:rPr>
          <w:color w:val="323232"/>
        </w:rPr>
        <w:t xml:space="preserve">=</w:t>
      </w:r>
      <w:r>
        <w:rPr>
          <w:color w:val="323232"/>
        </w:rPr>
        <w:t xml:space="preserve"> </w:t>
      </w:r>
      <w:r>
        <w:rPr>
          <w:color w:val="323232"/>
        </w:rPr>
        <w:t xml:space="preserve">7), and normal liver (NL, n</w:t>
      </w:r>
      <w:r>
        <w:rPr>
          <w:color w:val="323232"/>
        </w:rPr>
        <w:t xml:space="preserve"> </w:t>
      </w:r>
      <w:r>
        <w:rPr>
          <w:color w:val="323232"/>
        </w:rPr>
        <w:t xml:space="preserve">=</w:t>
      </w:r>
      <w:r>
        <w:rPr>
          <w:color w:val="323232"/>
        </w:rPr>
        <w:t xml:space="preserve"> </w:t>
      </w:r>
      <w:r>
        <w:rPr>
          <w:color w:val="323232"/>
        </w:rPr>
        <w:t xml:space="preserve">7).</w:t>
      </w:r>
    </w:p>
    <w:p/>
    <w:p>
      <w:pPr>
        <w:pStyle w:val="Normal"/>
      </w:pPr>
      <w:r>
        <w:rPr>
          <w:color w:val="323232"/>
        </w:rPr>
        <w:t xml:space="preserve">METHODS:In this retrospective study, serum concentrations of miR-122, miR-29a, miR-133a, miR-181b, and miR-17-5p were measured by quantitative real-time PCR and evaluated using univariate linear regression in dogs. A multivariate model was fit including the grade of hepatitis and the stage of fibrosis.</w:t>
      </w:r>
    </w:p>
    <w:p/>
    <w:p>
      <w:pPr>
        <w:pStyle w:val="Normal"/>
      </w:pPr>
      <w:r>
        <w:rPr>
          <w:color w:val="323232"/>
        </w:rPr>
        <w:t xml:space="preserve">RESULTS:Of the 5 microRNAs, only circulating miR-122 and miR-29a were significantly associated with the grade of hepatitis and the stage of fibrosis. A positive correlation was identified between the grade of hepatitis with miR-122 (rs </w:t>
      </w:r>
      <w:r>
        <w:rPr>
          <w:color w:val="323232"/>
        </w:rPr>
        <w:t xml:space="preserve"> </w:t>
      </w:r>
      <w:r>
        <w:rPr>
          <w:color w:val="323232"/>
        </w:rPr>
        <w:t xml:space="preserve">=</w:t>
      </w:r>
      <w:r>
        <w:rPr>
          <w:color w:val="323232"/>
        </w:rPr>
        <w:t xml:space="preserve"> </w:t>
      </w:r>
      <w:r>
        <w:rPr>
          <w:color w:val="323232"/>
        </w:rPr>
        <w:t xml:space="preserve">0.79, P</w:t>
      </w:r>
      <w:r>
        <w:rPr>
          <w:color w:val="323232"/>
        </w:rPr>
        <w:t xml:space="preserve"> </w:t>
      </w:r>
      <w:r>
        <w:rPr>
          <w:color w:val="323232"/>
        </w:rPr>
        <w:t xml:space="preserve">&lt;</w:t>
      </w:r>
      <w:r>
        <w:rPr>
          <w:color w:val="323232"/>
        </w:rPr>
        <w:t xml:space="preserve"> </w:t>
      </w:r>
      <w:r>
        <w:rPr>
          <w:color w:val="323232"/>
        </w:rPr>
        <w:t xml:space="preserve">.001) and miR-29a (rs </w:t>
      </w:r>
      <w:r>
        <w:rPr>
          <w:color w:val="323232"/>
        </w:rPr>
        <w:t xml:space="preserve"> </w:t>
      </w:r>
      <w:r>
        <w:rPr>
          <w:color w:val="323232"/>
        </w:rPr>
        <w:t xml:space="preserve">=</w:t>
      </w:r>
      <w:r>
        <w:rPr>
          <w:color w:val="323232"/>
        </w:rPr>
        <w:t xml:space="preserve"> </w:t>
      </w:r>
      <w:r>
        <w:rPr>
          <w:color w:val="323232"/>
        </w:rPr>
        <w:t xml:space="preserve">0.78, P</w:t>
      </w:r>
      <w:r>
        <w:rPr>
          <w:color w:val="323232"/>
        </w:rPr>
        <w:t xml:space="preserve"> </w:t>
      </w:r>
      <w:r>
        <w:rPr>
          <w:color w:val="323232"/>
        </w:rPr>
        <w:t xml:space="preserve">&lt;</w:t>
      </w:r>
      <w:r>
        <w:rPr>
          <w:color w:val="323232"/>
        </w:rPr>
        <w:t xml:space="preserve"> </w:t>
      </w:r>
      <w:r>
        <w:rPr>
          <w:color w:val="323232"/>
        </w:rPr>
        <w:t xml:space="preserve">.001). Both miR-122 (rs </w:t>
      </w:r>
      <w:r>
        <w:rPr>
          <w:color w:val="323232"/>
        </w:rPr>
        <w:t xml:space="preserve"> </w:t>
      </w:r>
      <w:r>
        <w:rPr>
          <w:color w:val="323232"/>
        </w:rPr>
        <w:t xml:space="preserve">=</w:t>
      </w:r>
      <w:r>
        <w:rPr>
          <w:color w:val="323232"/>
        </w:rPr>
        <w:t xml:space="preserve"> </w:t>
      </w:r>
      <w:r>
        <w:rPr>
          <w:color w:val="323232"/>
        </w:rPr>
        <w:t xml:space="preserve">0.81, P</w:t>
      </w:r>
      <w:r>
        <w:rPr>
          <w:color w:val="323232"/>
        </w:rPr>
        <w:t xml:space="preserve"> </w:t>
      </w:r>
      <w:r>
        <w:rPr>
          <w:color w:val="323232"/>
        </w:rPr>
        <w:t xml:space="preserve">&lt;</w:t>
      </w:r>
      <w:r>
        <w:rPr>
          <w:color w:val="323232"/>
        </w:rPr>
        <w:t xml:space="preserve"> </w:t>
      </w:r>
      <w:r>
        <w:rPr>
          <w:color w:val="323232"/>
        </w:rPr>
        <w:t xml:space="preserve">.001) and miR-29a (rs </w:t>
      </w:r>
      <w:r>
        <w:rPr>
          <w:color w:val="323232"/>
        </w:rPr>
        <w:t xml:space="preserve"> </w:t>
      </w:r>
      <w:r>
        <w:rPr>
          <w:color w:val="323232"/>
        </w:rPr>
        <w:t xml:space="preserve">=</w:t>
      </w:r>
      <w:r>
        <w:rPr>
          <w:color w:val="323232"/>
        </w:rPr>
        <w:t xml:space="preserve"> </w:t>
      </w:r>
      <w:r>
        <w:rPr>
          <w:color w:val="323232"/>
        </w:rPr>
        <w:t xml:space="preserve">0.67, P</w:t>
      </w:r>
      <w:r>
        <w:rPr>
          <w:color w:val="323232"/>
        </w:rPr>
        <w:t xml:space="preserve"> </w:t>
      </w:r>
      <w:r>
        <w:rPr>
          <w:color w:val="323232"/>
        </w:rPr>
        <w:t xml:space="preserve">&lt;</w:t>
      </w:r>
      <w:r>
        <w:rPr>
          <w:color w:val="323232"/>
        </w:rPr>
        <w:t xml:space="preserve"> </w:t>
      </w:r>
      <w:r>
        <w:rPr>
          <w:color w:val="323232"/>
        </w:rPr>
        <w:t xml:space="preserve">.001) showed a significant positive correlation with the stage of fibrosis. MiR-122 concentrations were significantly higher in the CH (P</w:t>
      </w:r>
      <w:r>
        <w:rPr>
          <w:color w:val="323232"/>
        </w:rPr>
        <w:t xml:space="preserve"> </w:t>
      </w:r>
      <w:r>
        <w:rPr>
          <w:color w:val="323232"/>
        </w:rPr>
        <w:t xml:space="preserve">&lt;</w:t>
      </w:r>
      <w:r>
        <w:rPr>
          <w:color w:val="323232"/>
        </w:rPr>
        <w:t xml:space="preserve"> </w:t>
      </w:r>
      <w:r>
        <w:rPr>
          <w:color w:val="323232"/>
        </w:rPr>
        <w:t xml:space="preserve">.01) and LC groups (P</w:t>
      </w:r>
      <w:r>
        <w:rPr>
          <w:color w:val="323232"/>
        </w:rPr>
        <w:t xml:space="preserve"> </w:t>
      </w:r>
      <w:r>
        <w:rPr>
          <w:color w:val="323232"/>
        </w:rPr>
        <w:t xml:space="preserve">&lt;</w:t>
      </w:r>
      <w:r>
        <w:rPr>
          <w:color w:val="323232"/>
        </w:rPr>
        <w:t xml:space="preserve"> </w:t>
      </w:r>
      <w:r>
        <w:rPr>
          <w:color w:val="323232"/>
        </w:rPr>
        <w:t xml:space="preserve">.001) compared to the NL group. MiR-29a concentrations were significantly higher in the CH (P</w:t>
      </w:r>
      <w:r>
        <w:rPr>
          <w:color w:val="323232"/>
        </w:rPr>
        <w:t xml:space="preserve"> </w:t>
      </w:r>
      <w:r>
        <w:rPr>
          <w:color w:val="323232"/>
        </w:rPr>
        <w:t xml:space="preserve">&lt;</w:t>
      </w:r>
      <w:r>
        <w:rPr>
          <w:color w:val="323232"/>
        </w:rPr>
        <w:t xml:space="preserve"> </w:t>
      </w:r>
      <w:r>
        <w:rPr>
          <w:color w:val="323232"/>
        </w:rPr>
        <w:t xml:space="preserve">.001) and LC (P</w:t>
      </w:r>
      <w:r>
        <w:rPr>
          <w:color w:val="323232"/>
        </w:rPr>
        <w:t xml:space="preserve"> </w:t>
      </w:r>
      <w:r>
        <w:rPr>
          <w:color w:val="323232"/>
        </w:rPr>
        <w:t xml:space="preserve">&lt;</w:t>
      </w:r>
      <w:r>
        <w:rPr>
          <w:color w:val="323232"/>
        </w:rPr>
        <w:t xml:space="preserve"> </w:t>
      </w:r>
      <w:r>
        <w:rPr>
          <w:color w:val="323232"/>
        </w:rPr>
        <w:t xml:space="preserve">.001) groups compared to the NL group.</w:t>
      </w:r>
    </w:p>
    <w:p/>
    <w:p>
      <w:pPr>
        <w:pStyle w:val="Normal"/>
      </w:pPr>
      <w:r>
        <w:rPr>
          <w:color w:val="323232"/>
        </w:rPr>
        <w:t xml:space="preserve">CONCLUSIONS AND CLINICAL IMPORTANCE:Circulating miR-122 and miR-29a concentrations might be useful for monitoring the response to treatment and progression of canine CH.</w:t>
      </w:r>
    </w:p>
    <w:p/>
    <w:p>
      <w:pPr>
        <w:pStyle w:val="Normal"/>
      </w:pPr>
      <w:r>
        <w:rPr>
          <w:color w:val="323232"/>
        </w:rPr>
        <w:t xml:space="preserve">J Vet Intern Med, 2019 vol. 33 (1) pp. 151-157.</w:t>
      </w:r>
    </w:p>
    <w:p>
      <w:r>
        <w:rPr>
          <w:rStyle w:val="Hyperlink"/>
        </w:rPr>
        <w:fldChar w:fldCharType="begin"/>
      </w:r>
      <w:r>
        <w:rPr>
          <w:rStyle w:val="Hyperlink"/>
        </w:rPr>
        <w:instrText xml:space="preserve"> HYPERLINK "http://dx.doi.org/10.1111/jvim.15366" </w:instrText>
      </w:r>
      <w:r>
        <w:rPr>
          <w:rStyle w:val="Hyperlink"/>
        </w:rPr>
      </w:r>
      <w:r>
        <w:rPr>
          <w:rStyle w:val="Hyperlink"/>
        </w:rPr>
        <w:fldChar w:fldCharType="separate"/>
      </w:r>
      <w:pPr>
        <w:pStyle w:val="Normal"/>
      </w:pPr>
      <w:r>
        <w:rPr>
          <w:rStyle w:val="Hyperlink"/>
        </w:rPr>
        <w:t xml:space="preserve">http://dx.doi.org/10.1111/jvim.15366</w:t>
      </w:r>
      <w:r>
        <w:rPr>
          <w:rStyle w:val="Hyperlink"/>
        </w:rPr>
        <w:fldChar w:fldCharType="end"/>
      </w:r>
    </w:p>
    <w:p>
      <w:pPr>
        <w:pStyle w:val="Normal"/>
      </w:pPr>
      <w:r>
        <w:rPr>
          <w:color w:val="323232"/>
        </w:rPr>
        <w:t xml:space="preserve">————————</w:t>
      </w:r>
    </w:p>
    <w:p>
      <w:pPr>
        <w:pStyle w:val="Heading4"/>
      </w:pPr>
      <w:r>
        <w:t xml:space="preserve">Repeated cross-sectional study of Trypanosoma cruzi in shelter dogs in Texas, in the context of Dirofilaria immitis and tick-borne pathogen prevalence.</w:t>
      </w:r>
    </w:p>
    <w:p/>
    <w:p>
      <w:pPr>
        <w:pStyle w:val="Normal"/>
      </w:pPr>
      <w:r>
        <w:rPr>
          <w:color w:val="323232"/>
        </w:rPr>
        <w:t xml:space="preserve">Carolyn L Hodo, Jessica Y Rodriguez, Rachel Curtis-Robles, Italo B Zecca, Karen F Snowden, Kevin J Cummings, and Sarah A Hamer.</w:t>
      </w:r>
    </w:p>
    <w:p/>
    <w:p>
      <w:pPr>
        <w:pStyle w:val="Normal"/>
      </w:pPr>
      <w:r>
        <w:rPr>
          <w:color w:val="323232"/>
        </w:rPr>
        <w:t xml:space="preserve">BACKGROUND:Vector-borne diseases have an adverse impact on health of dogs, and infected dogs can be sentinels for human infection. Infection with Trypanosoma cruzi, an agent of Chagas disease, causes fatal heart disease in dogs across the southern United States but has been neglected from wide-scale prevalence studies.</w:t>
      </w:r>
    </w:p>
    <w:p/>
    <w:p>
      <w:pPr>
        <w:pStyle w:val="Normal"/>
      </w:pPr>
      <w:r>
        <w:rPr>
          <w:color w:val="323232"/>
        </w:rPr>
        <w:t xml:space="preserve">OBJECTIVES:To determine the prevalence of exposure to T. cruzi, Ehrlichia spp., Anaplasma spp., Borrelia burgdorferi, and infection with Dirofilaria immitis among dogs in shelters across Texas and to identify risk factors for T. cruzi seropositivity.</w:t>
      </w:r>
    </w:p>
    <w:p/>
    <w:p>
      <w:pPr>
        <w:pStyle w:val="Normal"/>
      </w:pPr>
      <w:r>
        <w:rPr>
          <w:color w:val="323232"/>
        </w:rPr>
        <w:t xml:space="preserve">ANIMALS:Six hundred and eight dogs.</w:t>
      </w:r>
    </w:p>
    <w:p/>
    <w:p>
      <w:pPr>
        <w:pStyle w:val="Normal"/>
      </w:pPr>
      <w:r>
        <w:rPr>
          <w:color w:val="323232"/>
        </w:rPr>
        <w:t xml:space="preserve">METHODS:This repeated cross-sectional study was performed by collecting blood from ~30 dogs during each of the 3 visits to 7 shelters. We tested serum for antibodies to T. cruzi using 2 tests in series and for antibodies to Ehrlichia spp., Anaplasma spp., and B. burgdorferi and D. immitis antigen using the IDEXX SNAP 4DX Plus point-of-care test. DNA was extracted from blood clots and tested for T. cruzi DNA and strain type via quantitative polymerase chain reactions (qPCR). We used logistic regression to assess risk factors.</w:t>
      </w:r>
    </w:p>
    <w:p/>
    <w:p>
      <w:pPr>
        <w:pStyle w:val="Normal"/>
      </w:pPr>
      <w:r>
        <w:rPr>
          <w:color w:val="323232"/>
        </w:rPr>
        <w:t xml:space="preserve">RESULTS:One hundred ten (18.1%) of 608 dogs were seropositive for T. cruzi. Prevalence of exposure to the other vector-borne agents was: Ehrlichia spp. 3.6%; Anaplasma spp. 6.9%; B. burgdorferi 0.2%; and D. immitis infection 16.0%. Six of 559 (1.1%) dogs were qPCR-positive for T. cruzi.</w:t>
      </w:r>
    </w:p>
    <w:p/>
    <w:p>
      <w:pPr>
        <w:pStyle w:val="Normal"/>
      </w:pPr>
      <w:r>
        <w:rPr>
          <w:color w:val="323232"/>
        </w:rPr>
        <w:t xml:space="preserve">CONCLUSIONS AND CLINICAL IMPORTANCE:T. cruzi seroprevalence was comparable to D. immitis prevalence and higher than seroprevalence of the tick-borne pathogens. T. cruzi is an underrecognized health threat to dogs across Texas and possibly other southern states where triatomine vectors are endemic.</w:t>
      </w:r>
    </w:p>
    <w:p/>
    <w:p>
      <w:pPr>
        <w:pStyle w:val="Normal"/>
      </w:pPr>
      <w:r>
        <w:rPr>
          <w:color w:val="323232"/>
        </w:rPr>
        <w:t xml:space="preserve">J Vet Intern Med, 2019 vol. 33 (1) pp. 158-166.</w:t>
      </w:r>
    </w:p>
    <w:p>
      <w:r>
        <w:rPr>
          <w:rStyle w:val="Hyperlink"/>
        </w:rPr>
        <w:fldChar w:fldCharType="begin"/>
      </w:r>
      <w:r>
        <w:rPr>
          <w:rStyle w:val="Hyperlink"/>
        </w:rPr>
        <w:instrText xml:space="preserve"> HYPERLINK "http://dx.doi.org/10.1111/jvim.15352" </w:instrText>
      </w:r>
      <w:r>
        <w:rPr>
          <w:rStyle w:val="Hyperlink"/>
        </w:rPr>
      </w:r>
      <w:r>
        <w:rPr>
          <w:rStyle w:val="Hyperlink"/>
        </w:rPr>
        <w:fldChar w:fldCharType="separate"/>
      </w:r>
      <w:pPr>
        <w:pStyle w:val="Normal"/>
      </w:pPr>
      <w:r>
        <w:rPr>
          <w:rStyle w:val="Hyperlink"/>
        </w:rPr>
        <w:t xml:space="preserve">http://dx.doi.org/10.1111/jvim.15352</w:t>
      </w:r>
      <w:r>
        <w:rPr>
          <w:rStyle w:val="Hyperlink"/>
        </w:rPr>
        <w:fldChar w:fldCharType="end"/>
      </w:r>
    </w:p>
    <w:p>
      <w:pPr>
        <w:pStyle w:val="Normal"/>
      </w:pPr>
      <w:r>
        <w:rPr>
          <w:color w:val="323232"/>
        </w:rPr>
        <w:t xml:space="preserve">————————</w:t>
      </w:r>
    </w:p>
    <w:p>
      <w:pPr>
        <w:pStyle w:val="Heading4"/>
      </w:pPr>
      <w:r>
        <w:t xml:space="preserve">Comparison of the performance of the IDEXX SediVue Dx® with manual microscopy for the detection of cells and 2 crystal types in canine and feline urine.</w:t>
      </w:r>
    </w:p>
    <w:p/>
    <w:p>
      <w:pPr>
        <w:pStyle w:val="Normal"/>
      </w:pPr>
      <w:r>
        <w:rPr>
          <w:color w:val="323232"/>
        </w:rPr>
        <w:t xml:space="preserve">Annalisa M Hernandez, Graham E A Bilbrough, Dennis B DeNicola, Celine Myrick, Suzanne Edwards, Jeremy M Hammond, Alex N Myers, Johanna C Heseltine, Karen Russell, Marco Giraldi, and Mary B Nabity.</w:t>
      </w:r>
    </w:p>
    <w:p/>
    <w:p>
      <w:pPr>
        <w:pStyle w:val="Normal"/>
      </w:pPr>
      <w:r>
        <w:rPr>
          <w:color w:val="323232"/>
        </w:rPr>
        <w:t xml:space="preserve">BACKGROUND:Microscopic evaluation of urine is inconsistently performed in veterinary clinics. The IDEXX SediVue Dx® Urine Sediment Analyzer (SediVue) recently was introduced for automated analysis of canine and feline urine and may facilitate performance of urinalyses in practice.</w:t>
      </w:r>
    </w:p>
    <w:p/>
    <w:p>
      <w:pPr>
        <w:pStyle w:val="Normal"/>
      </w:pPr>
      <w:r>
        <w:rPr>
          <w:color w:val="323232"/>
        </w:rPr>
        <w:t xml:space="preserve">OBJECTIVE:Compare the performance of the SediVue with manual microscopy for detecting clinically relevant numbers of cells and 2 crystal types.</w:t>
      </w:r>
    </w:p>
    <w:p/>
    <w:p>
      <w:pPr>
        <w:pStyle w:val="Normal"/>
      </w:pPr>
      <w:r>
        <w:rPr>
          <w:color w:val="323232"/>
        </w:rPr>
        <w:t xml:space="preserve">SAMPLES:Five-hundred thirty urine samples (82% canine, 18% feline).</w:t>
      </w:r>
    </w:p>
    <w:p/>
    <w:p>
      <w:pPr>
        <w:pStyle w:val="Normal"/>
      </w:pPr>
      <w:r>
        <w:rPr>
          <w:color w:val="323232"/>
        </w:rPr>
        <w:t xml:space="preserve">METHODS:For SediVue analysis (software versions [SW] 1.0.0.0 and 1.0.1.3), uncentrifuged urine was pipetted into a cartridge. Images were captured and processed using a convolutional neural network algorithm. For manual microscopy, urine was centrifuged to obtain sediment. To determine sensitivity and specificity of the SediVue compared with manual microscopy, thresholds were set at ≥5/high power field (hpf) for red blood cells (RBC) and white blood cells (WBC) and ≥1/hpf for squamous epithelial cells (sqEPI), non-squamous epithelial cells (nsEPI), struvite crystals (STR), and calcium oxalate dihydrate crystals (CaOx Di).</w:t>
      </w:r>
    </w:p>
    <w:p/>
    <w:p>
      <w:pPr>
        <w:pStyle w:val="Normal"/>
      </w:pPr>
      <w:r>
        <w:rPr>
          <w:color w:val="323232"/>
        </w:rPr>
        <w:t xml:space="preserve">RESULTS:The sensitivity of the SediVue (SW1.0.1.3) was 85%-90% for the detection of RBC, WBC, and STR; 75% for CaOx Di; 71% for nsEPI; and 33% for sqEPI. Specificity was 99% for sqEPI and CaOx Di; 87%-90% for RBC, WBC, and nsEPI; and 84% for STR. Compared to SW1.0.0.0, SW1.0.1.3 had increased sensitivity but decreased specificity. Performance was similar for canine versus feline and fresh versus stored urine samples.</w:t>
      </w:r>
    </w:p>
    <w:p/>
    <w:p>
      <w:pPr>
        <w:pStyle w:val="Normal"/>
      </w:pPr>
      <w:r>
        <w:rPr>
          <w:color w:val="323232"/>
        </w:rPr>
        <w:t xml:space="preserve">CONCLUSIONS AND CLINICAL IMPORTANCE:The SediVue exhibits good agreement with manual microscopy for the detection of most formed elements evaluated, but improvement is needed for epithelial cells.</w:t>
      </w:r>
    </w:p>
    <w:p/>
    <w:p>
      <w:pPr>
        <w:pStyle w:val="Normal"/>
      </w:pPr>
      <w:r>
        <w:rPr>
          <w:color w:val="323232"/>
        </w:rPr>
        <w:t xml:space="preserve">J Vet Intern Med, 2019 vol. 33 (1) pp. 167-177.</w:t>
      </w:r>
    </w:p>
    <w:p>
      <w:r>
        <w:rPr>
          <w:rStyle w:val="Hyperlink"/>
        </w:rPr>
        <w:fldChar w:fldCharType="begin"/>
      </w:r>
      <w:r>
        <w:rPr>
          <w:rStyle w:val="Hyperlink"/>
        </w:rPr>
        <w:instrText xml:space="preserve"> HYPERLINK "http://dx.doi.org/10.1111/jvim.15341" </w:instrText>
      </w:r>
      <w:r>
        <w:rPr>
          <w:rStyle w:val="Hyperlink"/>
        </w:rPr>
      </w:r>
      <w:r>
        <w:rPr>
          <w:rStyle w:val="Hyperlink"/>
        </w:rPr>
        <w:fldChar w:fldCharType="separate"/>
      </w:r>
      <w:pPr>
        <w:pStyle w:val="Normal"/>
      </w:pPr>
      <w:r>
        <w:rPr>
          <w:rStyle w:val="Hyperlink"/>
        </w:rPr>
        <w:t xml:space="preserve">http://dx.doi.org/10.1111/jvim.15341</w:t>
      </w:r>
      <w:r>
        <w:rPr>
          <w:rStyle w:val="Hyperlink"/>
        </w:rPr>
        <w:fldChar w:fldCharType="end"/>
      </w:r>
    </w:p>
    <w:p>
      <w:pPr>
        <w:pStyle w:val="Normal"/>
      </w:pPr>
      <w:r>
        <w:rPr>
          <w:color w:val="323232"/>
        </w:rPr>
        <w:t xml:space="preserve">————————</w:t>
      </w:r>
    </w:p>
    <w:p>
      <w:pPr>
        <w:pStyle w:val="Heading4"/>
      </w:pPr>
      <w:r>
        <w:t xml:space="preserve">Risk factors for positive urine cultures in cats with subcutaneous ureteral bypass and ureteral stents (2010-2016).</w:t>
      </w:r>
    </w:p>
    <w:p/>
    <w:p>
      <w:pPr>
        <w:pStyle w:val="Normal"/>
      </w:pPr>
      <w:r>
        <w:rPr>
          <w:color w:val="323232"/>
        </w:rPr>
        <w:t xml:space="preserve">Lucy Kopecny, Carrie A Palm, Kenneth J Drobatz, Ingrid M Balsa, and William T N Culp.</w:t>
      </w:r>
    </w:p>
    <w:p/>
    <w:p>
      <w:pPr>
        <w:pStyle w:val="Normal"/>
      </w:pPr>
      <w:r>
        <w:rPr>
          <w:color w:val="323232"/>
        </w:rPr>
        <w:t xml:space="preserve">BACKGROUND:Ureteral stent and subcutaneous ureteral bypass (SUB) placement are commonly used for managing ureteral obstructions. Urinary tract infection (UTI) is a recognized complication.</w:t>
      </w:r>
    </w:p>
    <w:p/>
    <w:p>
      <w:pPr>
        <w:pStyle w:val="Normal"/>
      </w:pPr>
      <w:r>
        <w:rPr>
          <w:color w:val="323232"/>
        </w:rPr>
        <w:t xml:space="preserve">OBJECTIVES:To determine postoperative incidence of positive urine cultures in cats undergoing ureteral stent and SUB placement and to identify risk factors associated with positive urine cultures.</w:t>
      </w:r>
    </w:p>
    <w:p/>
    <w:p>
      <w:pPr>
        <w:pStyle w:val="Normal"/>
      </w:pPr>
      <w:r>
        <w:rPr>
          <w:color w:val="323232"/>
        </w:rPr>
        <w:t xml:space="preserve">DESIGN:Retrospective study.</w:t>
      </w:r>
    </w:p>
    <w:p/>
    <w:p>
      <w:pPr>
        <w:pStyle w:val="Normal"/>
      </w:pPr>
      <w:r>
        <w:rPr>
          <w:color w:val="323232"/>
        </w:rPr>
        <w:t xml:space="preserve">ANIMALS:Forty-three cats that underwent 48 surgical events.</w:t>
      </w:r>
    </w:p>
    <w:p/>
    <w:p>
      <w:pPr>
        <w:pStyle w:val="Normal"/>
      </w:pPr>
      <w:r>
        <w:rPr>
          <w:color w:val="323232"/>
        </w:rPr>
        <w:t xml:space="preserve">PROCEDURES:Medical records were reviewed. Cats were included if urine cultures were performed before and after surgery. Variables were compared to identify risk factors.</w:t>
      </w:r>
    </w:p>
    <w:p/>
    <w:p>
      <w:pPr>
        <w:pStyle w:val="Normal"/>
      </w:pPr>
      <w:r>
        <w:rPr>
          <w:color w:val="323232"/>
        </w:rPr>
        <w:t xml:space="preserve">RESULTS:Urine cultures were positive postoperatively pre-discharge in 5/20 (25%) cats. Median duration of follow-up post-discharge was 209 days (range, 11-2184 days), with a total of 143 urine cultures performed in cats post-discharge. Of these, 16 (11%) were positive in 12/48 (25%) cats. Nine different bacteria were identified; Enterococcus spp. (n</w:t>
      </w:r>
      <w:r>
        <w:rPr>
          <w:color w:val="323232"/>
        </w:rPr>
        <w:t xml:space="preserve"> </w:t>
      </w:r>
      <w:r>
        <w:rPr>
          <w:color w:val="323232"/>
        </w:rPr>
        <w:t xml:space="preserve">=</w:t>
      </w:r>
      <w:r>
        <w:rPr>
          <w:color w:val="323232"/>
        </w:rPr>
        <w:t xml:space="preserve"> </w:t>
      </w:r>
      <w:r>
        <w:rPr>
          <w:color w:val="323232"/>
        </w:rPr>
        <w:t xml:space="preserve">8) predominated as monomicrobic or mixed infections. In 14/16 instances of positive urine cultures, affected cats had lower urinary tract signs, signs of pyelonephritis or both. Cats that received antibiotics postoperatively were significantly less likely to have a positive urine culture compared to those that did not (odds ratio, 0.2, 95% confidence interval, 0.05, 0.8, P</w:t>
      </w:r>
      <w:r>
        <w:rPr>
          <w:color w:val="323232"/>
        </w:rPr>
        <w:t xml:space="preserve"> </w:t>
      </w:r>
      <w:r>
        <w:rPr>
          <w:color w:val="323232"/>
        </w:rPr>
        <w:t xml:space="preserve">=</w:t>
      </w:r>
      <w:r>
        <w:rPr>
          <w:color w:val="323232"/>
        </w:rPr>
        <w:t xml:space="preserve"> </w:t>
      </w:r>
      <w:r>
        <w:rPr>
          <w:color w:val="323232"/>
        </w:rPr>
        <w:t xml:space="preserve">0.02). Chronic kidney disease, renal implant type and postoperative urinary catheterization were not associated with positive urine cultures.</w:t>
      </w:r>
    </w:p>
    <w:p/>
    <w:p>
      <w:pPr>
        <w:pStyle w:val="Normal"/>
      </w:pPr>
      <w:r>
        <w:rPr>
          <w:color w:val="323232"/>
        </w:rPr>
        <w:t xml:space="preserve">CONCLUSIONS AND CLINICAL RELEVANCE:Postoperatively, occurrence of positive urine cultures was similar to previous reports. Subclinical bacteriuria was less common than UTI. Postoperative urinary catheterization has been speculated to increase risk of bacteriuria, but this was not the case in this cohort.</w:t>
      </w:r>
    </w:p>
    <w:p/>
    <w:p>
      <w:pPr>
        <w:pStyle w:val="Normal"/>
      </w:pPr>
      <w:r>
        <w:rPr>
          <w:color w:val="323232"/>
        </w:rPr>
        <w:t xml:space="preserve">J Vet Intern Med, 2019 vol. 33 (1) pp. 178-183.</w:t>
      </w:r>
    </w:p>
    <w:p>
      <w:r>
        <w:rPr>
          <w:rStyle w:val="Hyperlink"/>
        </w:rPr>
        <w:fldChar w:fldCharType="begin"/>
      </w:r>
      <w:r>
        <w:rPr>
          <w:rStyle w:val="Hyperlink"/>
        </w:rPr>
        <w:instrText xml:space="preserve"> HYPERLINK "http://dx.doi.org/10.1111/jvim.15343" </w:instrText>
      </w:r>
      <w:r>
        <w:rPr>
          <w:rStyle w:val="Hyperlink"/>
        </w:rPr>
      </w:r>
      <w:r>
        <w:rPr>
          <w:rStyle w:val="Hyperlink"/>
        </w:rPr>
        <w:fldChar w:fldCharType="separate"/>
      </w:r>
      <w:pPr>
        <w:pStyle w:val="Normal"/>
      </w:pPr>
      <w:r>
        <w:rPr>
          <w:rStyle w:val="Hyperlink"/>
        </w:rPr>
        <w:t xml:space="preserve">http://dx.doi.org/10.1111/jvim.15343</w:t>
      </w:r>
      <w:r>
        <w:rPr>
          <w:rStyle w:val="Hyperlink"/>
        </w:rPr>
        <w:fldChar w:fldCharType="end"/>
      </w:r>
    </w:p>
    <w:p>
      <w:pPr>
        <w:pStyle w:val="Normal"/>
      </w:pPr>
      <w:r>
        <w:rPr>
          <w:color w:val="323232"/>
        </w:rPr>
        <w:t xml:space="preserve">————————</w:t>
      </w:r>
    </w:p>
    <w:p>
      <w:pPr>
        <w:pStyle w:val="Heading4"/>
      </w:pPr>
      <w:r>
        <w:t xml:space="preserve">Clinical, histopathologic, cystoscopic, and fluorescence in situ hybridization analysis of proliferative urethritis in 22 dogs.</w:t>
      </w:r>
    </w:p>
    <w:p/>
    <w:p>
      <w:pPr>
        <w:pStyle w:val="Normal"/>
      </w:pPr>
      <w:r>
        <w:rPr>
          <w:color w:val="323232"/>
        </w:rPr>
        <w:t xml:space="preserve">Moria A Borys, Sean E Hulsebosch, F Charles Mohr, Katherine D Watson, Jane E Sykes, Kenneth W Simpson, and Jodi L Westropp.</w:t>
      </w:r>
    </w:p>
    <w:p/>
    <w:p>
      <w:pPr>
        <w:pStyle w:val="Normal"/>
      </w:pPr>
      <w:r>
        <w:rPr>
          <w:color w:val="323232"/>
        </w:rPr>
        <w:t xml:space="preserve">BACKGROUND:Proliferative urethritis (PU) is a lower urinary tract disease of dogs characterized by frond-like lesions in the urethra. The etiology of PU is unknown, although an association with bacterial cystitis is reported.</w:t>
      </w:r>
    </w:p>
    <w:p/>
    <w:p>
      <w:pPr>
        <w:pStyle w:val="Normal"/>
      </w:pPr>
      <w:r>
        <w:rPr>
          <w:color w:val="323232"/>
        </w:rPr>
        <w:t xml:space="preserve">OBJECTIVES:Deep-seated bacterial cystitis is associated with PU, particularly in dogs with neutrophilic or granulomatous inflammation.</w:t>
      </w:r>
    </w:p>
    <w:p/>
    <w:p>
      <w:pPr>
        <w:pStyle w:val="Normal"/>
      </w:pPr>
      <w:r>
        <w:rPr>
          <w:color w:val="323232"/>
        </w:rPr>
        <w:t xml:space="preserve">ANIMALS:Twenty-two client-owned dogs with PU and 5 control dogs euthanized for non-urinary disease.</w:t>
      </w:r>
    </w:p>
    <w:p/>
    <w:p>
      <w:pPr>
        <w:pStyle w:val="Normal"/>
      </w:pPr>
      <w:r>
        <w:rPr>
          <w:color w:val="323232"/>
        </w:rPr>
        <w:t xml:space="preserve">METHODS:In retrospective analysis, medical records of dogs with PU from 1986 to 2016 were reviewed. Signalment, clinical signs, cystoscopic findings, antimicrobial use, and results of urine, bladder, or urethral tissue cultures, if available, were recorded. Histopathology was reviewed and classified as lymphocytic-plasmacytic (LP), neutrophilic, LP-neutrophilic (LPN), granulomatous, or pleocellular. Eubacterial fluorescence in situ hybridization (FISH) was performed on 18 tissue samples (13 cases, 5 controls), with subsequent evaluation of bacterial species.</w:t>
      </w:r>
    </w:p>
    <w:p/>
    <w:p>
      <w:pPr>
        <w:pStyle w:val="Normal"/>
      </w:pPr>
      <w:r>
        <w:rPr>
          <w:color w:val="323232"/>
        </w:rPr>
        <w:t xml:space="preserve">RESULTS:Of the 22 dogs, 9 had LP urethritis, 6 had LPN, 4 had pleocellular, and 3 had neutrophilic urethritis. Of note, 7 of 13 PU samples were FISH+ for adherent or invasive bacteria; 1 of 5 controls were FISH+ for adherent bacteria. Five dogs had negative urine and tissue cultures when FISH was positive. There was no association detected between the type of urethral inflammation and the results of urine and tissue culture or FISH.</w:t>
      </w:r>
    </w:p>
    <w:p/>
    <w:p>
      <w:pPr>
        <w:pStyle w:val="Normal"/>
      </w:pPr>
      <w:r>
        <w:rPr>
          <w:color w:val="323232"/>
        </w:rPr>
        <w:t xml:space="preserve">CONCLUSIONS AND CLINICAL IMPORTANCE:The type of inflammation varied widely in these 22 PU cases. Deep-seated bacterial urethritis could be contributing to the inflammatory process in some dogs, regardless of the inflammation type. Urine and tissue cultures likely underestimate bacterial colonization of the urethra in dogs.</w:t>
      </w:r>
    </w:p>
    <w:p/>
    <w:p>
      <w:pPr>
        <w:pStyle w:val="Normal"/>
      </w:pPr>
      <w:r>
        <w:rPr>
          <w:color w:val="323232"/>
        </w:rPr>
        <w:t xml:space="preserve">J Vet Intern Med, 2019 vol. 33 (1) pp. 184-191.</w:t>
      </w:r>
    </w:p>
    <w:p>
      <w:r>
        <w:rPr>
          <w:rStyle w:val="Hyperlink"/>
        </w:rPr>
        <w:fldChar w:fldCharType="begin"/>
      </w:r>
      <w:r>
        <w:rPr>
          <w:rStyle w:val="Hyperlink"/>
        </w:rPr>
        <w:instrText xml:space="preserve"> HYPERLINK "http://dx.doi.org/10.1111/jvim.15349" </w:instrText>
      </w:r>
      <w:r>
        <w:rPr>
          <w:rStyle w:val="Hyperlink"/>
        </w:rPr>
      </w:r>
      <w:r>
        <w:rPr>
          <w:rStyle w:val="Hyperlink"/>
        </w:rPr>
        <w:fldChar w:fldCharType="separate"/>
      </w:r>
      <w:pPr>
        <w:pStyle w:val="Normal"/>
      </w:pPr>
      <w:r>
        <w:rPr>
          <w:rStyle w:val="Hyperlink"/>
        </w:rPr>
        <w:t xml:space="preserve">http://dx.doi.org/10.1111/jvim.15349</w:t>
      </w:r>
      <w:r>
        <w:rPr>
          <w:rStyle w:val="Hyperlink"/>
        </w:rPr>
        <w:fldChar w:fldCharType="end"/>
      </w:r>
    </w:p>
    <w:p>
      <w:pPr>
        <w:pStyle w:val="Normal"/>
      </w:pPr>
      <w:r>
        <w:rPr>
          <w:color w:val="323232"/>
        </w:rPr>
        <w:t xml:space="preserve">————————</w:t>
      </w:r>
    </w:p>
    <w:p>
      <w:pPr>
        <w:pStyle w:val="Heading4"/>
      </w:pPr>
      <w:r>
        <w:t xml:space="preserve">Relationships among urinary protein-to-creatinine ratio, urine specific gravity, and bacteriuria in canine urine samples.</w:t>
      </w:r>
    </w:p>
    <w:p/>
    <w:p>
      <w:pPr>
        <w:pStyle w:val="Normal"/>
      </w:pPr>
      <w:r>
        <w:rPr>
          <w:color w:val="323232"/>
        </w:rPr>
        <w:t xml:space="preserve">Alison G Meindl, Bianca N Lourenço, Amanda E Coleman, and Kate E Creevy.</w:t>
      </w:r>
    </w:p>
    <w:p/>
    <w:p>
      <w:pPr>
        <w:pStyle w:val="Normal"/>
      </w:pPr>
      <w:r>
        <w:rPr>
          <w:color w:val="323232"/>
        </w:rPr>
        <w:t xml:space="preserve">BACKGROUND:Proteinuria is a marker of chronic kidney disease in dogs and a risk factor for increased morbidity and death. Predictive models using the results of readily available screening tests could foster early recognition.</w:t>
      </w:r>
    </w:p>
    <w:p/>
    <w:p>
      <w:pPr>
        <w:pStyle w:val="Normal"/>
      </w:pPr>
      <w:r>
        <w:rPr>
          <w:color w:val="323232"/>
        </w:rPr>
        <w:t xml:space="preserve">OBJECTIVE:To determine whether urine specific gravity (USG) and semiquantitative category of dipstick protein can be used to predict urinary protein-to-creatinine ratio (UP</w:t>
      </w:r>
      <w:r>
        <w:rPr>
          <w:color w:val="323232"/>
        </w:rPr>
        <w:t xml:space="preserve"> </w:t>
      </w:r>
      <w:r>
        <w:rPr>
          <w:color w:val="323232"/>
        </w:rPr>
        <w:t xml:space="preserve">:</w:t>
      </w:r>
      <w:r>
        <w:rPr>
          <w:color w:val="323232"/>
        </w:rPr>
        <w:t xml:space="preserve"> </w:t>
      </w:r>
      <w:r>
        <w:rPr>
          <w:color w:val="323232"/>
        </w:rPr>
        <w:t xml:space="preserve">C) and to examine the effect of urine culture results on UP</w:t>
      </w:r>
      <w:r>
        <w:rPr>
          <w:color w:val="323232"/>
        </w:rPr>
        <w:t xml:space="preserve"> </w:t>
      </w:r>
      <w:r>
        <w:rPr>
          <w:color w:val="323232"/>
        </w:rPr>
        <w:t xml:space="preserve">:</w:t>
      </w:r>
      <w:r>
        <w:rPr>
          <w:color w:val="323232"/>
        </w:rPr>
        <w:t xml:space="preserve"> </w:t>
      </w:r>
      <w:r>
        <w:rPr>
          <w:color w:val="323232"/>
        </w:rPr>
        <w:t xml:space="preserve">C in dogs.</w:t>
      </w:r>
    </w:p>
    <w:p/>
    <w:p>
      <w:pPr>
        <w:pStyle w:val="Normal"/>
      </w:pPr>
      <w:r>
        <w:rPr>
          <w:color w:val="323232"/>
        </w:rPr>
        <w:t xml:space="preserve">ANIMALS:Three hundred ninety-four dogs (482 visits) presented to a university Community Practice Clinic or Veterinary Teaching Hospital between January 2011 and November 2015.</w:t>
      </w:r>
    </w:p>
    <w:p/>
    <w:p>
      <w:pPr>
        <w:pStyle w:val="Normal"/>
      </w:pPr>
      <w:r>
        <w:rPr>
          <w:color w:val="323232"/>
        </w:rPr>
        <w:t xml:space="preserve">METHODS:Retrospective study. Medical records were searched to identify dogs for which urinalysis, UP</w:t>
      </w:r>
      <w:r>
        <w:rPr>
          <w:color w:val="323232"/>
        </w:rPr>
        <w:t xml:space="preserve"> </w:t>
      </w:r>
      <w:r>
        <w:rPr>
          <w:color w:val="323232"/>
        </w:rPr>
        <w:t xml:space="preserve">:</w:t>
      </w:r>
      <w:r>
        <w:rPr>
          <w:color w:val="323232"/>
        </w:rPr>
        <w:t xml:space="preserve"> </w:t>
      </w:r>
      <w:r>
        <w:rPr>
          <w:color w:val="323232"/>
        </w:rPr>
        <w:t xml:space="preserve">C measurement, and urine culture testing were performed during a single hospital visit. Urine specific gravity, UP</w:t>
      </w:r>
      <w:r>
        <w:rPr>
          <w:color w:val="323232"/>
        </w:rPr>
        <w:t xml:space="preserve"> </w:t>
      </w:r>
      <w:r>
        <w:rPr>
          <w:color w:val="323232"/>
        </w:rPr>
        <w:t xml:space="preserve">:</w:t>
      </w:r>
      <w:r>
        <w:rPr>
          <w:color w:val="323232"/>
        </w:rPr>
        <w:t xml:space="preserve"> </w:t>
      </w:r>
      <w:r>
        <w:rPr>
          <w:color w:val="323232"/>
        </w:rPr>
        <w:t xml:space="preserve">C, dipstick protein concentration, and findings of urine sediment analysis and urine culture were recorded. Regression or Spearman correlation analysis was used to test for relationships between UP</w:t>
      </w:r>
      <w:r>
        <w:rPr>
          <w:color w:val="323232"/>
        </w:rPr>
        <w:t xml:space="preserve"> </w:t>
      </w:r>
      <w:r>
        <w:rPr>
          <w:color w:val="323232"/>
        </w:rPr>
        <w:t xml:space="preserve">:</w:t>
      </w:r>
      <w:r>
        <w:rPr>
          <w:color w:val="323232"/>
        </w:rPr>
        <w:t xml:space="preserve"> </w:t>
      </w:r>
      <w:r>
        <w:rPr>
          <w:color w:val="323232"/>
        </w:rPr>
        <w:t xml:space="preserve">C and USG within dipstick categories and between UP</w:t>
      </w:r>
      <w:r>
        <w:rPr>
          <w:color w:val="323232"/>
        </w:rPr>
        <w:t xml:space="preserve"> </w:t>
      </w:r>
      <w:r>
        <w:rPr>
          <w:color w:val="323232"/>
        </w:rPr>
        <w:t xml:space="preserve">:</w:t>
      </w:r>
      <w:r>
        <w:rPr>
          <w:color w:val="323232"/>
        </w:rPr>
        <w:t xml:space="preserve"> </w:t>
      </w:r>
      <w:r>
        <w:rPr>
          <w:color w:val="323232"/>
        </w:rPr>
        <w:t xml:space="preserve">C and bacterial colony-forming units per milliliter, respectively. Cohen's kappa test was used to evaluate agreement between urine culture and UP</w:t>
      </w:r>
      <w:r>
        <w:rPr>
          <w:color w:val="323232"/>
        </w:rPr>
        <w:t xml:space="preserve"> </w:t>
      </w:r>
      <w:r>
        <w:rPr>
          <w:color w:val="323232"/>
        </w:rPr>
        <w:t xml:space="preserve">:</w:t>
      </w:r>
      <w:r>
        <w:rPr>
          <w:color w:val="323232"/>
        </w:rPr>
        <w:t xml:space="preserve"> </w:t>
      </w:r>
      <w:r>
        <w:rPr>
          <w:color w:val="323232"/>
        </w:rPr>
        <w:t xml:space="preserve">C testing.</w:t>
      </w:r>
    </w:p>
    <w:p/>
    <w:p>
      <w:pPr>
        <w:pStyle w:val="Normal"/>
      </w:pPr>
      <w:r>
        <w:rPr>
          <w:color w:val="323232"/>
        </w:rPr>
        <w:t xml:space="preserve">RESULTS:There were significant (P</w:t>
      </w:r>
      <w:r>
        <w:rPr>
          <w:color w:val="323232"/>
        </w:rPr>
        <w:t xml:space="preserve"> </w:t>
      </w:r>
      <w:r>
        <w:rPr>
          <w:color w:val="323232"/>
        </w:rPr>
        <w:t xml:space="preserve">&lt;</w:t>
      </w:r>
      <w:r>
        <w:rPr>
          <w:color w:val="323232"/>
        </w:rPr>
        <w:t xml:space="preserve"> </w:t>
      </w:r>
      <w:r>
        <w:rPr>
          <w:color w:val="323232"/>
        </w:rPr>
        <w:t xml:space="preserve">.05) weak negative correlations (R2 range, 0.14-0.37) between UP</w:t>
      </w:r>
      <w:r>
        <w:rPr>
          <w:color w:val="323232"/>
        </w:rPr>
        <w:t xml:space="preserve"> </w:t>
      </w:r>
      <w:r>
        <w:rPr>
          <w:color w:val="323232"/>
        </w:rPr>
        <w:t xml:space="preserve">:</w:t>
      </w:r>
      <w:r>
        <w:rPr>
          <w:color w:val="323232"/>
        </w:rPr>
        <w:t xml:space="preserve"> </w:t>
      </w:r>
      <w:r>
        <w:rPr>
          <w:color w:val="323232"/>
        </w:rPr>
        <w:t xml:space="preserve">C and USG for all nonnegative urine protein dipstick categories. The presence of a positive urine culture did not agree with the presence of abnormal UP</w:t>
      </w:r>
      <w:r>
        <w:rPr>
          <w:color w:val="323232"/>
        </w:rPr>
        <w:t xml:space="preserve"> </w:t>
      </w:r>
      <w:r>
        <w:rPr>
          <w:color w:val="323232"/>
        </w:rPr>
        <w:t xml:space="preserve">:</w:t>
      </w:r>
      <w:r>
        <w:rPr>
          <w:color w:val="323232"/>
        </w:rPr>
        <w:t xml:space="preserve"> </w:t>
      </w:r>
      <w:r>
        <w:rPr>
          <w:color w:val="323232"/>
        </w:rPr>
        <w:t xml:space="preserve">C (κ</w:t>
      </w:r>
      <w:r>
        <w:rPr>
          <w:color w:val="323232"/>
        </w:rPr>
        <w:t xml:space="preserve"> </w:t>
      </w:r>
      <w:r>
        <w:rPr>
          <w:color w:val="323232"/>
        </w:rPr>
        <w:t xml:space="preserve">=</w:t>
      </w:r>
      <w:r>
        <w:rPr>
          <w:color w:val="323232"/>
        </w:rPr>
        <w:t xml:space="preserve"> </w:t>
      </w:r>
      <w:r>
        <w:rPr>
          <w:color w:val="323232"/>
        </w:rPr>
        <w:t xml:space="preserve">-0.06).</w:t>
      </w:r>
    </w:p>
    <w:p/>
    <w:p>
      <w:pPr>
        <w:pStyle w:val="Normal"/>
      </w:pPr>
      <w:r>
        <w:rPr>
          <w:color w:val="323232"/>
        </w:rPr>
        <w:t xml:space="preserve">CONCLUSIONS AND CLINICAL IMPORTANCE:Within dipstick protein categories, UP</w:t>
      </w:r>
      <w:r>
        <w:rPr>
          <w:color w:val="323232"/>
        </w:rPr>
        <w:t xml:space="preserve"> </w:t>
      </w:r>
      <w:r>
        <w:rPr>
          <w:color w:val="323232"/>
        </w:rPr>
        <w:t xml:space="preserve">:</w:t>
      </w:r>
      <w:r>
        <w:rPr>
          <w:color w:val="323232"/>
        </w:rPr>
        <w:t xml:space="preserve"> </w:t>
      </w:r>
      <w:r>
        <w:rPr>
          <w:color w:val="323232"/>
        </w:rPr>
        <w:t xml:space="preserve">C cannot be accurately predicted from USG. Repeating UP</w:t>
      </w:r>
      <w:r>
        <w:rPr>
          <w:color w:val="323232"/>
        </w:rPr>
        <w:t xml:space="preserve"> </w:t>
      </w:r>
      <w:r>
        <w:rPr>
          <w:color w:val="323232"/>
        </w:rPr>
        <w:t xml:space="preserve">:</w:t>
      </w:r>
      <w:r>
        <w:rPr>
          <w:color w:val="323232"/>
        </w:rPr>
        <w:t xml:space="preserve"> </w:t>
      </w:r>
      <w:r>
        <w:rPr>
          <w:color w:val="323232"/>
        </w:rPr>
        <w:t xml:space="preserve">C measurement after resolution of urinary tract infection is advisable.</w:t>
      </w:r>
    </w:p>
    <w:p/>
    <w:p>
      <w:pPr>
        <w:pStyle w:val="Normal"/>
      </w:pPr>
      <w:r>
        <w:rPr>
          <w:color w:val="323232"/>
        </w:rPr>
        <w:t xml:space="preserve">J Vet Intern Med, 2019 vol. 33 (1) pp. 192-199.</w:t>
      </w:r>
    </w:p>
    <w:p>
      <w:r>
        <w:rPr>
          <w:rStyle w:val="Hyperlink"/>
        </w:rPr>
        <w:fldChar w:fldCharType="begin"/>
      </w:r>
      <w:r>
        <w:rPr>
          <w:rStyle w:val="Hyperlink"/>
        </w:rPr>
        <w:instrText xml:space="preserve"> HYPERLINK "http://dx.doi.org/10.1111/jvim.15377" </w:instrText>
      </w:r>
      <w:r>
        <w:rPr>
          <w:rStyle w:val="Hyperlink"/>
        </w:rPr>
      </w:r>
      <w:r>
        <w:rPr>
          <w:rStyle w:val="Hyperlink"/>
        </w:rPr>
        <w:fldChar w:fldCharType="separate"/>
      </w:r>
      <w:pPr>
        <w:pStyle w:val="Normal"/>
      </w:pPr>
      <w:r>
        <w:rPr>
          <w:rStyle w:val="Hyperlink"/>
        </w:rPr>
        <w:t xml:space="preserve">http://dx.doi.org/10.1111/jvim.15377</w:t>
      </w:r>
      <w:r>
        <w:rPr>
          <w:rStyle w:val="Hyperlink"/>
        </w:rPr>
        <w:fldChar w:fldCharType="end"/>
      </w:r>
    </w:p>
    <w:p>
      <w:pPr>
        <w:pStyle w:val="Normal"/>
      </w:pPr>
      <w:r>
        <w:rPr>
          <w:color w:val="323232"/>
        </w:rPr>
        <w:t xml:space="preserve">————————</w:t>
      </w:r>
    </w:p>
    <w:p>
      <w:pPr>
        <w:pStyle w:val="Heading4"/>
      </w:pPr>
      <w:r>
        <w:t xml:space="preserve">Parenterally administered vancomycin in 29 dogs and 7 cats (2003-2017).</w:t>
      </w:r>
    </w:p>
    <w:p/>
    <w:p>
      <w:pPr>
        <w:pStyle w:val="Normal"/>
      </w:pPr>
      <w:r>
        <w:rPr>
          <w:color w:val="323232"/>
        </w:rPr>
        <w:t xml:space="preserve">Ian M DeStefano, Annie S Wayne, Elizabeth A Rozanski, and Jonathan M Babyak.</w:t>
      </w:r>
    </w:p>
    <w:p/>
    <w:p>
      <w:pPr>
        <w:pStyle w:val="Normal"/>
      </w:pPr>
      <w:r>
        <w:rPr>
          <w:color w:val="323232"/>
        </w:rPr>
        <w:t xml:space="preserve">BACKGROUND:Vancomycin is commonly used to treat resistant bacterial infections in people. Reported adverse effects of vancomycin in people include acute kidney injury (AKI), neutropenia, and systemic allergic reaction. Given the increased incidence of vancomycin-resistant bacterial infections in people, support is growing for restriction of vancomycin.</w:t>
      </w:r>
    </w:p>
    <w:p/>
    <w:p>
      <w:pPr>
        <w:pStyle w:val="Normal"/>
      </w:pPr>
      <w:r>
        <w:rPr>
          <w:color w:val="323232"/>
        </w:rPr>
        <w:t xml:space="preserve">OBJECTIVES:To evaluate the use of intravenous (IV) vancomycin in a university teaching hospital and to describe potential adverse effects.</w:t>
      </w:r>
    </w:p>
    <w:p/>
    <w:p>
      <w:pPr>
        <w:pStyle w:val="Normal"/>
      </w:pPr>
      <w:r>
        <w:rPr>
          <w:color w:val="323232"/>
        </w:rPr>
        <w:t xml:space="preserve">ANIMALS:Twenty-nine dogs and 7 cats.</w:t>
      </w:r>
    </w:p>
    <w:p/>
    <w:p>
      <w:pPr>
        <w:pStyle w:val="Normal"/>
      </w:pPr>
      <w:r>
        <w:rPr>
          <w:color w:val="323232"/>
        </w:rPr>
        <w:t xml:space="preserve">METHODS:Medical records of dogs and cats treated with IV vancomycin at the Foster Hospital for Small Animals between January 2003 and October 2017 were reviewed. Information recorded included signalment, infection source, vancomycin dosing, potential adverse effects, and outcome.</w:t>
      </w:r>
    </w:p>
    <w:p/>
    <w:p>
      <w:pPr>
        <w:pStyle w:val="Normal"/>
      </w:pPr>
      <w:r>
        <w:rPr>
          <w:color w:val="323232"/>
        </w:rPr>
        <w:t xml:space="preserve">RESULTS:Vancomycin was used to treat infections from a range of sources with a variety of dosing intervals. The most common bacterial isolates susceptible to vancomycin included Enterococcus sp. (11/36, 30.6%), methicillin-resistant Staphylococcus aureus (8/36, 22.2%), and methicillin-resistant Staphylococcus pseudintermedius (2/36, 5.6%). AKI occurred in 6 of 36 patients (16.7%) during vancomycin treatment but could not definitively be attributed to vancomycin treatment in any patients because of illness severity, additional nephrotoxic treatments, or both. Neutropenia or allergic reaction was not documented in any animal. In 2 of 36 patients (5.6%), susceptibility data documented an infection that was only susceptible to vancomycin. Most patients survived to discharge (25/36, 69.4%).</w:t>
      </w:r>
    </w:p>
    <w:p/>
    <w:p>
      <w:pPr>
        <w:pStyle w:val="Normal"/>
      </w:pPr>
      <w:r>
        <w:rPr>
          <w:color w:val="323232"/>
        </w:rPr>
        <w:t xml:space="preserve">CONCLUSIONS AND CLINICAL IMPORTANCE:Adverse effects attributable to vancomycin were infrequent in dogs and cats. In most cases, there were potential alternative effective antimicrobials or lack of susceptibility data to support vancomycin treatment.</w:t>
      </w:r>
    </w:p>
    <w:p/>
    <w:p>
      <w:pPr>
        <w:pStyle w:val="Normal"/>
      </w:pPr>
      <w:r>
        <w:rPr>
          <w:color w:val="323232"/>
        </w:rPr>
        <w:t xml:space="preserve">J Vet Intern Med, 2019 vol. 33 (1) pp. 200-207.</w:t>
      </w:r>
    </w:p>
    <w:p>
      <w:r>
        <w:rPr>
          <w:rStyle w:val="Hyperlink"/>
        </w:rPr>
        <w:fldChar w:fldCharType="begin"/>
      </w:r>
      <w:r>
        <w:rPr>
          <w:rStyle w:val="Hyperlink"/>
        </w:rPr>
        <w:instrText xml:space="preserve"> HYPERLINK "http://dx.doi.org/10.1111/jvim.15357" </w:instrText>
      </w:r>
      <w:r>
        <w:rPr>
          <w:rStyle w:val="Hyperlink"/>
        </w:rPr>
      </w:r>
      <w:r>
        <w:rPr>
          <w:rStyle w:val="Hyperlink"/>
        </w:rPr>
        <w:fldChar w:fldCharType="separate"/>
      </w:r>
      <w:pPr>
        <w:pStyle w:val="Normal"/>
      </w:pPr>
      <w:r>
        <w:rPr>
          <w:rStyle w:val="Hyperlink"/>
        </w:rPr>
        <w:t xml:space="preserve">http://dx.doi.org/10.1111/jvim.15357</w:t>
      </w:r>
      <w:r>
        <w:rPr>
          <w:rStyle w:val="Hyperlink"/>
        </w:rPr>
        <w:fldChar w:fldCharType="end"/>
      </w:r>
    </w:p>
    <w:p>
      <w:pPr>
        <w:pStyle w:val="Normal"/>
      </w:pPr>
      <w:r>
        <w:rPr>
          <w:color w:val="323232"/>
        </w:rPr>
        <w:t xml:space="preserve">————————</w:t>
      </w:r>
    </w:p>
    <w:p>
      <w:pPr>
        <w:pStyle w:val="Heading4"/>
      </w:pPr>
      <w:r>
        <w:t xml:space="preserve">The effect of inhaled heliox on peak flow rates in normal and brachycephalic dogs.</w:t>
      </w:r>
    </w:p>
    <w:p/>
    <w:p>
      <w:pPr>
        <w:pStyle w:val="Normal"/>
      </w:pPr>
      <w:r>
        <w:rPr>
          <w:color w:val="323232"/>
        </w:rPr>
        <w:t xml:space="preserve">Kathryn Benavides, Elizabeth Rozanski, John D Anastasio, and Daniela Bedenice.</w:t>
      </w:r>
    </w:p>
    <w:p/>
    <w:p>
      <w:pPr>
        <w:pStyle w:val="Normal"/>
      </w:pPr>
      <w:r>
        <w:rPr>
          <w:color w:val="323232"/>
        </w:rPr>
        <w:t xml:space="preserve">BACKGROUND:Heliox, a mixture of helium and oxygen, alleviates airway obstruction in people and improves air flow, and its use has been proposed in dogs. Brachycephalic dogs have naturally occurring airway obstruction where heliox might be a useful therapeutic option.</w:t>
      </w:r>
    </w:p>
    <w:p/>
    <w:p>
      <w:pPr>
        <w:pStyle w:val="Normal"/>
      </w:pPr>
      <w:r>
        <w:rPr>
          <w:color w:val="323232"/>
        </w:rPr>
        <w:t xml:space="preserve">OBJECTIVE:The purposes of this study were to (1) determine the impact of breathing heliox on peak inspiratory and expiratory flows (PIF/PEF) in healthy dogs and (2) determine if brachycephalic dogs and mesocephalic dogs have similar responses to inhaled heliox.</w:t>
      </w:r>
    </w:p>
    <w:p/>
    <w:p>
      <w:pPr>
        <w:pStyle w:val="Normal"/>
      </w:pPr>
      <w:r>
        <w:rPr>
          <w:color w:val="323232"/>
        </w:rPr>
        <w:t xml:space="preserve">ANIMALS:Eleven healthy dogs: 5 mesocephalic and 6 brachycephalic dogs.</w:t>
      </w:r>
    </w:p>
    <w:p/>
    <w:p>
      <w:pPr>
        <w:pStyle w:val="Normal"/>
      </w:pPr>
      <w:r>
        <w:rPr>
          <w:color w:val="323232"/>
        </w:rPr>
        <w:t xml:space="preserve">METHODS:A prospective study. Tidal breathing flow-volume loops were recorded when dogs were breathing room air (nitrogen-oxygen) and heliox. Peak inspiratory and expiratory flow rates were recorded and the subjective shape of loops assessed. Peak inspiratory and expiratory flows pre- and post-heliox were compared using a Mann-Whitney Rank sum test with a P-value of &lt;.05 considered significant.</w:t>
      </w:r>
    </w:p>
    <w:p/>
    <w:p>
      <w:pPr>
        <w:pStyle w:val="Normal"/>
      </w:pPr>
      <w:r>
        <w:rPr>
          <w:color w:val="323232"/>
        </w:rPr>
        <w:t xml:space="preserve">RESULTS:In inhaled heliox, PIF and PEF were evaluated by tidal breathing flow-volume loops. In mesocephalic dogs, PIF increased from a median of 820</w:t>
      </w:r>
      <w:r>
        <w:rPr>
          <w:color w:val="323232"/>
        </w:rPr>
        <w:t xml:space="preserve"> </w:t>
      </w:r>
      <w:r>
        <w:rPr>
          <w:color w:val="323232"/>
        </w:rPr>
        <w:t xml:space="preserve">mL/ s (range, 494-1010</w:t>
      </w:r>
      <w:r>
        <w:rPr>
          <w:color w:val="323232"/>
        </w:rPr>
        <w:t xml:space="preserve"> </w:t>
      </w:r>
      <w:r>
        <w:rPr>
          <w:color w:val="323232"/>
        </w:rPr>
        <w:t xml:space="preserve">mL/ s) to 1386</w:t>
      </w:r>
      <w:r>
        <w:rPr>
          <w:color w:val="323232"/>
        </w:rPr>
        <w:t xml:space="preserve"> </w:t>
      </w:r>
      <w:r>
        <w:rPr>
          <w:color w:val="323232"/>
        </w:rPr>
        <w:t xml:space="preserve">mL/ s; P =</w:t>
      </w:r>
      <w:r>
        <w:rPr>
          <w:color w:val="323232"/>
        </w:rPr>
        <w:t xml:space="preserve"> </w:t>
      </w:r>
      <w:r>
        <w:rPr>
          <w:color w:val="323232"/>
        </w:rPr>
        <w:t xml:space="preserve">.02; and for PEF from 688</w:t>
      </w:r>
      <w:r>
        <w:rPr>
          <w:color w:val="323232"/>
        </w:rPr>
        <w:t xml:space="preserve"> </w:t>
      </w:r>
      <w:r>
        <w:rPr>
          <w:color w:val="323232"/>
        </w:rPr>
        <w:t xml:space="preserve">mL/ s to 1793</w:t>
      </w:r>
      <w:r>
        <w:rPr>
          <w:color w:val="323232"/>
        </w:rPr>
        <w:t xml:space="preserve"> </w:t>
      </w:r>
      <w:r>
        <w:rPr>
          <w:color w:val="323232"/>
        </w:rPr>
        <w:t xml:space="preserve">mL/ s (P =</w:t>
      </w:r>
      <w:r>
        <w:rPr>
          <w:color w:val="323232"/>
        </w:rPr>
        <w:t xml:space="preserve"> </w:t>
      </w:r>
      <w:r>
        <w:rPr>
          <w:color w:val="323232"/>
        </w:rPr>
        <w:t xml:space="preserve">.04), whereas in brachycephalic dogs, the median PIF increased from 282</w:t>
      </w:r>
      <w:r>
        <w:rPr>
          <w:color w:val="323232"/>
        </w:rPr>
        <w:t xml:space="preserve"> </w:t>
      </w:r>
      <w:r>
        <w:rPr>
          <w:color w:val="323232"/>
        </w:rPr>
        <w:t xml:space="preserve">mL/ s to 694</w:t>
      </w:r>
      <w:r>
        <w:rPr>
          <w:color w:val="323232"/>
        </w:rPr>
        <w:t xml:space="preserve"> </w:t>
      </w:r>
      <w:r>
        <w:rPr>
          <w:color w:val="323232"/>
        </w:rPr>
        <w:t xml:space="preserve">mL/ s; P =</w:t>
      </w:r>
      <w:r>
        <w:rPr>
          <w:color w:val="323232"/>
        </w:rPr>
        <w:t xml:space="preserve"> </w:t>
      </w:r>
      <w:r>
        <w:rPr>
          <w:color w:val="323232"/>
        </w:rPr>
        <w:t xml:space="preserve">.01 and the median PEF increased from 212</w:t>
      </w:r>
      <w:r>
        <w:rPr>
          <w:color w:val="323232"/>
        </w:rPr>
        <w:t xml:space="preserve"> </w:t>
      </w:r>
      <w:r>
        <w:rPr>
          <w:color w:val="323232"/>
        </w:rPr>
        <w:t xml:space="preserve">mL/ s to 517</w:t>
      </w:r>
      <w:r>
        <w:rPr>
          <w:color w:val="323232"/>
        </w:rPr>
        <w:t xml:space="preserve"> </w:t>
      </w:r>
      <w:r>
        <w:rPr>
          <w:color w:val="323232"/>
        </w:rPr>
        <w:t xml:space="preserve">mL/ sec; P =</w:t>
      </w:r>
      <w:r>
        <w:rPr>
          <w:color w:val="323232"/>
        </w:rPr>
        <w:t xml:space="preserve"> </w:t>
      </w:r>
      <w:r>
        <w:rPr>
          <w:color w:val="323232"/>
        </w:rPr>
        <w:t xml:space="preserve">.03. Brachycephalic dogs showed normalization of loop shapes.</w:t>
      </w:r>
    </w:p>
    <w:p/>
    <w:p>
      <w:pPr>
        <w:pStyle w:val="Normal"/>
      </w:pPr>
      <w:r>
        <w:rPr>
          <w:color w:val="323232"/>
        </w:rPr>
        <w:t xml:space="preserve">CONCLUSIONS AND CLINICAL IMPORTANCE:Heliox improves flow rate and appears to improve flow patterns in brachycephalic dogs.</w:t>
      </w:r>
    </w:p>
    <w:p/>
    <w:p>
      <w:pPr>
        <w:pStyle w:val="Normal"/>
      </w:pPr>
      <w:r>
        <w:rPr>
          <w:color w:val="323232"/>
        </w:rPr>
        <w:t xml:space="preserve">J Vet Intern Med, 2019 vol. 33 (1) pp. 208-211.</w:t>
      </w:r>
    </w:p>
    <w:p>
      <w:r>
        <w:rPr>
          <w:rStyle w:val="Hyperlink"/>
        </w:rPr>
        <w:fldChar w:fldCharType="begin"/>
      </w:r>
      <w:r>
        <w:rPr>
          <w:rStyle w:val="Hyperlink"/>
        </w:rPr>
        <w:instrText xml:space="preserve"> HYPERLINK "http://eutils.ncbi.nlm.nih.gov/entrez/eutils/elink.fcgi?dbfrom=pubmed&amp;id=30536634&amp;retmode=ref&amp;cmd=prlinks"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http://eutils.ncbi.nlm.nih.gov/entrez/eutils/elink.fcgi?dbfrom=pubmed&amp;id=30536634&amp;retmode=ref&amp;cmd=prlinks</w:t>
      </w:r>
      <w:r>
        <w:rPr>
          <w:rStyle w:val="Hyperlink"/>
        </w:rPr>
        <w:fldChar w:fldCharType="end"/>
      </w:r>
    </w:p>
    <w:p>
      <w:pPr>
        <w:pStyle w:val="Normal"/>
      </w:pPr>
      <w:r>
        <w:rPr>
          <w:color w:val="323232"/>
        </w:rPr>
        <w:t xml:space="preserve">————————</w:t>
      </w:r>
    </w:p>
    <w:p>
      <w:pPr>
        <w:pStyle w:val="Heading4"/>
      </w:pPr>
      <w:r>
        <w:t xml:space="preserve">Efficacy of long-term oral telmisartan treatment in cats with hypertension: Results of a prospective European clinical trial.</w:t>
      </w:r>
    </w:p>
    <w:p/>
    <w:p>
      <w:pPr>
        <w:pStyle w:val="Normal"/>
      </w:pPr>
      <w:r>
        <w:rPr>
          <w:color w:val="323232"/>
        </w:rPr>
        <w:t xml:space="preserve">Tony M Glaus, Jonathan Elliott, Esther Herberich, Tanja Zimmering, and Balazs Albrecht.</w:t>
      </w:r>
    </w:p>
    <w:p/>
    <w:p>
      <w:pPr>
        <w:pStyle w:val="Normal"/>
      </w:pPr>
      <w:r>
        <w:rPr>
          <w:color w:val="323232"/>
        </w:rPr>
        <w:t xml:space="preserve">BACKGROUND:Efficacy of telmisartan in treating hypertension (HT) in cats has not been largely investigated.</w:t>
      </w:r>
    </w:p>
    <w:p/>
    <w:p>
      <w:pPr>
        <w:pStyle w:val="Normal"/>
      </w:pPr>
      <w:r>
        <w:rPr>
          <w:color w:val="323232"/>
        </w:rPr>
        <w:t xml:space="preserve">OBJECTIVE:Telmisartan oral solution effectively controls systolic arterial blood pressure (SABP) in hypertensive cats.</w:t>
      </w:r>
    </w:p>
    <w:p/>
    <w:p>
      <w:pPr>
        <w:pStyle w:val="Normal"/>
      </w:pPr>
      <w:r>
        <w:rPr>
          <w:color w:val="323232"/>
        </w:rPr>
        <w:t xml:space="preserve">ANIMALS:Two-hundred eighty-five client-owned cats with systemic HT.</w:t>
      </w:r>
    </w:p>
    <w:p/>
    <w:p>
      <w:pPr>
        <w:pStyle w:val="Normal"/>
      </w:pPr>
      <w:r>
        <w:rPr>
          <w:color w:val="323232"/>
        </w:rPr>
        <w:t xml:space="preserve">METHODS:Prospective, multicenter, placebo-controlled, randomized, double-blinded study. Hypertensive cats diagnosed with SABP ≥160</w:t>
      </w:r>
      <w:r>
        <w:rPr>
          <w:color w:val="323232"/>
        </w:rPr>
        <w:t xml:space="preserve"> </w:t>
      </w:r>
      <w:r>
        <w:rPr>
          <w:color w:val="323232"/>
        </w:rPr>
        <w:t xml:space="preserve">mmHg and ≤200</w:t>
      </w:r>
      <w:r>
        <w:rPr>
          <w:color w:val="323232"/>
        </w:rPr>
        <w:t xml:space="preserve"> </w:t>
      </w:r>
      <w:r>
        <w:rPr>
          <w:color w:val="323232"/>
        </w:rPr>
        <w:t xml:space="preserve">mmHg without target-organ-damage were randomized (2</w:t>
      </w:r>
      <w:r>
        <w:rPr>
          <w:color w:val="323232"/>
        </w:rPr>
        <w:t xml:space="preserve"> </w:t>
      </w:r>
      <w:r>
        <w:rPr>
          <w:color w:val="323232"/>
        </w:rPr>
        <w:t xml:space="preserve">:</w:t>
      </w:r>
      <w:r>
        <w:rPr>
          <w:color w:val="323232"/>
        </w:rPr>
        <w:t xml:space="preserve"> </w:t>
      </w:r>
      <w:r>
        <w:rPr>
          <w:color w:val="323232"/>
        </w:rPr>
        <w:t xml:space="preserve">1 ratio) to receive 2</w:t>
      </w:r>
      <w:r>
        <w:rPr>
          <w:color w:val="323232"/>
        </w:rPr>
        <w:t xml:space="preserve"> </w:t>
      </w:r>
      <w:r>
        <w:rPr>
          <w:color w:val="323232"/>
        </w:rPr>
        <w:t xml:space="preserve">mg/kg telmisartan or placebo q24 PO. A 28-day efficacy phase was followed by a 120-day extended use phase. Efficacy was defined as significant difference in mean SABP reduction between telmisartan and placebo on Day 14 and group mean reduction in SABP of &gt; 20 mmHg by telmisartan on Day 28 compared to baseline.</w:t>
      </w:r>
    </w:p>
    <w:p/>
    <w:p>
      <w:pPr>
        <w:pStyle w:val="Normal"/>
      </w:pPr>
      <w:r>
        <w:rPr>
          <w:color w:val="323232"/>
        </w:rPr>
        <w:t xml:space="preserve">RESULTS:Two-hundred fifty-two cats completed the efficacy and 144 cats the extended use phases. Mean SABP reduction at Day 14 differed significantly between groups (P &lt;</w:t>
      </w:r>
      <w:r>
        <w:rPr>
          <w:color w:val="323232"/>
        </w:rPr>
        <w:t xml:space="preserve"> </w:t>
      </w:r>
      <w:r>
        <w:rPr>
          <w:color w:val="323232"/>
        </w:rPr>
        <w:t xml:space="preserve">.001). Telmisartan reduced baseline SABP of 179</w:t>
      </w:r>
      <w:r>
        <w:rPr>
          <w:color w:val="323232"/>
        </w:rPr>
        <w:t xml:space="preserve"> </w:t>
      </w:r>
      <w:r>
        <w:rPr>
          <w:color w:val="323232"/>
        </w:rPr>
        <w:t xml:space="preserve">mmHg by 19.2 (95% confidence interval [CI]: 15.92-22.52) and 24.6 (95% CI: 21.11-28.14) mmHg at Days 14 and 28. The placebo group baseline SABP of 177</w:t>
      </w:r>
      <w:r>
        <w:rPr>
          <w:color w:val="323232"/>
        </w:rPr>
        <w:t xml:space="preserve"> </w:t>
      </w:r>
      <w:r>
        <w:rPr>
          <w:color w:val="323232"/>
        </w:rPr>
        <w:t xml:space="preserve">mmHg was reduced by 9.0 (95% CI: 5.30-12.80) and 11.4 (95% CI: 7.94-14.95) mmHg, respectively. Of note, 52% of telmisartan-treated cats had SABP &lt;150</w:t>
      </w:r>
      <w:r>
        <w:rPr>
          <w:color w:val="323232"/>
        </w:rPr>
        <w:t xml:space="preserve"> </w:t>
      </w:r>
      <w:r>
        <w:rPr>
          <w:color w:val="323232"/>
        </w:rPr>
        <w:t xml:space="preserve">mmHg at Day 28. Mean SABP reduction by telmisartan in severe (≥180</w:t>
      </w:r>
      <w:r>
        <w:rPr>
          <w:color w:val="323232"/>
        </w:rPr>
        <w:t xml:space="preserve"> </w:t>
      </w:r>
      <w:r>
        <w:rPr>
          <w:color w:val="323232"/>
        </w:rPr>
        <w:t xml:space="preserve">mmHg) and moderate HT (160-179</w:t>
      </w:r>
      <w:r>
        <w:rPr>
          <w:color w:val="323232"/>
        </w:rPr>
        <w:t xml:space="preserve"> </w:t>
      </w:r>
      <w:r>
        <w:rPr>
          <w:color w:val="323232"/>
        </w:rPr>
        <w:t xml:space="preserve">mmHg) was comparable and persistent over time.</w:t>
      </w:r>
    </w:p>
    <w:p/>
    <w:p>
      <w:pPr>
        <w:pStyle w:val="Normal"/>
      </w:pPr>
      <w:r>
        <w:rPr>
          <w:color w:val="323232"/>
        </w:rPr>
        <w:t xml:space="preserve">CONCLUSIONS AND CLINICAL IMPORTANCE:Telmisartan solution (PO) was effective in reducing SABP in hypertensive cats with SABP ≥160</w:t>
      </w:r>
      <w:r>
        <w:rPr>
          <w:color w:val="323232"/>
        </w:rPr>
        <w:t xml:space="preserve"> </w:t>
      </w:r>
      <w:r>
        <w:rPr>
          <w:color w:val="323232"/>
        </w:rPr>
        <w:t xml:space="preserve">mmHg and ≤200</w:t>
      </w:r>
      <w:r>
        <w:rPr>
          <w:color w:val="323232"/>
        </w:rPr>
        <w:t xml:space="preserve"> </w:t>
      </w:r>
      <w:r>
        <w:rPr>
          <w:color w:val="323232"/>
        </w:rPr>
        <w:t xml:space="preserve">mmHg.</w:t>
      </w:r>
    </w:p>
    <w:p/>
    <w:p>
      <w:pPr>
        <w:pStyle w:val="Normal"/>
      </w:pPr>
      <w:r>
        <w:rPr>
          <w:color w:val="323232"/>
        </w:rPr>
        <w:t xml:space="preserve">J Vet Intern Med, 2019 vol. 33 (2) pp. 413-422.</w:t>
      </w:r>
    </w:p>
    <w:p>
      <w:r>
        <w:rPr>
          <w:rStyle w:val="Hyperlink"/>
        </w:rPr>
        <w:fldChar w:fldCharType="begin"/>
      </w:r>
      <w:r>
        <w:rPr>
          <w:rStyle w:val="Hyperlink"/>
        </w:rPr>
        <w:instrText xml:space="preserve"> HYPERLINK "http://dx.doi.org/10.1111/jvim.15394" </w:instrText>
      </w:r>
      <w:r>
        <w:rPr>
          <w:rStyle w:val="Hyperlink"/>
        </w:rPr>
      </w:r>
      <w:r>
        <w:rPr>
          <w:rStyle w:val="Hyperlink"/>
        </w:rPr>
        <w:fldChar w:fldCharType="separate"/>
      </w:r>
      <w:pPr>
        <w:pStyle w:val="Normal"/>
      </w:pPr>
      <w:r>
        <w:rPr>
          <w:rStyle w:val="Hyperlink"/>
        </w:rPr>
        <w:t xml:space="preserve">http://dx.doi.org/10.1111/jvim.15394</w:t>
      </w:r>
      <w:r>
        <w:rPr>
          <w:rStyle w:val="Hyperlink"/>
        </w:rPr>
        <w:fldChar w:fldCharType="end"/>
      </w:r>
    </w:p>
    <w:p>
      <w:pPr>
        <w:pStyle w:val="Normal"/>
      </w:pPr>
      <w:r>
        <w:rPr>
          <w:color w:val="323232"/>
        </w:rPr>
        <w:t xml:space="preserve">————————</w:t>
      </w:r>
    </w:p>
    <w:p>
      <w:pPr>
        <w:pStyle w:val="Heading4"/>
      </w:pPr>
      <w:r>
        <w:t xml:space="preserve">Use of 2-dimensional speckle-tracking echocardiography to assess left ventricular systolic function in dogs with systemic inflammatory response syndrome.</w:t>
      </w:r>
    </w:p>
    <w:p/>
    <w:p>
      <w:pPr>
        <w:pStyle w:val="Normal"/>
      </w:pPr>
      <w:r>
        <w:rPr>
          <w:color w:val="323232"/>
        </w:rPr>
        <w:t xml:space="preserve">Andrea Corda, Maria Luisa Pinna Parpaglia, Giovanni Sotgiu, Rosanna Zobba, Pablo Gomez Ochoa, Jorge Prieto Ramos, and Anne French.</w:t>
      </w:r>
    </w:p>
    <w:p/>
    <w:p>
      <w:pPr>
        <w:pStyle w:val="Normal"/>
      </w:pPr>
      <w:r>
        <w:rPr>
          <w:color w:val="323232"/>
        </w:rPr>
        <w:t xml:space="preserve">BACKGROUND:Early identification of systolic dysfunction in dogs with systemic inflammatory response syndrome (SIRS) potentially could improve the outcome and decrease mortality.</w:t>
      </w:r>
    </w:p>
    <w:p/>
    <w:p>
      <w:pPr>
        <w:pStyle w:val="Normal"/>
      </w:pPr>
      <w:r>
        <w:rPr>
          <w:color w:val="323232"/>
        </w:rPr>
        <w:t xml:space="preserve">OBJECTIVE:To compare 2-dimensional speckle tracking (2D-STE) with 2-dimensional (2D) and M-mode echocardiography in the evaluation of systolic function in SIRS dogs.</w:t>
      </w:r>
    </w:p>
    <w:p/>
    <w:p>
      <w:pPr>
        <w:pStyle w:val="Normal"/>
      </w:pPr>
      <w:r>
        <w:rPr>
          <w:color w:val="323232"/>
        </w:rPr>
        <w:t xml:space="preserve">ANIMALS:Seventeen SIRS and 17 healthy dogs.</w:t>
      </w:r>
    </w:p>
    <w:p/>
    <w:p>
      <w:pPr>
        <w:pStyle w:val="Normal"/>
      </w:pPr>
      <w:r>
        <w:rPr>
          <w:color w:val="323232"/>
        </w:rPr>
        <w:t xml:space="preserve">METHODS:Prospective observational case-control study. Each dog underwent physical examination, conventional echocardiography, 2D-STE, and C-reactive protein measurement.</w:t>
      </w:r>
    </w:p>
    <w:p/>
    <w:p>
      <w:pPr>
        <w:pStyle w:val="Normal"/>
      </w:pPr>
      <w:r>
        <w:rPr>
          <w:color w:val="323232"/>
        </w:rPr>
        <w:t xml:space="preserve">RESULTS:Dogs with SIRS had lower 2D-STE ejection fraction (X4D-EF; 44</w:t>
      </w:r>
      <w:r>
        <w:rPr>
          <w:color w:val="323232"/>
        </w:rPr>
        <w:t xml:space="preserve"> </w:t>
      </w:r>
      <w:r>
        <w:rPr>
          <w:color w:val="323232"/>
        </w:rPr>
        <w:t xml:space="preserve">±</w:t>
      </w:r>
      <w:r>
        <w:rPr>
          <w:color w:val="323232"/>
        </w:rPr>
        <w:t xml:space="preserve"> </w:t>
      </w:r>
      <w:r>
        <w:rPr>
          <w:color w:val="323232"/>
        </w:rPr>
        <w:t xml:space="preserve">8 versus 53</w:t>
      </w:r>
      <w:r>
        <w:rPr>
          <w:color w:val="323232"/>
        </w:rPr>
        <w:t xml:space="preserve"> </w:t>
      </w:r>
      <w:r>
        <w:rPr>
          <w:color w:val="323232"/>
        </w:rPr>
        <w:t xml:space="preserve">±</w:t>
      </w:r>
      <w:r>
        <w:rPr>
          <w:color w:val="323232"/>
        </w:rPr>
        <w:t xml:space="preserve"> </w:t>
      </w:r>
      <w:r>
        <w:rPr>
          <w:color w:val="323232"/>
        </w:rPr>
        <w:t xml:space="preserve">8; P</w:t>
      </w:r>
      <w:r>
        <w:rPr>
          <w:color w:val="323232"/>
        </w:rPr>
        <w:t xml:space="preserve"> </w:t>
      </w:r>
      <w:r>
        <w:rPr>
          <w:color w:val="323232"/>
        </w:rPr>
        <w:t xml:space="preserve">=</w:t>
      </w:r>
      <w:r>
        <w:rPr>
          <w:color w:val="323232"/>
        </w:rPr>
        <w:t xml:space="preserve"> </w:t>
      </w:r>
      <w:r>
        <w:rPr>
          <w:color w:val="323232"/>
        </w:rPr>
        <w:t xml:space="preserve">.003), endocardial global longitudinal strain (ENDO-G-Long-St; -14.6</w:t>
      </w:r>
      <w:r>
        <w:rPr>
          <w:color w:val="323232"/>
        </w:rPr>
        <w:t xml:space="preserve"> </w:t>
      </w:r>
      <w:r>
        <w:rPr>
          <w:color w:val="323232"/>
        </w:rPr>
        <w:t xml:space="preserve">±</w:t>
      </w:r>
      <w:r>
        <w:rPr>
          <w:color w:val="323232"/>
        </w:rPr>
        <w:t xml:space="preserve"> </w:t>
      </w:r>
      <w:r>
        <w:rPr>
          <w:color w:val="323232"/>
        </w:rPr>
        <w:t xml:space="preserve">3.2 versus -18.5</w:t>
      </w:r>
      <w:r>
        <w:rPr>
          <w:color w:val="323232"/>
        </w:rPr>
        <w:t xml:space="preserve"> </w:t>
      </w:r>
      <w:r>
        <w:rPr>
          <w:color w:val="323232"/>
        </w:rPr>
        <w:t xml:space="preserve">± 4.1; P</w:t>
      </w:r>
      <w:r>
        <w:rPr>
          <w:color w:val="323232"/>
        </w:rPr>
        <w:t xml:space="preserve"> </w:t>
      </w:r>
      <w:r>
        <w:rPr>
          <w:color w:val="323232"/>
        </w:rPr>
        <w:t xml:space="preserve">=</w:t>
      </w:r>
      <w:r>
        <w:rPr>
          <w:color w:val="323232"/>
        </w:rPr>
        <w:t xml:space="preserve"> </w:t>
      </w:r>
      <w:r>
        <w:rPr>
          <w:color w:val="323232"/>
        </w:rPr>
        <w:t xml:space="preserve">.003), and normalized left ventricular diameter in diastole (1.38</w:t>
      </w:r>
      <w:r>
        <w:rPr>
          <w:color w:val="323232"/>
        </w:rPr>
        <w:t xml:space="preserve"> </w:t>
      </w:r>
      <w:r>
        <w:rPr>
          <w:color w:val="323232"/>
        </w:rPr>
        <w:t xml:space="preserve">±</w:t>
      </w:r>
      <w:r>
        <w:rPr>
          <w:color w:val="323232"/>
        </w:rPr>
        <w:t xml:space="preserve"> </w:t>
      </w:r>
      <w:r>
        <w:rPr>
          <w:color w:val="323232"/>
        </w:rPr>
        <w:t xml:space="preserve">0.25 versus 1.54</w:t>
      </w:r>
      <w:r>
        <w:rPr>
          <w:color w:val="323232"/>
        </w:rPr>
        <w:t xml:space="preserve"> </w:t>
      </w:r>
      <w:r>
        <w:rPr>
          <w:color w:val="323232"/>
        </w:rPr>
        <w:t xml:space="preserve">±</w:t>
      </w:r>
      <w:r>
        <w:rPr>
          <w:color w:val="323232"/>
        </w:rPr>
        <w:t xml:space="preserve"> </w:t>
      </w:r>
      <w:r>
        <w:rPr>
          <w:color w:val="323232"/>
        </w:rPr>
        <w:t xml:space="preserve">0.17; P</w:t>
      </w:r>
      <w:r>
        <w:rPr>
          <w:color w:val="323232"/>
        </w:rPr>
        <w:t xml:space="preserve"> </w:t>
      </w:r>
      <w:r>
        <w:rPr>
          <w:color w:val="323232"/>
        </w:rPr>
        <w:t xml:space="preserve">=</w:t>
      </w:r>
      <w:r>
        <w:rPr>
          <w:color w:val="323232"/>
        </w:rPr>
        <w:t xml:space="preserve"> </w:t>
      </w:r>
      <w:r>
        <w:rPr>
          <w:color w:val="323232"/>
        </w:rPr>
        <w:t xml:space="preserve">.04) and systole (0.85</w:t>
      </w:r>
      <w:r>
        <w:rPr>
          <w:color w:val="323232"/>
        </w:rPr>
        <w:t xml:space="preserve"> </w:t>
      </w:r>
      <w:r>
        <w:rPr>
          <w:color w:val="323232"/>
        </w:rPr>
        <w:t xml:space="preserve">±</w:t>
      </w:r>
      <w:r>
        <w:rPr>
          <w:color w:val="323232"/>
        </w:rPr>
        <w:t xml:space="preserve"> </w:t>
      </w:r>
      <w:r>
        <w:rPr>
          <w:color w:val="323232"/>
        </w:rPr>
        <w:t xml:space="preserve">0.18 versus 0.97</w:t>
      </w:r>
      <w:r>
        <w:rPr>
          <w:color w:val="323232"/>
        </w:rPr>
        <w:t xml:space="preserve"> </w:t>
      </w:r>
      <w:r>
        <w:rPr>
          <w:color w:val="323232"/>
        </w:rPr>
        <w:t xml:space="preserve">±</w:t>
      </w:r>
      <w:r>
        <w:rPr>
          <w:color w:val="323232"/>
        </w:rPr>
        <w:t xml:space="preserve"> </w:t>
      </w:r>
      <w:r>
        <w:rPr>
          <w:color w:val="323232"/>
        </w:rPr>
        <w:t xml:space="preserve">0.11; P</w:t>
      </w:r>
      <w:r>
        <w:rPr>
          <w:color w:val="323232"/>
        </w:rPr>
        <w:t xml:space="preserve"> </w:t>
      </w:r>
      <w:r>
        <w:rPr>
          <w:color w:val="323232"/>
        </w:rPr>
        <w:t xml:space="preserve">=</w:t>
      </w:r>
      <w:r>
        <w:rPr>
          <w:color w:val="323232"/>
        </w:rPr>
        <w:t xml:space="preserve"> </w:t>
      </w:r>
      <w:r>
        <w:rPr>
          <w:color w:val="323232"/>
        </w:rPr>
        <w:t xml:space="preserve">.03) as compared to healthy dogs. Simpson method of disks (SMOD) right parasternal EF (55</w:t>
      </w:r>
      <w:r>
        <w:rPr>
          <w:color w:val="323232"/>
        </w:rPr>
        <w:t xml:space="preserve"> </w:t>
      </w:r>
      <w:r>
        <w:rPr>
          <w:color w:val="323232"/>
        </w:rPr>
        <w:t xml:space="preserve">±</w:t>
      </w:r>
      <w:r>
        <w:rPr>
          <w:color w:val="323232"/>
        </w:rPr>
        <w:t xml:space="preserve"> </w:t>
      </w:r>
      <w:r>
        <w:rPr>
          <w:color w:val="323232"/>
        </w:rPr>
        <w:t xml:space="preserve">9 versus 60</w:t>
      </w:r>
      <w:r>
        <w:rPr>
          <w:color w:val="323232"/>
        </w:rPr>
        <w:t xml:space="preserve"> </w:t>
      </w:r>
      <w:r>
        <w:rPr>
          <w:color w:val="323232"/>
        </w:rPr>
        <w:t xml:space="preserve">±</w:t>
      </w:r>
      <w:r>
        <w:rPr>
          <w:color w:val="323232"/>
        </w:rPr>
        <w:t xml:space="preserve"> </w:t>
      </w:r>
      <w:r>
        <w:rPr>
          <w:color w:val="323232"/>
        </w:rPr>
        <w:t xml:space="preserve">6; P</w:t>
      </w:r>
      <w:r>
        <w:rPr>
          <w:color w:val="323232"/>
        </w:rPr>
        <w:t xml:space="preserve"> </w:t>
      </w:r>
      <w:r>
        <w:rPr>
          <w:color w:val="323232"/>
        </w:rPr>
        <w:t xml:space="preserve">=</w:t>
      </w:r>
      <w:r>
        <w:rPr>
          <w:color w:val="323232"/>
        </w:rPr>
        <w:t xml:space="preserve"> </w:t>
      </w:r>
      <w:r>
        <w:rPr>
          <w:color w:val="323232"/>
        </w:rPr>
        <w:t xml:space="preserve">.07) and end systolic volume index (ESVI; 23</w:t>
      </w:r>
      <w:r>
        <w:rPr>
          <w:color w:val="323232"/>
        </w:rPr>
        <w:t xml:space="preserve"> </w:t>
      </w:r>
      <w:r>
        <w:rPr>
          <w:color w:val="323232"/>
        </w:rPr>
        <w:t xml:space="preserve">±</w:t>
      </w:r>
      <w:r>
        <w:rPr>
          <w:color w:val="323232"/>
        </w:rPr>
        <w:t xml:space="preserve"> </w:t>
      </w:r>
      <w:r>
        <w:rPr>
          <w:color w:val="323232"/>
        </w:rPr>
        <w:t xml:space="preserve">10 versus 21</w:t>
      </w:r>
      <w:r>
        <w:rPr>
          <w:color w:val="323232"/>
        </w:rPr>
        <w:t xml:space="preserve"> </w:t>
      </w:r>
      <w:r>
        <w:rPr>
          <w:color w:val="323232"/>
        </w:rPr>
        <w:t xml:space="preserve">±</w:t>
      </w:r>
      <w:r>
        <w:rPr>
          <w:color w:val="323232"/>
        </w:rPr>
        <w:t xml:space="preserve"> </w:t>
      </w:r>
      <w:r>
        <w:rPr>
          <w:color w:val="323232"/>
        </w:rPr>
        <w:t xml:space="preserve">6; P</w:t>
      </w:r>
      <w:r>
        <w:rPr>
          <w:color w:val="323232"/>
        </w:rPr>
        <w:t xml:space="preserve"> </w:t>
      </w:r>
      <w:r>
        <w:rPr>
          <w:color w:val="323232"/>
        </w:rPr>
        <w:t xml:space="preserve">=</w:t>
      </w:r>
      <w:r>
        <w:rPr>
          <w:color w:val="323232"/>
        </w:rPr>
        <w:t xml:space="preserve"> </w:t>
      </w:r>
      <w:r>
        <w:rPr>
          <w:color w:val="323232"/>
        </w:rPr>
        <w:t xml:space="preserve">.61), SMOD left apical EF (59</w:t>
      </w:r>
      <w:r>
        <w:rPr>
          <w:color w:val="323232"/>
        </w:rPr>
        <w:t xml:space="preserve"> </w:t>
      </w:r>
      <w:r>
        <w:rPr>
          <w:color w:val="323232"/>
        </w:rPr>
        <w:t xml:space="preserve">±</w:t>
      </w:r>
      <w:r>
        <w:rPr>
          <w:color w:val="323232"/>
        </w:rPr>
        <w:t xml:space="preserve"> </w:t>
      </w:r>
      <w:r>
        <w:rPr>
          <w:color w:val="323232"/>
        </w:rPr>
        <w:t xml:space="preserve">9 versus 59</w:t>
      </w:r>
      <w:r>
        <w:rPr>
          <w:color w:val="323232"/>
        </w:rPr>
        <w:t xml:space="preserve"> </w:t>
      </w:r>
      <w:r>
        <w:rPr>
          <w:color w:val="323232"/>
        </w:rPr>
        <w:t xml:space="preserve">±</w:t>
      </w:r>
      <w:r>
        <w:rPr>
          <w:color w:val="323232"/>
        </w:rPr>
        <w:t xml:space="preserve"> </w:t>
      </w:r>
      <w:r>
        <w:rPr>
          <w:color w:val="323232"/>
        </w:rPr>
        <w:t xml:space="preserve">6; P</w:t>
      </w:r>
      <w:r>
        <w:rPr>
          <w:color w:val="323232"/>
        </w:rPr>
        <w:t xml:space="preserve"> </w:t>
      </w:r>
      <w:r>
        <w:rPr>
          <w:color w:val="323232"/>
        </w:rPr>
        <w:t xml:space="preserve">=</w:t>
      </w:r>
      <w:r>
        <w:rPr>
          <w:color w:val="323232"/>
        </w:rPr>
        <w:t xml:space="preserve"> </w:t>
      </w:r>
      <w:r>
        <w:rPr>
          <w:color w:val="323232"/>
        </w:rPr>
        <w:t xml:space="preserve">.87) and ESVI (20</w:t>
      </w:r>
      <w:r>
        <w:rPr>
          <w:color w:val="323232"/>
        </w:rPr>
        <w:t xml:space="preserve"> </w:t>
      </w:r>
      <w:r>
        <w:rPr>
          <w:color w:val="323232"/>
        </w:rPr>
        <w:t xml:space="preserve">±</w:t>
      </w:r>
      <w:r>
        <w:rPr>
          <w:color w:val="323232"/>
        </w:rPr>
        <w:t xml:space="preserve"> </w:t>
      </w:r>
      <w:r>
        <w:rPr>
          <w:color w:val="323232"/>
        </w:rPr>
        <w:t xml:space="preserve">8 versus 22</w:t>
      </w:r>
      <w:r>
        <w:rPr>
          <w:color w:val="323232"/>
        </w:rPr>
        <w:t xml:space="preserve"> </w:t>
      </w:r>
      <w:r>
        <w:rPr>
          <w:color w:val="323232"/>
        </w:rPr>
        <w:t xml:space="preserve">±</w:t>
      </w:r>
      <w:r>
        <w:rPr>
          <w:color w:val="323232"/>
        </w:rPr>
        <w:t xml:space="preserve"> </w:t>
      </w:r>
      <w:r>
        <w:rPr>
          <w:color w:val="323232"/>
        </w:rPr>
        <w:t xml:space="preserve">6; P</w:t>
      </w:r>
      <w:r>
        <w:rPr>
          <w:color w:val="323232"/>
        </w:rPr>
        <w:t xml:space="preserve"> </w:t>
      </w:r>
      <w:r>
        <w:rPr>
          <w:color w:val="323232"/>
        </w:rPr>
        <w:t xml:space="preserve">=</w:t>
      </w:r>
      <w:r>
        <w:rPr>
          <w:color w:val="323232"/>
        </w:rPr>
        <w:t xml:space="preserve"> </w:t>
      </w:r>
      <w:r>
        <w:rPr>
          <w:color w:val="323232"/>
        </w:rPr>
        <w:t xml:space="preserve">.25), fractional shortening (FS; 34</w:t>
      </w:r>
      <w:r>
        <w:rPr>
          <w:color w:val="323232"/>
        </w:rPr>
        <w:t xml:space="preserve"> </w:t>
      </w:r>
      <w:r>
        <w:rPr>
          <w:color w:val="323232"/>
        </w:rPr>
        <w:t xml:space="preserve">±</w:t>
      </w:r>
      <w:r>
        <w:rPr>
          <w:color w:val="323232"/>
        </w:rPr>
        <w:t xml:space="preserve"> </w:t>
      </w:r>
      <w:r>
        <w:rPr>
          <w:color w:val="323232"/>
        </w:rPr>
        <w:t xml:space="preserve">5 versus 33</w:t>
      </w:r>
      <w:r>
        <w:rPr>
          <w:color w:val="323232"/>
        </w:rPr>
        <w:t xml:space="preserve"> </w:t>
      </w:r>
      <w:r>
        <w:rPr>
          <w:color w:val="323232"/>
        </w:rPr>
        <w:t xml:space="preserve">±</w:t>
      </w:r>
      <w:r>
        <w:rPr>
          <w:color w:val="323232"/>
        </w:rPr>
        <w:t xml:space="preserve"> </w:t>
      </w:r>
      <w:r>
        <w:rPr>
          <w:color w:val="323232"/>
        </w:rPr>
        <w:t xml:space="preserve">4; P</w:t>
      </w:r>
      <w:r>
        <w:rPr>
          <w:color w:val="323232"/>
        </w:rPr>
        <w:t xml:space="preserve"> </w:t>
      </w:r>
      <w:r>
        <w:rPr>
          <w:color w:val="323232"/>
        </w:rPr>
        <w:t xml:space="preserve">=</w:t>
      </w:r>
      <w:r>
        <w:rPr>
          <w:color w:val="323232"/>
        </w:rPr>
        <w:t xml:space="preserve"> </w:t>
      </w:r>
      <w:r>
        <w:rPr>
          <w:color w:val="323232"/>
        </w:rPr>
        <w:t xml:space="preserve">.39), M-mode EF (64</w:t>
      </w:r>
      <w:r>
        <w:rPr>
          <w:color w:val="323232"/>
        </w:rPr>
        <w:t xml:space="preserve"> </w:t>
      </w:r>
      <w:r>
        <w:rPr>
          <w:color w:val="323232"/>
        </w:rPr>
        <w:t xml:space="preserve">±</w:t>
      </w:r>
      <w:r>
        <w:rPr>
          <w:color w:val="323232"/>
        </w:rPr>
        <w:t xml:space="preserve"> </w:t>
      </w:r>
      <w:r>
        <w:rPr>
          <w:color w:val="323232"/>
        </w:rPr>
        <w:t xml:space="preserve">7 versus 62</w:t>
      </w:r>
      <w:r>
        <w:rPr>
          <w:color w:val="323232"/>
        </w:rPr>
        <w:t xml:space="preserve"> </w:t>
      </w:r>
      <w:r>
        <w:rPr>
          <w:color w:val="323232"/>
        </w:rPr>
        <w:t xml:space="preserve">±</w:t>
      </w:r>
      <w:r>
        <w:rPr>
          <w:color w:val="323232"/>
        </w:rPr>
        <w:t xml:space="preserve"> </w:t>
      </w:r>
      <w:r>
        <w:rPr>
          <w:color w:val="323232"/>
        </w:rPr>
        <w:t xml:space="preserve">5; P</w:t>
      </w:r>
      <w:r>
        <w:rPr>
          <w:color w:val="323232"/>
        </w:rPr>
        <w:t xml:space="preserve"> </w:t>
      </w:r>
      <w:r>
        <w:rPr>
          <w:color w:val="323232"/>
        </w:rPr>
        <w:t xml:space="preserve">=</w:t>
      </w:r>
      <w:r>
        <w:rPr>
          <w:color w:val="323232"/>
        </w:rPr>
        <w:t xml:space="preserve"> </w:t>
      </w:r>
      <w:r>
        <w:rPr>
          <w:color w:val="323232"/>
        </w:rPr>
        <w:t xml:space="preserve">.35), and ESVI (23</w:t>
      </w:r>
      <w:r>
        <w:rPr>
          <w:color w:val="323232"/>
        </w:rPr>
        <w:t xml:space="preserve"> </w:t>
      </w:r>
      <w:r>
        <w:rPr>
          <w:color w:val="323232"/>
        </w:rPr>
        <w:t xml:space="preserve">±</w:t>
      </w:r>
      <w:r>
        <w:rPr>
          <w:color w:val="323232"/>
        </w:rPr>
        <w:t xml:space="preserve"> </w:t>
      </w:r>
      <w:r>
        <w:rPr>
          <w:color w:val="323232"/>
        </w:rPr>
        <w:t xml:space="preserve">11 versus 30</w:t>
      </w:r>
      <w:r>
        <w:rPr>
          <w:color w:val="323232"/>
        </w:rPr>
        <w:t xml:space="preserve"> </w:t>
      </w:r>
      <w:r>
        <w:rPr>
          <w:color w:val="323232"/>
        </w:rPr>
        <w:t xml:space="preserve">±</w:t>
      </w:r>
      <w:r>
        <w:rPr>
          <w:color w:val="323232"/>
        </w:rPr>
        <w:t xml:space="preserve"> </w:t>
      </w:r>
      <w:r>
        <w:rPr>
          <w:color w:val="323232"/>
        </w:rPr>
        <w:t xml:space="preserve">9; P</w:t>
      </w:r>
      <w:r>
        <w:rPr>
          <w:color w:val="323232"/>
        </w:rPr>
        <w:t xml:space="preserve"> </w:t>
      </w:r>
      <w:r>
        <w:rPr>
          <w:color w:val="323232"/>
        </w:rPr>
        <w:t xml:space="preserve">=</w:t>
      </w:r>
      <w:r>
        <w:rPr>
          <w:color w:val="323232"/>
        </w:rPr>
        <w:t xml:space="preserve"> </w:t>
      </w:r>
      <w:r>
        <w:rPr>
          <w:color w:val="323232"/>
        </w:rPr>
        <w:t xml:space="preserve">.06) were not significantly different between SIRS and control group, respectively.</w:t>
      </w:r>
    </w:p>
    <w:p/>
    <w:p>
      <w:pPr>
        <w:pStyle w:val="Normal"/>
      </w:pPr>
      <w:r>
        <w:rPr>
          <w:color w:val="323232"/>
        </w:rPr>
        <w:t xml:space="preserve">CONCLUSION AND CLINICAL IMPORTANCE:Speckle tracking X4D-EF and ENDO-G-Long-St are more sensitive than 2D and M-Mode FS, EF, and ESVI in detecting systolic impairment in dogs with SIRS.</w:t>
      </w:r>
    </w:p>
    <w:p/>
    <w:p>
      <w:pPr>
        <w:pStyle w:val="Normal"/>
      </w:pPr>
      <w:r>
        <w:rPr>
          <w:color w:val="323232"/>
        </w:rPr>
        <w:t xml:space="preserve">J Vet Intern Med, 2019 vol. 33 (2) pp. 423-431.</w:t>
      </w:r>
    </w:p>
    <w:p>
      <w:r>
        <w:rPr>
          <w:rStyle w:val="Hyperlink"/>
        </w:rPr>
        <w:fldChar w:fldCharType="begin"/>
      </w:r>
      <w:r>
        <w:rPr>
          <w:rStyle w:val="Hyperlink"/>
        </w:rPr>
        <w:instrText xml:space="preserve"> HYPERLINK "http://dx.doi.org/10.1111/jvim.15438" </w:instrText>
      </w:r>
      <w:r>
        <w:rPr>
          <w:rStyle w:val="Hyperlink"/>
        </w:rPr>
      </w:r>
      <w:r>
        <w:rPr>
          <w:rStyle w:val="Hyperlink"/>
        </w:rPr>
        <w:fldChar w:fldCharType="separate"/>
      </w:r>
      <w:pPr>
        <w:pStyle w:val="Normal"/>
      </w:pPr>
      <w:r>
        <w:rPr>
          <w:rStyle w:val="Hyperlink"/>
        </w:rPr>
        <w:t xml:space="preserve">http://dx.doi.org/10.1111/jvim.15438</w:t>
      </w:r>
      <w:r>
        <w:rPr>
          <w:rStyle w:val="Hyperlink"/>
        </w:rPr>
        <w:fldChar w:fldCharType="end"/>
      </w:r>
    </w:p>
    <w:p>
      <w:pPr>
        <w:pStyle w:val="Normal"/>
      </w:pPr>
      <w:r>
        <w:rPr>
          <w:color w:val="323232"/>
        </w:rPr>
        <w:t xml:space="preserve">————————</w:t>
      </w:r>
    </w:p>
    <w:p>
      <w:pPr>
        <w:pStyle w:val="Heading4"/>
      </w:pPr>
      <w:r>
        <w:t xml:space="preserve">Prognostic factors in dogs with presumed degenerative mitral valve disease attending primary-care veterinary practices in the United Kingdom.</w:t>
      </w:r>
    </w:p>
    <w:p/>
    <w:p>
      <w:pPr>
        <w:pStyle w:val="Normal"/>
      </w:pPr>
      <w:r>
        <w:rPr>
          <w:color w:val="323232"/>
        </w:rPr>
        <w:t xml:space="preserve">M J Mattin, A Boswood, D B Church, and D C Brodbelt.</w:t>
      </w:r>
    </w:p>
    <w:p/>
    <w:p>
      <w:pPr>
        <w:pStyle w:val="Normal"/>
      </w:pPr>
      <w:r>
        <w:rPr>
          <w:color w:val="323232"/>
        </w:rPr>
        <w:t xml:space="preserve">BACKGROUND:Prognostic risk factors were identified for dogs with degenerative mitral valve disease (DMVD) monitored by veterinary cardiologists. The value of these measurements has not been determined in the wider primary care setting.</w:t>
      </w:r>
    </w:p>
    <w:p/>
    <w:p>
      <w:pPr>
        <w:pStyle w:val="Normal"/>
      </w:pPr>
      <w:r>
        <w:rPr>
          <w:color w:val="323232"/>
        </w:rPr>
        <w:t xml:space="preserve">OBJECTIVES:To evaluate whether plasma cardiac biomarkers and data obtained from routine history-taking and physical examination are predictive of survival in dogs with DMVD attending primary care practice.</w:t>
      </w:r>
    </w:p>
    <w:p/>
    <w:p>
      <w:pPr>
        <w:pStyle w:val="Normal"/>
      </w:pPr>
      <w:r>
        <w:rPr>
          <w:color w:val="323232"/>
        </w:rPr>
        <w:t xml:space="preserve">ANIMALS:Eight-hundred and ninety-three dogs with a presumptive diagnosis of DMVD recruited from 79 primary care veterinary practices in the United Kingdom.</w:t>
      </w:r>
    </w:p>
    <w:p/>
    <w:p>
      <w:pPr>
        <w:pStyle w:val="Normal"/>
      </w:pPr>
      <w:r>
        <w:rPr>
          <w:color w:val="323232"/>
        </w:rPr>
        <w:t xml:space="preserve">METHODS:Prospective cohort study. Primary care veterinary practitioners recorded clinical data. Plasma N-terminal pro B-type natriuretic peptide (NT-proBNP) and cardiac troponin I (cTnI) were measured at presentation. Cox regression models evaluated associations between risk factor variables and hazard of death (all-cause mortality and cardiac-related death). Flexible parametric models generated predicted survival probabilities for dogs with different combinations of prognostic risk factor variable values.</w:t>
      </w:r>
    </w:p>
    <w:p/>
    <w:p>
      <w:pPr>
        <w:pStyle w:val="Normal"/>
      </w:pPr>
      <w:r>
        <w:rPr>
          <w:color w:val="323232"/>
        </w:rPr>
        <w:t xml:space="preserve">RESULTS:Dogs with higher NT-proBNP and cTnI concentrations, higher heart rates, older dogs, females, and those reported to be exercise intolerant, dyspneic, and diagnosed with selected comorbidities had an increased hazard of death due to any cause. Dogs with higher concentrations of plasma biomarkers, higher heart rates, and heart murmur intensities, those with exercise intolerance and those receiving potent diuretics had a higher hazard of cardiac-related death.</w:t>
      </w:r>
    </w:p>
    <w:p/>
    <w:p>
      <w:pPr>
        <w:pStyle w:val="Normal"/>
      </w:pPr>
      <w:r>
        <w:rPr>
          <w:color w:val="323232"/>
        </w:rPr>
        <w:t xml:space="preserve">CONCLUSIONS AND CLINICAL IMPORTANCE:Cardiac biomarkers and key clinical findings identified in this study can help primary care veterinary practitioners identify dogs with DMVD that are at highest risk of death.</w:t>
      </w:r>
    </w:p>
    <w:p/>
    <w:p>
      <w:pPr>
        <w:pStyle w:val="Normal"/>
      </w:pPr>
      <w:r>
        <w:rPr>
          <w:color w:val="323232"/>
        </w:rPr>
        <w:t xml:space="preserve">J Vet Intern Med, 2019 vol. 33 (2) pp. 432-444.</w:t>
      </w:r>
    </w:p>
    <w:p>
      <w:r>
        <w:rPr>
          <w:rStyle w:val="Hyperlink"/>
        </w:rPr>
        <w:fldChar w:fldCharType="begin"/>
      </w:r>
      <w:r>
        <w:rPr>
          <w:rStyle w:val="Hyperlink"/>
        </w:rPr>
        <w:instrText xml:space="preserve"> HYPERLINK "http://eutils.ncbi.nlm.nih.gov/entrez/eutils/elink.fcgi?dbfrom=pubmed&amp;id=30357909&amp;retmode=ref&amp;cmd=prlinks"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http://eutils.ncbi.nlm.nih.gov/entrez/eutils/elink.fcgi?dbfrom=pubmed&amp;id=30357909&amp;retmode=ref&amp;cmd=prlinks</w:t>
      </w:r>
      <w:r>
        <w:rPr>
          <w:rStyle w:val="Hyperlink"/>
        </w:rPr>
        <w:fldChar w:fldCharType="end"/>
      </w:r>
    </w:p>
    <w:p>
      <w:pPr>
        <w:pStyle w:val="Normal"/>
      </w:pPr>
      <w:r>
        <w:rPr>
          <w:color w:val="323232"/>
        </w:rPr>
        <w:t xml:space="preserve">————————</w:t>
      </w:r>
    </w:p>
    <w:p>
      <w:pPr>
        <w:pStyle w:val="Heading4"/>
      </w:pPr>
      <w:r>
        <w:t xml:space="preserve">Factors associated with disease progression in dogs with presumed preclinical degenerative mitral valve disease attending primary care veterinary practices in the United Kingdom.</w:t>
      </w:r>
    </w:p>
    <w:p/>
    <w:p>
      <w:pPr>
        <w:pStyle w:val="Normal"/>
      </w:pPr>
      <w:r>
        <w:rPr>
          <w:color w:val="323232"/>
        </w:rPr>
        <w:t xml:space="preserve">Madeleine J Mattin, David C Brodbelt, David B Church, and Adrian Boswood.</w:t>
      </w:r>
    </w:p>
    <w:p/>
    <w:p>
      <w:pPr>
        <w:pStyle w:val="Normal"/>
      </w:pPr>
      <w:r>
        <w:rPr>
          <w:color w:val="323232"/>
        </w:rPr>
        <w:t xml:space="preserve">BACKGROUND:Factors associated with disease progression in dogs with preclinical (stage B) degenerative mitral valve disease (DMVD) have not been evaluated previously in primary care veterinary practice.</w:t>
      </w:r>
    </w:p>
    <w:p/>
    <w:p>
      <w:pPr>
        <w:pStyle w:val="Normal"/>
      </w:pPr>
      <w:r>
        <w:rPr>
          <w:color w:val="323232"/>
        </w:rPr>
        <w:t xml:space="preserve">OBJECTIVES:To evaluate whether plasma cardiac biomarkers, clinical signs, and physical examination findings are associated with clinical progression (reaching the composite endpoint of initiation of treatment with a potent diuretic or cardiac death) in dogs presumed to have stage B DMVD.</w:t>
      </w:r>
    </w:p>
    <w:p/>
    <w:p>
      <w:pPr>
        <w:pStyle w:val="Normal"/>
      </w:pPr>
      <w:r>
        <w:rPr>
          <w:color w:val="323232"/>
        </w:rPr>
        <w:t xml:space="preserve">ANIMALS:Six-hundred and eighty-four dogs diagnosed with DMVD recruited from 73 primary care practices in the United Kingdom. Dogs were not receiving potent diuretics at recruitment.</w:t>
      </w:r>
    </w:p>
    <w:p/>
    <w:p>
      <w:pPr>
        <w:pStyle w:val="Normal"/>
      </w:pPr>
      <w:r>
        <w:rPr>
          <w:color w:val="323232"/>
        </w:rPr>
        <w:t xml:space="preserve">METHODS:Prospective cohort study design. Primary care veterinarians recorded the presence or absence of clinical signs and physical examination findings. Baseline plasma N-terminal pro B-type natriuretic peptide (NT-proBNP) and cardiac troponin I were measured. Cox regression models measured associations between risk factor variables and clinical progression. Flexible parametric models generated predicted probabilities of reaching the composite endpoint for dogs with different combinations of prognostic risk factor variables.</w:t>
      </w:r>
    </w:p>
    <w:p/>
    <w:p>
      <w:pPr>
        <w:pStyle w:val="Normal"/>
      </w:pPr>
      <w:r>
        <w:rPr>
          <w:color w:val="323232"/>
        </w:rPr>
        <w:t xml:space="preserve">RESULTS:Plasma NT-proBNP, heart rate, heart murmur intensity, presence of a cough, being a Cavalier King Charles Spaniel, and being prescribed pimobendan were associated with clinical progression to initiation of treatment with a potent diuretic or cardiac-related death.</w:t>
      </w:r>
    </w:p>
    <w:p/>
    <w:p>
      <w:pPr>
        <w:pStyle w:val="Normal"/>
      </w:pPr>
      <w:r>
        <w:rPr>
          <w:color w:val="323232"/>
        </w:rPr>
        <w:t xml:space="preserve">CONCLUSIONS AND CLINICAL IMPORTANCE:Dogs with stage B DMVD identified as having a high risk of disease progression might benefit from more frequent monitoring or further diagnostic evaluation. The prognostic factors identified could facilitate risk stratification of dogs presenting with preclinical DMVD.</w:t>
      </w:r>
    </w:p>
    <w:p/>
    <w:p>
      <w:pPr>
        <w:pStyle w:val="Normal"/>
      </w:pPr>
      <w:r>
        <w:rPr>
          <w:color w:val="323232"/>
        </w:rPr>
        <w:t xml:space="preserve">J Vet Intern Med, 2019 vol. 33 (2) pp. 445-454.</w:t>
      </w:r>
    </w:p>
    <w:p>
      <w:r>
        <w:rPr>
          <w:rStyle w:val="Hyperlink"/>
        </w:rPr>
        <w:fldChar w:fldCharType="begin"/>
      </w:r>
      <w:r>
        <w:rPr>
          <w:rStyle w:val="Hyperlink"/>
        </w:rPr>
        <w:instrText xml:space="preserve"> HYPERLINK "http://dx.doi.org/10.1111/jvim.15390" </w:instrText>
      </w:r>
      <w:r>
        <w:rPr>
          <w:rStyle w:val="Hyperlink"/>
        </w:rPr>
      </w:r>
      <w:r>
        <w:rPr>
          <w:rStyle w:val="Hyperlink"/>
        </w:rPr>
        <w:fldChar w:fldCharType="separate"/>
      </w:r>
      <w:pPr>
        <w:pStyle w:val="Normal"/>
      </w:pPr>
      <w:r>
        <w:rPr>
          <w:rStyle w:val="Hyperlink"/>
        </w:rPr>
        <w:t xml:space="preserve">http://dx.doi.org/10.1111/jvim.15390</w:t>
      </w:r>
      <w:r>
        <w:rPr>
          <w:rStyle w:val="Hyperlink"/>
        </w:rPr>
        <w:fldChar w:fldCharType="end"/>
      </w:r>
    </w:p>
    <w:p>
      <w:pPr>
        <w:pStyle w:val="Normal"/>
      </w:pPr>
      <w:r>
        <w:rPr>
          <w:color w:val="323232"/>
        </w:rPr>
        <w:t xml:space="preserve">————————</w:t>
      </w:r>
    </w:p>
    <w:p>
      <w:pPr>
        <w:pStyle w:val="Heading4"/>
      </w:pPr>
      <w:r>
        <w:t xml:space="preserve">Cardiorenal and endocrine effects of synthetic canine BNP1-32 in dogs with compensated congestive heart failure caused by myxomatous mitral valve disease.</w:t>
      </w:r>
    </w:p>
    <w:p/>
    <w:p>
      <w:pPr>
        <w:pStyle w:val="Normal"/>
      </w:pPr>
      <w:r>
        <w:rPr>
          <w:color w:val="323232"/>
        </w:rPr>
        <w:t xml:space="preserve">Mariko Yata, Hans S Kooistra, and Niek J Beijerink.</w:t>
      </w:r>
    </w:p>
    <w:p/>
    <w:p>
      <w:pPr>
        <w:pStyle w:val="Normal"/>
      </w:pPr>
      <w:r>
        <w:rPr>
          <w:color w:val="323232"/>
        </w:rPr>
        <w:t xml:space="preserve">BACKGROUND:The effects of synthetic brain natriuretic peptide (BNP1-32) on cardiorenal and renin angiotensin aldosterone system in dogs with naturally occurring congestive heart failure (CHF) are unknown.</w:t>
      </w:r>
    </w:p>
    <w:p/>
    <w:p>
      <w:pPr>
        <w:pStyle w:val="Normal"/>
      </w:pPr>
      <w:r>
        <w:rPr>
          <w:color w:val="323232"/>
        </w:rPr>
        <w:t xml:space="preserve">OBJECTIVES:To evaluate the cardiorenal and endocrine effects of SC administered synthetic canine BNP1-32, with or without furosemide, in dogs with CHF caused by myxomatous mitral valve disease (MMVD).</w:t>
      </w:r>
    </w:p>
    <w:p/>
    <w:p>
      <w:pPr>
        <w:pStyle w:val="Normal"/>
      </w:pPr>
      <w:r>
        <w:rPr>
          <w:color w:val="323232"/>
        </w:rPr>
        <w:t xml:space="preserve">ANIMALS:Seven client-owned male dogs with compensated American College of Veterinary Internal Medicine stage C CHF caused by MMVD on chronic treatment with furosemide, benazepril, and pimobendan.</w:t>
      </w:r>
    </w:p>
    <w:p/>
    <w:p>
      <w:pPr>
        <w:pStyle w:val="Normal"/>
      </w:pPr>
      <w:r>
        <w:rPr>
          <w:color w:val="323232"/>
        </w:rPr>
        <w:t xml:space="preserve">METHODS:A single-dose, crossover, pilot study. Each dog received a dose of BNP1-32 (5</w:t>
      </w:r>
      <w:r>
        <w:rPr>
          <w:color w:val="323232"/>
        </w:rPr>
        <w:t xml:space="preserve"> </w:t>
      </w:r>
      <w:r>
        <w:rPr>
          <w:color w:val="323232"/>
        </w:rPr>
        <w:t xml:space="preserve">μg</w:t>
      </w:r>
      <w:r>
        <w:rPr>
          <w:i w:val="1"/>
          <w:color w:val="323232"/>
        </w:rPr>
        <w:t xml:space="preserve">kg), furosemide (2</w:t>
      </w:r>
      <w:r>
        <w:rPr>
          <w:color w:val="323232"/>
        </w:rPr>
        <w:t xml:space="preserve"> </w:t>
      </w:r>
      <w:r>
        <w:rPr>
          <w:i w:val="1"/>
          <w:color w:val="323232"/>
        </w:rPr>
        <w:t xml:space="preserve">mg</w:t>
      </w:r>
      <w:r>
        <w:rPr>
          <w:color w:val="323232"/>
        </w:rPr>
        <w:t xml:space="preserve">kg), and both BNP1-32/furosemide (5</w:t>
      </w:r>
      <w:r>
        <w:rPr>
          <w:color w:val="323232"/>
        </w:rPr>
        <w:t xml:space="preserve"> </w:t>
      </w:r>
      <w:r>
        <w:rPr>
          <w:color w:val="323232"/>
        </w:rPr>
        <w:t xml:space="preserve">μg</w:t>
      </w:r>
      <w:r>
        <w:rPr>
          <w:i w:val="1"/>
          <w:color w:val="323232"/>
        </w:rPr>
        <w:t xml:space="preserve">kg and 2</w:t>
      </w:r>
      <w:r>
        <w:rPr>
          <w:color w:val="323232"/>
        </w:rPr>
        <w:t xml:space="preserve"> </w:t>
      </w:r>
      <w:r>
        <w:rPr>
          <w:i w:val="1"/>
          <w:color w:val="323232"/>
        </w:rPr>
        <w:t xml:space="preserve">mg</w:t>
      </w:r>
      <w:r>
        <w:rPr>
          <w:color w:val="323232"/>
        </w:rPr>
        <w:t xml:space="preserve">kg, respectively) SC with a 2-week washout period among each treatment. Between- and within-treatment effects were evaluated using linear mixed modeling with restricted maximum likelihood estimation and evaluation of least square differences.</w:t>
      </w:r>
    </w:p>
    <w:p/>
    <w:p>
      <w:pPr>
        <w:pStyle w:val="Normal"/>
      </w:pPr>
      <w:r>
        <w:rPr>
          <w:color w:val="323232"/>
        </w:rPr>
        <w:t xml:space="preserve">RESULTS:Rapid absorption of BNP1-32 and a corresponding rise in urinary cyclic guanosine monophosphate excretion was observed at 1-2</w:t>
      </w:r>
      <w:r>
        <w:rPr>
          <w:color w:val="323232"/>
        </w:rPr>
        <w:t xml:space="preserve"> </w:t>
      </w:r>
      <w:r>
        <w:rPr>
          <w:color w:val="323232"/>
        </w:rPr>
        <w:t xml:space="preserve">hours after any treatment containing BNP1-32 (P &lt;</w:t>
      </w:r>
      <w:r>
        <w:rPr>
          <w:color w:val="323232"/>
        </w:rPr>
        <w:t xml:space="preserve"> </w:t>
      </w:r>
      <w:r>
        <w:rPr>
          <w:color w:val="323232"/>
        </w:rPr>
        <w:t xml:space="preserve">.05). However, BNP1-32 did not influence measured cardiorenal variables. Plasma aldosterone concentrations were below quantifiable levels in majority of the samples.</w:t>
      </w:r>
    </w:p>
    <w:p/>
    <w:p>
      <w:pPr>
        <w:pStyle w:val="Normal"/>
      </w:pPr>
      <w:r>
        <w:rPr>
          <w:color w:val="323232"/>
        </w:rPr>
        <w:t xml:space="preserve">CONCLUSIONS AND CLINICAL IMPORTANCE:No beneficial cardiorenal effects were detected. It is possible that dogs with chronic CHF have a reduction in natriuretic peptide responsiveness.</w:t>
      </w:r>
    </w:p>
    <w:p/>
    <w:p>
      <w:pPr>
        <w:pStyle w:val="Normal"/>
      </w:pPr>
      <w:r>
        <w:rPr>
          <w:color w:val="323232"/>
        </w:rPr>
        <w:t xml:space="preserve">J Vet Intern Med, 2019 vol. 33 (2) pp. 462-470.</w:t>
      </w:r>
    </w:p>
    <w:p>
      <w:r>
        <w:rPr>
          <w:rStyle w:val="Hyperlink"/>
        </w:rPr>
        <w:fldChar w:fldCharType="begin"/>
      </w:r>
      <w:r>
        <w:rPr>
          <w:rStyle w:val="Hyperlink"/>
        </w:rPr>
        <w:instrText xml:space="preserve"> HYPERLINK "http://eutils.ncbi.nlm.nih.gov/entrez/eutils/elink.fcgi?dbfrom=pubmed&amp;id=30703246&amp;retmode=ref&amp;cmd=prlinks"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http://eutils.ncbi.nlm.nih.gov/entrez/eutils/elink.fcgi?dbfrom=pubmed&amp;id=30703246&amp;retmode=ref&amp;cmd=prlinks</w:t>
      </w:r>
      <w:r>
        <w:rPr>
          <w:rStyle w:val="Hyperlink"/>
        </w:rPr>
        <w:fldChar w:fldCharType="end"/>
      </w:r>
    </w:p>
    <w:p>
      <w:pPr>
        <w:pStyle w:val="Normal"/>
      </w:pPr>
      <w:r>
        <w:rPr>
          <w:color w:val="323232"/>
        </w:rPr>
        <w:t xml:space="preserve">————————</w:t>
      </w:r>
    </w:p>
    <w:p>
      <w:pPr>
        <w:pStyle w:val="Heading4"/>
      </w:pPr>
      <w:r>
        <w:t xml:space="preserve">Anatomy, baseline characteristics, and procedural outcome of patent ductus arteriosus in German Shepherd dogs.</w:t>
      </w:r>
    </w:p>
    <w:p/>
    <w:p>
      <w:pPr>
        <w:pStyle w:val="Normal"/>
      </w:pPr>
      <w:r>
        <w:rPr>
          <w:color w:val="323232"/>
        </w:rPr>
        <w:t xml:space="preserve">Sonya Wesselowski, Ashley B Saunders, and Sonya G Gordon.</w:t>
      </w:r>
    </w:p>
    <w:p/>
    <w:p>
      <w:pPr>
        <w:pStyle w:val="Normal"/>
      </w:pPr>
      <w:r>
        <w:rPr>
          <w:color w:val="323232"/>
        </w:rPr>
        <w:t xml:space="preserve">BACKGROUND:German Shepherd dogs (GSD) are predisposed to developing patent ductus arteriosus (PDA) and are reportedly prone to type III (tubular) PDA anatomy. Dogs with type III anatomy are not considered favorable candidates for device-based intervention.</w:t>
      </w:r>
    </w:p>
    <w:p/>
    <w:p>
      <w:pPr>
        <w:pStyle w:val="Normal"/>
      </w:pPr>
      <w:r>
        <w:rPr>
          <w:color w:val="323232"/>
        </w:rPr>
        <w:t xml:space="preserve">OBJECTIVE:To describe the PDA anatomy, baseline characteristics, and procedural outcome of GSD with PDA.</w:t>
      </w:r>
    </w:p>
    <w:p/>
    <w:p>
      <w:pPr>
        <w:pStyle w:val="Normal"/>
      </w:pPr>
      <w:r>
        <w:rPr>
          <w:color w:val="323232"/>
        </w:rPr>
        <w:t xml:space="preserve">ANIMALS:Twenty-eight client-owned GSD.</w:t>
      </w:r>
    </w:p>
    <w:p/>
    <w:p>
      <w:pPr>
        <w:pStyle w:val="Normal"/>
      </w:pPr>
      <w:r>
        <w:rPr>
          <w:color w:val="323232"/>
        </w:rPr>
        <w:t xml:space="preserve">METHODS:Retrospective review of medical records of 28 GSD diagnosed with PDA that underwent surgical ligation or transcatheter device closure between 2007 and 2017.</w:t>
      </w:r>
    </w:p>
    <w:p/>
    <w:p>
      <w:pPr>
        <w:pStyle w:val="Normal"/>
      </w:pPr>
      <w:r>
        <w:rPr>
          <w:color w:val="323232"/>
        </w:rPr>
        <w:t xml:space="preserve">RESULTS:German Shepherd dogs with PDA often presented with clinical signs (50%), concurrent congenital heart disease (35.7%), and arrhythmias (29%). Dogs were typically mature at presentation (median age, 12.1</w:t>
      </w:r>
      <w:r>
        <w:rPr>
          <w:color w:val="323232"/>
        </w:rPr>
        <w:t xml:space="preserve"> </w:t>
      </w:r>
      <w:r>
        <w:rPr>
          <w:color w:val="323232"/>
        </w:rPr>
        <w:t xml:space="preserve">months) and evenly distributed by sex (57% female). The PDA anatomy was classified in 24 of 28 GSD, with type II anatomy being most common (21/24). Three dogs had unusual anatomy (type IV in 1, type V in 2). Median minimal ductal diameter (MDD) in this population was larger than previously reported in a mixed population and ranged between 4.4 and 4.9</w:t>
      </w:r>
      <w:r>
        <w:rPr>
          <w:color w:val="323232"/>
        </w:rPr>
        <w:t xml:space="preserve"> </w:t>
      </w:r>
      <w:r>
        <w:rPr>
          <w:color w:val="323232"/>
        </w:rPr>
        <w:t xml:space="preserve">mm depending upon imaging modality. Successful closure was achieved using an Amplatz canine duct occluder (ACDO) in 22 dogs or by surgical ligation in 6 dogs. No cases of type III anatomy were confirmed.</w:t>
      </w:r>
    </w:p>
    <w:p/>
    <w:p>
      <w:pPr>
        <w:pStyle w:val="Normal"/>
      </w:pPr>
      <w:r>
        <w:rPr>
          <w:color w:val="323232"/>
        </w:rPr>
        <w:t xml:space="preserve">CONCLUSIONS AND CLINICAL IMPORTANCE:The majority of GSD in this population had type II PDA anatomy that was amenable to ACDO deployment. Predisposition for large MDD and occasional, unusual PDA anatomy suggests that transesophageal echocardiography may be beneficial for optimal procedural planning in this breed.</w:t>
      </w:r>
    </w:p>
    <w:p/>
    <w:p>
      <w:pPr>
        <w:pStyle w:val="Normal"/>
      </w:pPr>
      <w:r>
        <w:rPr>
          <w:color w:val="323232"/>
        </w:rPr>
        <w:t xml:space="preserve">J Vet Intern Med, 2019 vol. 33 (2) pp. 471-477.</w:t>
      </w:r>
    </w:p>
    <w:p>
      <w:r>
        <w:rPr>
          <w:rStyle w:val="Hyperlink"/>
        </w:rPr>
        <w:fldChar w:fldCharType="begin"/>
      </w:r>
      <w:r>
        <w:rPr>
          <w:rStyle w:val="Hyperlink"/>
        </w:rPr>
        <w:instrText xml:space="preserve"> HYPERLINK "http://dx.doi.org/10.1111/jvim.15401" </w:instrText>
      </w:r>
      <w:r>
        <w:rPr>
          <w:rStyle w:val="Hyperlink"/>
        </w:rPr>
      </w:r>
      <w:r>
        <w:rPr>
          <w:rStyle w:val="Hyperlink"/>
        </w:rPr>
        <w:fldChar w:fldCharType="separate"/>
      </w:r>
      <w:pPr>
        <w:pStyle w:val="Normal"/>
      </w:pPr>
      <w:r>
        <w:rPr>
          <w:rStyle w:val="Hyperlink"/>
        </w:rPr>
        <w:t xml:space="preserve">http://dx.doi.org/10.1111/jvim.15401</w:t>
      </w:r>
      <w:r>
        <w:rPr>
          <w:rStyle w:val="Hyperlink"/>
        </w:rPr>
        <w:fldChar w:fldCharType="end"/>
      </w:r>
    </w:p>
    <w:p>
      <w:pPr>
        <w:pStyle w:val="Normal"/>
      </w:pPr>
      <w:r>
        <w:rPr>
          <w:color w:val="323232"/>
        </w:rPr>
        <w:t xml:space="preserve">————————</w:t>
      </w:r>
    </w:p>
    <w:p>
      <w:pPr>
        <w:pStyle w:val="Heading4"/>
      </w:pPr>
      <w:r>
        <w:t xml:space="preserve">Safety and efficacy of orally administered telmisartan for the treatment of systemic hypertension in cats: Results of a double-blind, placebo-controlled, randomized clinical trial.</w:t>
      </w:r>
    </w:p>
    <w:p/>
    <w:p>
      <w:pPr>
        <w:pStyle w:val="Normal"/>
      </w:pPr>
      <w:r>
        <w:rPr>
          <w:color w:val="323232"/>
        </w:rPr>
        <w:t xml:space="preserve">Amanda E Coleman, Scott A Brown, Anne M Traas, Lawrence Bryson, Tanja Zimmering, and Alicia Zimmerman.</w:t>
      </w:r>
    </w:p>
    <w:p/>
    <w:p>
      <w:pPr>
        <w:pStyle w:val="Normal"/>
      </w:pPr>
      <w:r>
        <w:rPr>
          <w:color w:val="323232"/>
        </w:rPr>
        <w:t xml:space="preserve">BACKGROUND:Information regarding the efficacy of telmisartan for feline systemic arterial hypertension is limited.</w:t>
      </w:r>
    </w:p>
    <w:p/>
    <w:p>
      <w:pPr>
        <w:pStyle w:val="Normal"/>
      </w:pPr>
      <w:r>
        <w:rPr>
          <w:color w:val="323232"/>
        </w:rPr>
        <w:t xml:space="preserve">OBJECTIVES:To evaluate the safety and efficacy of PO administered telmisartan solution in hypertensive cats.</w:t>
      </w:r>
    </w:p>
    <w:p/>
    <w:p>
      <w:pPr>
        <w:pStyle w:val="Normal"/>
      </w:pPr>
      <w:r>
        <w:rPr>
          <w:color w:val="323232"/>
        </w:rPr>
        <w:t xml:space="preserve">ANIMALS:Client-owned cats with indirect systolic arterial blood pressure (SBP) of 160-200 mm Hg, based on multiple measurements.</w:t>
      </w:r>
    </w:p>
    <w:p/>
    <w:p>
      <w:pPr>
        <w:pStyle w:val="Normal"/>
      </w:pPr>
      <w:r>
        <w:rPr>
          <w:color w:val="323232"/>
        </w:rPr>
        <w:t xml:space="preserve">METHODS:This multicenter trial consisted a 28-day, prospective, randomized, double-blind, placebo-controlled, parallel group, efficacy phase and a 154-day extended-use telmisartan phase. Hypertensive cats were randomly assigned to receive 1.5 mg telmisartan/ kg PO q12h for 14 days, followed by 2 mg telmisartan/ kg PO q24h, or equivalent volume of placebo. Systolic blood pressure was measured on days 0, 14, and 28. Change in SBP compared to baseline was calculated for days 14 and 28. Telmisartan efficacy was defined as significant decrease in SBP at day 14 compared to placebo and a clinically relevant (&gt;20 mm Hg) decrease in SBP at day 28.</w:t>
      </w:r>
    </w:p>
    <w:p/>
    <w:p>
      <w:pPr>
        <w:pStyle w:val="Normal"/>
      </w:pPr>
      <w:r>
        <w:rPr>
          <w:color w:val="323232"/>
        </w:rPr>
        <w:t xml:space="preserve">RESULTS:Two-hundred twenty-one cats were included. On day 14, least squares mean (95% confidence interval) SBP decrease was significantly larger in telmisartan-treated (-23.3 mm Hg [-28.2 to -18.3]) versus placebo-treated (-7.5 mm Hg [-13.6 to -1.5]) cats (P = .0005). On day 28, telmisartan treatment resulted in a clinically relevant SBP decrease (-23.9 mm Hg [-27.8 to -20.0]), whereas placebo did not (-11.6 mm Hg [-17.4 to -5.9 mm Hg]). The decrease in SBP persisted over the 6-month trial in telmisartan-treated cats.</w:t>
      </w:r>
    </w:p>
    <w:p/>
    <w:p>
      <w:pPr>
        <w:pStyle w:val="Normal"/>
      </w:pPr>
      <w:r>
        <w:rPr>
          <w:color w:val="323232"/>
        </w:rPr>
        <w:t xml:space="preserve">CONCLUSIONS AND CLINICAL IMPORTANCE:Telmisartan significantly decreased SBP to a clinically relevant extent and was well tolerated in hypertensive cats.</w:t>
      </w:r>
    </w:p>
    <w:p/>
    <w:p>
      <w:pPr>
        <w:pStyle w:val="Normal"/>
      </w:pPr>
      <w:r>
        <w:rPr>
          <w:color w:val="323232"/>
        </w:rPr>
        <w:t xml:space="preserve">J Vet Intern Med, 2019 vol. 33 (2) pp. 478-488.</w:t>
      </w:r>
    </w:p>
    <w:p>
      <w:r>
        <w:rPr>
          <w:rStyle w:val="Hyperlink"/>
        </w:rPr>
        <w:fldChar w:fldCharType="begin"/>
      </w:r>
      <w:r>
        <w:rPr>
          <w:rStyle w:val="Hyperlink"/>
        </w:rPr>
        <w:instrText xml:space="preserve"> HYPERLINK "http://dx.doi.org/10.1111/jvim.15429" </w:instrText>
      </w:r>
      <w:r>
        <w:rPr>
          <w:rStyle w:val="Hyperlink"/>
        </w:rPr>
      </w:r>
      <w:r>
        <w:rPr>
          <w:rStyle w:val="Hyperlink"/>
        </w:rPr>
        <w:fldChar w:fldCharType="separate"/>
      </w:r>
      <w:pPr>
        <w:pStyle w:val="Normal"/>
      </w:pPr>
      <w:r>
        <w:rPr>
          <w:rStyle w:val="Hyperlink"/>
        </w:rPr>
        <w:t xml:space="preserve">http://dx.doi.org/10.1111/jvim.15429</w:t>
      </w:r>
      <w:r>
        <w:rPr>
          <w:rStyle w:val="Hyperlink"/>
        </w:rPr>
        <w:fldChar w:fldCharType="end"/>
      </w:r>
    </w:p>
    <w:p>
      <w:pPr>
        <w:pStyle w:val="Normal"/>
      </w:pPr>
      <w:r>
        <w:rPr>
          <w:color w:val="323232"/>
        </w:rPr>
        <w:t xml:space="preserve">————————</w:t>
      </w:r>
    </w:p>
    <w:p>
      <w:pPr>
        <w:pStyle w:val="Heading4"/>
      </w:pPr>
      <w:r>
        <w:t xml:space="preserve">Echocardiographic indices and severity of mitral regurgitation in dogs with preclinical degenerative mitral valve disease.</w:t>
      </w:r>
    </w:p>
    <w:p/>
    <w:p>
      <w:pPr>
        <w:pStyle w:val="Normal"/>
      </w:pPr>
      <w:r>
        <w:rPr>
          <w:color w:val="323232"/>
        </w:rPr>
        <w:t xml:space="preserve">Éva Larouche-Lebel, Kerry A Loughran, and Mark A Oyama.</w:t>
      </w:r>
    </w:p>
    <w:p/>
    <w:p>
      <w:pPr>
        <w:pStyle w:val="Normal"/>
      </w:pPr>
      <w:r>
        <w:rPr>
          <w:color w:val="323232"/>
        </w:rPr>
        <w:t xml:space="preserve">BACKGROUND:Describing severity of mitral regurgitation (MR) in dogs with degenerative mitral valve disease (DMVD) is challenging.</w:t>
      </w:r>
    </w:p>
    <w:p/>
    <w:p>
      <w:pPr>
        <w:pStyle w:val="Normal"/>
      </w:pPr>
      <w:r>
        <w:rPr>
          <w:color w:val="323232"/>
        </w:rPr>
        <w:t xml:space="preserve">HYPOTHESIS/OBJECTIVES:Mitral regurgitant fraction (RF), effective regurgitant orifice area (EROA), and the ratio of mitral regurgitant to aortic flow (QMR :QAo ) can be calculated from routine echocardiographic measurements and provide additional information regarding MR severity.</w:t>
      </w:r>
    </w:p>
    <w:p/>
    <w:p>
      <w:pPr>
        <w:pStyle w:val="Normal"/>
      </w:pPr>
      <w:r>
        <w:rPr>
          <w:color w:val="323232"/>
        </w:rPr>
        <w:t xml:space="preserve">ANIMALS:Fifty-seven dogs with preclinical DMVD including 36 without and 21 with cardiomegaly.</w:t>
      </w:r>
    </w:p>
    <w:p/>
    <w:p>
      <w:pPr>
        <w:pStyle w:val="Normal"/>
      </w:pPr>
      <w:r>
        <w:rPr>
          <w:color w:val="323232"/>
        </w:rPr>
        <w:t xml:space="preserve">METHODS:Prospective observational study. The expected relationships among RF, EROA, and QMR :QAo and 1-dimensional measurements including left atrium to aortic root diameter ratio (LA:Ao) and normalized left ventricular internal dimension at end-diastole (LVIDdN) were mathematically derived and calculated using echocardiographic data from the study population. Nonlinear goodness of fit was determined by calculation of the root mean standard error. The correlations between 1-dimensional and multidimensional indices were analyzed using receiver operating characteristic curves.</w:t>
      </w:r>
    </w:p>
    <w:p/>
    <w:p>
      <w:pPr>
        <w:pStyle w:val="Normal"/>
      </w:pPr>
      <w:r>
        <w:rPr>
          <w:color w:val="323232"/>
        </w:rPr>
        <w:t xml:space="preserve">RESULTS:The relationships among RF, EROA, QMR :QAo , and both LA:Ao and LVIDdN were curvilinear, and the multidimensional indices differentiated MR of variable severity. By contrast, 1-dimensional measurements were insensitive to MR severity until RF equaled or exceeded 50%. Regurgitant fraction ≥50%, EROA to body surface area ≥0.347 and QMR :QAo ≥0.79 were strongly associated with LA:Ao ≥1.6 and LVIDdN ≥1.7.</w:t>
      </w:r>
    </w:p>
    <w:p/>
    <w:p>
      <w:pPr>
        <w:pStyle w:val="Normal"/>
      </w:pPr>
      <w:r>
        <w:rPr>
          <w:color w:val="323232"/>
        </w:rPr>
        <w:t xml:space="preserve">CONCLUSIONS AND CLINICAL IMPORTANCE:Regurgitant fraction, EROA, and QMR :QAo quantify MR severity in dogs with preclinical DMVD in a manner that 1-dimensional measurements do not.</w:t>
      </w:r>
    </w:p>
    <w:p/>
    <w:p>
      <w:pPr>
        <w:pStyle w:val="Normal"/>
      </w:pPr>
      <w:r>
        <w:rPr>
          <w:color w:val="323232"/>
        </w:rPr>
        <w:t xml:space="preserve">J Vet Intern Med, 2019 vol. 33 (2) pp. 489-498.</w:t>
      </w:r>
    </w:p>
    <w:p>
      <w:r>
        <w:rPr>
          <w:rStyle w:val="Hyperlink"/>
        </w:rPr>
        <w:fldChar w:fldCharType="begin"/>
      </w:r>
      <w:r>
        <w:rPr>
          <w:rStyle w:val="Hyperlink"/>
        </w:rPr>
        <w:instrText xml:space="preserve"> HYPERLINK "http://dx.doi.org/10.1111/jvim.15461" </w:instrText>
      </w:r>
      <w:r>
        <w:rPr>
          <w:rStyle w:val="Hyperlink"/>
        </w:rPr>
      </w:r>
      <w:r>
        <w:rPr>
          <w:rStyle w:val="Hyperlink"/>
        </w:rPr>
        <w:fldChar w:fldCharType="separate"/>
      </w:r>
      <w:pPr>
        <w:pStyle w:val="Normal"/>
      </w:pPr>
      <w:r>
        <w:rPr>
          <w:rStyle w:val="Hyperlink"/>
        </w:rPr>
        <w:t xml:space="preserve">http://dx.doi.org/10.1111/jvim.15461</w:t>
      </w:r>
      <w:r>
        <w:rPr>
          <w:rStyle w:val="Hyperlink"/>
        </w:rPr>
        <w:fldChar w:fldCharType="end"/>
      </w:r>
    </w:p>
    <w:p>
      <w:pPr>
        <w:pStyle w:val="Normal"/>
      </w:pPr>
      <w:r>
        <w:rPr>
          <w:color w:val="323232"/>
        </w:rPr>
        <w:t xml:space="preserve">————————</w:t>
      </w:r>
    </w:p>
    <w:p>
      <w:pPr>
        <w:pStyle w:val="Heading4"/>
      </w:pPr>
      <w:r>
        <w:t xml:space="preserve">Development and validation of a novel clinical scoring system for short-term prediction of death in dogs with acute pancreatitis.</w:t>
      </w:r>
    </w:p>
    <w:p/>
    <w:p>
      <w:pPr>
        <w:pStyle w:val="Normal"/>
      </w:pPr>
      <w:r>
        <w:rPr>
          <w:color w:val="323232"/>
        </w:rPr>
        <w:t xml:space="preserve">Virginie Fabrès, Olivier Dossin, Clémence Reif, Miguel Campos, Valerie Freiche, Christelle Maurey, Fanny Pilot Storck, Loïc Desquilbet, and Ghita Benchekroun.</w:t>
      </w:r>
    </w:p>
    <w:p/>
    <w:p>
      <w:pPr>
        <w:pStyle w:val="Normal"/>
      </w:pPr>
      <w:r>
        <w:rPr>
          <w:color w:val="323232"/>
        </w:rPr>
        <w:t xml:space="preserve">BACKGROUND:Acute pancreatitis (AP) is associated with a high death rate in dogs, but accurate predictors of early death are still lacking.</w:t>
      </w:r>
    </w:p>
    <w:p/>
    <w:p>
      <w:pPr>
        <w:pStyle w:val="Normal"/>
      </w:pPr>
      <w:r>
        <w:rPr>
          <w:color w:val="323232"/>
        </w:rPr>
        <w:t xml:space="preserve">OBJECTIVES:To develop a scoring system for prediction of short-term case fatality in dogs with AP.</w:t>
      </w:r>
    </w:p>
    <w:p/>
    <w:p>
      <w:pPr>
        <w:pStyle w:val="Normal"/>
      </w:pPr>
      <w:r>
        <w:rPr>
          <w:color w:val="323232"/>
        </w:rPr>
        <w:t xml:space="preserve">ANIMALS:One hundred sixty-nine dogs with AP including 138 dogs in the training cohort and 31 dogs in the validation cohort.</w:t>
      </w:r>
    </w:p>
    <w:p/>
    <w:p>
      <w:pPr>
        <w:pStyle w:val="Normal"/>
      </w:pPr>
      <w:r>
        <w:rPr>
          <w:color w:val="323232"/>
        </w:rPr>
        <w:t xml:space="preserve">METHODS:Multicenter, retrospective cohort study. Survival analysis was used to assess the associations with short-term death (within 30</w:t>
      </w:r>
      <w:r>
        <w:rPr>
          <w:color w:val="323232"/>
        </w:rPr>
        <w:t xml:space="preserve"> </w:t>
      </w:r>
      <w:r>
        <w:rPr>
          <w:color w:val="323232"/>
        </w:rPr>
        <w:t xml:space="preserve">days after admission). Independent predictors of death were identified by a stepwise selection method and used for the score calculation.</w:t>
      </w:r>
    </w:p>
    <w:p/>
    <w:p>
      <w:pPr>
        <w:pStyle w:val="Normal"/>
      </w:pPr>
      <w:r>
        <w:rPr>
          <w:color w:val="323232"/>
        </w:rPr>
        <w:t xml:space="preserve">RESULTS:Death rate within 30</w:t>
      </w:r>
      <w:r>
        <w:rPr>
          <w:color w:val="323232"/>
        </w:rPr>
        <w:t xml:space="preserve"> </w:t>
      </w:r>
      <w:r>
        <w:rPr>
          <w:color w:val="323232"/>
        </w:rPr>
        <w:t xml:space="preserve">days after admission was 33% in the training cohort. Four independent risk factors for short-term death were identified in the training cohort: presence of systemic inflammatory response syndrome, coagulation disorders, increased creatinine and ionized hypocalcemia. Canine Acute Pancreatitis Severity (CAPS) score was developed to predict short-term death, integrating these 4 factors in a weighted way. A simplified version of CAPS score (sCAPS) including respiratory rate instead of SIRS was also assessed. The area under the receiver-operating characteristic curve (AUC) of CAPS and sCAPS scores was 0.92 in the training cohort with an optimal cutoff of 11 (sensitivity, 89%; specificity, 90%) and 6 (sensitivity, 96%; specificity, 77%), respectively. CAPS and sCAPS score were validated in the validation cohort with respective AUC of 0.91 and 0.96.</w:t>
      </w:r>
    </w:p>
    <w:p/>
    <w:p>
      <w:pPr>
        <w:pStyle w:val="Normal"/>
      </w:pPr>
      <w:r>
        <w:rPr>
          <w:color w:val="323232"/>
        </w:rPr>
        <w:t xml:space="preserve">CONCLUSIONS AND CLINICAL IMPORTANCE:We propose 2 scoring systems that allow early and accurate prediction of short-term death in dogs with AP.</w:t>
      </w:r>
    </w:p>
    <w:p/>
    <w:p>
      <w:pPr>
        <w:pStyle w:val="Normal"/>
      </w:pPr>
      <w:r>
        <w:rPr>
          <w:color w:val="323232"/>
        </w:rPr>
        <w:t xml:space="preserve">J Vet Intern Med, 2019 vol. 33 (2) pp. 499-507.</w:t>
      </w:r>
    </w:p>
    <w:p>
      <w:r>
        <w:rPr>
          <w:rStyle w:val="Hyperlink"/>
        </w:rPr>
        <w:fldChar w:fldCharType="begin"/>
      </w:r>
      <w:r>
        <w:rPr>
          <w:rStyle w:val="Hyperlink"/>
        </w:rPr>
        <w:instrText xml:space="preserve"> HYPERLINK "http://eutils.ncbi.nlm.nih.gov/entrez/eutils/elink.fcgi?dbfrom=pubmed&amp;id=30770578&amp;retmode=ref&amp;cmd=prlinks"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http://eutils.ncbi.nlm.nih.gov/entrez/eutils/elink.fcgi?dbfrom=pubmed&amp;id=30770578&amp;retmode=ref&amp;cmd=prlinks</w:t>
      </w:r>
      <w:r>
        <w:rPr>
          <w:rStyle w:val="Hyperlink"/>
        </w:rPr>
        <w:fldChar w:fldCharType="end"/>
      </w:r>
    </w:p>
    <w:p>
      <w:pPr>
        <w:pStyle w:val="Normal"/>
      </w:pPr>
      <w:r>
        <w:rPr>
          <w:color w:val="323232"/>
        </w:rPr>
        <w:t xml:space="preserve">————————</w:t>
      </w:r>
    </w:p>
    <w:p>
      <w:pPr>
        <w:pStyle w:val="Heading4"/>
      </w:pPr>
      <w:r>
        <w:t xml:space="preserve">Changes in thyroid and renal function after bilateral thyroidectomy in cats.</w:t>
      </w:r>
    </w:p>
    <w:p/>
    <w:p>
      <w:pPr>
        <w:pStyle w:val="Normal"/>
      </w:pPr>
      <w:r>
        <w:rPr>
          <w:color w:val="323232"/>
        </w:rPr>
        <w:t xml:space="preserve">Heather L Covey, Yu-Mei Chang, Jonathan Elliott, and Harriet M Syme.</w:t>
      </w:r>
    </w:p>
    <w:p/>
    <w:p>
      <w:pPr>
        <w:pStyle w:val="Normal"/>
      </w:pPr>
      <w:r>
        <w:rPr>
          <w:color w:val="323232"/>
        </w:rPr>
        <w:t xml:space="preserve">BACKGROUND:Iatrogenic hypothyroidism might worsen the prognosis of cats with azotemic CKD after thyroidectomy. Varying thyroxine concentrations influence utility of creatinine in assessing renal function. Symmetric dimethylarginine (SDMA) has limited studies in cats with changing thyroid status.</w:t>
      </w:r>
    </w:p>
    <w:p/>
    <w:p>
      <w:pPr>
        <w:pStyle w:val="Normal"/>
      </w:pPr>
      <w:r>
        <w:rPr>
          <w:color w:val="323232"/>
        </w:rPr>
        <w:t xml:space="preserve">OBJECTIVES:Thyroid status is stable 6</w:t>
      </w:r>
      <w:r>
        <w:rPr>
          <w:color w:val="323232"/>
        </w:rPr>
        <w:t xml:space="preserve"> </w:t>
      </w:r>
      <w:r>
        <w:rPr>
          <w:color w:val="323232"/>
        </w:rPr>
        <w:t xml:space="preserve">months post-thyroidectomy. Symmetric dimethylarginine and creatinine are linearly associated without influence from total thyroxine concentration (tT4).</w:t>
      </w:r>
    </w:p>
    <w:p/>
    <w:p>
      <w:pPr>
        <w:pStyle w:val="Normal"/>
      </w:pPr>
      <w:r>
        <w:rPr>
          <w:color w:val="323232"/>
        </w:rPr>
        <w:t xml:space="preserve">ANIMALS:Electronic records of 2 first opinion practices were searched using the term "thyroidectomy" to include 81 client-owned cats that had undergone bilateral thyroidectomy.</w:t>
      </w:r>
    </w:p>
    <w:p/>
    <w:p>
      <w:pPr>
        <w:pStyle w:val="Normal"/>
      </w:pPr>
      <w:r>
        <w:rPr>
          <w:color w:val="323232"/>
        </w:rPr>
        <w:t xml:space="preserve">METHODS:Retrospective cross-sectional study assessing thyroid hormone concentrations of 68 cats within 6</w:t>
      </w:r>
      <w:r>
        <w:rPr>
          <w:color w:val="323232"/>
        </w:rPr>
        <w:t xml:space="preserve"> </w:t>
      </w:r>
      <w:r>
        <w:rPr>
          <w:color w:val="323232"/>
        </w:rPr>
        <w:t xml:space="preserve">months of surgery. A longitudinal study of thyroid status in 23 cats with &gt;18</w:t>
      </w:r>
      <w:r>
        <w:rPr>
          <w:color w:val="323232"/>
        </w:rPr>
        <w:t xml:space="preserve"> </w:t>
      </w:r>
      <w:r>
        <w:rPr>
          <w:color w:val="323232"/>
        </w:rPr>
        <w:t xml:space="preserve">months follow-up post-thyroidectomy. A generalized estimating equation assessed the associations of bodyweight, tT4 and creatinine concentrations on SDMA concentration.</w:t>
      </w:r>
    </w:p>
    <w:p/>
    <w:p>
      <w:pPr>
        <w:pStyle w:val="Normal"/>
      </w:pPr>
      <w:r>
        <w:rPr>
          <w:color w:val="323232"/>
        </w:rPr>
        <w:t xml:space="preserve">RESULTS:Sixty-eight cats had follow-up within 6</w:t>
      </w:r>
      <w:r>
        <w:rPr>
          <w:color w:val="323232"/>
        </w:rPr>
        <w:t xml:space="preserve"> </w:t>
      </w:r>
      <w:r>
        <w:rPr>
          <w:color w:val="323232"/>
        </w:rPr>
        <w:t xml:space="preserve">months. Fifteen cats (22%) had persistent, or recurrent, hyperthyroidism and 33 cats (49%) were hypothyroid. Twenty-three of the euthyroid/hypothyroid cats had long-term follow-up (595-1955</w:t>
      </w:r>
      <w:r>
        <w:rPr>
          <w:color w:val="323232"/>
        </w:rPr>
        <w:t xml:space="preserve"> </w:t>
      </w:r>
      <w:r>
        <w:rPr>
          <w:color w:val="323232"/>
        </w:rPr>
        <w:t xml:space="preserve">days); 4 cats (17%) remained hypothyroid, 19 cats (83%) were euthyroid (often transiently), and 9 of 23 cats (44%) developed recurrent hyperthyroidism. Symmetric dimethylarginine and creatinine were linearly associated, but hyperthyroid cats had higher SDMA concentrations, relative to creatinine (P</w:t>
      </w:r>
      <w:r>
        <w:rPr>
          <w:color w:val="323232"/>
        </w:rPr>
        <w:t xml:space="preserve"> </w:t>
      </w:r>
      <w:r>
        <w:rPr>
          <w:color w:val="323232"/>
        </w:rPr>
        <w:t xml:space="preserve">=</w:t>
      </w:r>
      <w:r>
        <w:rPr>
          <w:color w:val="323232"/>
        </w:rPr>
        <w:t xml:space="preserve"> </w:t>
      </w:r>
      <w:r>
        <w:rPr>
          <w:color w:val="323232"/>
        </w:rPr>
        <w:t xml:space="preserve">.003).</w:t>
      </w:r>
    </w:p>
    <w:p/>
    <w:p>
      <w:pPr>
        <w:pStyle w:val="Normal"/>
      </w:pPr>
      <w:r>
        <w:rPr>
          <w:color w:val="323232"/>
        </w:rPr>
        <w:t xml:space="preserve">CONCLUSIONS AND CLINICAL IMPORTANCE:Cats have changes in thyroid function for years after bilateral thyroidectomy, with a high incidence of recurrent hyperthyroidism. Both SDMA and creatinine are affected by thyroxine concentrations, and the effect is greater in hyperthyroid cats.</w:t>
      </w:r>
    </w:p>
    <w:p/>
    <w:p>
      <w:pPr>
        <w:pStyle w:val="Normal"/>
      </w:pPr>
      <w:r>
        <w:rPr>
          <w:color w:val="323232"/>
        </w:rPr>
        <w:t xml:space="preserve">J Vet Intern Med, 2019 vol. 33 (2) pp. 508-515.</w:t>
      </w:r>
    </w:p>
    <w:p>
      <w:r>
        <w:rPr>
          <w:rStyle w:val="Hyperlink"/>
        </w:rPr>
        <w:fldChar w:fldCharType="begin"/>
      </w:r>
      <w:r>
        <w:rPr>
          <w:rStyle w:val="Hyperlink"/>
        </w:rPr>
        <w:instrText xml:space="preserve"> HYPERLINK "http://dx.doi.org/10.1111/jvim.15450" </w:instrText>
      </w:r>
      <w:r>
        <w:rPr>
          <w:rStyle w:val="Hyperlink"/>
        </w:rPr>
      </w:r>
      <w:r>
        <w:rPr>
          <w:rStyle w:val="Hyperlink"/>
        </w:rPr>
        <w:fldChar w:fldCharType="separate"/>
      </w:r>
      <w:pPr>
        <w:pStyle w:val="Normal"/>
      </w:pPr>
      <w:r>
        <w:rPr>
          <w:rStyle w:val="Hyperlink"/>
        </w:rPr>
        <w:t xml:space="preserve">http://dx.doi.org/10.1111/jvim.15450</w:t>
      </w:r>
      <w:r>
        <w:rPr>
          <w:rStyle w:val="Hyperlink"/>
        </w:rPr>
        <w:fldChar w:fldCharType="end"/>
      </w:r>
    </w:p>
    <w:p>
      <w:pPr>
        <w:pStyle w:val="Normal"/>
      </w:pPr>
      <w:r>
        <w:rPr>
          <w:color w:val="323232"/>
        </w:rPr>
        <w:t xml:space="preserve">————————</w:t>
      </w:r>
    </w:p>
    <w:p>
      <w:pPr>
        <w:pStyle w:val="Heading4"/>
      </w:pPr>
      <w:r>
        <w:t xml:space="preserve">Assessment of symmetric dimethylarginine as a biomarker of renal function in hyperthyroid cats treated with radioiodine.</w:t>
      </w:r>
    </w:p>
    <w:p/>
    <w:p>
      <w:pPr>
        <w:pStyle w:val="Normal"/>
      </w:pPr>
      <w:r>
        <w:rPr>
          <w:color w:val="323232"/>
        </w:rPr>
        <w:t xml:space="preserve">Eva Buresova, Emmelie Stock, Dominique Paepe, Lisa Stammeleer, Eva Vandermeulen, Pascale Smets, Luc Duchateau, Herve P Lefebvre, and Sylvie Daminet.</w:t>
      </w:r>
    </w:p>
    <w:p/>
    <w:p>
      <w:pPr>
        <w:pStyle w:val="Normal"/>
      </w:pPr>
      <w:r>
        <w:rPr>
          <w:color w:val="323232"/>
        </w:rPr>
        <w:t xml:space="preserve">BACKGROUND:Measurement of serum creatinine (sCr) and urea nitrogen fail to detect decreased renal function in many hyperthyroid cats because of low muscle mass and glomerular hyperfiltration of affected cats. Serum symmetric dimethylarginine (sSDMA) is an earlier and more sensitive renal biomarker than sCr.</w:t>
      </w:r>
    </w:p>
    <w:p/>
    <w:p>
      <w:pPr>
        <w:pStyle w:val="Normal"/>
      </w:pPr>
      <w:r>
        <w:rPr>
          <w:color w:val="323232"/>
        </w:rPr>
        <w:t xml:space="preserve">OBJECTIVE:Evaluate sSDMA as a biomarker of renal function in hyperthyroid cats before (T0) and 1</w:t>
      </w:r>
      <w:r>
        <w:rPr>
          <w:color w:val="323232"/>
        </w:rPr>
        <w:t xml:space="preserve"> </w:t>
      </w:r>
      <w:r>
        <w:rPr>
          <w:color w:val="323232"/>
        </w:rPr>
        <w:t xml:space="preserve">month after (T1) radioiodine (131 I) treatment.</w:t>
      </w:r>
    </w:p>
    <w:p/>
    <w:p>
      <w:pPr>
        <w:pStyle w:val="Normal"/>
      </w:pPr>
      <w:r>
        <w:rPr>
          <w:color w:val="323232"/>
        </w:rPr>
        <w:t xml:space="preserve">ANIMALS:Forty-seven client-owned hyperthyroid nonazotemic cats were evaluated at T0 and T1.</w:t>
      </w:r>
    </w:p>
    <w:p/>
    <w:p>
      <w:pPr>
        <w:pStyle w:val="Normal"/>
      </w:pPr>
      <w:r>
        <w:rPr>
          <w:color w:val="323232"/>
        </w:rPr>
        <w:t xml:space="preserve">METHODS:A prospective study in which sCr and sSDMA concentrations were determined in 47 hyperthyroid cats at T0 and at T1. Glomerular filtration rate (GFR) was estimated at T0 and T1 in 10 of these 47 cats using plasma exogenous creatinine clearance test.</w:t>
      </w:r>
    </w:p>
    <w:p/>
    <w:p>
      <w:pPr>
        <w:pStyle w:val="Normal"/>
      </w:pPr>
      <w:r>
        <w:rPr>
          <w:color w:val="323232"/>
        </w:rPr>
        <w:t xml:space="preserve">RESULTS:Serum SDMA was elevated (&gt;14</w:t>
      </w:r>
      <w:r>
        <w:rPr>
          <w:color w:val="323232"/>
        </w:rPr>
        <w:t xml:space="preserve"> </w:t>
      </w:r>
      <w:r>
        <w:rPr>
          <w:color w:val="323232"/>
        </w:rPr>
        <w:t xml:space="preserve">μg/dL) in 6 of 47 cats at T0 and normalized after treatment in 4 of those cats. All cats remained nonazotemic after treatment. In 10 cats in which GFR was measured, correlation between GFR and sSDMA was low and not significant (τb </w:t>
      </w:r>
      <w:r>
        <w:rPr>
          <w:color w:val="323232"/>
        </w:rPr>
        <w:t xml:space="preserve"> </w:t>
      </w:r>
      <w:r>
        <w:rPr>
          <w:color w:val="323232"/>
        </w:rPr>
        <w:t xml:space="preserve">=</w:t>
      </w:r>
      <w:r>
        <w:rPr>
          <w:color w:val="323232"/>
        </w:rPr>
        <w:t xml:space="preserve"> </w:t>
      </w:r>
      <w:r>
        <w:rPr>
          <w:color w:val="323232"/>
        </w:rPr>
        <w:t xml:space="preserve">-0.35, P</w:t>
      </w:r>
      <w:r>
        <w:rPr>
          <w:color w:val="323232"/>
        </w:rPr>
        <w:t xml:space="preserve"> </w:t>
      </w:r>
      <w:r>
        <w:rPr>
          <w:color w:val="323232"/>
        </w:rPr>
        <w:t xml:space="preserve">=</w:t>
      </w:r>
      <w:r>
        <w:rPr>
          <w:color w:val="323232"/>
        </w:rPr>
        <w:t xml:space="preserve"> </w:t>
      </w:r>
      <w:r>
        <w:rPr>
          <w:color w:val="323232"/>
        </w:rPr>
        <w:t xml:space="preserve">.17 at T0 and τb </w:t>
      </w:r>
      <w:r>
        <w:rPr>
          <w:color w:val="323232"/>
        </w:rPr>
        <w:t xml:space="preserve"> </w:t>
      </w:r>
      <w:r>
        <w:rPr>
          <w:color w:val="323232"/>
        </w:rPr>
        <w:t xml:space="preserve">=</w:t>
      </w:r>
      <w:r>
        <w:rPr>
          <w:color w:val="323232"/>
        </w:rPr>
        <w:t xml:space="preserve"> </w:t>
      </w:r>
      <w:r>
        <w:rPr>
          <w:color w:val="323232"/>
        </w:rPr>
        <w:t xml:space="preserve">-.22, P</w:t>
      </w:r>
      <w:r>
        <w:rPr>
          <w:color w:val="323232"/>
        </w:rPr>
        <w:t xml:space="preserve"> </w:t>
      </w:r>
      <w:r>
        <w:rPr>
          <w:color w:val="323232"/>
        </w:rPr>
        <w:t xml:space="preserve">=</w:t>
      </w:r>
      <w:r>
        <w:rPr>
          <w:color w:val="323232"/>
        </w:rPr>
        <w:t xml:space="preserve"> </w:t>
      </w:r>
      <w:r>
        <w:rPr>
          <w:color w:val="323232"/>
        </w:rPr>
        <w:t xml:space="preserve">.41 at T1), whereas correlation between GFR and sCr was moderate and significant (τb </w:t>
      </w:r>
      <w:r>
        <w:rPr>
          <w:color w:val="323232"/>
        </w:rPr>
        <w:t xml:space="preserve"> </w:t>
      </w:r>
      <w:r>
        <w:rPr>
          <w:color w:val="323232"/>
        </w:rPr>
        <w:t xml:space="preserve">=</w:t>
      </w:r>
      <w:r>
        <w:rPr>
          <w:color w:val="323232"/>
        </w:rPr>
        <w:t xml:space="preserve"> </w:t>
      </w:r>
      <w:r>
        <w:rPr>
          <w:color w:val="323232"/>
        </w:rPr>
        <w:t xml:space="preserve">-0.52, P</w:t>
      </w:r>
      <w:r>
        <w:rPr>
          <w:color w:val="323232"/>
        </w:rPr>
        <w:t xml:space="preserve"> </w:t>
      </w:r>
      <w:r>
        <w:rPr>
          <w:color w:val="323232"/>
        </w:rPr>
        <w:t xml:space="preserve">&lt;</w:t>
      </w:r>
      <w:r>
        <w:rPr>
          <w:color w:val="323232"/>
        </w:rPr>
        <w:t xml:space="preserve"> </w:t>
      </w:r>
      <w:r>
        <w:rPr>
          <w:color w:val="323232"/>
        </w:rPr>
        <w:t xml:space="preserve">.05 at T0 and τb </w:t>
      </w:r>
      <w:r>
        <w:rPr>
          <w:color w:val="323232"/>
        </w:rPr>
        <w:t xml:space="preserve"> </w:t>
      </w:r>
      <w:r>
        <w:rPr>
          <w:color w:val="323232"/>
        </w:rPr>
        <w:t xml:space="preserve">=</w:t>
      </w:r>
      <w:r>
        <w:rPr>
          <w:color w:val="323232"/>
        </w:rPr>
        <w:t xml:space="preserve"> </w:t>
      </w:r>
      <w:r>
        <w:rPr>
          <w:color w:val="323232"/>
        </w:rPr>
        <w:t xml:space="preserve">-.53, P</w:t>
      </w:r>
      <w:r>
        <w:rPr>
          <w:color w:val="323232"/>
        </w:rPr>
        <w:t xml:space="preserve"> </w:t>
      </w:r>
      <w:r>
        <w:rPr>
          <w:color w:val="323232"/>
        </w:rPr>
        <w:t xml:space="preserve">=</w:t>
      </w:r>
      <w:r>
        <w:rPr>
          <w:color w:val="323232"/>
        </w:rPr>
        <w:t xml:space="preserve"> </w:t>
      </w:r>
      <w:r>
        <w:rPr>
          <w:color w:val="323232"/>
        </w:rPr>
        <w:t xml:space="preserve">&lt;.05 at T1).</w:t>
      </w:r>
    </w:p>
    <w:p/>
    <w:p>
      <w:pPr>
        <w:pStyle w:val="Normal"/>
      </w:pPr>
      <w:r>
        <w:rPr>
          <w:color w:val="323232"/>
        </w:rPr>
        <w:t xml:space="preserve">CONCLUSIONS AND CLINICAL IMPORTANCE:Careful interpretation of mildly increased sSDMA with normal sCr in hyperthyroid cats is warranted as sSDMA values might normalize after resolution of hyperthyroidism in some cats. In this population of hyperthyroid cats, sSDMA was poorly correlated with GFR.</w:t>
      </w:r>
    </w:p>
    <w:p/>
    <w:p>
      <w:pPr>
        <w:pStyle w:val="Normal"/>
      </w:pPr>
      <w:r>
        <w:rPr>
          <w:color w:val="323232"/>
        </w:rPr>
        <w:t xml:space="preserve">J Vet Intern Med, 2019 vol. 33 (2) pp. 516-522.</w:t>
      </w:r>
    </w:p>
    <w:p>
      <w:r>
        <w:rPr>
          <w:rStyle w:val="Hyperlink"/>
        </w:rPr>
        <w:fldChar w:fldCharType="begin"/>
      </w:r>
      <w:r>
        <w:rPr>
          <w:rStyle w:val="Hyperlink"/>
        </w:rPr>
        <w:instrText xml:space="preserve"> HYPERLINK "http://dx.doi.org/10.1111/jvim.15407" </w:instrText>
      </w:r>
      <w:r>
        <w:rPr>
          <w:rStyle w:val="Hyperlink"/>
        </w:rPr>
      </w:r>
      <w:r>
        <w:rPr>
          <w:rStyle w:val="Hyperlink"/>
        </w:rPr>
        <w:fldChar w:fldCharType="separate"/>
      </w:r>
      <w:pPr>
        <w:pStyle w:val="Normal"/>
      </w:pPr>
      <w:r>
        <w:rPr>
          <w:rStyle w:val="Hyperlink"/>
        </w:rPr>
        <w:t xml:space="preserve">http://dx.doi.org/10.1111/jvim.15407</w:t>
      </w:r>
      <w:r>
        <w:rPr>
          <w:rStyle w:val="Hyperlink"/>
        </w:rPr>
        <w:fldChar w:fldCharType="end"/>
      </w:r>
    </w:p>
    <w:p>
      <w:pPr>
        <w:pStyle w:val="Normal"/>
      </w:pPr>
      <w:r>
        <w:rPr>
          <w:color w:val="323232"/>
        </w:rPr>
        <w:t xml:space="preserve">————————</w:t>
      </w:r>
    </w:p>
    <w:p>
      <w:pPr>
        <w:pStyle w:val="Heading4"/>
      </w:pPr>
      <w:r>
        <w:t xml:space="preserve">Pharmacokinetics and pharmacodynamics of intravenous esomeprazole at 2 different dosages in dogs.</w:t>
      </w:r>
    </w:p>
    <w:p/>
    <w:p>
      <w:pPr>
        <w:pStyle w:val="Normal"/>
      </w:pPr>
      <w:r>
        <w:rPr>
          <w:color w:val="323232"/>
        </w:rPr>
        <w:t xml:space="preserve">Do-Hyun Seo, Jong-Bok Lee, Ji-Hye Hwang, Jong-Woo Jeong, Gun-Ho Song, Tae-Sung Koo, and Kyoung-won Seo.</w:t>
      </w:r>
    </w:p>
    <w:p/>
    <w:p>
      <w:pPr>
        <w:pStyle w:val="Normal"/>
      </w:pPr>
      <w:r>
        <w:rPr>
          <w:color w:val="323232"/>
        </w:rPr>
        <w:t xml:space="preserve">BACKGROUND:Although the demand for esomeprazole is increasing in veterinary medicine, the pharmacokinetics (PK) and pharmacodynamics of esomeprazole have been described in only a few studies.</w:t>
      </w:r>
    </w:p>
    <w:p/>
    <w:p>
      <w:pPr>
        <w:pStyle w:val="Normal"/>
      </w:pPr>
      <w:r>
        <w:rPr>
          <w:color w:val="323232"/>
        </w:rPr>
        <w:t xml:space="preserve">OBJECTIVE:To determine the PK of 0.5 and 1</w:t>
      </w:r>
      <w:r>
        <w:rPr>
          <w:color w:val="323232"/>
        </w:rPr>
        <w:t xml:space="preserve"> </w:t>
      </w:r>
      <w:r>
        <w:rPr>
          <w:color w:val="323232"/>
        </w:rPr>
        <w:t xml:space="preserve">mg/kg esomeprazole administered IV q12h and to investigate its effects on intragastric pH in healthy dogs.</w:t>
      </w:r>
    </w:p>
    <w:p/>
    <w:p>
      <w:pPr>
        <w:pStyle w:val="Normal"/>
      </w:pPr>
      <w:r>
        <w:rPr>
          <w:color w:val="323232"/>
        </w:rPr>
        <w:t xml:space="preserve">ANIMALS:Six adult Beagles.</w:t>
      </w:r>
    </w:p>
    <w:p/>
    <w:p>
      <w:pPr>
        <w:pStyle w:val="Normal"/>
      </w:pPr>
      <w:r>
        <w:rPr>
          <w:color w:val="323232"/>
        </w:rPr>
        <w:t xml:space="preserve">METHODS:Open-label, randomized, and crossover design. The dogs received 0.5 or 1 mg/kg esomeprazole IV q12h for 48</w:t>
      </w:r>
      <w:r>
        <w:rPr>
          <w:color w:val="323232"/>
        </w:rPr>
        <w:t xml:space="preserve"> </w:t>
      </w:r>
      <w:r>
        <w:rPr>
          <w:color w:val="323232"/>
        </w:rPr>
        <w:t xml:space="preserve">hours. Plasma concentrations of esomeprazole were measured by high-performance liquid chromatography-tandem mass spectrometry. Intragastric pH was determined using the Bravo pH monitoring system and recorded as mean percentage time (MPT) for which pH was ≥3 and ≥4 for 24</w:t>
      </w:r>
      <w:r>
        <w:rPr>
          <w:color w:val="323232"/>
        </w:rPr>
        <w:t xml:space="preserve"> </w:t>
      </w:r>
      <w:r>
        <w:rPr>
          <w:color w:val="323232"/>
        </w:rPr>
        <w:t xml:space="preserve">hours in each group.</w:t>
      </w:r>
    </w:p>
    <w:p/>
    <w:p>
      <w:pPr>
        <w:pStyle w:val="Normal"/>
      </w:pPr>
      <w:r>
        <w:rPr>
          <w:color w:val="323232"/>
        </w:rPr>
        <w:t xml:space="preserve">RESULTS:The peak plasma concentration and area under the curve from the time of dosing to the last measurable concentration in the 1</w:t>
      </w:r>
      <w:r>
        <w:rPr>
          <w:color w:val="323232"/>
        </w:rPr>
        <w:t xml:space="preserve"> </w:t>
      </w:r>
      <w:r>
        <w:rPr>
          <w:color w:val="323232"/>
        </w:rPr>
        <w:t xml:space="preserve">mg</w:t>
      </w:r>
      <w:r>
        <w:rPr>
          <w:i w:val="1"/>
          <w:color w:val="323232"/>
        </w:rPr>
        <w:t xml:space="preserve">kg group were higher than those in the 0.5</w:t>
      </w:r>
      <w:r>
        <w:rPr>
          <w:color w:val="323232"/>
        </w:rPr>
        <w:t xml:space="preserve"> </w:t>
      </w:r>
      <w:r>
        <w:rPr>
          <w:i w:val="1"/>
          <w:color w:val="323232"/>
        </w:rPr>
        <w:t xml:space="preserve">mg</w:t>
      </w:r>
      <w:r>
        <w:rPr>
          <w:color w:val="323232"/>
        </w:rPr>
        <w:t xml:space="preserve">kg group. However, when the dosage normalized, intergroup differences were not significant. The MPTs for which intragastric pH was ≥3 and ≥4 for 48</w:t>
      </w:r>
      <w:r>
        <w:rPr>
          <w:color w:val="323232"/>
        </w:rPr>
        <w:t xml:space="preserve"> </w:t>
      </w:r>
      <w:r>
        <w:rPr>
          <w:color w:val="323232"/>
        </w:rPr>
        <w:t xml:space="preserve">hours were 88%</w:t>
      </w:r>
      <w:r>
        <w:rPr>
          <w:color w:val="323232"/>
        </w:rPr>
        <w:t xml:space="preserve"> </w:t>
      </w:r>
      <w:r>
        <w:rPr>
          <w:color w:val="323232"/>
        </w:rPr>
        <w:t xml:space="preserve">±</w:t>
      </w:r>
      <w:r>
        <w:rPr>
          <w:color w:val="323232"/>
        </w:rPr>
        <w:t xml:space="preserve"> </w:t>
      </w:r>
      <w:r>
        <w:rPr>
          <w:color w:val="323232"/>
        </w:rPr>
        <w:t xml:space="preserve">7% and 81%</w:t>
      </w:r>
      <w:r>
        <w:rPr>
          <w:color w:val="323232"/>
        </w:rPr>
        <w:t xml:space="preserve"> </w:t>
      </w:r>
      <w:r>
        <w:rPr>
          <w:color w:val="323232"/>
        </w:rPr>
        <w:t xml:space="preserve">±</w:t>
      </w:r>
      <w:r>
        <w:rPr>
          <w:color w:val="323232"/>
        </w:rPr>
        <w:t xml:space="preserve"> </w:t>
      </w:r>
      <w:r>
        <w:rPr>
          <w:color w:val="323232"/>
        </w:rPr>
        <w:t xml:space="preserve">9% for the 0.5</w:t>
      </w:r>
      <w:r>
        <w:rPr>
          <w:color w:val="323232"/>
        </w:rPr>
        <w:t xml:space="preserve"> </w:t>
      </w:r>
      <w:r>
        <w:rPr>
          <w:color w:val="323232"/>
        </w:rPr>
        <w:t xml:space="preserve">mg/ kg group and 90%</w:t>
      </w:r>
      <w:r>
        <w:rPr>
          <w:color w:val="323232"/>
        </w:rPr>
        <w:t xml:space="preserve"> </w:t>
      </w:r>
      <w:r>
        <w:rPr>
          <w:color w:val="323232"/>
        </w:rPr>
        <w:t xml:space="preserve">±</w:t>
      </w:r>
      <w:r>
        <w:rPr>
          <w:color w:val="323232"/>
        </w:rPr>
        <w:t xml:space="preserve"> </w:t>
      </w:r>
      <w:r>
        <w:rPr>
          <w:color w:val="323232"/>
        </w:rPr>
        <w:t xml:space="preserve">9% and 85%</w:t>
      </w:r>
      <w:r>
        <w:rPr>
          <w:color w:val="323232"/>
        </w:rPr>
        <w:t xml:space="preserve"> </w:t>
      </w:r>
      <w:r>
        <w:rPr>
          <w:color w:val="323232"/>
        </w:rPr>
        <w:t xml:space="preserve">±</w:t>
      </w:r>
      <w:r>
        <w:rPr>
          <w:color w:val="323232"/>
        </w:rPr>
        <w:t xml:space="preserve"> </w:t>
      </w:r>
      <w:r>
        <w:rPr>
          <w:color w:val="323232"/>
        </w:rPr>
        <w:t xml:space="preserve">11% for the 1</w:t>
      </w:r>
      <w:r>
        <w:rPr>
          <w:color w:val="323232"/>
        </w:rPr>
        <w:t xml:space="preserve"> </w:t>
      </w:r>
      <w:r>
        <w:rPr>
          <w:color w:val="323232"/>
        </w:rPr>
        <w:t xml:space="preserve">mg/ kg group, respectively, with no significant intergroup differences.</w:t>
      </w:r>
    </w:p>
    <w:p/>
    <w:p>
      <w:pPr>
        <w:pStyle w:val="Normal"/>
      </w:pPr>
      <w:r>
        <w:rPr>
          <w:color w:val="323232"/>
        </w:rPr>
        <w:t xml:space="preserve">CONCLUSIONS AND CLINICAL IMPORTANCE:The pharmacokinetic parameters and acid suppressant effect for 0.5 and 1</w:t>
      </w:r>
      <w:r>
        <w:rPr>
          <w:color w:val="323232"/>
        </w:rPr>
        <w:t xml:space="preserve"> </w:t>
      </w:r>
      <w:r>
        <w:rPr>
          <w:color w:val="323232"/>
        </w:rPr>
        <w:t xml:space="preserve">mg/ kg esomeprazole were not significantly different. Furthermore, the efficacy of esomeprazole 0.5</w:t>
      </w:r>
      <w:r>
        <w:rPr>
          <w:color w:val="323232"/>
        </w:rPr>
        <w:t xml:space="preserve"> </w:t>
      </w:r>
      <w:r>
        <w:rPr>
          <w:color w:val="323232"/>
        </w:rPr>
        <w:t xml:space="preserve">mg/kg IV q12h was sufficient to increase intragastric pH in Beagles.</w:t>
      </w:r>
    </w:p>
    <w:p/>
    <w:p>
      <w:pPr>
        <w:pStyle w:val="Normal"/>
      </w:pPr>
      <w:r>
        <w:rPr>
          <w:color w:val="323232"/>
        </w:rPr>
        <w:t xml:space="preserve">J Vet Intern Med, 2019 vol. 33 (2) pp. 531-535.</w:t>
      </w:r>
    </w:p>
    <w:p>
      <w:r>
        <w:rPr>
          <w:rStyle w:val="Hyperlink"/>
        </w:rPr>
        <w:fldChar w:fldCharType="begin"/>
      </w:r>
      <w:r>
        <w:rPr>
          <w:rStyle w:val="Hyperlink"/>
        </w:rPr>
        <w:instrText xml:space="preserve"> HYPERLINK "http://dx.doi.org/10.1111/jvim.15383" </w:instrText>
      </w:r>
      <w:r>
        <w:rPr>
          <w:rStyle w:val="Hyperlink"/>
        </w:rPr>
      </w:r>
      <w:r>
        <w:rPr>
          <w:rStyle w:val="Hyperlink"/>
        </w:rPr>
        <w:fldChar w:fldCharType="separate"/>
      </w:r>
      <w:pPr>
        <w:pStyle w:val="Normal"/>
      </w:pPr>
      <w:r>
        <w:rPr>
          <w:rStyle w:val="Hyperlink"/>
        </w:rPr>
        <w:t xml:space="preserve">http://dx.doi.org/10.1111/jvim.15383</w:t>
      </w:r>
      <w:r>
        <w:rPr>
          <w:rStyle w:val="Hyperlink"/>
        </w:rPr>
        <w:fldChar w:fldCharType="end"/>
      </w:r>
    </w:p>
    <w:p>
      <w:pPr>
        <w:pStyle w:val="Normal"/>
      </w:pPr>
      <w:r>
        <w:rPr>
          <w:color w:val="323232"/>
        </w:rPr>
        <w:t xml:space="preserve">————————</w:t>
      </w:r>
    </w:p>
    <w:p>
      <w:pPr>
        <w:pStyle w:val="Heading4"/>
      </w:pPr>
      <w:r>
        <w:t xml:space="preserve">Association of chronic enteropathy activity index, blood urea concentration, and risk of death in dogs with protein-losing enteropathy.</w:t>
      </w:r>
    </w:p>
    <w:p/>
    <w:p>
      <w:pPr>
        <w:pStyle w:val="Normal"/>
      </w:pPr>
      <w:r>
        <w:rPr>
          <w:color w:val="323232"/>
        </w:rPr>
        <w:t xml:space="preserve">Aarti Kathrani, Fernando Sánchez-Vizcaíno, and Edward J Hall.</w:t>
      </w:r>
    </w:p>
    <w:p/>
    <w:p>
      <w:pPr>
        <w:pStyle w:val="Normal"/>
      </w:pPr>
      <w:r>
        <w:rPr>
          <w:color w:val="323232"/>
        </w:rPr>
        <w:t xml:space="preserve">BACKGROUND:Malnutrition is associated with increased risk of premature death in humans with inflammatory bowel disease.</w:t>
      </w:r>
    </w:p>
    <w:p/>
    <w:p>
      <w:pPr>
        <w:pStyle w:val="Normal"/>
      </w:pPr>
      <w:r>
        <w:rPr>
          <w:color w:val="323232"/>
        </w:rPr>
        <w:t xml:space="preserve">HYPOTHESIS/OBJECTIVE:To determine if historical, clinical, and laboratory markers of malnutrition in dogs at the time of histologic diagnosis of protein-losing enteropathy (PLE) caused by chronic enteropathy (CE) or lymphangiectasia are associated with increased risk of death.</w:t>
      </w:r>
    </w:p>
    <w:p/>
    <w:p>
      <w:pPr>
        <w:pStyle w:val="Normal"/>
      </w:pPr>
      <w:r>
        <w:rPr>
          <w:color w:val="323232"/>
        </w:rPr>
        <w:t xml:space="preserve">ANIMALS:Seventy-one client-owned dogs diagnosed with PLE.</w:t>
      </w:r>
    </w:p>
    <w:p/>
    <w:p>
      <w:pPr>
        <w:pStyle w:val="Normal"/>
      </w:pPr>
      <w:r>
        <w:rPr>
          <w:color w:val="323232"/>
        </w:rPr>
        <w:t xml:space="preserve">METHODS:The medical records were retrospectively searched for cases of PLE, diagnosed with CE or lymphangiectasia on the basis of histopathology of intestinal biopsies at a referral hospital. For each case, various variables at the time of diagnostic investigation were recorded and follow-up obtained by telephone contact with the referring veterinarian.</w:t>
      </w:r>
    </w:p>
    <w:p/>
    <w:p>
      <w:pPr>
        <w:pStyle w:val="Normal"/>
      </w:pPr>
      <w:r>
        <w:rPr>
          <w:color w:val="323232"/>
        </w:rPr>
        <w:t xml:space="preserve">RESULTS:A multivariable cox model indicated that canine chronic enteropathy activity index (CCEAI) and blood urea concentration were significantly associated with death (P values &lt;.01). For each unit increase in CCEAI, the hazard of death increased by 22.9% (confidence interval [CI]: 6.9%-41.2%). Dogs with a CCEAI of ≤8 and dogs with urea ≤7 mmol/ L survived 256</w:t>
      </w:r>
      <w:r>
        <w:rPr>
          <w:color w:val="323232"/>
        </w:rPr>
        <w:t xml:space="preserve"> </w:t>
      </w:r>
      <w:r>
        <w:rPr>
          <w:color w:val="323232"/>
        </w:rPr>
        <w:t xml:space="preserve">days longer (P</w:t>
      </w:r>
      <w:r>
        <w:rPr>
          <w:color w:val="323232"/>
        </w:rPr>
        <w:t xml:space="preserve"> </w:t>
      </w:r>
      <w:r>
        <w:rPr>
          <w:color w:val="323232"/>
        </w:rPr>
        <w:t xml:space="preserve">=</w:t>
      </w:r>
      <w:r>
        <w:rPr>
          <w:color w:val="323232"/>
        </w:rPr>
        <w:t xml:space="preserve"> </w:t>
      </w:r>
      <w:r>
        <w:rPr>
          <w:color w:val="323232"/>
        </w:rPr>
        <w:t xml:space="preserve">.001, CI: 106.7-405.4 days) and 279</w:t>
      </w:r>
      <w:r>
        <w:rPr>
          <w:color w:val="323232"/>
        </w:rPr>
        <w:t xml:space="preserve"> </w:t>
      </w:r>
      <w:r>
        <w:rPr>
          <w:color w:val="323232"/>
        </w:rPr>
        <w:t xml:space="preserve">days longer (P</w:t>
      </w:r>
      <w:r>
        <w:rPr>
          <w:color w:val="323232"/>
        </w:rPr>
        <w:t xml:space="preserve"> </w:t>
      </w:r>
      <w:r>
        <w:rPr>
          <w:color w:val="323232"/>
        </w:rPr>
        <w:t xml:space="preserve">=</w:t>
      </w:r>
      <w:r>
        <w:rPr>
          <w:color w:val="323232"/>
        </w:rPr>
        <w:t xml:space="preserve"> </w:t>
      </w:r>
      <w:r>
        <w:rPr>
          <w:color w:val="323232"/>
        </w:rPr>
        <w:t xml:space="preserve">.009, CI: 70.0-488.7 days) than those with a CCEAI of &gt;8 and urea &gt;7 mmol/ L on average, respectively, when followed up for 647</w:t>
      </w:r>
      <w:r>
        <w:rPr>
          <w:color w:val="323232"/>
        </w:rPr>
        <w:t xml:space="preserve"> </w:t>
      </w:r>
      <w:r>
        <w:rPr>
          <w:color w:val="323232"/>
        </w:rPr>
        <w:t xml:space="preserve">days.</w:t>
      </w:r>
    </w:p>
    <w:p/>
    <w:p>
      <w:pPr>
        <w:pStyle w:val="Normal"/>
      </w:pPr>
      <w:r>
        <w:rPr>
          <w:color w:val="323232"/>
        </w:rPr>
        <w:t xml:space="preserve">CONCLUSIONS AND CLINICAL IMPORTANCE:Increased CCEAI and blood urea concentration at the time of diagnosis might be predictive of death in dogs with PLE caused by CE or lymphangiectasia.</w:t>
      </w:r>
    </w:p>
    <w:p/>
    <w:p>
      <w:pPr>
        <w:pStyle w:val="Normal"/>
      </w:pPr>
      <w:r>
        <w:rPr>
          <w:color w:val="323232"/>
        </w:rPr>
        <w:t xml:space="preserve">J Vet Intern Med, 2019 vol. 33 (2) pp. 536-543.</w:t>
      </w:r>
    </w:p>
    <w:p>
      <w:r>
        <w:rPr>
          <w:rStyle w:val="Hyperlink"/>
        </w:rPr>
        <w:fldChar w:fldCharType="begin"/>
      </w:r>
      <w:r>
        <w:rPr>
          <w:rStyle w:val="Hyperlink"/>
        </w:rPr>
        <w:instrText xml:space="preserve"> HYPERLINK "http://dx.doi.org/10.1111/jvim.15448" </w:instrText>
      </w:r>
      <w:r>
        <w:rPr>
          <w:rStyle w:val="Hyperlink"/>
        </w:rPr>
      </w:r>
      <w:r>
        <w:rPr>
          <w:rStyle w:val="Hyperlink"/>
        </w:rPr>
        <w:fldChar w:fldCharType="separate"/>
      </w:r>
      <w:pPr>
        <w:pStyle w:val="Normal"/>
      </w:pPr>
      <w:r>
        <w:rPr>
          <w:rStyle w:val="Hyperlink"/>
        </w:rPr>
        <w:t xml:space="preserve">http://dx.doi.org/10.1111/jvim.15448</w:t>
      </w:r>
      <w:r>
        <w:rPr>
          <w:rStyle w:val="Hyperlink"/>
        </w:rPr>
        <w:fldChar w:fldCharType="end"/>
      </w:r>
    </w:p>
    <w:p>
      <w:pPr>
        <w:pStyle w:val="Normal"/>
      </w:pPr>
      <w:r>
        <w:rPr>
          <w:color w:val="323232"/>
        </w:rPr>
        <w:t xml:space="preserve">————————</w:t>
      </w:r>
    </w:p>
    <w:p>
      <w:pPr>
        <w:pStyle w:val="Heading4"/>
      </w:pPr>
      <w:r>
        <w:t xml:space="preserve">The frequency of oral famotidine administration influences its effect on gastric pH in cats over time.</w:t>
      </w:r>
    </w:p>
    <w:p/>
    <w:p>
      <w:pPr>
        <w:pStyle w:val="Normal"/>
      </w:pPr>
      <w:r>
        <w:rPr>
          <w:color w:val="323232"/>
        </w:rPr>
        <w:t xml:space="preserve">Elizabeth Golly, Adesola Odunayo, Maggie Daves, Julie Vose, Josh Price, Silke Hecht, Joerg M Steiner, Shanna Hillsman, and M Katherine Tolbert.</w:t>
      </w:r>
    </w:p>
    <w:p/>
    <w:p>
      <w:pPr>
        <w:pStyle w:val="Normal"/>
      </w:pPr>
      <w:r>
        <w:rPr>
          <w:color w:val="323232"/>
        </w:rPr>
        <w:t xml:space="preserve">BACKGROUND:Famotidine is commonly administered to cats. Prolonged famotidine administration results in decreased efficacy in humans, dogs, and cows, but the long-term effects in cats are unknown.</w:t>
      </w:r>
    </w:p>
    <w:p/>
    <w:p>
      <w:pPr>
        <w:pStyle w:val="Normal"/>
      </w:pPr>
      <w:r>
        <w:rPr>
          <w:color w:val="323232"/>
        </w:rPr>
        <w:t xml:space="preserve">OBJECTIVES:To compare the effect of 2 oral administration frequencies of famotidine, twice daily (Group 1) and twice daily every second day (Group 2), on intragastric pH and serum gastrin concentrations in cats. We hypothesized a diminished effect on intragastric pH would be observed over time in Group 1 but not Group 2.</w:t>
      </w:r>
    </w:p>
    <w:p/>
    <w:p>
      <w:pPr>
        <w:pStyle w:val="Normal"/>
      </w:pPr>
      <w:r>
        <w:rPr>
          <w:color w:val="323232"/>
        </w:rPr>
        <w:t xml:space="preserve">ANIMALS:Sixteen healthy cats.</w:t>
      </w:r>
    </w:p>
    <w:p/>
    <w:p>
      <w:pPr>
        <w:pStyle w:val="Normal"/>
      </w:pPr>
      <w:r>
        <w:rPr>
          <w:color w:val="323232"/>
        </w:rPr>
        <w:t xml:space="preserve">METHODS:Randomized, 2-factor repeated measures crossover design. Cats received 0.5-1.24</w:t>
      </w:r>
      <w:r>
        <w:rPr>
          <w:color w:val="323232"/>
        </w:rPr>
        <w:t xml:space="preserve"> </w:t>
      </w:r>
      <w:r>
        <w:rPr>
          <w:color w:val="323232"/>
        </w:rPr>
        <w:t xml:space="preserve">mg</w:t>
      </w:r>
      <w:r>
        <w:rPr>
          <w:i w:val="1"/>
          <w:color w:val="323232"/>
        </w:rPr>
        <w:t xml:space="preserve">kg (median, 0.87</w:t>
      </w:r>
      <w:r>
        <w:rPr>
          <w:color w:val="323232"/>
        </w:rPr>
        <w:t xml:space="preserve"> </w:t>
      </w:r>
      <w:r>
        <w:rPr>
          <w:i w:val="1"/>
          <w:color w:val="323232"/>
        </w:rPr>
        <w:t xml:space="preserve">mg</w:t>
      </w:r>
      <w:r>
        <w:rPr>
          <w:color w:val="323232"/>
        </w:rPr>
        <w:t xml:space="preserve">kg) famotidine twice daily or twice daily every second day for 14 consecutive days. Intragastric pH monitoring was used to record intragastric pH on treatment days 1-3 and 11-13. Mean pH and mean percentage time (MPT) intragastric pH was ≥3 and 4 were compared between and within treatment groups by analysis of variance.</w:t>
      </w:r>
    </w:p>
    <w:p/>
    <w:p>
      <w:pPr>
        <w:pStyle w:val="Normal"/>
      </w:pPr>
      <w:r>
        <w:rPr>
          <w:color w:val="323232"/>
        </w:rPr>
        <w:t xml:space="preserve">RESULTS:Significant treatment group by time interactions were observed for mean intragastric pH, MPT intragastric pH</w:t>
      </w:r>
      <w:r>
        <w:rPr>
          <w:color w:val="323232"/>
        </w:rPr>
        <w:t xml:space="preserve"> </w:t>
      </w:r>
      <w:r>
        <w:rPr>
          <w:color w:val="323232"/>
        </w:rPr>
        <w:t xml:space="preserve">≥3 and 4 (P</w:t>
      </w:r>
      <w:r>
        <w:rPr>
          <w:color w:val="323232"/>
        </w:rPr>
        <w:t xml:space="preserve"> </w:t>
      </w:r>
      <w:r>
        <w:rPr>
          <w:color w:val="323232"/>
        </w:rPr>
        <w:t xml:space="preserve">=</w:t>
      </w:r>
      <w:r>
        <w:rPr>
          <w:color w:val="323232"/>
        </w:rPr>
        <w:t xml:space="preserve"> </w:t>
      </w:r>
      <w:r>
        <w:rPr>
          <w:color w:val="323232"/>
        </w:rPr>
        <w:t xml:space="preserve">.009, P</w:t>
      </w:r>
      <w:r>
        <w:rPr>
          <w:color w:val="323232"/>
        </w:rPr>
        <w:t xml:space="preserve"> </w:t>
      </w:r>
      <w:r>
        <w:rPr>
          <w:color w:val="323232"/>
        </w:rPr>
        <w:t xml:space="preserve">=</w:t>
      </w:r>
      <w:r>
        <w:rPr>
          <w:color w:val="323232"/>
        </w:rPr>
        <w:t xml:space="preserve"> </w:t>
      </w:r>
      <w:r>
        <w:rPr>
          <w:color w:val="323232"/>
        </w:rPr>
        <w:t xml:space="preserve">.02, P</w:t>
      </w:r>
      <w:r>
        <w:rPr>
          <w:color w:val="323232"/>
        </w:rPr>
        <w:t xml:space="preserve"> </w:t>
      </w:r>
      <w:r>
        <w:rPr>
          <w:color w:val="323232"/>
        </w:rPr>
        <w:t xml:space="preserve">=</w:t>
      </w:r>
      <w:r>
        <w:rPr>
          <w:color w:val="323232"/>
        </w:rPr>
        <w:t xml:space="preserve"> </w:t>
      </w:r>
      <w:r>
        <w:rPr>
          <w:color w:val="323232"/>
        </w:rPr>
        <w:t xml:space="preserve">.005, respectively). Interaction post hoc tests identified significant decreases in mean intragastric pH (P</w:t>
      </w:r>
      <w:r>
        <w:rPr>
          <w:color w:val="323232"/>
        </w:rPr>
        <w:t xml:space="preserve"> </w:t>
      </w:r>
      <w:r>
        <w:rPr>
          <w:color w:val="323232"/>
        </w:rPr>
        <w:t xml:space="preserve">=</w:t>
      </w:r>
      <w:r>
        <w:rPr>
          <w:color w:val="323232"/>
        </w:rPr>
        <w:t xml:space="preserve"> </w:t>
      </w:r>
      <w:r>
        <w:rPr>
          <w:color w:val="323232"/>
        </w:rPr>
        <w:t xml:space="preserve">.001), MPT</w:t>
      </w:r>
      <w:r>
        <w:rPr>
          <w:color w:val="323232"/>
        </w:rPr>
        <w:t xml:space="preserve"> </w:t>
      </w:r>
      <w:r>
        <w:rPr>
          <w:color w:val="323232"/>
        </w:rPr>
        <w:t xml:space="preserve">≥3 (P</w:t>
      </w:r>
      <w:r>
        <w:rPr>
          <w:color w:val="323232"/>
        </w:rPr>
        <w:t xml:space="preserve"> </w:t>
      </w:r>
      <w:r>
        <w:rPr>
          <w:color w:val="323232"/>
        </w:rPr>
        <w:t xml:space="preserve">=</w:t>
      </w:r>
      <w:r>
        <w:rPr>
          <w:color w:val="323232"/>
        </w:rPr>
        <w:t xml:space="preserve"> </w:t>
      </w:r>
      <w:r>
        <w:rPr>
          <w:color w:val="323232"/>
        </w:rPr>
        <w:t xml:space="preserve">.001), and MPT</w:t>
      </w:r>
      <w:r>
        <w:rPr>
          <w:color w:val="323232"/>
        </w:rPr>
        <w:t xml:space="preserve"> </w:t>
      </w:r>
      <w:r>
        <w:rPr>
          <w:color w:val="323232"/>
        </w:rPr>
        <w:t xml:space="preserve">≥4 (P</w:t>
      </w:r>
      <w:r>
        <w:rPr>
          <w:color w:val="323232"/>
        </w:rPr>
        <w:t xml:space="preserve"> </w:t>
      </w:r>
      <w:r>
        <w:rPr>
          <w:color w:val="323232"/>
        </w:rPr>
        <w:t xml:space="preserve">=</w:t>
      </w:r>
      <w:r>
        <w:rPr>
          <w:color w:val="323232"/>
        </w:rPr>
        <w:t xml:space="preserve"> </w:t>
      </w:r>
      <w:r>
        <w:rPr>
          <w:color w:val="323232"/>
        </w:rPr>
        <w:t xml:space="preserve">.001) on day 13 compared to day 1 in Group 1 but not in Group 2.</w:t>
      </w:r>
    </w:p>
    <w:p/>
    <w:p>
      <w:pPr>
        <w:pStyle w:val="Normal"/>
      </w:pPr>
      <w:r>
        <w:rPr>
          <w:color w:val="323232"/>
        </w:rPr>
        <w:t xml:space="preserve">CONCLUSIONS AND CLINICAL IMPORTANCE:Oral famotidine administration results in a diminished effect on intragastric pH in healthy cats when given twice daily every day.</w:t>
      </w:r>
    </w:p>
    <w:p/>
    <w:p>
      <w:pPr>
        <w:pStyle w:val="Normal"/>
      </w:pPr>
      <w:r>
        <w:rPr>
          <w:color w:val="323232"/>
        </w:rPr>
        <w:t xml:space="preserve">J Vet Intern Med, 2019 vol. 33 (2) pp. 544-550.</w:t>
      </w:r>
    </w:p>
    <w:p>
      <w:r>
        <w:rPr>
          <w:rStyle w:val="Hyperlink"/>
        </w:rPr>
        <w:fldChar w:fldCharType="begin"/>
      </w:r>
      <w:r>
        <w:rPr>
          <w:rStyle w:val="Hyperlink"/>
        </w:rPr>
        <w:instrText xml:space="preserve"> HYPERLINK "http://dx.doi.org/10.1111/jvim.15430" </w:instrText>
      </w:r>
      <w:r>
        <w:rPr>
          <w:rStyle w:val="Hyperlink"/>
        </w:rPr>
      </w:r>
      <w:r>
        <w:rPr>
          <w:rStyle w:val="Hyperlink"/>
        </w:rPr>
        <w:fldChar w:fldCharType="separate"/>
      </w:r>
      <w:pPr>
        <w:pStyle w:val="Normal"/>
      </w:pPr>
      <w:r>
        <w:rPr>
          <w:rStyle w:val="Hyperlink"/>
        </w:rPr>
        <w:t xml:space="preserve">http://dx.doi.org/10.1111/jvim.15430</w:t>
      </w:r>
      <w:r>
        <w:rPr>
          <w:rStyle w:val="Hyperlink"/>
        </w:rPr>
        <w:fldChar w:fldCharType="end"/>
      </w:r>
    </w:p>
    <w:p>
      <w:pPr>
        <w:pStyle w:val="Normal"/>
      </w:pPr>
      <w:r>
        <w:rPr>
          <w:color w:val="323232"/>
        </w:rPr>
        <w:t xml:space="preserve">————————</w:t>
      </w:r>
    </w:p>
    <w:p>
      <w:pPr>
        <w:pStyle w:val="Heading4"/>
      </w:pPr>
      <w:r>
        <w:t xml:space="preserve">Evaluation of duodenal perfusion by contrast-enhanced ultrasonography in dogs with chronic inflammatory enteropathy and intestinal lymphoma.</w:t>
      </w:r>
    </w:p>
    <w:p/>
    <w:p>
      <w:pPr>
        <w:pStyle w:val="Normal"/>
      </w:pPr>
      <w:r>
        <w:rPr>
          <w:color w:val="323232"/>
        </w:rPr>
        <w:t xml:space="preserve">Khoirun Nisa, Sue Yee Lim, Masayoshi Shinohara, Tatsuyuki Osuga, Nozomu Yokoyama, Masahiro Tamura, Noriyuki Nagata, Kazuyoshi Sasaoka, Angkhana Dermlim, Rommaneeya Leela-Arporn, Tomoya Morita, Noboru Sasaki, Keitaro Morishita, Kensuke Nakamura, Hiroshi Ohta, and Mitsuyoshi Takiguchi.</w:t>
      </w:r>
    </w:p>
    <w:p/>
    <w:p>
      <w:pPr>
        <w:pStyle w:val="Normal"/>
      </w:pPr>
      <w:r>
        <w:rPr>
          <w:color w:val="323232"/>
        </w:rPr>
        <w:t xml:space="preserve">BACKGROUND:Contrast-enhanced ultrasonography (CEUS) can be used to evaluate intestinal perfusion in healthy dogs. It is helpful for diagnosing and monitoring inflammatory bowel disease in humans and could be useful for dogs with chronic intestinal diseases.</w:t>
      </w:r>
    </w:p>
    <w:p/>
    <w:p>
      <w:pPr>
        <w:pStyle w:val="Normal"/>
      </w:pPr>
      <w:r>
        <w:rPr>
          <w:color w:val="323232"/>
        </w:rPr>
        <w:t xml:space="preserve">OBJECTIVES:To examine duodenal perfusion in dogs with chronic inflammatory enteropathy (CIE) and intestinal lymphoma.</w:t>
      </w:r>
    </w:p>
    <w:p/>
    <w:p>
      <w:pPr>
        <w:pStyle w:val="Normal"/>
      </w:pPr>
      <w:r>
        <w:rPr>
          <w:color w:val="323232"/>
        </w:rPr>
        <w:t xml:space="preserve">ANIMALS:Client-owned dogs with CIE (n = 26) or intestinal lymphoma (n = 7) and dogs with gastrointestinal signs but histopathologically normal duodenum (controls, n = 14).</w:t>
      </w:r>
    </w:p>
    <w:p/>
    <w:p>
      <w:pPr>
        <w:pStyle w:val="Normal"/>
      </w:pPr>
      <w:r>
        <w:rPr>
          <w:color w:val="323232"/>
        </w:rPr>
        <w:t xml:space="preserve">METHODS:In this cross-sectional study, dogs with CIE were classified into remission (n = 16) and symptomatic (n = 10) groups based on clinical scores determined at the time of CEUS. The duodenum was scanned after IV injection of Sonazoid® (0.01 mL/kg). CEUS-derived perfusion parameters, including time-to-peak, peak intensity (PI), area under the curve (AUC), and wash-in and wash-out rates were evaluated.</w:t>
      </w:r>
    </w:p>
    <w:p/>
    <w:p>
      <w:pPr>
        <w:pStyle w:val="Normal"/>
      </w:pPr>
      <w:r>
        <w:rPr>
          <w:color w:val="323232"/>
        </w:rPr>
        <w:t xml:space="preserve">RESULTS:The PI was significantly higher in the symptomatic CIE group (median (range); 105.4 (89.3-128.8) MPV) than in the control group (89.9 (68.5-112.2) MPV). The AUC was significantly higher in the symptomatic CIE group (4847.9 (3824.3-8462.8) MPV.sec) than in the control (3448.9 (1559.5-4736.9) MPV.sec) and remission CIE (3862.3 (2094.5-6899.0) MPV.sec) groups. The PI and clinical score were positively correlated in the CIE group. No significant differences in perfusion parameters were detected between the lymphoma and CIE groups or the lymphoma and control groups.</w:t>
      </w:r>
    </w:p>
    <w:p/>
    <w:p>
      <w:pPr>
        <w:pStyle w:val="Normal"/>
      </w:pPr>
      <w:r>
        <w:rPr>
          <w:color w:val="323232"/>
        </w:rPr>
        <w:t xml:space="preserve">CONCLUSIONS AND CLINICAL IMPORTANCE:The PI and AUC can detect duodenal inflammation and hence are potentially useful for excluding a diagnosis of CIE.</w:t>
      </w:r>
    </w:p>
    <w:p/>
    <w:p>
      <w:pPr>
        <w:pStyle w:val="Normal"/>
      </w:pPr>
      <w:r>
        <w:rPr>
          <w:color w:val="323232"/>
        </w:rPr>
        <w:t xml:space="preserve">J Vet Intern Med, 2019 vol. 33 (2) pp. 559-568.</w:t>
      </w:r>
    </w:p>
    <w:p>
      <w:r>
        <w:rPr>
          <w:rStyle w:val="Hyperlink"/>
        </w:rPr>
        <w:fldChar w:fldCharType="begin"/>
      </w:r>
      <w:r>
        <w:rPr>
          <w:rStyle w:val="Hyperlink"/>
        </w:rPr>
        <w:instrText xml:space="preserve"> HYPERLINK "http://dx.doi.org/10.1111/jvim.15432" </w:instrText>
      </w:r>
      <w:r>
        <w:rPr>
          <w:rStyle w:val="Hyperlink"/>
        </w:rPr>
      </w:r>
      <w:r>
        <w:rPr>
          <w:rStyle w:val="Hyperlink"/>
        </w:rPr>
        <w:fldChar w:fldCharType="separate"/>
      </w:r>
      <w:pPr>
        <w:pStyle w:val="Normal"/>
      </w:pPr>
      <w:r>
        <w:rPr>
          <w:rStyle w:val="Hyperlink"/>
        </w:rPr>
        <w:t xml:space="preserve">http://dx.doi.org/10.1111/jvim.15432</w:t>
      </w:r>
      <w:r>
        <w:rPr>
          <w:rStyle w:val="Hyperlink"/>
        </w:rPr>
        <w:fldChar w:fldCharType="end"/>
      </w:r>
    </w:p>
    <w:p>
      <w:pPr>
        <w:pStyle w:val="Normal"/>
      </w:pPr>
      <w:r>
        <w:rPr>
          <w:color w:val="323232"/>
        </w:rPr>
        <w:t xml:space="preserve">————————</w:t>
      </w:r>
    </w:p>
    <w:p>
      <w:pPr>
        <w:pStyle w:val="Heading4"/>
      </w:pPr>
      <w:r>
        <w:t xml:space="preserve">Evaluation of plasma angiopoietin-2 and vascular endothelial growth factor in healthy dogs and dogs with systemic inflammatory response syndrome or sepsis.</w:t>
      </w:r>
    </w:p>
    <w:p/>
    <w:p>
      <w:pPr>
        <w:pStyle w:val="Normal"/>
      </w:pPr>
      <w:r>
        <w:rPr>
          <w:color w:val="323232"/>
        </w:rPr>
        <w:t xml:space="preserve">Maya König, Alice Nentwig, Eliane Marti, Jelena Mirkovitch, Katja-Nicole Adamik, and Simone Schuller.</w:t>
      </w:r>
    </w:p>
    <w:p/>
    <w:p>
      <w:pPr>
        <w:pStyle w:val="Normal"/>
      </w:pPr>
      <w:r>
        <w:rPr>
          <w:color w:val="323232"/>
        </w:rPr>
        <w:t xml:space="preserve">BACKGROUND:Angiopoietin-2 (Ang-2) and vascular endothelial growth factor (VEGF) are regulators of endothelial permeability.</w:t>
      </w:r>
    </w:p>
    <w:p/>
    <w:p>
      <w:pPr>
        <w:pStyle w:val="Normal"/>
      </w:pPr>
      <w:r>
        <w:rPr>
          <w:color w:val="323232"/>
        </w:rPr>
        <w:t xml:space="preserve">OBJECTIVE:Plasma concentrations of Ang-2 and VEGF are increased in dogs with systemic inflammatory response syndrome (SIRS) and sepsis and are correlated with disease severity and outcome.</w:t>
      </w:r>
    </w:p>
    <w:p/>
    <w:p>
      <w:pPr>
        <w:pStyle w:val="Normal"/>
      </w:pPr>
      <w:r>
        <w:rPr>
          <w:color w:val="323232"/>
        </w:rPr>
        <w:t xml:space="preserve">ANIMALS:Healthy dogs (n</w:t>
      </w:r>
      <w:r>
        <w:rPr>
          <w:color w:val="323232"/>
        </w:rPr>
        <w:t xml:space="preserve"> </w:t>
      </w:r>
      <w:r>
        <w:rPr>
          <w:color w:val="323232"/>
        </w:rPr>
        <w:t xml:space="preserve">=</w:t>
      </w:r>
      <w:r>
        <w:rPr>
          <w:color w:val="323232"/>
        </w:rPr>
        <w:t xml:space="preserve"> </w:t>
      </w:r>
      <w:r>
        <w:rPr>
          <w:color w:val="323232"/>
        </w:rPr>
        <w:t xml:space="preserve">18) and client-owned dogs with SIRS (n</w:t>
      </w:r>
      <w:r>
        <w:rPr>
          <w:color w:val="323232"/>
        </w:rPr>
        <w:t xml:space="preserve"> </w:t>
      </w:r>
      <w:r>
        <w:rPr>
          <w:color w:val="323232"/>
        </w:rPr>
        <w:t xml:space="preserve">=</w:t>
      </w:r>
      <w:r>
        <w:rPr>
          <w:color w:val="323232"/>
        </w:rPr>
        <w:t xml:space="preserve"> </w:t>
      </w:r>
      <w:r>
        <w:rPr>
          <w:color w:val="323232"/>
        </w:rPr>
        <w:t xml:space="preserve">34) or sepsis (n</w:t>
      </w:r>
      <w:r>
        <w:rPr>
          <w:color w:val="323232"/>
        </w:rPr>
        <w:t xml:space="preserve"> </w:t>
      </w:r>
      <w:r>
        <w:rPr>
          <w:color w:val="323232"/>
        </w:rPr>
        <w:t xml:space="preserve">=</w:t>
      </w:r>
      <w:r>
        <w:rPr>
          <w:color w:val="323232"/>
        </w:rPr>
        <w:t xml:space="preserve"> </w:t>
      </w:r>
      <w:r>
        <w:rPr>
          <w:color w:val="323232"/>
        </w:rPr>
        <w:t xml:space="preserve">25).</w:t>
      </w:r>
    </w:p>
    <w:p/>
    <w:p>
      <w:pPr>
        <w:pStyle w:val="Normal"/>
      </w:pPr>
      <w:r>
        <w:rPr>
          <w:color w:val="323232"/>
        </w:rPr>
        <w:t xml:space="preserve">METHODS:Prospective observational study. Ang-2 and VEGF concentrations in admission plasma samples were compared between healthy dogs and dogs with SIRS or sepsis, and between survivors and non-survivors. Correlations with the acute patient physiologic and laboratory evaluation (APPLEfast ) disease severity score were examined.</w:t>
      </w:r>
    </w:p>
    <w:p/>
    <w:p>
      <w:pPr>
        <w:pStyle w:val="Normal"/>
      </w:pPr>
      <w:r>
        <w:rPr>
          <w:color w:val="323232"/>
        </w:rPr>
        <w:t xml:space="preserve">RESULTS:Median Ang-2 was significantly higher in dogs with SIRS (19.3; interquartile range [IQR]: 8.6-25.7</w:t>
      </w:r>
      <w:r>
        <w:rPr>
          <w:color w:val="323232"/>
        </w:rPr>
        <w:t xml:space="preserve"> </w:t>
      </w:r>
      <w:r>
        <w:rPr>
          <w:color w:val="323232"/>
        </w:rPr>
        <w:t xml:space="preserve">ng</w:t>
      </w:r>
      <w:r>
        <w:rPr>
          <w:i w:val="1"/>
          <w:color w:val="323232"/>
        </w:rPr>
        <w:t xml:space="preserve">mL) and sepsis (21.2; IQR: 10.3-30.1</w:t>
      </w:r>
      <w:r>
        <w:rPr>
          <w:color w:val="323232"/>
        </w:rPr>
        <w:t xml:space="preserve"> </w:t>
      </w:r>
      <w:r>
        <w:rPr>
          <w:i w:val="1"/>
          <w:color w:val="323232"/>
        </w:rPr>
        <w:t xml:space="preserve">ng</w:t>
      </w:r>
      <w:r>
        <w:rPr>
          <w:color w:val="323232"/>
        </w:rPr>
        <w:t xml:space="preserve">mL) compared to healthy dogs (7.6; IQR: 6.7-9.8</w:t>
      </w:r>
      <w:r>
        <w:rPr>
          <w:color w:val="323232"/>
        </w:rPr>
        <w:t xml:space="preserve"> </w:t>
      </w:r>
      <w:r>
        <w:rPr>
          <w:color w:val="323232"/>
        </w:rPr>
        <w:t xml:space="preserve">ng/ mL). Ang-2 was significantly higher in non-survivors (24.1; IQR: 11.9-50.0</w:t>
      </w:r>
      <w:r>
        <w:rPr>
          <w:color w:val="323232"/>
        </w:rPr>
        <w:t xml:space="preserve"> </w:t>
      </w:r>
      <w:r>
        <w:rPr>
          <w:color w:val="323232"/>
        </w:rPr>
        <w:t xml:space="preserve">ng/ mL) than survivors (10.2; IQR: 7.2-21.5</w:t>
      </w:r>
      <w:r>
        <w:rPr>
          <w:color w:val="323232"/>
        </w:rPr>
        <w:t xml:space="preserve"> </w:t>
      </w:r>
      <w:r>
        <w:rPr>
          <w:color w:val="323232"/>
        </w:rPr>
        <w:t xml:space="preserve">ng/ mL) but did not correlate with the APPLEfast score. Admission Ang-2 predicted negative outcome in dogs with SIRS and sepsis with reasonable accuracy (area under the curve [AUC]: 0.75, confidence interval [CI]: 0.59-0.85; sensitivity: 0.5, CI: 0.29-0.71; specificity: 0.87, CI: 0.75-0.95); differentiation between sepsis and SIRS was poor (AUC: 0.58). Plasma VEGF was significantly higher in dogs with sepsis (45; IQR: 14-107.5</w:t>
      </w:r>
      <w:r>
        <w:rPr>
          <w:color w:val="323232"/>
        </w:rPr>
        <w:t xml:space="preserve"> </w:t>
      </w:r>
      <w:r>
        <w:rPr>
          <w:color w:val="323232"/>
        </w:rPr>
        <w:t xml:space="preserve">pg/ mL) than in dogs with SIRS (3.3; IQR: 0-35.6</w:t>
      </w:r>
      <w:r>
        <w:rPr>
          <w:color w:val="323232"/>
        </w:rPr>
        <w:t xml:space="preserve"> </w:t>
      </w:r>
      <w:r>
        <w:rPr>
          <w:color w:val="323232"/>
        </w:rPr>
        <w:t xml:space="preserve">pg/ mL) or healthy dogs (0; IQR: 0</w:t>
      </w:r>
      <w:r>
        <w:rPr>
          <w:color w:val="323232"/>
        </w:rPr>
        <w:t xml:space="preserve"> </w:t>
      </w:r>
      <w:r>
        <w:rPr>
          <w:color w:val="323232"/>
        </w:rPr>
        <w:t xml:space="preserve">pg/ mL; P =</w:t>
      </w:r>
      <w:r>
        <w:rPr>
          <w:color w:val="323232"/>
        </w:rPr>
        <w:t xml:space="preserve"> </w:t>
      </w:r>
      <w:r>
        <w:rPr>
          <w:color w:val="323232"/>
        </w:rPr>
        <w:t xml:space="preserve">0.008). VEGF was significantly (P =</w:t>
      </w:r>
      <w:r>
        <w:rPr>
          <w:color w:val="323232"/>
        </w:rPr>
        <w:t xml:space="preserve"> </w:t>
      </w:r>
      <w:r>
        <w:rPr>
          <w:color w:val="323232"/>
        </w:rPr>
        <w:t xml:space="preserve">.0004) higher in non-survivors (34.5; IQR: 0-105.7</w:t>
      </w:r>
      <w:r>
        <w:rPr>
          <w:color w:val="323232"/>
        </w:rPr>
        <w:t xml:space="preserve"> </w:t>
      </w:r>
      <w:r>
        <w:rPr>
          <w:color w:val="323232"/>
        </w:rPr>
        <w:t xml:space="preserve">pg/ mL) than in survivors (0; IQR: 0-55.2</w:t>
      </w:r>
      <w:r>
        <w:rPr>
          <w:color w:val="323232"/>
        </w:rPr>
        <w:t xml:space="preserve"> </w:t>
      </w:r>
      <w:r>
        <w:rPr>
          <w:color w:val="323232"/>
        </w:rPr>
        <w:t xml:space="preserve">pg/ mL). The ability of VEGF to predict a negative outcome was poor.</w:t>
      </w:r>
    </w:p>
    <w:p/>
    <w:p>
      <w:pPr>
        <w:pStyle w:val="Normal"/>
      </w:pPr>
      <w:r>
        <w:rPr>
          <w:color w:val="323232"/>
        </w:rPr>
        <w:t xml:space="preserve">CONCLUSIONS AND CLINICAL IMPORTANCE:Ang-2 may represent a useful additional prognostic marker in dogs with SIRS.</w:t>
      </w:r>
    </w:p>
    <w:p/>
    <w:p>
      <w:pPr>
        <w:pStyle w:val="Normal"/>
      </w:pPr>
      <w:r>
        <w:rPr>
          <w:color w:val="323232"/>
        </w:rPr>
        <w:t xml:space="preserve">J Vet Intern Med, 2019 vol. 33 (2) pp. 569-577.</w:t>
      </w:r>
    </w:p>
    <w:p>
      <w:r>
        <w:rPr>
          <w:rStyle w:val="Hyperlink"/>
        </w:rPr>
        <w:fldChar w:fldCharType="begin"/>
      </w:r>
      <w:r>
        <w:rPr>
          <w:rStyle w:val="Hyperlink"/>
        </w:rPr>
        <w:instrText xml:space="preserve"> HYPERLINK "http://eutils.ncbi.nlm.nih.gov/entrez/eutils/elink.fcgi?dbfrom=pubmed&amp;id=30575998&amp;retmode=ref&amp;cmd=prlinks"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http://eutils.ncbi.nlm.nih.gov/entrez/eutils/elink.fcgi?dbfrom=pubmed&amp;id=30575998&amp;retmode=ref&amp;cmd=prlinks</w:t>
      </w:r>
      <w:r>
        <w:rPr>
          <w:rStyle w:val="Hyperlink"/>
        </w:rPr>
        <w:fldChar w:fldCharType="end"/>
      </w:r>
    </w:p>
    <w:p>
      <w:pPr>
        <w:pStyle w:val="Normal"/>
      </w:pPr>
      <w:r>
        <w:rPr>
          <w:color w:val="323232"/>
        </w:rPr>
        <w:t xml:space="preserve">————————</w:t>
      </w:r>
    </w:p>
    <w:p>
      <w:pPr>
        <w:pStyle w:val="Heading4"/>
      </w:pPr>
      <w:r>
        <w:t xml:space="preserve">Association of serum calprotectin (S100A8/A9) concentrations and idiopathic hyperlipidemia in Miniature Schnauzers.</w:t>
      </w:r>
    </w:p>
    <w:p/>
    <w:p>
      <w:pPr>
        <w:pStyle w:val="Normal"/>
      </w:pPr>
      <w:r>
        <w:rPr>
          <w:color w:val="323232"/>
        </w:rPr>
        <w:t xml:space="preserve">Romy M Heilmann, Panagiotis G Xenoulis, Katrin Müller, Eva M Stavroulaki, Jan S Suchodolski, and Jörg M Steiner.</w:t>
      </w:r>
    </w:p>
    <w:p/>
    <w:p>
      <w:pPr>
        <w:pStyle w:val="Normal"/>
      </w:pPr>
      <w:r>
        <w:rPr>
          <w:color w:val="323232"/>
        </w:rPr>
        <w:t xml:space="preserve">BACKGROUND:Idiopathic hyperlipidemia (IH) is a common condition in Miniature Schnauzers (MS). Studies in people have linked IH to low-grade inflammation, which plays an important role in the pathogenesis of IH complications. The role of inflammation in MS with IH is unknown.</w:t>
      </w:r>
    </w:p>
    <w:p/>
    <w:p>
      <w:pPr>
        <w:pStyle w:val="Normal"/>
      </w:pPr>
      <w:r>
        <w:rPr>
          <w:color w:val="323232"/>
        </w:rPr>
        <w:t xml:space="preserve">OBJECTIVE:Evaluation of the inflammatory markers serum calprotectin and S100A12 in MS with IH and in response to dietary intervention for IH management.</w:t>
      </w:r>
    </w:p>
    <w:p/>
    <w:p>
      <w:pPr>
        <w:pStyle w:val="Normal"/>
      </w:pPr>
      <w:r>
        <w:rPr>
          <w:color w:val="323232"/>
        </w:rPr>
        <w:t xml:space="preserve">ANIMALS:One-hundred fifty clinically healthy MS.</w:t>
      </w:r>
    </w:p>
    <w:p/>
    <w:p>
      <w:pPr>
        <w:pStyle w:val="Normal"/>
      </w:pPr>
      <w:r>
        <w:rPr>
          <w:color w:val="323232"/>
        </w:rPr>
        <w:t xml:space="preserve">METHODS:Serum triglyceride, cholesterol, calprotectin, and S100A12 concentrations were measured before and after placing the dogs on an ultra-low fat diet.</w:t>
      </w:r>
    </w:p>
    <w:p/>
    <w:p>
      <w:pPr>
        <w:pStyle w:val="Normal"/>
      </w:pPr>
      <w:r>
        <w:rPr>
          <w:color w:val="323232"/>
        </w:rPr>
        <w:t xml:space="preserve">RESULTS:Hypertriglyceridemia (HTGL, P</w:t>
      </w:r>
      <w:r>
        <w:rPr>
          <w:color w:val="323232"/>
        </w:rPr>
        <w:t xml:space="preserve"> </w:t>
      </w:r>
      <w:r>
        <w:rPr>
          <w:color w:val="323232"/>
        </w:rPr>
        <w:t xml:space="preserve">&lt;</w:t>
      </w:r>
      <w:r>
        <w:rPr>
          <w:color w:val="323232"/>
        </w:rPr>
        <w:t xml:space="preserve"> </w:t>
      </w:r>
      <w:r>
        <w:rPr>
          <w:color w:val="323232"/>
        </w:rPr>
        <w:t xml:space="preserve">.001) and hypercholesterolemia (HCHOL, P</w:t>
      </w:r>
      <w:r>
        <w:rPr>
          <w:color w:val="323232"/>
        </w:rPr>
        <w:t xml:space="preserve"> </w:t>
      </w:r>
      <w:r>
        <w:rPr>
          <w:color w:val="323232"/>
        </w:rPr>
        <w:t xml:space="preserve">=</w:t>
      </w:r>
      <w:r>
        <w:rPr>
          <w:color w:val="323232"/>
        </w:rPr>
        <w:t xml:space="preserve"> </w:t>
      </w:r>
      <w:r>
        <w:rPr>
          <w:color w:val="323232"/>
        </w:rPr>
        <w:t xml:space="preserve">.01) were independently associated with increased serum calprotectin but not S100A12 concentrations. Compared to normolipidemic MS, serum calprotectin concentrations were significantly higher in MS with HTGL (P</w:t>
      </w:r>
      <w:r>
        <w:rPr>
          <w:color w:val="323232"/>
        </w:rPr>
        <w:t xml:space="preserve"> </w:t>
      </w:r>
      <w:r>
        <w:rPr>
          <w:color w:val="323232"/>
        </w:rPr>
        <w:t xml:space="preserve">&lt;</w:t>
      </w:r>
      <w:r>
        <w:rPr>
          <w:color w:val="323232"/>
        </w:rPr>
        <w:t xml:space="preserve"> </w:t>
      </w:r>
      <w:r>
        <w:rPr>
          <w:color w:val="323232"/>
        </w:rPr>
        <w:t xml:space="preserve">.001) or combined hyperlipidemia (P</w:t>
      </w:r>
      <w:r>
        <w:rPr>
          <w:color w:val="323232"/>
        </w:rPr>
        <w:t xml:space="preserve"> </w:t>
      </w:r>
      <w:r>
        <w:rPr>
          <w:color w:val="323232"/>
        </w:rPr>
        <w:t xml:space="preserve">=</w:t>
      </w:r>
      <w:r>
        <w:rPr>
          <w:color w:val="323232"/>
        </w:rPr>
        <w:t xml:space="preserve"> </w:t>
      </w:r>
      <w:r>
        <w:rPr>
          <w:color w:val="323232"/>
        </w:rPr>
        <w:t xml:space="preserve">.02), but not those with isolated HCHOL (P</w:t>
      </w:r>
      <w:r>
        <w:rPr>
          <w:color w:val="323232"/>
        </w:rPr>
        <w:t xml:space="preserve"> </w:t>
      </w:r>
      <w:r>
        <w:rPr>
          <w:color w:val="323232"/>
        </w:rPr>
        <w:t xml:space="preserve">=</w:t>
      </w:r>
      <w:r>
        <w:rPr>
          <w:color w:val="323232"/>
        </w:rPr>
        <w:t xml:space="preserve"> </w:t>
      </w:r>
      <w:r>
        <w:rPr>
          <w:color w:val="323232"/>
        </w:rPr>
        <w:t xml:space="preserve">1.0000). Presence (P</w:t>
      </w:r>
      <w:r>
        <w:rPr>
          <w:color w:val="323232"/>
        </w:rPr>
        <w:t xml:space="preserve"> </w:t>
      </w:r>
      <w:r>
        <w:rPr>
          <w:color w:val="323232"/>
        </w:rPr>
        <w:t xml:space="preserve">=</w:t>
      </w:r>
      <w:r>
        <w:rPr>
          <w:color w:val="323232"/>
        </w:rPr>
        <w:t xml:space="preserve"> </w:t>
      </w:r>
      <w:r>
        <w:rPr>
          <w:color w:val="323232"/>
        </w:rPr>
        <w:t xml:space="preserve">.005) and severity (P</w:t>
      </w:r>
      <w:r>
        <w:rPr>
          <w:color w:val="323232"/>
        </w:rPr>
        <w:t xml:space="preserve"> </w:t>
      </w:r>
      <w:r>
        <w:rPr>
          <w:color w:val="323232"/>
        </w:rPr>
        <w:t xml:space="preserve">=</w:t>
      </w:r>
      <w:r>
        <w:rPr>
          <w:color w:val="323232"/>
        </w:rPr>
        <w:t xml:space="preserve"> </w:t>
      </w:r>
      <w:r>
        <w:rPr>
          <w:color w:val="323232"/>
        </w:rPr>
        <w:t xml:space="preserve">.003) of HTGL and serum cholesterol concentrations (P</w:t>
      </w:r>
      <w:r>
        <w:rPr>
          <w:color w:val="323232"/>
        </w:rPr>
        <w:t xml:space="preserve"> </w:t>
      </w:r>
      <w:r>
        <w:rPr>
          <w:color w:val="323232"/>
        </w:rPr>
        <w:t xml:space="preserve">=</w:t>
      </w:r>
      <w:r>
        <w:rPr>
          <w:color w:val="323232"/>
        </w:rPr>
        <w:t xml:space="preserve"> </w:t>
      </w:r>
      <w:r>
        <w:rPr>
          <w:color w:val="323232"/>
        </w:rPr>
        <w:t xml:space="preserve">.04) decreased in MS with IH within 14-26</w:t>
      </w:r>
      <w:r>
        <w:rPr>
          <w:color w:val="323232"/>
        </w:rPr>
        <w:t xml:space="preserve"> </w:t>
      </w:r>
      <w:r>
        <w:rPr>
          <w:color w:val="323232"/>
        </w:rPr>
        <w:t xml:space="preserve">weeks after being placed on the ultra-low fat diet, but neither serum calprotectin nor S100A12 concentrations changed significantly with this dietary intervention.</w:t>
      </w:r>
    </w:p>
    <w:p/>
    <w:p>
      <w:pPr>
        <w:pStyle w:val="Normal"/>
      </w:pPr>
      <w:r>
        <w:rPr>
          <w:color w:val="323232"/>
        </w:rPr>
        <w:t xml:space="preserve">CONCLUSIONS AND CLINICAL IMPORTANCE:Subclinical (low-grade) inflammation appears to be present in some MS with IH, and an ultra-low fat diet does not decrease serum concentrations of inflammatory proteins in those dogs. Whether this presumed inflammatory phenotype in MS with IH is associated with the development of IH complications (eg, insulin resistance) requires further research.</w:t>
      </w:r>
    </w:p>
    <w:p/>
    <w:p>
      <w:pPr>
        <w:pStyle w:val="Normal"/>
      </w:pPr>
      <w:r>
        <w:rPr>
          <w:color w:val="323232"/>
        </w:rPr>
        <w:t xml:space="preserve">J Vet Intern Med, 2019 vol. 33 (2) pp. 578-587.</w:t>
      </w:r>
    </w:p>
    <w:p>
      <w:r>
        <w:rPr>
          <w:rStyle w:val="Hyperlink"/>
        </w:rPr>
        <w:fldChar w:fldCharType="begin"/>
      </w:r>
      <w:r>
        <w:rPr>
          <w:rStyle w:val="Hyperlink"/>
        </w:rPr>
        <w:instrText xml:space="preserve"> HYPERLINK "http://dx.doi.org/10.1111/jvim.15460" </w:instrText>
      </w:r>
      <w:r>
        <w:rPr>
          <w:rStyle w:val="Hyperlink"/>
        </w:rPr>
      </w:r>
      <w:r>
        <w:rPr>
          <w:rStyle w:val="Hyperlink"/>
        </w:rPr>
        <w:fldChar w:fldCharType="separate"/>
      </w:r>
      <w:pPr>
        <w:pStyle w:val="Normal"/>
      </w:pPr>
      <w:r>
        <w:rPr>
          <w:rStyle w:val="Hyperlink"/>
        </w:rPr>
        <w:t xml:space="preserve">http://dx.doi.org/10.1111/jvim.15460</w:t>
      </w:r>
      <w:r>
        <w:rPr>
          <w:rStyle w:val="Hyperlink"/>
        </w:rPr>
        <w:fldChar w:fldCharType="end"/>
      </w:r>
    </w:p>
    <w:p>
      <w:pPr>
        <w:pStyle w:val="Normal"/>
      </w:pPr>
      <w:r>
        <w:rPr>
          <w:color w:val="323232"/>
        </w:rPr>
        <w:t xml:space="preserve">————————</w:t>
      </w:r>
    </w:p>
    <w:p>
      <w:pPr>
        <w:pStyle w:val="Heading4"/>
      </w:pPr>
      <w:r>
        <w:t xml:space="preserve">Detection of naturally occurring alloantibody by an in-clinic antiglobulin-enhanced and standard crossmatch gel column test in non-transfused domestic shorthair cats.</w:t>
      </w:r>
    </w:p>
    <w:p/>
    <w:p>
      <w:pPr>
        <w:pStyle w:val="Normal"/>
      </w:pPr>
      <w:r>
        <w:rPr>
          <w:color w:val="323232"/>
        </w:rPr>
        <w:t xml:space="preserve">Isabelle Goy-Thollot, Alexandra Nectoux, Maryline Guidetti, Benjamin Chaprier, Sarah Bourgeois, Catherine Boisvineau, Anthony Barthélemy, Céline Pouzot-Nevoret, and Urs Giger.</w:t>
      </w:r>
    </w:p>
    <w:p/>
    <w:p>
      <w:pPr>
        <w:pStyle w:val="Normal"/>
      </w:pPr>
      <w:r>
        <w:rPr>
          <w:color w:val="323232"/>
        </w:rPr>
        <w:t xml:space="preserve">BACKGROUND:Blood typing for the A and B antigens is essential and crossmatching testing is generally recommended before transfusing blood to cats.</w:t>
      </w:r>
    </w:p>
    <w:p/>
    <w:p>
      <w:pPr>
        <w:pStyle w:val="Normal"/>
      </w:pPr>
      <w:r>
        <w:rPr>
          <w:color w:val="323232"/>
        </w:rPr>
        <w:t xml:space="preserve">OBJECTIVE:To evaluate 2 crossmatch (XM) tests.</w:t>
      </w:r>
    </w:p>
    <w:p/>
    <w:p>
      <w:pPr>
        <w:pStyle w:val="Normal"/>
      </w:pPr>
      <w:r>
        <w:rPr>
          <w:color w:val="323232"/>
        </w:rPr>
        <w:t xml:space="preserve">ANIMALS:Forty-nine healthy domestic shorthair cats that had not received a blood transfusion.</w:t>
      </w:r>
    </w:p>
    <w:p/>
    <w:p>
      <w:pPr>
        <w:pStyle w:val="Normal"/>
      </w:pPr>
      <w:r>
        <w:rPr>
          <w:color w:val="323232"/>
        </w:rPr>
        <w:t xml:space="preserve">METHODS:Prospective study. Blood samples were typed for AB using immunochromatographic and flow cytometric techniques. A gel column (GC) and a feline antiglobulin-enhanced gel column (AGC) XM tests were used for crossmatching.</w:t>
      </w:r>
    </w:p>
    <w:p/>
    <w:p>
      <w:pPr>
        <w:pStyle w:val="Normal"/>
      </w:pPr>
      <w:r>
        <w:rPr>
          <w:color w:val="323232"/>
        </w:rPr>
        <w:t xml:space="preserve">RESULTS:The population included 34 type A, 13 B, and 2 AB cats, with concordant results (r</w:t>
      </w:r>
      <w:r>
        <w:rPr>
          <w:color w:val="323232"/>
        </w:rPr>
        <w:t xml:space="preserve"> </w:t>
      </w:r>
      <w:r>
        <w:rPr>
          <w:color w:val="323232"/>
        </w:rPr>
        <w:t xml:space="preserve">=</w:t>
      </w:r>
      <w:r>
        <w:rPr>
          <w:color w:val="323232"/>
        </w:rPr>
        <w:t xml:space="preserve"> </w:t>
      </w:r>
      <w:r>
        <w:rPr>
          <w:color w:val="323232"/>
        </w:rPr>
        <w:t xml:space="preserve">1, P &lt;</w:t>
      </w:r>
      <w:r>
        <w:rPr>
          <w:color w:val="323232"/>
        </w:rPr>
        <w:t xml:space="preserve"> </w:t>
      </w:r>
      <w:r>
        <w:rPr>
          <w:color w:val="323232"/>
        </w:rPr>
        <w:t xml:space="preserve">.005) by flow cytometry and immunochromatographic strip kit. The plasma from type A cats had either no or weak anti-B alloantibodies. The plasma of 12 of 13 type B cats contained strong anti-A alloantibodies. For crossmatching, plasma to RBC pairings were prepared using the GC (n</w:t>
      </w:r>
      <w:r>
        <w:rPr>
          <w:color w:val="323232"/>
        </w:rPr>
        <w:t xml:space="preserve"> </w:t>
      </w:r>
      <w:r>
        <w:rPr>
          <w:color w:val="323232"/>
        </w:rPr>
        <w:t xml:space="preserve">=</w:t>
      </w:r>
      <w:r>
        <w:rPr>
          <w:color w:val="323232"/>
        </w:rPr>
        <w:t xml:space="preserve"> </w:t>
      </w:r>
      <w:r>
        <w:rPr>
          <w:color w:val="323232"/>
        </w:rPr>
        <w:t xml:space="preserve">446) and AGC (n</w:t>
      </w:r>
      <w:r>
        <w:rPr>
          <w:color w:val="323232"/>
        </w:rPr>
        <w:t xml:space="preserve"> </w:t>
      </w:r>
      <w:r>
        <w:rPr>
          <w:color w:val="323232"/>
        </w:rPr>
        <w:t xml:space="preserve">=</w:t>
      </w:r>
      <w:r>
        <w:rPr>
          <w:color w:val="323232"/>
        </w:rPr>
        <w:t xml:space="preserve"> </w:t>
      </w:r>
      <w:r>
        <w:rPr>
          <w:color w:val="323232"/>
        </w:rPr>
        <w:t xml:space="preserve">630) tests. Both methods showed compatibilities in 329 and incompatibilities in 102 pairings including all A-B mismatches. Additionally 15 pairings showed agglutination by the AGC but not GC method. Fourteen incompatibilities outside the expected A-B mismatches were only revealed by AGC.</w:t>
      </w:r>
    </w:p>
    <w:p/>
    <w:p>
      <w:pPr>
        <w:pStyle w:val="Normal"/>
      </w:pPr>
      <w:r>
        <w:rPr>
          <w:color w:val="323232"/>
        </w:rPr>
        <w:t xml:space="preserve">CONCLUSIONS AND CLINICAL IMPORTANCE:AB typing using immunochromatographic strip is as accurate as laboratory flow cytometry. The 2 XM methods had good agreement with additional incompatibilities being recognized by the AGC XM beyond A-B incompatibilities. In clinic, feline AB typing and sensitive XM test kits are available and recommended before each transfusion, although the clinical implications of incompatible XM test results and clinical benefits of such crossmatching have not been documented.</w:t>
      </w:r>
    </w:p>
    <w:p/>
    <w:p>
      <w:pPr>
        <w:pStyle w:val="Normal"/>
      </w:pPr>
      <w:r>
        <w:rPr>
          <w:color w:val="323232"/>
        </w:rPr>
        <w:t xml:space="preserve">J Vet Intern Med, 2019 vol. 33 (2) pp. 588-595.</w:t>
      </w:r>
    </w:p>
    <w:p>
      <w:r>
        <w:rPr>
          <w:rStyle w:val="Hyperlink"/>
        </w:rPr>
        <w:fldChar w:fldCharType="begin"/>
      </w:r>
      <w:r>
        <w:rPr>
          <w:rStyle w:val="Hyperlink"/>
        </w:rPr>
        <w:instrText xml:space="preserve"> HYPERLINK "http://dx.doi.org/10.1111/jvim.15381" </w:instrText>
      </w:r>
      <w:r>
        <w:rPr>
          <w:rStyle w:val="Hyperlink"/>
        </w:rPr>
      </w:r>
      <w:r>
        <w:rPr>
          <w:rStyle w:val="Hyperlink"/>
        </w:rPr>
        <w:fldChar w:fldCharType="separate"/>
      </w:r>
      <w:pPr>
        <w:pStyle w:val="Normal"/>
      </w:pPr>
      <w:r>
        <w:rPr>
          <w:rStyle w:val="Hyperlink"/>
        </w:rPr>
        <w:t xml:space="preserve">http://dx.doi.org/10.1111/jvim.15381</w:t>
      </w:r>
      <w:r>
        <w:rPr>
          <w:rStyle w:val="Hyperlink"/>
        </w:rPr>
        <w:fldChar w:fldCharType="end"/>
      </w:r>
    </w:p>
    <w:p>
      <w:pPr>
        <w:pStyle w:val="Normal"/>
      </w:pPr>
      <w:r>
        <w:rPr>
          <w:color w:val="323232"/>
        </w:rPr>
        <w:t xml:space="preserve">————————</w:t>
      </w:r>
    </w:p>
    <w:p>
      <w:pPr>
        <w:pStyle w:val="Heading4"/>
      </w:pPr>
      <w:r>
        <w:t xml:space="preserve">Use of therapeutic plasma exchange to treat nonsteroidal anti-inflammatory drug overdose in dogs.</w:t>
      </w:r>
    </w:p>
    <w:p/>
    <w:p>
      <w:pPr>
        <w:pStyle w:val="Normal"/>
      </w:pPr>
      <w:r>
        <w:rPr>
          <w:color w:val="323232"/>
        </w:rPr>
        <w:t xml:space="preserve">Melisa G Rosenthal and Mary A Labato.</w:t>
      </w:r>
    </w:p>
    <w:p/>
    <w:p>
      <w:pPr>
        <w:pStyle w:val="Normal"/>
      </w:pPr>
      <w:r>
        <w:rPr>
          <w:color w:val="323232"/>
        </w:rPr>
        <w:t xml:space="preserve">BACKGROUND:Therapeutic plasma exchange (TPE) may be an effective technique for treatment of accidental nonsteroidal anti-inflammatory drug (NSAID) overdose, but information regarding the use of this technique in veterinary medicine is currently limited.</w:t>
      </w:r>
    </w:p>
    <w:p/>
    <w:p>
      <w:pPr>
        <w:pStyle w:val="Normal"/>
      </w:pPr>
      <w:r>
        <w:rPr>
          <w:color w:val="323232"/>
        </w:rPr>
        <w:t xml:space="preserve">OBJECTIVES:To evaluate the overall outcome for dogs with NSAID overdose treated with TPE and to determine if any presenting factors can predict or influence overall outcome. Secondary objectives included investigating TPE complications as well as the utility of other adjunctive treatments.</w:t>
      </w:r>
    </w:p>
    <w:p/>
    <w:p>
      <w:pPr>
        <w:pStyle w:val="Normal"/>
      </w:pPr>
      <w:r>
        <w:rPr>
          <w:color w:val="323232"/>
        </w:rPr>
        <w:t xml:space="preserve">ANIMALS:Eleven client-owned dogs presented for NSAID overdose that received TPE. All patients also received additional supportive treatment including IV lipid infusion.</w:t>
      </w:r>
    </w:p>
    <w:p/>
    <w:p>
      <w:pPr>
        <w:pStyle w:val="Normal"/>
      </w:pPr>
      <w:r>
        <w:rPr>
          <w:color w:val="323232"/>
        </w:rPr>
        <w:t xml:space="preserve">METHODS:Retrospective review of medical records.</w:t>
      </w:r>
    </w:p>
    <w:p/>
    <w:p>
      <w:pPr>
        <w:pStyle w:val="Normal"/>
      </w:pPr>
      <w:r>
        <w:rPr>
          <w:color w:val="323232"/>
        </w:rPr>
        <w:t xml:space="preserve">RESULTS:Eleven cases were included in the study. Of these, the NSAID ingested was ibuprofen in 6 (54.5%), naproxen in 4 (36.4%), and deracoxib in 1 (9.1%). All dogs survived to discharge with 3 (27.3%) developing acute kidney injury during hospitalization. A larger initial dose of NSAID ingested was associated with a higher maximum serum creatinine concentration during hospitalization (P =</w:t>
      </w:r>
      <w:r>
        <w:rPr>
          <w:color w:val="323232"/>
        </w:rPr>
        <w:t xml:space="preserve"> </w:t>
      </w:r>
      <w:r>
        <w:rPr>
          <w:color w:val="323232"/>
        </w:rPr>
        <w:t xml:space="preserve">.04) and larger change in serum creatinine concentration from baseline (P =</w:t>
      </w:r>
      <w:r>
        <w:rPr>
          <w:color w:val="323232"/>
        </w:rPr>
        <w:t xml:space="preserve"> </w:t>
      </w:r>
      <w:r>
        <w:rPr>
          <w:color w:val="323232"/>
        </w:rPr>
        <w:t xml:space="preserve">.02). Six dogs (54.5%) developed complications associated with TPE. The use of other treatments did not affect the overall outcome.</w:t>
      </w:r>
    </w:p>
    <w:p/>
    <w:p>
      <w:pPr>
        <w:pStyle w:val="Normal"/>
      </w:pPr>
      <w:r>
        <w:rPr>
          <w:color w:val="323232"/>
        </w:rPr>
        <w:t xml:space="preserve">CONCLUSIONS AND CLINICAL IMPORTANCE:We identified TPE as an effective treatment for NSAID overdose with good outcomes despite high doses of NSAID ingestion in dogs treated with a single TPE treatment. Complications were common but did not affect the final outcome. Therapeutic plasma exchange should be considered in patients presenting for high-dose NSAID ingestion.</w:t>
      </w:r>
    </w:p>
    <w:p/>
    <w:p>
      <w:pPr>
        <w:pStyle w:val="Normal"/>
      </w:pPr>
      <w:r>
        <w:rPr>
          <w:color w:val="323232"/>
        </w:rPr>
        <w:t xml:space="preserve">J Vet Intern Med, 2019 vol. 33 (2) pp. 596-602.</w:t>
      </w:r>
    </w:p>
    <w:p>
      <w:r>
        <w:rPr>
          <w:rStyle w:val="Hyperlink"/>
        </w:rPr>
        <w:fldChar w:fldCharType="begin"/>
      </w:r>
      <w:r>
        <w:rPr>
          <w:rStyle w:val="Hyperlink"/>
        </w:rPr>
        <w:instrText xml:space="preserve"> HYPERLINK "http://dx.doi.org/10.1111/jvim.15420" </w:instrText>
      </w:r>
      <w:r>
        <w:rPr>
          <w:rStyle w:val="Hyperlink"/>
        </w:rPr>
      </w:r>
      <w:r>
        <w:rPr>
          <w:rStyle w:val="Hyperlink"/>
        </w:rPr>
        <w:fldChar w:fldCharType="separate"/>
      </w:r>
      <w:pPr>
        <w:pStyle w:val="Normal"/>
      </w:pPr>
      <w:r>
        <w:rPr>
          <w:rStyle w:val="Hyperlink"/>
        </w:rPr>
        <w:t xml:space="preserve">http://dx.doi.org/10.1111/jvim.15420</w:t>
      </w:r>
      <w:r>
        <w:rPr>
          <w:rStyle w:val="Hyperlink"/>
        </w:rPr>
        <w:fldChar w:fldCharType="end"/>
      </w:r>
    </w:p>
    <w:p>
      <w:pPr>
        <w:pStyle w:val="Normal"/>
      </w:pPr>
      <w:r>
        <w:rPr>
          <w:color w:val="323232"/>
        </w:rPr>
        <w:t xml:space="preserve">————————</w:t>
      </w:r>
    </w:p>
    <w:p>
      <w:pPr>
        <w:pStyle w:val="Heading4"/>
      </w:pPr>
      <w:r>
        <w:t xml:space="preserve">A monoclonal antibody-based urine Histoplasma antigen enzyme immunoassay (IMMY®) for the diagnosis of histoplasmosis in cats.</w:t>
      </w:r>
    </w:p>
    <w:p/>
    <w:p>
      <w:pPr>
        <w:pStyle w:val="Normal"/>
      </w:pPr>
      <w:r>
        <w:rPr>
          <w:color w:val="323232"/>
        </w:rPr>
        <w:t xml:space="preserve">Lana Rothenburg, Andrew S Hanzlicek, and Mark E Payton.</w:t>
      </w:r>
    </w:p>
    <w:p/>
    <w:p>
      <w:pPr>
        <w:pStyle w:val="Normal"/>
      </w:pPr>
      <w:r>
        <w:rPr>
          <w:color w:val="323232"/>
        </w:rPr>
        <w:t xml:space="preserve">BACKGROUND:An in-house Histoplasma urine antigen test for cats might be desirable in certain situations.</w:t>
      </w:r>
    </w:p>
    <w:p/>
    <w:p>
      <w:pPr>
        <w:pStyle w:val="Normal"/>
      </w:pPr>
      <w:r>
        <w:rPr>
          <w:color w:val="323232"/>
        </w:rPr>
        <w:t xml:space="preserve">OBJECTIVE:To validate and compare the diagnostic performance of a monoclonal antibody-based IMMY urine Histoplasma antigen enzyme immunoassay (IMMY EIA) to the commercially available urine Histoplasma antigen enzyme immunoassay (MiraVista Diagnostics, MV EIA).</w:t>
      </w:r>
    </w:p>
    <w:p/>
    <w:p>
      <w:pPr>
        <w:pStyle w:val="Normal"/>
      </w:pPr>
      <w:r>
        <w:rPr>
          <w:color w:val="323232"/>
        </w:rPr>
        <w:t xml:space="preserve">ANIMALS:One hundred ninety-three urine samples from 105 client-owned and purpose-bred research cats.</w:t>
      </w:r>
    </w:p>
    <w:p/>
    <w:p>
      <w:pPr>
        <w:pStyle w:val="Normal"/>
      </w:pPr>
      <w:r>
        <w:rPr>
          <w:color w:val="323232"/>
        </w:rPr>
        <w:t xml:space="preserve">METHODS:Cats were classified as Histoplasma positive or negative based on diagnostic investigation. The IMMY EIA and MV EIA were performed on all urine samples. Correlation and agreement between the assays were determined. Diagnostic performance was determined and compared between assays.</w:t>
      </w:r>
    </w:p>
    <w:p/>
    <w:p>
      <w:pPr>
        <w:pStyle w:val="Normal"/>
      </w:pPr>
      <w:r>
        <w:rPr>
          <w:color w:val="323232"/>
        </w:rPr>
        <w:t xml:space="preserve">RESULTS:The IMMY EIA, with a 0.25</w:t>
      </w:r>
      <w:r>
        <w:rPr>
          <w:color w:val="323232"/>
        </w:rPr>
        <w:t xml:space="preserve"> </w:t>
      </w:r>
      <w:r>
        <w:rPr>
          <w:color w:val="323232"/>
        </w:rPr>
        <w:t xml:space="preserve">ng/ mL diagnostic cutoff, provided a diagnostic sensitivity (DSe), diagnostic specificity (DSp), and diagnostic accuracy (DAc) of 89% (95% confidence interval [CI]; 73%-97%), 80% (67%-89%), and 83% (74%-90%), respectively. The IMMY EIA, with a 1.1</w:t>
      </w:r>
      <w:r>
        <w:rPr>
          <w:color w:val="323232"/>
        </w:rPr>
        <w:t xml:space="preserve"> </w:t>
      </w:r>
      <w:r>
        <w:rPr>
          <w:color w:val="323232"/>
        </w:rPr>
        <w:t xml:space="preserve">ng/ mL diagnostic cutoff, provided a DSe, DSp, and DAc of 77% (95% CI 60%-90%), 97% (88%-100%), and 89% (81%-95%), respectively. The MV EIA provided a DSe, DSp, and DAc of 94% (95% CI 81%-99%), 97% (89%-100%), and 96% (90%-99%), respectively. Moderate overall agreement was found between MV EIA and IMMY EIA using the 0.25</w:t>
      </w:r>
      <w:r>
        <w:rPr>
          <w:color w:val="323232"/>
        </w:rPr>
        <w:t xml:space="preserve"> </w:t>
      </w:r>
      <w:r>
        <w:rPr>
          <w:color w:val="323232"/>
        </w:rPr>
        <w:t xml:space="preserve">ng/ mL cut-off (к</w:t>
      </w:r>
      <w:r>
        <w:rPr>
          <w:color w:val="323232"/>
        </w:rPr>
        <w:t xml:space="preserve"> </w:t>
      </w:r>
      <w:r>
        <w:rPr>
          <w:color w:val="323232"/>
        </w:rPr>
        <w:t xml:space="preserve">=</w:t>
      </w:r>
      <w:r>
        <w:rPr>
          <w:color w:val="323232"/>
        </w:rPr>
        <w:t xml:space="preserve"> </w:t>
      </w:r>
      <w:r>
        <w:rPr>
          <w:color w:val="323232"/>
        </w:rPr>
        <w:t xml:space="preserve">0.44; 95% CI 0.31-0.57) and the 1.1</w:t>
      </w:r>
      <w:r>
        <w:rPr>
          <w:color w:val="323232"/>
        </w:rPr>
        <w:t xml:space="preserve"> </w:t>
      </w:r>
      <w:r>
        <w:rPr>
          <w:color w:val="323232"/>
        </w:rPr>
        <w:t xml:space="preserve">ng/ mL cut-off (к</w:t>
      </w:r>
      <w:r>
        <w:rPr>
          <w:color w:val="323232"/>
        </w:rPr>
        <w:t xml:space="preserve"> </w:t>
      </w:r>
      <w:r>
        <w:rPr>
          <w:color w:val="323232"/>
        </w:rPr>
        <w:t xml:space="preserve">=</w:t>
      </w:r>
      <w:r>
        <w:rPr>
          <w:color w:val="323232"/>
        </w:rPr>
        <w:t xml:space="preserve"> </w:t>
      </w:r>
      <w:r>
        <w:rPr>
          <w:color w:val="323232"/>
        </w:rPr>
        <w:t xml:space="preserve">0.43, 95% CI, 0.31-0.56).</w:t>
      </w:r>
    </w:p>
    <w:p/>
    <w:p>
      <w:pPr>
        <w:pStyle w:val="Normal"/>
      </w:pPr>
      <w:r>
        <w:rPr>
          <w:color w:val="323232"/>
        </w:rPr>
        <w:t xml:space="preserve">CONCLUSIONS AND CLINICAL IMPORTANCE:The IMMY EIA might be useful as a diagnostic test for histoplasmosis in cats. Further modifications of the IMMY EIA are required to achieve the diagnostic performance of the MV EIA.</w:t>
      </w:r>
    </w:p>
    <w:p/>
    <w:p>
      <w:pPr>
        <w:pStyle w:val="Normal"/>
      </w:pPr>
      <w:r>
        <w:rPr>
          <w:color w:val="323232"/>
        </w:rPr>
        <w:t xml:space="preserve">J Vet Intern Med, 2019 vol. 33 (2) pp. 603-610.</w:t>
      </w:r>
    </w:p>
    <w:p>
      <w:r>
        <w:rPr>
          <w:rStyle w:val="Hyperlink"/>
        </w:rPr>
        <w:fldChar w:fldCharType="begin"/>
      </w:r>
      <w:r>
        <w:rPr>
          <w:rStyle w:val="Hyperlink"/>
        </w:rPr>
        <w:instrText xml:space="preserve"> HYPERLINK "http://dx.doi.org/10.1111/jvim.15379" </w:instrText>
      </w:r>
      <w:r>
        <w:rPr>
          <w:rStyle w:val="Hyperlink"/>
        </w:rPr>
      </w:r>
      <w:r>
        <w:rPr>
          <w:rStyle w:val="Hyperlink"/>
        </w:rPr>
        <w:fldChar w:fldCharType="separate"/>
      </w:r>
      <w:pPr>
        <w:pStyle w:val="Normal"/>
      </w:pPr>
      <w:r>
        <w:rPr>
          <w:rStyle w:val="Hyperlink"/>
        </w:rPr>
        <w:t xml:space="preserve">http://dx.doi.org/10.1111/jvim.15379</w:t>
      </w:r>
      <w:r>
        <w:rPr>
          <w:rStyle w:val="Hyperlink"/>
        </w:rPr>
        <w:fldChar w:fldCharType="end"/>
      </w:r>
    </w:p>
    <w:p>
      <w:pPr>
        <w:pStyle w:val="Normal"/>
      </w:pPr>
      <w:r>
        <w:rPr>
          <w:color w:val="323232"/>
        </w:rPr>
        <w:t xml:space="preserve">————————</w:t>
      </w:r>
    </w:p>
    <w:p>
      <w:pPr>
        <w:pStyle w:val="Heading4"/>
      </w:pPr>
      <w:r>
        <w:t xml:space="preserve">Biomarkers of oxidative stress as an assessment of the redox status of the liver in dogs.</w:t>
      </w:r>
    </w:p>
    <w:p/>
    <w:p>
      <w:pPr>
        <w:pStyle w:val="Normal"/>
      </w:pPr>
      <w:r>
        <w:rPr>
          <w:color w:val="323232"/>
        </w:rPr>
        <w:t xml:space="preserve">Caitlin Barry-Heffernan, Joanne Ekena, Sarah Dowling, Marie E Pinkerton, and Katrina Viviano.</w:t>
      </w:r>
    </w:p>
    <w:p/>
    <w:p>
      <w:pPr>
        <w:pStyle w:val="Normal"/>
      </w:pPr>
      <w:r>
        <w:rPr>
          <w:color w:val="323232"/>
        </w:rPr>
        <w:t xml:space="preserve">BACKGROUND:Oxidative stress is associated with a diverse group of liver disorders across species.</w:t>
      </w:r>
    </w:p>
    <w:p/>
    <w:p>
      <w:pPr>
        <w:pStyle w:val="Normal"/>
      </w:pPr>
      <w:r>
        <w:rPr>
          <w:color w:val="323232"/>
        </w:rPr>
        <w:t xml:space="preserve">OBJECTIVES:Determine whether glutathione (GSH) concentration in plasma and red blood cells correlates with liver GSH concentration in dogs and evaluate whether other markers of systemic oxidative stress, plasma vitamin E and urine 8-isoprostanes</w:t>
      </w:r>
      <w:r>
        <w:rPr>
          <w:i w:val="1"/>
          <w:color w:val="323232"/>
        </w:rPr>
        <w:t xml:space="preserve">creatinine (F2 -IsoPs</w:t>
      </w:r>
      <w:r>
        <w:rPr>
          <w:color w:val="323232"/>
        </w:rPr>
        <w:t xml:space="preserve">Cr) concentrations, correlate with liver GSH.</w:t>
      </w:r>
    </w:p>
    <w:p/>
    <w:p>
      <w:pPr>
        <w:pStyle w:val="Normal"/>
      </w:pPr>
      <w:r>
        <w:rPr>
          <w:color w:val="323232"/>
        </w:rPr>
        <w:t xml:space="preserve">ANIMALS:Thirty-four client-owned dogs undergoing clinically indicated liver biopsy and 15 healthy control dogs.</w:t>
      </w:r>
    </w:p>
    <w:p/>
    <w:p>
      <w:pPr>
        <w:pStyle w:val="Normal"/>
      </w:pPr>
      <w:r>
        <w:rPr>
          <w:color w:val="323232"/>
        </w:rPr>
        <w:t xml:space="preserve">METHODS:Prospective, observational cross-sectional study. Urine and blood were collected before liver biopsy. Plasma, erythrocyte, and liver GSH were measured using high performance liquid chromatography (HPLC); vitamin E was measured by HPLC, and F2 -IsoPs</w:t>
      </w:r>
      <w:r>
        <w:rPr>
          <w:i w:val="1"/>
          <w:color w:val="323232"/>
        </w:rPr>
        <w:t xml:space="preserve">Cr was measured by gas chromatography</w:t>
      </w:r>
      <w:r>
        <w:rPr>
          <w:color w:val="323232"/>
        </w:rPr>
        <w:t xml:space="preserve">mass spectrometry.</w:t>
      </w:r>
    </w:p>
    <w:p/>
    <w:p>
      <w:pPr>
        <w:pStyle w:val="Normal"/>
      </w:pPr>
      <w:r>
        <w:rPr>
          <w:color w:val="323232"/>
        </w:rPr>
        <w:t xml:space="preserve">RESULTS:All dogs were treated at the discretion of the attending clinician (24/34 received antioxidants; 4/34 fed therapeutic liver diet), which included dogs with primary or secondary liver disease (inflammatory (n</w:t>
      </w:r>
      <w:r>
        <w:rPr>
          <w:color w:val="323232"/>
        </w:rPr>
        <w:t xml:space="preserve"> </w:t>
      </w:r>
      <w:r>
        <w:rPr>
          <w:color w:val="323232"/>
        </w:rPr>
        <w:t xml:space="preserve">=</w:t>
      </w:r>
      <w:r>
        <w:rPr>
          <w:color w:val="323232"/>
        </w:rPr>
        <w:t xml:space="preserve"> </w:t>
      </w:r>
      <w:r>
        <w:rPr>
          <w:color w:val="323232"/>
        </w:rPr>
        <w:t xml:space="preserve">21), metabolic (n</w:t>
      </w:r>
      <w:r>
        <w:rPr>
          <w:color w:val="323232"/>
        </w:rPr>
        <w:t xml:space="preserve"> </w:t>
      </w:r>
      <w:r>
        <w:rPr>
          <w:color w:val="323232"/>
        </w:rPr>
        <w:t xml:space="preserve">=</w:t>
      </w:r>
      <w:r>
        <w:rPr>
          <w:color w:val="323232"/>
        </w:rPr>
        <w:t xml:space="preserve"> </w:t>
      </w:r>
      <w:r>
        <w:rPr>
          <w:color w:val="323232"/>
        </w:rPr>
        <w:t xml:space="preserve">9), vascular (n</w:t>
      </w:r>
      <w:r>
        <w:rPr>
          <w:color w:val="323232"/>
        </w:rPr>
        <w:t xml:space="preserve"> </w:t>
      </w:r>
      <w:r>
        <w:rPr>
          <w:color w:val="323232"/>
        </w:rPr>
        <w:t xml:space="preserve">=</w:t>
      </w:r>
      <w:r>
        <w:rPr>
          <w:color w:val="323232"/>
        </w:rPr>
        <w:t xml:space="preserve"> </w:t>
      </w:r>
      <w:r>
        <w:rPr>
          <w:color w:val="323232"/>
        </w:rPr>
        <w:t xml:space="preserve">2), and neoplastic (n</w:t>
      </w:r>
      <w:r>
        <w:rPr>
          <w:color w:val="323232"/>
        </w:rPr>
        <w:t xml:space="preserve"> </w:t>
      </w:r>
      <w:r>
        <w:rPr>
          <w:color w:val="323232"/>
        </w:rPr>
        <w:t xml:space="preserve">=</w:t>
      </w:r>
      <w:r>
        <w:rPr>
          <w:color w:val="323232"/>
        </w:rPr>
        <w:t xml:space="preserve"> </w:t>
      </w:r>
      <w:r>
        <w:rPr>
          <w:color w:val="323232"/>
        </w:rPr>
        <w:t xml:space="preserve">2)). Median GSH concentrations in plasma, erythrocyte, and liver were 0.18</w:t>
      </w:r>
      <w:r>
        <w:rPr>
          <w:color w:val="323232"/>
        </w:rPr>
        <w:t xml:space="preserve"> </w:t>
      </w:r>
      <w:r>
        <w:rPr>
          <w:color w:val="323232"/>
        </w:rPr>
        <w:t xml:space="preserve">mg/ dL (range 0.14 to 0.56</w:t>
      </w:r>
      <w:r>
        <w:rPr>
          <w:color w:val="323232"/>
        </w:rPr>
        <w:t xml:space="preserve"> </w:t>
      </w:r>
      <w:r>
        <w:rPr>
          <w:color w:val="323232"/>
        </w:rPr>
        <w:t xml:space="preserve">mg/ dL), 56.7 mg/ dL (18.3 to 79.2 mg/ dL), and 181</w:t>
      </w:r>
      <w:r>
        <w:rPr>
          <w:color w:val="323232"/>
        </w:rPr>
        <w:t xml:space="preserve"> </w:t>
      </w:r>
      <w:r>
        <w:rPr>
          <w:color w:val="323232"/>
        </w:rPr>
        <w:t xml:space="preserve">mg/ dL (39.9 to 527</w:t>
      </w:r>
      <w:r>
        <w:rPr>
          <w:color w:val="323232"/>
        </w:rPr>
        <w:t xml:space="preserve"> </w:t>
      </w:r>
      <w:r>
        <w:rPr>
          <w:color w:val="323232"/>
        </w:rPr>
        <w:t xml:space="preserve">mg/ dL), respectively. No significant correlations were found between liver GSH and erythrocyte GSH, plasma GSH, vitamin E, or F2 -IsoPs/ Cr. Dogs undergoing clinically indicated liver biopsy had significantly higher urine F2 -IsoPs/ Cr than did healthy controls (5.89 vs 2.98</w:t>
      </w:r>
      <w:r>
        <w:rPr>
          <w:color w:val="323232"/>
        </w:rPr>
        <w:t xml:space="preserve"> </w:t>
      </w:r>
      <w:r>
        <w:rPr>
          <w:color w:val="323232"/>
        </w:rPr>
        <w:t xml:space="preserve">ng/ mg; P</w:t>
      </w:r>
      <w:r>
        <w:rPr>
          <w:color w:val="323232"/>
        </w:rPr>
        <w:t xml:space="preserve"> </w:t>
      </w:r>
      <w:r>
        <w:rPr>
          <w:color w:val="323232"/>
        </w:rPr>
        <w:t xml:space="preserve">&lt;</w:t>
      </w:r>
      <w:r>
        <w:rPr>
          <w:color w:val="323232"/>
        </w:rPr>
        <w:t xml:space="preserve"> </w:t>
      </w:r>
      <w:r>
        <w:rPr>
          <w:color w:val="323232"/>
        </w:rPr>
        <w:t xml:space="preserve">.0001).</w:t>
      </w:r>
    </w:p>
    <w:p/>
    <w:p>
      <w:pPr>
        <w:pStyle w:val="Normal"/>
      </w:pPr>
      <w:r>
        <w:rPr>
          <w:color w:val="323232"/>
        </w:rPr>
        <w:t xml:space="preserve">CONCLUSIONS AND CLINICAL IMPORTANCE:Erythrocyte and plasma GSH are not indicative of liver GSH concentration in dogs. In addition, dogs undergoing clinically indicated liver biopsy have evidence of increased systemic oxidative stress compared to healthy controls.</w:t>
      </w:r>
    </w:p>
    <w:p/>
    <w:p>
      <w:pPr>
        <w:pStyle w:val="Normal"/>
      </w:pPr>
      <w:r>
        <w:rPr>
          <w:color w:val="323232"/>
        </w:rPr>
        <w:t xml:space="preserve">J Vet Intern Med, 2019 vol. 33 (2) pp. 611-617.</w:t>
      </w:r>
    </w:p>
    <w:p>
      <w:r>
        <w:rPr>
          <w:rStyle w:val="Hyperlink"/>
        </w:rPr>
        <w:fldChar w:fldCharType="begin"/>
      </w:r>
      <w:r>
        <w:rPr>
          <w:rStyle w:val="Hyperlink"/>
        </w:rPr>
        <w:instrText xml:space="preserve"> HYPERLINK "http://dx.doi.org/10.1111/jvim.15443" </w:instrText>
      </w:r>
      <w:r>
        <w:rPr>
          <w:rStyle w:val="Hyperlink"/>
        </w:rPr>
      </w:r>
      <w:r>
        <w:rPr>
          <w:rStyle w:val="Hyperlink"/>
        </w:rPr>
        <w:fldChar w:fldCharType="separate"/>
      </w:r>
      <w:pPr>
        <w:pStyle w:val="Normal"/>
      </w:pPr>
      <w:r>
        <w:rPr>
          <w:rStyle w:val="Hyperlink"/>
        </w:rPr>
        <w:t xml:space="preserve">http://dx.doi.org/10.1111/jvim.15443</w:t>
      </w:r>
      <w:r>
        <w:rPr>
          <w:rStyle w:val="Hyperlink"/>
        </w:rPr>
        <w:fldChar w:fldCharType="end"/>
      </w:r>
    </w:p>
    <w:p>
      <w:pPr>
        <w:pStyle w:val="Normal"/>
      </w:pPr>
      <w:r>
        <w:rPr>
          <w:color w:val="323232"/>
        </w:rPr>
        <w:t xml:space="preserve">————————</w:t>
      </w:r>
    </w:p>
    <w:p>
      <w:pPr>
        <w:pStyle w:val="Heading4"/>
      </w:pPr>
      <w:r>
        <w:t xml:space="preserve">Clinicopathological findings in 41 dogs (2008-2018) naturally infected with Ehrlichia ewingii.</w:t>
      </w:r>
    </w:p>
    <w:p/>
    <w:p>
      <w:pPr>
        <w:pStyle w:val="Normal"/>
      </w:pPr>
      <w:r>
        <w:rPr>
          <w:color w:val="323232"/>
        </w:rPr>
        <w:t xml:space="preserve">Barbara A Qurollo, Jesse Buch, Ramaswamy Chandrashekar, Melissa J Beall, Edward B Breitschwerdt, Caroline B Yancey, Alexander H Caudill, and Alaire Comyn.</w:t>
      </w:r>
    </w:p>
    <w:p/>
    <w:p>
      <w:pPr>
        <w:pStyle w:val="Normal"/>
      </w:pPr>
      <w:r>
        <w:rPr>
          <w:color w:val="323232"/>
        </w:rPr>
        <w:t xml:space="preserve">BACKGROUND:Ehrlichia ewingii is the most seroprevalent Ehrlichia-infecting dogs in the southern and mid-western United States. Fever, lameness, and polyarthritis are commonly reported findings in dogs naturally infected with E. ewingii.</w:t>
      </w:r>
    </w:p>
    <w:p/>
    <w:p>
      <w:pPr>
        <w:pStyle w:val="Normal"/>
      </w:pPr>
      <w:r>
        <w:rPr>
          <w:color w:val="323232"/>
        </w:rPr>
        <w:t xml:space="preserve">OBJECTIVES:To evaluate clinicopathologic findings in a population of dogs naturally infected with E. ewingii.</w:t>
      </w:r>
    </w:p>
    <w:p/>
    <w:p>
      <w:pPr>
        <w:pStyle w:val="Normal"/>
      </w:pPr>
      <w:r>
        <w:rPr>
          <w:color w:val="323232"/>
        </w:rPr>
        <w:t xml:space="preserve">ANIMALS:Forty-one dogs PCR positive for E. ewingii and PCR negative for other targeted vector-borne organisms.</w:t>
      </w:r>
    </w:p>
    <w:p/>
    <w:p>
      <w:pPr>
        <w:pStyle w:val="Normal"/>
      </w:pPr>
      <w:r>
        <w:rPr>
          <w:color w:val="323232"/>
        </w:rPr>
        <w:t xml:space="preserve">METHODS:Retrospective study. Clinical and clinicopathologic data including physical examination findings, CBC, serum biochemistry, urinalysis (UA), symmetric dimethylarginine (SDMA), and vector-borne disease diagnostic results were reviewed.</w:t>
      </w:r>
    </w:p>
    <w:p/>
    <w:p>
      <w:pPr>
        <w:pStyle w:val="Normal"/>
      </w:pPr>
      <w:r>
        <w:rPr>
          <w:color w:val="323232"/>
        </w:rPr>
        <w:t xml:space="preserve">RESULTS:Frequent clinical diagnoses other than ehrlichiosis (28/41; 68.3%) were renal disease (7/41; 17.1%) and immune-mediated hemolytic anemia (IMHA) (6/41; 14.6%). The most frequent physical examination finding was joint pain (14/41; 34.1%). Prominent hematologic and biochemical abnormalities included abnormal lymphocyte counts (22/36; 61.1%); neutrophilia (21/37; 56.8%); increased alkaline phosphatase (20/35; 57.1%) and alanine transaminase (14/35; 40%) activities; and increased SDMA concentration (11/34; 32.4%). Urinalysis abnormalities included proteinuria (20/27; 74%), most with inactive sediments (16/20; 80%). Dogs were seroreactive by Ehrlichia canis immunofluorescence assay (IFA; 17/39; 43.6%) and Ehrlichia ELISA (34/41; 82.9%). Seroreactivity by IFA for other vector-borne pathogens included Bartonella (1/39; 2.6%), Rickettsia rickettsii (spotted-fever group rickettsiae) (12/39; 30.8%), and Borrelia burgdorferi by ELISA (1/41; 2.4%).</w:t>
      </w:r>
    </w:p>
    <w:p/>
    <w:p>
      <w:pPr>
        <w:pStyle w:val="Normal"/>
      </w:pPr>
      <w:r>
        <w:rPr>
          <w:color w:val="323232"/>
        </w:rPr>
        <w:t xml:space="preserve">CONCLUSIONS AND CLINICAL IMPORTANCE:Renal disease, IMHA, proteinuria, neutrophilia, abnormal lymphocytes, and increased liver enzyme activities were common in this group of E. ewingii-infected dogs. Studies are needed to determine if E. ewingii contributes to comorbidities or is a precipitating factor in clinical syndromes in persistently infected dogs.</w:t>
      </w:r>
    </w:p>
    <w:p/>
    <w:p>
      <w:pPr>
        <w:pStyle w:val="Normal"/>
      </w:pPr>
      <w:r>
        <w:rPr>
          <w:color w:val="323232"/>
        </w:rPr>
        <w:t xml:space="preserve">J Vet Intern Med, 2019 vol. 33 (2) pp. 618-629.</w:t>
      </w:r>
    </w:p>
    <w:p>
      <w:r>
        <w:rPr>
          <w:rStyle w:val="Hyperlink"/>
        </w:rPr>
        <w:fldChar w:fldCharType="begin"/>
      </w:r>
      <w:r>
        <w:rPr>
          <w:rStyle w:val="Hyperlink"/>
        </w:rPr>
        <w:instrText xml:space="preserve"> HYPERLINK "http://dx.doi.org/10.1111/jvim.15354" </w:instrText>
      </w:r>
      <w:r>
        <w:rPr>
          <w:rStyle w:val="Hyperlink"/>
        </w:rPr>
      </w:r>
      <w:r>
        <w:rPr>
          <w:rStyle w:val="Hyperlink"/>
        </w:rPr>
        <w:fldChar w:fldCharType="separate"/>
      </w:r>
      <w:pPr>
        <w:pStyle w:val="Normal"/>
      </w:pPr>
      <w:r>
        <w:rPr>
          <w:rStyle w:val="Hyperlink"/>
        </w:rPr>
        <w:t xml:space="preserve">http://dx.doi.org/10.1111/jvim.15354</w:t>
      </w:r>
      <w:r>
        <w:rPr>
          <w:rStyle w:val="Hyperlink"/>
        </w:rPr>
        <w:fldChar w:fldCharType="end"/>
      </w:r>
    </w:p>
    <w:p>
      <w:pPr>
        <w:pStyle w:val="Normal"/>
      </w:pPr>
      <w:r>
        <w:rPr>
          <w:color w:val="323232"/>
        </w:rPr>
        <w:t xml:space="preserve">————————</w:t>
      </w:r>
    </w:p>
    <w:p>
      <w:pPr>
        <w:pStyle w:val="Heading4"/>
      </w:pPr>
      <w:r>
        <w:t xml:space="preserve">Comparison of the diagnostic value of symmetric dimethylarginine, cystatin C, and creatinine for detection of decreased glomerular filtration rate in dogs.</w:t>
      </w:r>
    </w:p>
    <w:p/>
    <w:p>
      <w:pPr>
        <w:pStyle w:val="Normal"/>
      </w:pPr>
      <w:r>
        <w:rPr>
          <w:color w:val="323232"/>
        </w:rPr>
        <w:t xml:space="preserve">Lena Pelander, Jens Häggström, Anders Larsson, Harriet Syme, Jonathan Elliott, Reidun Heiene, and Ingrid Ljungvall.</w:t>
      </w:r>
    </w:p>
    <w:p/>
    <w:p>
      <w:pPr>
        <w:pStyle w:val="Normal"/>
      </w:pPr>
      <w:r>
        <w:rPr>
          <w:color w:val="323232"/>
        </w:rPr>
        <w:t xml:space="preserve">BACKGROUND:Early detection of decreased glomerular filtration rate (GFR) in dogs is challenging. Current methods are insensitive and new biomarkers are required.</w:t>
      </w:r>
    </w:p>
    <w:p/>
    <w:p>
      <w:pPr>
        <w:pStyle w:val="Normal"/>
      </w:pPr>
      <w:r>
        <w:rPr>
          <w:color w:val="323232"/>
        </w:rPr>
        <w:t xml:space="preserve">OBJECTIVE:To compare overall diagnostic performance of serum symmetric dimethylarginine (SDMA) and serum cystatin C to serum creatinine, for detection of decreased GFR in clinically stable dogs, with or without chronic kidney disease (CKD).</w:t>
      </w:r>
    </w:p>
    <w:p/>
    <w:p>
      <w:pPr>
        <w:pStyle w:val="Normal"/>
      </w:pPr>
      <w:r>
        <w:rPr>
          <w:color w:val="323232"/>
        </w:rPr>
        <w:t xml:space="preserve">ANIMALS:Ninety-seven client-owned dogs: 67 dogs with a diagnosis or suspicion of CKD and 30 healthy dogs were prospectively included.</w:t>
      </w:r>
    </w:p>
    <w:p/>
    <w:p>
      <w:pPr>
        <w:pStyle w:val="Normal"/>
      </w:pPr>
      <w:r>
        <w:rPr>
          <w:color w:val="323232"/>
        </w:rPr>
        <w:t xml:space="preserve">METHODS:Prospective diagnostic accuracy study. All dogs underwent physical examination, systemic arterial blood pressure measurement, urinalysis, hematology and blood biochemistry analysis, cardiac and urinary ultrasound examinations, and scintigraphy for estimation of glomerular filtration rate (mGFR). Frozen serum was used for batch analysis of SDMA and cystatin C.</w:t>
      </w:r>
    </w:p>
    <w:p/>
    <w:p>
      <w:pPr>
        <w:pStyle w:val="Normal"/>
      </w:pPr>
      <w:r>
        <w:rPr>
          <w:color w:val="323232"/>
        </w:rPr>
        <w:t xml:space="preserve">RESULTS:The area under the curve of creatinine, SDMA, and cystatin C for detection of an mGFR &lt;30.8 mL/ min/ L was 0.98 (95% confidence interval [CI], 0.93-1.0), 0.96 (95% CI, 0.91-0.99), and 0.87 (95% CI, 0.79-0.93), respectively. The sensitivity of both creatinine and SDMA at their prespecified cutoffs (115</w:t>
      </w:r>
      <w:r>
        <w:rPr>
          <w:color w:val="323232"/>
        </w:rPr>
        <w:t xml:space="preserve"> </w:t>
      </w:r>
      <w:r>
        <w:rPr>
          <w:color w:val="323232"/>
        </w:rPr>
        <w:t xml:space="preserve">μmol/ L [1.3 mg/ dL] and 14</w:t>
      </w:r>
      <w:r>
        <w:rPr>
          <w:color w:val="323232"/>
        </w:rPr>
        <w:t xml:space="preserve"> </w:t>
      </w:r>
      <w:r>
        <w:rPr>
          <w:color w:val="323232"/>
        </w:rPr>
        <w:t xml:space="preserve">μg/ dL) for detection of an abnormal mGFR was 90%. The specificity was 90% for creatinine and 87% for SDMA. When adjusting the cutoff for cystatin C to correspond to a diagnostic sensitivity of 90% (0.49</w:t>
      </w:r>
      <w:r>
        <w:rPr>
          <w:color w:val="323232"/>
        </w:rPr>
        <w:t xml:space="preserve"> </w:t>
      </w:r>
      <w:r>
        <w:rPr>
          <w:color w:val="323232"/>
        </w:rPr>
        <w:t xml:space="preserve">mg/L), specificity was lower (72%) than that of creatinine and SDMA.</w:t>
      </w:r>
    </w:p>
    <w:p/>
    <w:p>
      <w:pPr>
        <w:pStyle w:val="Normal"/>
      </w:pPr>
      <w:r>
        <w:rPr>
          <w:color w:val="323232"/>
        </w:rPr>
        <w:t xml:space="preserve">CONCLUSIONS AND CLINICAL IMPORTANCE:Overall diagnostic performance of creatinine and SDMA for detection of decreased mGFR was similar. Overall diagnostic performance of cystatin C was inferior to both creatinine and SDMA.</w:t>
      </w:r>
    </w:p>
    <w:p/>
    <w:p>
      <w:pPr>
        <w:pStyle w:val="Normal"/>
      </w:pPr>
      <w:r>
        <w:rPr>
          <w:color w:val="323232"/>
        </w:rPr>
        <w:t xml:space="preserve">J Vet Intern Med, 2019 vol. 33 (2) pp. 630-639.</w:t>
      </w:r>
    </w:p>
    <w:p>
      <w:r>
        <w:rPr>
          <w:rStyle w:val="Hyperlink"/>
        </w:rPr>
        <w:fldChar w:fldCharType="begin"/>
      </w:r>
      <w:r>
        <w:rPr>
          <w:rStyle w:val="Hyperlink"/>
        </w:rPr>
        <w:instrText xml:space="preserve"> HYPERLINK "http://eutils.ncbi.nlm.nih.gov/entrez/eutils/elink.fcgi?dbfrom=pubmed&amp;id=30791142&amp;retmode=ref&amp;cmd=prlinks"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http://eutils.ncbi.nlm.nih.gov/entrez/eutils/elink.fcgi?dbfrom=pubmed&amp;id=30791142&amp;retmode=ref&amp;cmd=prlinks</w:t>
      </w:r>
      <w:r>
        <w:rPr>
          <w:rStyle w:val="Hyperlink"/>
        </w:rPr>
        <w:fldChar w:fldCharType="end"/>
      </w:r>
    </w:p>
    <w:p>
      <w:pPr>
        <w:pStyle w:val="Normal"/>
      </w:pPr>
      <w:r>
        <w:rPr>
          <w:color w:val="323232"/>
        </w:rPr>
        <w:t xml:space="preserve">————————</w:t>
      </w:r>
    </w:p>
    <w:p>
      <w:pPr>
        <w:pStyle w:val="Heading4"/>
      </w:pPr>
      <w:r>
        <w:t xml:space="preserve">Frequency of bacteriuria in dogs with chronic kidney disease: A retrospective study of 201 cases.</w:t>
      </w:r>
    </w:p>
    <w:p/>
    <w:p>
      <w:pPr>
        <w:pStyle w:val="Normal"/>
      </w:pPr>
      <w:r>
        <w:rPr>
          <w:color w:val="323232"/>
        </w:rPr>
        <w:t xml:space="preserve">Anaïs Lamoureux, Fiona Da Riz, Julien Cappelle, Henri-Jean Boulouis, Ghita Benchekroun, Jean-Luc Cadoré, Emilie Krafft, and Christelle Maurey.</w:t>
      </w:r>
    </w:p>
    <w:p/>
    <w:p>
      <w:pPr>
        <w:pStyle w:val="Normal"/>
      </w:pPr>
      <w:r>
        <w:rPr>
          <w:color w:val="323232"/>
        </w:rPr>
        <w:t xml:space="preserve">BACKGROUND:Studies have shown an increased prevalence of positive urine culture (PUC) in cats with chronic kidney disease (CKD); no information is available in dogs.</w:t>
      </w:r>
    </w:p>
    <w:p/>
    <w:p>
      <w:pPr>
        <w:pStyle w:val="Normal"/>
      </w:pPr>
      <w:r>
        <w:rPr>
          <w:color w:val="323232"/>
        </w:rPr>
        <w:t xml:space="preserve">OBJECTIVES:To document the PUC frequency in a cohort of dogs with CKD, determine risk factors for PUC, and identify associations between clinicopathologic data and PUC.</w:t>
      </w:r>
    </w:p>
    <w:p/>
    <w:p>
      <w:pPr>
        <w:pStyle w:val="Normal"/>
      </w:pPr>
      <w:r>
        <w:rPr>
          <w:color w:val="323232"/>
        </w:rPr>
        <w:t xml:space="preserve">ANIMALS:Two hundred one client-owned dogs with CKD.</w:t>
      </w:r>
    </w:p>
    <w:p/>
    <w:p>
      <w:pPr>
        <w:pStyle w:val="Normal"/>
      </w:pPr>
      <w:r>
        <w:rPr>
          <w:color w:val="323232"/>
        </w:rPr>
        <w:t xml:space="preserve">METHODS:Retrospective, observational study. Dogs recruited from 2 veterinary teaching hospitals were included if they were diagnosed with CKD and had a culture performed on urine collected by cystocentesis. The PUC frequency was calculated, multivariate analysis was performed to identify risk factors, and associations with clinicopathologic data were investigated.</w:t>
      </w:r>
    </w:p>
    <w:p/>
    <w:p>
      <w:pPr>
        <w:pStyle w:val="Normal"/>
      </w:pPr>
      <w:r>
        <w:rPr>
          <w:color w:val="323232"/>
        </w:rPr>
        <w:t xml:space="preserve">RESULTS:Sixty-five dogs (32%) with CKD had PUC, including 8 (28%) in International Renal Interest Society (IRIS) stage 1; only 8% showed signs of a urinary tract infection. Escherichia coli was the most common isolate (67%). A PUC was more likely in females (odds ratio [OR], 3.22; 95% confidence interval [CI], 1.67-6.37; P &lt;</w:t>
      </w:r>
      <w:r>
        <w:rPr>
          <w:color w:val="323232"/>
        </w:rPr>
        <w:t xml:space="preserve"> </w:t>
      </w:r>
      <w:r>
        <w:rPr>
          <w:color w:val="323232"/>
        </w:rPr>
        <w:t xml:space="preserve">.001) than males and in dogs with isosthenuria (OR, 2.48; 95% CI, 1.24-5.03; P =</w:t>
      </w:r>
      <w:r>
        <w:rPr>
          <w:color w:val="323232"/>
        </w:rPr>
        <w:t xml:space="preserve"> </w:t>
      </w:r>
      <w:r>
        <w:rPr>
          <w:color w:val="323232"/>
        </w:rPr>
        <w:t xml:space="preserve">.01) than in dogs with urine-specific gravity 1.013-1.024. A positive leukocyte esterase test and microorganisms found by urine sediment analysis were significantly associated with PUC (both P &lt;</w:t>
      </w:r>
      <w:r>
        <w:rPr>
          <w:color w:val="323232"/>
        </w:rPr>
        <w:t xml:space="preserve"> </w:t>
      </w:r>
      <w:r>
        <w:rPr>
          <w:color w:val="323232"/>
        </w:rPr>
        <w:t xml:space="preserve">.001).</w:t>
      </w:r>
    </w:p>
    <w:p/>
    <w:p>
      <w:pPr>
        <w:pStyle w:val="Normal"/>
      </w:pPr>
      <w:r>
        <w:rPr>
          <w:color w:val="323232"/>
        </w:rPr>
        <w:t xml:space="preserve">CONCLUSIONS AND CLINICAL IMPORTANCE:Dogs with CKD, even IRIS stage 1, have a high frequency of PUC and most cases are asymptomatic. A urine culture could be considered in the routine evaluation of dogs with CKD, but the clinical relevance of a PUC remains unknown and needs further evaluation.</w:t>
      </w:r>
    </w:p>
    <w:p/>
    <w:p>
      <w:pPr>
        <w:pStyle w:val="Normal"/>
      </w:pPr>
      <w:r>
        <w:rPr>
          <w:color w:val="323232"/>
        </w:rPr>
        <w:t xml:space="preserve">J Vet Intern Med, 2019 vol. 33 (2) pp. 640-647.</w:t>
      </w:r>
    </w:p>
    <w:p>
      <w:r>
        <w:rPr>
          <w:rStyle w:val="Hyperlink"/>
        </w:rPr>
        <w:fldChar w:fldCharType="begin"/>
      </w:r>
      <w:r>
        <w:rPr>
          <w:rStyle w:val="Hyperlink"/>
        </w:rPr>
        <w:instrText xml:space="preserve"> HYPERLINK "http://dx.doi.org/10.1111/jvim.15434" </w:instrText>
      </w:r>
      <w:r>
        <w:rPr>
          <w:rStyle w:val="Hyperlink"/>
        </w:rPr>
      </w:r>
      <w:r>
        <w:rPr>
          <w:rStyle w:val="Hyperlink"/>
        </w:rPr>
        <w:fldChar w:fldCharType="separate"/>
      </w:r>
      <w:pPr>
        <w:pStyle w:val="Normal"/>
      </w:pPr>
      <w:r>
        <w:rPr>
          <w:rStyle w:val="Hyperlink"/>
        </w:rPr>
        <w:t xml:space="preserve">http://dx.doi.org/10.1111/jvim.15434</w:t>
      </w:r>
      <w:r>
        <w:rPr>
          <w:rStyle w:val="Hyperlink"/>
        </w:rPr>
        <w:fldChar w:fldCharType="end"/>
      </w:r>
    </w:p>
    <w:p>
      <w:pPr>
        <w:pStyle w:val="Normal"/>
      </w:pPr>
      <w:r>
        <w:rPr>
          <w:color w:val="323232"/>
        </w:rPr>
        <w:t xml:space="preserve">————————</w:t>
      </w:r>
    </w:p>
    <w:p>
      <w:pPr>
        <w:pStyle w:val="Heading4"/>
      </w:pPr>
      <w:r>
        <w:t xml:space="preserve">Risk factors for Candida urinary tract infections in dogs and cats.</w:t>
      </w:r>
    </w:p>
    <w:p/>
    <w:p>
      <w:pPr>
        <w:pStyle w:val="Normal"/>
      </w:pPr>
      <w:r>
        <w:rPr>
          <w:color w:val="323232"/>
        </w:rPr>
        <w:t xml:space="preserve">Krystle L Reagan, Jonathan D Dear, PHILIP H KASS, and Jane E Sykes.</w:t>
      </w:r>
    </w:p>
    <w:p/>
    <w:p>
      <w:pPr>
        <w:pStyle w:val="Normal"/>
      </w:pPr>
      <w:r>
        <w:rPr>
          <w:color w:val="323232"/>
        </w:rPr>
        <w:t xml:space="preserve">BACKGROUND:Candida urinary tract infections occur in both dogs in cats but there is limited data about risk factors.</w:t>
      </w:r>
    </w:p>
    <w:p/>
    <w:p>
      <w:pPr>
        <w:pStyle w:val="Normal"/>
      </w:pPr>
      <w:r>
        <w:rPr>
          <w:color w:val="323232"/>
        </w:rPr>
        <w:t xml:space="preserve">OBJECTIVE:To identify risk factors for candiduria in dogs in cats.</w:t>
      </w:r>
    </w:p>
    <w:p/>
    <w:p>
      <w:pPr>
        <w:pStyle w:val="Normal"/>
      </w:pPr>
      <w:r>
        <w:rPr>
          <w:color w:val="323232"/>
        </w:rPr>
        <w:t xml:space="preserve">ANIMALS:Eighteen dogs and 8 cats with candiduria.</w:t>
      </w:r>
    </w:p>
    <w:p/>
    <w:p>
      <w:pPr>
        <w:pStyle w:val="Normal"/>
      </w:pPr>
      <w:r>
        <w:rPr>
          <w:color w:val="323232"/>
        </w:rPr>
        <w:t xml:space="preserve">METHODS:A retrospective case-control study, using univariate exact logistic regression. Medical records were searched for a diagnosis of Candida and animals with culture-confirmed candiduria were enrolled. Controls had bacterial cystitis (dogs and cats) or cutaneous Malassezia infection (dogs only).</w:t>
      </w:r>
    </w:p>
    <w:p/>
    <w:p>
      <w:pPr>
        <w:pStyle w:val="Normal"/>
      </w:pPr>
      <w:r>
        <w:rPr>
          <w:color w:val="323232"/>
        </w:rPr>
        <w:t xml:space="preserve">RESULTS:Administration of antibacterial drugs in the 30</w:t>
      </w:r>
      <w:r>
        <w:rPr>
          <w:color w:val="323232"/>
        </w:rPr>
        <w:t xml:space="preserve"> </w:t>
      </w:r>
      <w:r>
        <w:rPr>
          <w:color w:val="323232"/>
        </w:rPr>
        <w:t xml:space="preserve">days before diagnosis was associated with candiduria in dogs compared to controls with bacterial cystitis (OR 14.5; 95% CI 3.1-66.9) or with Malassezia infection (OR 26.4; 95% CI 3.4-206.7). Antecedent antibacterial drug administration was associated with candiduria in cats (OR 15.7; 95% CI 1.9-132.3). Immunosuppression was associated with candiduria in dogs when compared to controls with Malassezia infection (OR 4.2, 95% CI 1.4-12.8), but not significantly when compared to dogs with bacterial cystitis (OR 2.7, 95% CI 0.9-8.0). Lower urinary tract diseases other than infection were associated with candiduria in cats (OR 6.7, 95% CI 1.6-27.9), but not significantly in dogs (OR 2.5, 95% CI 0.7-8.7). Neither diabetes mellitus nor history of hospitalization was significantly associated with candiduria in either species.</w:t>
      </w:r>
    </w:p>
    <w:p/>
    <w:p>
      <w:pPr>
        <w:pStyle w:val="Normal"/>
      </w:pPr>
      <w:r>
        <w:rPr>
          <w:color w:val="323232"/>
        </w:rPr>
        <w:t xml:space="preserve">CONCLUSIONS AND CLINICAL IMPORTANCE:The recent administration of antibacterial drug therapy is a potential risk factor for development of candiduria in dogs and cats. Judicious use of antibacterial drugs might help to prevent candiduria.</w:t>
      </w:r>
    </w:p>
    <w:p/>
    <w:p>
      <w:pPr>
        <w:pStyle w:val="Normal"/>
      </w:pPr>
      <w:r>
        <w:rPr>
          <w:color w:val="323232"/>
        </w:rPr>
        <w:t xml:space="preserve">J Vet Intern Med, 2019 vol. 33 (2) pp. 648-653.</w:t>
      </w:r>
    </w:p>
    <w:p>
      <w:r>
        <w:rPr>
          <w:rStyle w:val="Hyperlink"/>
        </w:rPr>
        <w:fldChar w:fldCharType="begin"/>
      </w:r>
      <w:r>
        <w:rPr>
          <w:rStyle w:val="Hyperlink"/>
        </w:rPr>
        <w:instrText xml:space="preserve"> HYPERLINK "http://dx.doi.org/10.1111/jvim.15444" </w:instrText>
      </w:r>
      <w:r>
        <w:rPr>
          <w:rStyle w:val="Hyperlink"/>
        </w:rPr>
      </w:r>
      <w:r>
        <w:rPr>
          <w:rStyle w:val="Hyperlink"/>
        </w:rPr>
        <w:fldChar w:fldCharType="separate"/>
      </w:r>
      <w:pPr>
        <w:pStyle w:val="Normal"/>
      </w:pPr>
      <w:r>
        <w:rPr>
          <w:rStyle w:val="Hyperlink"/>
        </w:rPr>
        <w:t xml:space="preserve">http://dx.doi.org/10.1111/jvim.15444</w:t>
      </w:r>
      <w:r>
        <w:rPr>
          <w:rStyle w:val="Hyperlink"/>
        </w:rPr>
        <w:fldChar w:fldCharType="end"/>
      </w:r>
    </w:p>
    <w:p>
      <w:pPr>
        <w:pStyle w:val="Normal"/>
      </w:pPr>
      <w:r>
        <w:rPr>
          <w:color w:val="323232"/>
        </w:rPr>
        <w:t xml:space="preserve">————————</w:t>
      </w:r>
    </w:p>
    <w:p>
      <w:pPr>
        <w:pStyle w:val="Heading4"/>
      </w:pPr>
      <w:r>
        <w:t xml:space="preserve">Urinary neutrophil gelatinase-associated lipocalin in dogs with stable or progressive kidney disease.</w:t>
      </w:r>
    </w:p>
    <w:p/>
    <w:p>
      <w:pPr>
        <w:pStyle w:val="Normal"/>
      </w:pPr>
      <w:r>
        <w:rPr>
          <w:color w:val="323232"/>
        </w:rPr>
        <w:t xml:space="preserve">Yoojin M Kim, David J Polzin, Aaron Rendahl, and Jennifer L Granick.</w:t>
      </w:r>
    </w:p>
    <w:p/>
    <w:p>
      <w:pPr>
        <w:pStyle w:val="Normal"/>
      </w:pPr>
      <w:r>
        <w:rPr>
          <w:color w:val="323232"/>
        </w:rPr>
        <w:t xml:space="preserve">BACKGROUND:Active kidney injury may play a role in chronic kidney disease (CKD) progression in dogs. Neutrophil gelatinase-associated lipocalin (NGAL), a novel tubular kidney injury biomarker, may help differentiate progressive CKD from stable CKD in dogs.</w:t>
      </w:r>
    </w:p>
    <w:p/>
    <w:p>
      <w:pPr>
        <w:pStyle w:val="Normal"/>
      </w:pPr>
      <w:r>
        <w:rPr>
          <w:color w:val="323232"/>
        </w:rPr>
        <w:t xml:space="preserve">OBJECTIVES:To determine if urinary NGAL</w:t>
      </w:r>
      <w:r>
        <w:rPr>
          <w:color w:val="323232"/>
        </w:rPr>
        <w:t xml:space="preserve"> </w:t>
      </w:r>
      <w:r>
        <w:rPr>
          <w:color w:val="323232"/>
        </w:rPr>
        <w:t xml:space="preserve">:</w:t>
      </w:r>
      <w:r>
        <w:rPr>
          <w:color w:val="323232"/>
        </w:rPr>
        <w:t xml:space="preserve"> </w:t>
      </w:r>
      <w:r>
        <w:rPr>
          <w:color w:val="323232"/>
        </w:rPr>
        <w:t xml:space="preserve">creatinine ratio (UNCR) differentiates stable and progressive CKD in dogs. We hypothesized that UNCR would be higher in dogs with progressive CKD versus stable CKD.</w:t>
      </w:r>
    </w:p>
    <w:p/>
    <w:p>
      <w:pPr>
        <w:pStyle w:val="Normal"/>
      </w:pPr>
      <w:r>
        <w:rPr>
          <w:color w:val="323232"/>
        </w:rPr>
        <w:t xml:space="preserve">ANIMALS:Twenty-one healthy control dogs, 22 with prerenal azotemia, 19 with stable CKD, 30 with progressive CKD, and 27 with acute kidney injury (AKI).</w:t>
      </w:r>
    </w:p>
    <w:p/>
    <w:p>
      <w:pPr>
        <w:pStyle w:val="Normal"/>
      </w:pPr>
      <w:r>
        <w:rPr>
          <w:color w:val="323232"/>
        </w:rPr>
        <w:t xml:space="preserve">METHODS:Prospective study. Azotemic (serum creatinine concentration &gt;1.6</w:t>
      </w:r>
      <w:r>
        <w:rPr>
          <w:color w:val="323232"/>
        </w:rPr>
        <w:t xml:space="preserve"> </w:t>
      </w:r>
      <w:r>
        <w:rPr>
          <w:color w:val="323232"/>
        </w:rPr>
        <w:t xml:space="preserve">mg/dL) dogs or nonazotemic AKI dogs were enrolled and classified into 4 groups: (1) prerenal azotemia, (2) stable CKD, (3) progressive CKD, and (4) AKI. Urinary NGAL was measured by ELISA and UNCR compared among groups. Urine protein</w:t>
      </w:r>
      <w:r>
        <w:rPr>
          <w:color w:val="323232"/>
        </w:rPr>
        <w:t xml:space="preserve"> </w:t>
      </w:r>
      <w:r>
        <w:rPr>
          <w:color w:val="323232"/>
        </w:rPr>
        <w:t xml:space="preserve">:</w:t>
      </w:r>
      <w:r>
        <w:rPr>
          <w:color w:val="323232"/>
        </w:rPr>
        <w:t xml:space="preserve"> </w:t>
      </w:r>
      <w:r>
        <w:rPr>
          <w:color w:val="323232"/>
        </w:rPr>
        <w:t xml:space="preserve">creatinine ratio (UPC) in dogs with stable and progressive CKD was compared to UNCR for differentiating CKD groups.</w:t>
      </w:r>
    </w:p>
    <w:p/>
    <w:p>
      <w:pPr>
        <w:pStyle w:val="Normal"/>
      </w:pPr>
      <w:r>
        <w:rPr>
          <w:color w:val="323232"/>
        </w:rPr>
        <w:t xml:space="preserve">RESULTS:UNCR was significantly higher in dogs with progressive CKD than stable CKD. UNCR of the prerenal azotemia group was significantly lower than that of the progressive CKD and AKI groups. No significant difference was found in UNCR between stable CKD and prerenal azotemia groups. ROC curve analysis of UNCR for differentiating progressive CKD from stable CKD resulted in an AUC of 0.816 (95% confidence interval [CI], 0.673-0.959), greater than that of UPC (0.696; 95% CI, 0.529-0.863).</w:t>
      </w:r>
    </w:p>
    <w:p/>
    <w:p>
      <w:pPr>
        <w:pStyle w:val="Normal"/>
      </w:pPr>
      <w:r>
        <w:rPr>
          <w:color w:val="323232"/>
        </w:rPr>
        <w:t xml:space="preserve">CONCLUSIONS AND CLINICAL IMPORTANCE:Urinary NGAL could be helpful to predict the risk of progression in dogs with CKD.</w:t>
      </w:r>
    </w:p>
    <w:p/>
    <w:p>
      <w:pPr>
        <w:pStyle w:val="Normal"/>
      </w:pPr>
      <w:r>
        <w:rPr>
          <w:color w:val="323232"/>
        </w:rPr>
        <w:t xml:space="preserve">J Vet Intern Med, 2019 vol. 33 (2) pp. 654-661.</w:t>
      </w:r>
    </w:p>
    <w:p>
      <w:r>
        <w:rPr>
          <w:rStyle w:val="Hyperlink"/>
        </w:rPr>
        <w:fldChar w:fldCharType="begin"/>
      </w:r>
      <w:r>
        <w:rPr>
          <w:rStyle w:val="Hyperlink"/>
        </w:rPr>
        <w:instrText xml:space="preserve"> HYPERLINK "http://dx.doi.org/10.1111/jvim.15428" </w:instrText>
      </w:r>
      <w:r>
        <w:rPr>
          <w:rStyle w:val="Hyperlink"/>
        </w:rPr>
      </w:r>
      <w:r>
        <w:rPr>
          <w:rStyle w:val="Hyperlink"/>
        </w:rPr>
        <w:fldChar w:fldCharType="separate"/>
      </w:r>
      <w:pPr>
        <w:pStyle w:val="Normal"/>
      </w:pPr>
      <w:r>
        <w:rPr>
          <w:rStyle w:val="Hyperlink"/>
        </w:rPr>
        <w:t xml:space="preserve">http://dx.doi.org/10.1111/jvim.15428</w:t>
      </w:r>
      <w:r>
        <w:rPr>
          <w:rStyle w:val="Hyperlink"/>
        </w:rPr>
        <w:fldChar w:fldCharType="end"/>
      </w:r>
    </w:p>
    <w:p>
      <w:pPr>
        <w:pStyle w:val="Normal"/>
      </w:pPr>
      <w:r>
        <w:rPr>
          <w:color w:val="323232"/>
        </w:rPr>
        <w:t xml:space="preserve">————————</w:t>
      </w:r>
    </w:p>
    <w:p>
      <w:pPr>
        <w:pStyle w:val="Heading4"/>
      </w:pPr>
      <w:r>
        <w:t xml:space="preserve">Amino acid status in dogs with protein-losing nephropathy.</w:t>
      </w:r>
    </w:p>
    <w:p/>
    <w:p>
      <w:pPr>
        <w:pStyle w:val="Normal"/>
      </w:pPr>
      <w:r>
        <w:rPr>
          <w:color w:val="323232"/>
        </w:rPr>
        <w:t xml:space="preserve">Valerie J Parker, Andrea J Fascetti, and Brett G Klamer.</w:t>
      </w:r>
    </w:p>
    <w:p/>
    <w:p>
      <w:pPr>
        <w:pStyle w:val="Normal"/>
      </w:pPr>
      <w:r>
        <w:rPr>
          <w:color w:val="323232"/>
        </w:rPr>
        <w:t xml:space="preserve">BACKGROUND:Proteinuria in dogs with kidney disease can contribute to protein-energy wasting and malnutrition. Little is known about amino acid (AA) status in dogs with protein-losing nephropathy (PLN).</w:t>
      </w:r>
    </w:p>
    <w:p/>
    <w:p>
      <w:pPr>
        <w:pStyle w:val="Normal"/>
      </w:pPr>
      <w:r>
        <w:rPr>
          <w:color w:val="323232"/>
        </w:rPr>
        <w:t xml:space="preserve">OBJECTIVES:The purpose of our study was to further elucidate AA status in PLN dogs, with the hypothesis that PLN dogs would have altered AA status as compared to healthy dogs.</w:t>
      </w:r>
    </w:p>
    <w:p/>
    <w:p>
      <w:pPr>
        <w:pStyle w:val="Normal"/>
      </w:pPr>
      <w:r>
        <w:rPr>
          <w:color w:val="323232"/>
        </w:rPr>
        <w:t xml:space="preserve">ANIMALS:Thirty client-owned PLN dogs were compared to 10 healthy control dogs.</w:t>
      </w:r>
    </w:p>
    <w:p/>
    <w:p>
      <w:pPr>
        <w:pStyle w:val="Normal"/>
      </w:pPr>
      <w:r>
        <w:rPr>
          <w:color w:val="323232"/>
        </w:rPr>
        <w:t xml:space="preserve">METHODS:Prospective observational study. Dogs with PLN that were presented to the teaching hospital were enrolled. Plasma AA profiles were measured using an automated high-performance liquid chromatography AA analyzer.</w:t>
      </w:r>
    </w:p>
    <w:p/>
    <w:p>
      <w:pPr>
        <w:pStyle w:val="Normal"/>
      </w:pPr>
      <w:r>
        <w:rPr>
          <w:color w:val="323232"/>
        </w:rPr>
        <w:t xml:space="preserve">RESULTS:Compared to control dogs, PLN dogs had significantly lower concentrations of leucine, threonine, histidine, glycine, proline, asparagine, tyrosine, o-hydroxyproline, and serine, as well as sums of both essential and nonessential AA (P</w:t>
      </w:r>
      <w:r>
        <w:rPr>
          <w:color w:val="323232"/>
        </w:rPr>
        <w:t xml:space="preserve"> </w:t>
      </w:r>
      <w:r>
        <w:rPr>
          <w:color w:val="323232"/>
        </w:rPr>
        <w:t xml:space="preserve">&lt;</w:t>
      </w:r>
      <w:r>
        <w:rPr>
          <w:color w:val="323232"/>
        </w:rPr>
        <w:t xml:space="preserve"> </w:t>
      </w:r>
      <w:r>
        <w:rPr>
          <w:color w:val="323232"/>
        </w:rPr>
        <w:t xml:space="preserve">.05). Dogs with PLN had significantly lower ratios of tyrosine-to-phenylalanine and glycine-to-serine (P</w:t>
      </w:r>
      <w:r>
        <w:rPr>
          <w:color w:val="323232"/>
        </w:rPr>
        <w:t xml:space="preserve"> </w:t>
      </w:r>
      <w:r>
        <w:rPr>
          <w:color w:val="323232"/>
        </w:rPr>
        <w:t xml:space="preserve">&lt;</w:t>
      </w:r>
      <w:r>
        <w:rPr>
          <w:color w:val="323232"/>
        </w:rPr>
        <w:t xml:space="preserve"> </w:t>
      </w:r>
      <w:r>
        <w:rPr>
          <w:color w:val="323232"/>
        </w:rPr>
        <w:t xml:space="preserve">.05), and a significantly greater ratio of valine-to-glycine (P</w:t>
      </w:r>
      <w:r>
        <w:rPr>
          <w:color w:val="323232"/>
        </w:rPr>
        <w:t xml:space="preserve"> </w:t>
      </w:r>
      <w:r>
        <w:rPr>
          <w:color w:val="323232"/>
        </w:rPr>
        <w:t xml:space="preserve">&lt;</w:t>
      </w:r>
      <w:r>
        <w:rPr>
          <w:color w:val="323232"/>
        </w:rPr>
        <w:t xml:space="preserve"> </w:t>
      </w:r>
      <w:r>
        <w:rPr>
          <w:color w:val="323232"/>
        </w:rPr>
        <w:t xml:space="preserve">.05).</w:t>
      </w:r>
    </w:p>
    <w:p/>
    <w:p>
      <w:pPr>
        <w:pStyle w:val="Normal"/>
      </w:pPr>
      <w:r>
        <w:rPr>
          <w:color w:val="323232"/>
        </w:rPr>
        <w:t xml:space="preserve">CONCLUSIONS AND CLINICAL IMPORTANCE:Dogs with PLN have altered AA status compared to healthy dogs. These findings could have therapeutic implications in determining optimal management of PLN dogs, such as providing AA supplementation along with other standard treatment.</w:t>
      </w:r>
    </w:p>
    <w:p/>
    <w:p>
      <w:pPr>
        <w:pStyle w:val="Normal"/>
      </w:pPr>
      <w:r>
        <w:rPr>
          <w:color w:val="323232"/>
        </w:rPr>
        <w:t xml:space="preserve">J Vet Intern Med, 2019 vol. 33 (2) pp. 680-685.</w:t>
      </w:r>
    </w:p>
    <w:p>
      <w:r>
        <w:rPr>
          <w:rStyle w:val="Hyperlink"/>
        </w:rPr>
        <w:fldChar w:fldCharType="begin"/>
      </w:r>
      <w:r>
        <w:rPr>
          <w:rStyle w:val="Hyperlink"/>
        </w:rPr>
        <w:instrText xml:space="preserve"> HYPERLINK "http://dx.doi.org/10.1111/jvim.15436" </w:instrText>
      </w:r>
      <w:r>
        <w:rPr>
          <w:rStyle w:val="Hyperlink"/>
        </w:rPr>
      </w:r>
      <w:r>
        <w:rPr>
          <w:rStyle w:val="Hyperlink"/>
        </w:rPr>
        <w:fldChar w:fldCharType="separate"/>
      </w:r>
      <w:pPr>
        <w:pStyle w:val="Normal"/>
      </w:pPr>
      <w:r>
        <w:rPr>
          <w:rStyle w:val="Hyperlink"/>
        </w:rPr>
        <w:t xml:space="preserve">http://dx.doi.org/10.1111/jvim.15436</w:t>
      </w:r>
      <w:r>
        <w:rPr>
          <w:rStyle w:val="Hyperlink"/>
        </w:rPr>
        <w:fldChar w:fldCharType="end"/>
      </w:r>
    </w:p>
    <w:p>
      <w:pPr>
        <w:pStyle w:val="Normal"/>
      </w:pPr>
      <w:r>
        <w:rPr>
          <w:color w:val="323232"/>
        </w:rPr>
        <w:t xml:space="preserve">————————</w:t>
      </w:r>
    </w:p>
    <w:p>
      <w:pPr>
        <w:pStyle w:val="Heading4"/>
      </w:pPr>
      <w:r>
        <w:t xml:space="preserve">Seizure-precipitating factors in dogs with idiopathic epilepsy.</w:t>
      </w:r>
    </w:p>
    <w:p/>
    <w:p>
      <w:pPr>
        <w:pStyle w:val="Normal"/>
      </w:pPr>
      <w:r>
        <w:rPr>
          <w:color w:val="323232"/>
        </w:rPr>
        <w:t xml:space="preserve">Johanna A Forsgård, Liisa Metsähonkala, Anna Mariam Kiviranta, Sigitas Cizinauskas, Jouni J T Junnila, Outi Laitinen Vapaavuori, and Tarja S Jokinen.</w:t>
      </w:r>
    </w:p>
    <w:p/>
    <w:p>
      <w:pPr>
        <w:pStyle w:val="Normal"/>
      </w:pPr>
      <w:r>
        <w:rPr>
          <w:color w:val="323232"/>
        </w:rPr>
        <w:t xml:space="preserve">BACKGROUND:Stress, sleep deprivation, and infectious diseases are important seizure-precipitating factors in human epilepsy patients. However, these factors have not been thoroughly studied in epileptic dogs.</w:t>
      </w:r>
    </w:p>
    <w:p/>
    <w:p>
      <w:pPr>
        <w:pStyle w:val="Normal"/>
      </w:pPr>
      <w:r>
        <w:rPr>
          <w:color w:val="323232"/>
        </w:rPr>
        <w:t xml:space="preserve">OBJECTIVE:Seizure-precipitating factors are common in dogs with idiopathic epilepsy and the occurrence of these factors associate with the dogs' signalment, personality, and epilepsy-related factors.</w:t>
      </w:r>
    </w:p>
    <w:p/>
    <w:p>
      <w:pPr>
        <w:pStyle w:val="Normal"/>
      </w:pPr>
      <w:r>
        <w:rPr>
          <w:color w:val="323232"/>
        </w:rPr>
        <w:t xml:space="preserve">ANIMALS:Fifty dogs with diagnosed idiopathic epilepsy from the hospital populations of University Veterinary Teaching Hospital of University of Helsinki and Referral Animal Hospital Aisti.</w:t>
      </w:r>
    </w:p>
    <w:p/>
    <w:p>
      <w:pPr>
        <w:pStyle w:val="Normal"/>
      </w:pPr>
      <w:r>
        <w:rPr>
          <w:color w:val="323232"/>
        </w:rPr>
        <w:t xml:space="preserve">METHODS:In a retrospective cross-sectional observational study, owners were interviewed about their dogs' possible seizure-precipitating factors according to a predefined questionnaire. The dogs were identified and selected by searching the medical records of the participating animal hospitals.</w:t>
      </w:r>
    </w:p>
    <w:p/>
    <w:p>
      <w:pPr>
        <w:pStyle w:val="Normal"/>
      </w:pPr>
      <w:r>
        <w:rPr>
          <w:color w:val="323232"/>
        </w:rPr>
        <w:t xml:space="preserve">RESULTS:The prevalence of seizure-precipitating factors in the study population was 74% (37/50). The most frequently reported factors included stress-related situations, sleep deprivation, weather, and hormonal factors. In dogs with focal onset seizures, the number of precipitating factors was 1.9 (95% CI 1.1-3.4) times higher compared to dogs with generalized seizures.</w:t>
      </w:r>
    </w:p>
    <w:p/>
    <w:p>
      <w:pPr>
        <w:pStyle w:val="Normal"/>
      </w:pPr>
      <w:r>
        <w:rPr>
          <w:color w:val="323232"/>
        </w:rPr>
        <w:t xml:space="preserve">CONCLUSIONS AND CLINICAL IMPORTANCE:Seizure-precipitating factors are common in dogs with idiopathic epilepsy, and the nature of these factors is consistent with those of human patients. Aside from antiepileptic medication, acknowledging and avoiding seizure-precipitating factors could help veterinarians achieve better treatment outcomes.</w:t>
      </w:r>
    </w:p>
    <w:p/>
    <w:p>
      <w:pPr>
        <w:pStyle w:val="Normal"/>
      </w:pPr>
      <w:r>
        <w:rPr>
          <w:color w:val="323232"/>
        </w:rPr>
        <w:t xml:space="preserve">J Vet Intern Med, 2019 vol. 33 (2) pp. 701-707.</w:t>
      </w:r>
    </w:p>
    <w:p>
      <w:r>
        <w:rPr>
          <w:rStyle w:val="Hyperlink"/>
        </w:rPr>
        <w:fldChar w:fldCharType="begin"/>
      </w:r>
      <w:r>
        <w:rPr>
          <w:rStyle w:val="Hyperlink"/>
        </w:rPr>
        <w:instrText xml:space="preserve"> HYPERLINK "http://eutils.ncbi.nlm.nih.gov/entrez/eutils/elink.fcgi?dbfrom=pubmed&amp;id=30576009&amp;retmode=ref&amp;cmd=prlinks"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http://eutils.ncbi.nlm.nih.gov/entrez/eutils/elink.fcgi?dbfrom=pubmed&amp;id=30576009&amp;retmode=ref&amp;cmd=prlinks</w:t>
      </w:r>
      <w:r>
        <w:rPr>
          <w:rStyle w:val="Hyperlink"/>
        </w:rPr>
        <w:fldChar w:fldCharType="end"/>
      </w:r>
    </w:p>
    <w:p>
      <w:pPr>
        <w:pStyle w:val="Normal"/>
      </w:pPr>
      <w:r>
        <w:rPr>
          <w:color w:val="323232"/>
        </w:rPr>
        <w:t xml:space="preserve">————————</w:t>
      </w:r>
    </w:p>
    <w:p>
      <w:pPr>
        <w:pStyle w:val="Heading4"/>
      </w:pPr>
      <w:r>
        <w:t xml:space="preserve">Intracranial pressure monitoring in normal dogs using subdural and intraparenchymal miniature strain-gauge transducers.</w:t>
      </w:r>
    </w:p>
    <w:p/>
    <w:p>
      <w:pPr>
        <w:pStyle w:val="Normal"/>
      </w:pPr>
      <w:r>
        <w:rPr>
          <w:color w:val="323232"/>
        </w:rPr>
        <w:t xml:space="preserve">Beverly K Sturges, Peter J Dickinson, Linda D Tripp, Irina Udaltsova, and Richard A LeCouteur.</w:t>
      </w:r>
    </w:p>
    <w:p/>
    <w:p>
      <w:pPr>
        <w:pStyle w:val="Normal"/>
      </w:pPr>
      <w:r>
        <w:rPr>
          <w:color w:val="323232"/>
        </w:rPr>
        <w:t xml:space="preserve">BACKGROUND:Monitoring of intracranial pressure (ICP) is a critical component in the management of intracranial hypertension. Safety, efficacy, and optimal location of microsensor devices have not been defined in dogs.</w:t>
      </w:r>
    </w:p>
    <w:p/>
    <w:p>
      <w:pPr>
        <w:pStyle w:val="Normal"/>
      </w:pPr>
      <w:r>
        <w:rPr>
          <w:color w:val="323232"/>
        </w:rPr>
        <w:t xml:space="preserve">HYPOTHESIS/OBJECTIVE:Assessment of ICP using a microsensor transducer is feasible in anesthetized and conscious animals and is independent of transducer location. Intraparenchymal transducer placement is associated with more adverse effects.</w:t>
      </w:r>
    </w:p>
    <w:p/>
    <w:p>
      <w:pPr>
        <w:pStyle w:val="Normal"/>
      </w:pPr>
      <w:r>
        <w:rPr>
          <w:color w:val="323232"/>
        </w:rPr>
        <w:t xml:space="preserve">ANIMALS:Seven adult, bred-for-research dogs.</w:t>
      </w:r>
    </w:p>
    <w:p/>
    <w:p>
      <w:pPr>
        <w:pStyle w:val="Normal"/>
      </w:pPr>
      <w:r>
        <w:rPr>
          <w:color w:val="323232"/>
        </w:rPr>
        <w:t xml:space="preserve">METHODS:In a prospective investigational study, microsensor ICP transducers were inserted into subdural and intraparenchymal locations at defined rostral or caudal locations within the rostrotentorial compartment under general anesthesia. Mean arterial pressure and ICP were measured continuously during physiological maneuvers, and for 20</w:t>
      </w:r>
      <w:r>
        <w:rPr>
          <w:color w:val="323232"/>
        </w:rPr>
        <w:t xml:space="preserve"> </w:t>
      </w:r>
      <w:r>
        <w:rPr>
          <w:color w:val="323232"/>
        </w:rPr>
        <w:t xml:space="preserve">hours after anesthesia.</w:t>
      </w:r>
    </w:p>
    <w:p/>
    <w:p>
      <w:pPr>
        <w:pStyle w:val="Normal"/>
      </w:pPr>
      <w:r>
        <w:rPr>
          <w:color w:val="323232"/>
        </w:rPr>
        <w:t xml:space="preserve">RESULTS:Baseline mean ± SD values for ICP and cerebral perfusion pressure were 7.2</w:t>
      </w:r>
      <w:r>
        <w:rPr>
          <w:color w:val="323232"/>
        </w:rPr>
        <w:t xml:space="preserve"> </w:t>
      </w:r>
      <w:r>
        <w:rPr>
          <w:color w:val="323232"/>
        </w:rPr>
        <w:t xml:space="preserve">±</w:t>
      </w:r>
      <w:r>
        <w:rPr>
          <w:color w:val="323232"/>
        </w:rPr>
        <w:t xml:space="preserve"> </w:t>
      </w:r>
      <w:r>
        <w:rPr>
          <w:color w:val="323232"/>
        </w:rPr>
        <w:t xml:space="preserve">2.3 and 78.9</w:t>
      </w:r>
      <w:r>
        <w:rPr>
          <w:color w:val="323232"/>
        </w:rPr>
        <w:t xml:space="preserve"> </w:t>
      </w:r>
      <w:r>
        <w:rPr>
          <w:color w:val="323232"/>
        </w:rPr>
        <w:t xml:space="preserve">±</w:t>
      </w:r>
      <w:r>
        <w:rPr>
          <w:color w:val="323232"/>
        </w:rPr>
        <w:t xml:space="preserve"> </w:t>
      </w:r>
      <w:r>
        <w:rPr>
          <w:color w:val="323232"/>
        </w:rPr>
        <w:t xml:space="preserve">7.6 mm Hg, respectively. Catheter position did not have a significant effect on ICP measurements. There was significant variation from baseline ICP accompanying physiological maneuvers (P</w:t>
      </w:r>
      <w:r>
        <w:rPr>
          <w:color w:val="323232"/>
        </w:rPr>
        <w:t xml:space="preserve"> </w:t>
      </w:r>
      <w:r>
        <w:rPr>
          <w:color w:val="323232"/>
        </w:rPr>
        <w:t xml:space="preserve">&lt;</w:t>
      </w:r>
      <w:r>
        <w:rPr>
          <w:color w:val="323232"/>
        </w:rPr>
        <w:t xml:space="preserve"> </w:t>
      </w:r>
      <w:r>
        <w:rPr>
          <w:color w:val="323232"/>
        </w:rPr>
        <w:t xml:space="preserve">.001) and with normal activities, especially with changes in head position (P</w:t>
      </w:r>
      <w:r>
        <w:rPr>
          <w:color w:val="323232"/>
        </w:rPr>
        <w:t xml:space="preserve"> </w:t>
      </w:r>
      <w:r>
        <w:rPr>
          <w:color w:val="323232"/>
        </w:rPr>
        <w:t xml:space="preserve">&lt;</w:t>
      </w:r>
      <w:r>
        <w:rPr>
          <w:color w:val="323232"/>
        </w:rPr>
        <w:t xml:space="preserve"> </w:t>
      </w:r>
      <w:r>
        <w:rPr>
          <w:color w:val="323232"/>
        </w:rPr>
        <w:t xml:space="preserve">.001). Pathological sequelae were more evident after intraparenchymal versus subdural placement.</w:t>
      </w:r>
    </w:p>
    <w:p/>
    <w:p>
      <w:pPr>
        <w:pStyle w:val="Normal"/>
      </w:pPr>
      <w:r>
        <w:rPr>
          <w:color w:val="323232"/>
        </w:rPr>
        <w:t xml:space="preserve">CONCLUSIONS AND CLINICAL IMPORTANCE:Use of a microsensor ICP transducer was technically straightforward and provided ICP measurements within previously reported reference ranges. Results support the use of an accessible dorsal location and subdural positioning. Transient fluctuations in ICP are normal events in conscious dogs and large variations associated with head position should be accounted for when evaluating animals with intracranial hypertension.</w:t>
      </w:r>
    </w:p>
    <w:p/>
    <w:p>
      <w:pPr>
        <w:pStyle w:val="Normal"/>
      </w:pPr>
      <w:r>
        <w:rPr>
          <w:color w:val="323232"/>
        </w:rPr>
        <w:t xml:space="preserve">J Vet Intern Med, 2019 vol. 33 (2) pp. 708-716.</w:t>
      </w:r>
    </w:p>
    <w:p>
      <w:r>
        <w:rPr>
          <w:rStyle w:val="Hyperlink"/>
        </w:rPr>
        <w:fldChar w:fldCharType="begin"/>
      </w:r>
      <w:r>
        <w:rPr>
          <w:rStyle w:val="Hyperlink"/>
        </w:rPr>
        <w:instrText xml:space="preserve"> HYPERLINK "http://eutils.ncbi.nlm.nih.gov/entrez/eutils/elink.fcgi?dbfrom=pubmed&amp;id=30575120&amp;retmode=ref&amp;cmd=prlinks"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http://eutils.ncbi.nlm.nih.gov/entrez/eutils/elink.fcgi?dbfrom=pubmed&amp;id=30575120&amp;retmode=ref&amp;cmd=prlinks</w:t>
      </w:r>
      <w:r>
        <w:rPr>
          <w:rStyle w:val="Hyperlink"/>
        </w:rPr>
        <w:fldChar w:fldCharType="end"/>
      </w:r>
    </w:p>
    <w:p>
      <w:pPr>
        <w:pStyle w:val="Normal"/>
      </w:pPr>
      <w:r>
        <w:rPr>
          <w:color w:val="323232"/>
        </w:rPr>
        <w:t xml:space="preserve">————————</w:t>
      </w:r>
    </w:p>
    <w:p>
      <w:pPr>
        <w:pStyle w:val="Heading4"/>
      </w:pPr>
      <w:r>
        <w:t xml:space="preserve">Morphometric analysis of spinal cord termination in Cavalier King Charles Spaniels.</w:t>
      </w:r>
    </w:p>
    <w:p/>
    <w:p>
      <w:pPr>
        <w:pStyle w:val="Normal"/>
      </w:pPr>
      <w:r>
        <w:rPr>
          <w:color w:val="323232"/>
        </w:rPr>
        <w:t xml:space="preserve">Courtney R Sparks, Ian Robertson, and Natasha J Olby.</w:t>
      </w:r>
    </w:p>
    <w:p/>
    <w:p>
      <w:pPr>
        <w:pStyle w:val="Normal"/>
      </w:pPr>
      <w:r>
        <w:rPr>
          <w:color w:val="323232"/>
        </w:rPr>
        <w:t xml:space="preserve">BACKGROUND:There is an association between Chiari malformations, syringomyelia (CMSM) and tethered cord syndrome (TCS) in people, suggesting Cavalier King Charles Spaniels (CKCS) with CMSM could also have TCS. Currently there are no data on the position of the caudal spinal cord structures in CKCS.</w:t>
      </w:r>
    </w:p>
    <w:p/>
    <w:p>
      <w:pPr>
        <w:pStyle w:val="Normal"/>
      </w:pPr>
      <w:r>
        <w:rPr>
          <w:color w:val="323232"/>
        </w:rPr>
        <w:t xml:space="preserve">OBJECTIVE:To describe and compare location of spinal cord termination in CKCS with weight-matched controls and to examine the relationship between SM and spinal cord termination.</w:t>
      </w:r>
    </w:p>
    <w:p/>
    <w:p>
      <w:pPr>
        <w:pStyle w:val="Normal"/>
      </w:pPr>
      <w:r>
        <w:rPr>
          <w:color w:val="323232"/>
        </w:rPr>
        <w:t xml:space="preserve">ANIMALS:Thirty-nine CKCS and 33 controls with thoracolumbar MRIs; 34 of 39 CKCS also had cervical MRIs.</w:t>
      </w:r>
    </w:p>
    <w:p/>
    <w:p>
      <w:pPr>
        <w:pStyle w:val="Normal"/>
      </w:pPr>
      <w:r>
        <w:rPr>
          <w:color w:val="323232"/>
        </w:rPr>
        <w:t xml:space="preserve">METHODS:Blinded retrospective study. Spinal cord and dural sac termination were determined from T2-weighted sagittal and transverse images and half-Fourier acquisition single-shot turbo spin echo sequences. Intra-observer reliability was determined using kappa analysis. Presence of SM was compared with location of spinal cord and dural sac termination.</w:t>
      </w:r>
    </w:p>
    <w:p/>
    <w:p>
      <w:pPr>
        <w:pStyle w:val="Normal"/>
      </w:pPr>
      <w:r>
        <w:rPr>
          <w:color w:val="323232"/>
        </w:rPr>
        <w:t xml:space="preserve">RESULTS:Intra-observer reliability was moderate for identifying spinal cord termination (Kappa</w:t>
      </w:r>
      <w:r>
        <w:rPr>
          <w:color w:val="323232"/>
        </w:rPr>
        <w:t xml:space="preserve"> </w:t>
      </w:r>
      <w:r>
        <w:rPr>
          <w:color w:val="323232"/>
        </w:rPr>
        <w:t xml:space="preserve">= 0.6) and good for dural sac termination (Kappa</w:t>
      </w:r>
      <w:r>
        <w:rPr>
          <w:color w:val="323232"/>
        </w:rPr>
        <w:t xml:space="preserve"> </w:t>
      </w:r>
      <w:r>
        <w:rPr>
          <w:color w:val="323232"/>
        </w:rPr>
        <w:t xml:space="preserve">= 0.8). The spinal cord terminated at lumbar vertebra 6 (L6) in 1, 7 (L7) in 22, and sacrum in 16 CKCS versus 9 at L6, 23 at L7, 1 at sacrum in controls. Spinal cord (P &lt;</w:t>
      </w:r>
      <w:r>
        <w:rPr>
          <w:color w:val="323232"/>
        </w:rPr>
        <w:t xml:space="preserve"> </w:t>
      </w:r>
      <w:r>
        <w:rPr>
          <w:color w:val="323232"/>
        </w:rPr>
        <w:t xml:space="preserve">.001) and dural sac (P =</w:t>
      </w:r>
      <w:r>
        <w:rPr>
          <w:color w:val="323232"/>
        </w:rPr>
        <w:t xml:space="preserve"> </w:t>
      </w:r>
      <w:r>
        <w:rPr>
          <w:color w:val="323232"/>
        </w:rPr>
        <w:t xml:space="preserve">.002) termination were significantly more caudal in CKCS compared to controls. The presence of thoracolumbar SM was associated with more caudal dural sac termination in CKCS (P =</w:t>
      </w:r>
      <w:r>
        <w:rPr>
          <w:color w:val="323232"/>
        </w:rPr>
        <w:t xml:space="preserve"> </w:t>
      </w:r>
      <w:r>
        <w:rPr>
          <w:color w:val="323232"/>
        </w:rPr>
        <w:t xml:space="preserve">.03).</w:t>
      </w:r>
    </w:p>
    <w:p/>
    <w:p>
      <w:pPr>
        <w:pStyle w:val="Normal"/>
      </w:pPr>
      <w:r>
        <w:rPr>
          <w:color w:val="323232"/>
        </w:rPr>
        <w:t xml:space="preserve">CONCLUSIONS AND CLINICAL IMPORTANCE:The relationship between TL SM and possible spinal cord tethering because of a more caudal dural sac termination should be investigated.</w:t>
      </w:r>
    </w:p>
    <w:p/>
    <w:p>
      <w:pPr>
        <w:pStyle w:val="Normal"/>
      </w:pPr>
      <w:r>
        <w:rPr>
          <w:color w:val="323232"/>
        </w:rPr>
        <w:t xml:space="preserve">J Vet Intern Med, 2019 vol. 33 (2) pp. 717-725.</w:t>
      </w:r>
    </w:p>
    <w:p>
      <w:r>
        <w:rPr>
          <w:rStyle w:val="Hyperlink"/>
        </w:rPr>
        <w:fldChar w:fldCharType="begin"/>
      </w:r>
      <w:r>
        <w:rPr>
          <w:rStyle w:val="Hyperlink"/>
        </w:rPr>
        <w:instrText xml:space="preserve"> HYPERLINK "http://dx.doi.org/10.1111/jvim.15437" </w:instrText>
      </w:r>
      <w:r>
        <w:rPr>
          <w:rStyle w:val="Hyperlink"/>
        </w:rPr>
      </w:r>
      <w:r>
        <w:rPr>
          <w:rStyle w:val="Hyperlink"/>
        </w:rPr>
        <w:fldChar w:fldCharType="separate"/>
      </w:r>
      <w:pPr>
        <w:pStyle w:val="Normal"/>
      </w:pPr>
      <w:r>
        <w:rPr>
          <w:rStyle w:val="Hyperlink"/>
        </w:rPr>
        <w:t xml:space="preserve">http://dx.doi.org/10.1111/jvim.15437</w:t>
      </w:r>
      <w:r>
        <w:rPr>
          <w:rStyle w:val="Hyperlink"/>
        </w:rPr>
        <w:fldChar w:fldCharType="end"/>
      </w:r>
    </w:p>
    <w:p>
      <w:pPr>
        <w:pStyle w:val="Normal"/>
      </w:pPr>
      <w:r>
        <w:rPr>
          <w:color w:val="323232"/>
        </w:rPr>
        <w:t xml:space="preserve">————————</w:t>
      </w:r>
    </w:p>
    <w:p>
      <w:pPr>
        <w:pStyle w:val="Heading4"/>
      </w:pPr>
      <w:r>
        <w:t xml:space="preserve">Time course and prognostic value of serum GFAP, pNFH, and S100β concentrations in dogs with complete spinal cord injury because of intervertebral disc extrusion.</w:t>
      </w:r>
    </w:p>
    <w:p/>
    <w:p>
      <w:pPr>
        <w:pStyle w:val="Normal"/>
      </w:pPr>
      <w:r>
        <w:rPr>
          <w:color w:val="323232"/>
        </w:rPr>
        <w:t xml:space="preserve">Natasha J Olby, Ji-Hey Lim, Nikki Wagner, Natalia Zidan, Peter J Early, Christopher L Mariani, Karen R Munana, and Eric Laber.</w:t>
      </w:r>
    </w:p>
    <w:p/>
    <w:p>
      <w:pPr>
        <w:pStyle w:val="Normal"/>
      </w:pPr>
      <w:r>
        <w:rPr>
          <w:color w:val="323232"/>
        </w:rPr>
        <w:t xml:space="preserve">BACKGROUND:A noninvasive biomarker is needed to predict recovery from severe spinal cord injury (SCI) because of thoracolumbar intervertebral disc extrusion (TL-IVDE). Proteins released from neural and glial cells can be detected in the blood and show promise as prognostic tools, but their concentration is influenced by time after injury.</w:t>
      </w:r>
    </w:p>
    <w:p/>
    <w:p>
      <w:pPr>
        <w:pStyle w:val="Normal"/>
      </w:pPr>
      <w:r>
        <w:rPr>
          <w:color w:val="323232"/>
        </w:rPr>
        <w:t xml:space="preserve">HYPOTHESIS/OBJECTIVES:Serum concentrations of glial fibrillary acidic protein (GFAP), phosphorylated neurofilament heavy chain (pNFH), and S100β will follow different time courses; measurement of combinations of these proteins will predict outcome.</w:t>
      </w:r>
    </w:p>
    <w:p/>
    <w:p>
      <w:pPr>
        <w:pStyle w:val="Normal"/>
      </w:pPr>
      <w:r>
        <w:rPr>
          <w:color w:val="323232"/>
        </w:rPr>
        <w:t xml:space="preserve">ANIMALS:Thirty-one dogs with TL-IVDE causing paralysis with no pain perception.</w:t>
      </w:r>
    </w:p>
    <w:p/>
    <w:p>
      <w:pPr>
        <w:pStyle w:val="Normal"/>
      </w:pPr>
      <w:r>
        <w:rPr>
          <w:color w:val="323232"/>
        </w:rPr>
        <w:t xml:space="preserve">METHODS:Prospective study. Serum samples were taken at presentation and intervals over 56</w:t>
      </w:r>
      <w:r>
        <w:rPr>
          <w:color w:val="323232"/>
        </w:rPr>
        <w:t xml:space="preserve"> </w:t>
      </w:r>
      <w:r>
        <w:rPr>
          <w:color w:val="323232"/>
        </w:rPr>
        <w:t xml:space="preserve">days and banked at -80°C. Glial fibrillary acidic protein, pNFH, and S100β concentrations were measured using ELISA tests and plotted against time from onset of nonambulatory status. Outcome was established at 6 months. The association between biomarker concentration and outcome was examined using logistic regression, receiver operator characteristics curve analysis, and model development.</w:t>
      </w:r>
    </w:p>
    <w:p/>
    <w:p>
      <w:pPr>
        <w:pStyle w:val="Normal"/>
      </w:pPr>
      <w:r>
        <w:rPr>
          <w:color w:val="323232"/>
        </w:rPr>
        <w:t xml:space="preserve">RESULTS:Thirty-one dogs participated, 3/31 (10%) developed progressive myelomalacia and 19/31 (62%) recovered ambulation. Glial fibrillary acidic protein and S100β concentrations rose for the first 1 to 3 days, and were undetectable by 14 and 28</w:t>
      </w:r>
      <w:r>
        <w:rPr>
          <w:color w:val="323232"/>
        </w:rPr>
        <w:t xml:space="preserve"> </w:t>
      </w:r>
      <w:r>
        <w:rPr>
          <w:color w:val="323232"/>
        </w:rPr>
        <w:t xml:space="preserve">days, respectively. Phosphorylated neurofilament heavy chain concentrations peaked at 14</w:t>
      </w:r>
      <w:r>
        <w:rPr>
          <w:color w:val="323232"/>
        </w:rPr>
        <w:t xml:space="preserve"> </w:t>
      </w:r>
      <w:r>
        <w:rPr>
          <w:color w:val="323232"/>
        </w:rPr>
        <w:t xml:space="preserve">days and were detectable at 56</w:t>
      </w:r>
      <w:r>
        <w:rPr>
          <w:color w:val="323232"/>
        </w:rPr>
        <w:t xml:space="preserve"> </w:t>
      </w:r>
      <w:r>
        <w:rPr>
          <w:color w:val="323232"/>
        </w:rPr>
        <w:t xml:space="preserve">days. Glial fibrillary acidic protein concentrations in the first 72</w:t>
      </w:r>
      <w:r>
        <w:rPr>
          <w:color w:val="323232"/>
        </w:rPr>
        <w:t xml:space="preserve"> </w:t>
      </w:r>
      <w:r>
        <w:rPr>
          <w:color w:val="323232"/>
        </w:rPr>
        <w:t xml:space="preserve">hours after onset of nonambulatory status predicted recovery with an accuracy of 76.7%-89% depending on sample timing.</w:t>
      </w:r>
    </w:p>
    <w:p/>
    <w:p>
      <w:pPr>
        <w:pStyle w:val="Normal"/>
      </w:pPr>
      <w:r>
        <w:rPr>
          <w:color w:val="323232"/>
        </w:rPr>
        <w:t xml:space="preserve">CONCLUSIONS AND CLINICAL IMPORTANCE:Serum GFAP concentrations can be used to predict outcome in clinically complete SCI. A rapid inexpensive bedside test is needed.</w:t>
      </w:r>
    </w:p>
    <w:p/>
    <w:p>
      <w:pPr>
        <w:pStyle w:val="Normal"/>
      </w:pPr>
      <w:r>
        <w:rPr>
          <w:color w:val="323232"/>
        </w:rPr>
        <w:t xml:space="preserve">J Vet Intern Med, 2019 vol. 33 (2) pp. 726-734.</w:t>
      </w:r>
    </w:p>
    <w:p>
      <w:r>
        <w:rPr>
          <w:rStyle w:val="Hyperlink"/>
        </w:rPr>
        <w:fldChar w:fldCharType="begin"/>
      </w:r>
      <w:r>
        <w:rPr>
          <w:rStyle w:val="Hyperlink"/>
        </w:rPr>
        <w:instrText xml:space="preserve"> HYPERLINK "http://dx.doi.org/10.1111/jvim.15439" </w:instrText>
      </w:r>
      <w:r>
        <w:rPr>
          <w:rStyle w:val="Hyperlink"/>
        </w:rPr>
      </w:r>
      <w:r>
        <w:rPr>
          <w:rStyle w:val="Hyperlink"/>
        </w:rPr>
        <w:fldChar w:fldCharType="separate"/>
      </w:r>
      <w:pPr>
        <w:pStyle w:val="Normal"/>
      </w:pPr>
      <w:r>
        <w:rPr>
          <w:rStyle w:val="Hyperlink"/>
        </w:rPr>
        <w:t xml:space="preserve">http://dx.doi.org/10.1111/jvim.15439</w:t>
      </w:r>
      <w:r>
        <w:rPr>
          <w:rStyle w:val="Hyperlink"/>
        </w:rPr>
        <w:fldChar w:fldCharType="end"/>
      </w:r>
    </w:p>
    <w:p>
      <w:pPr>
        <w:pStyle w:val="Normal"/>
      </w:pPr>
      <w:r>
        <w:rPr>
          <w:color w:val="323232"/>
        </w:rPr>
        <w:t xml:space="preserve">————————</w:t>
      </w:r>
    </w:p>
    <w:p>
      <w:pPr>
        <w:pStyle w:val="Heading4"/>
      </w:pPr>
      <w:r>
        <w:t xml:space="preserve">Clinical findings and outcome of dogs with unilateral masticatory muscle atrophy.</w:t>
      </w:r>
    </w:p>
    <w:p/>
    <w:p>
      <w:pPr>
        <w:pStyle w:val="Normal"/>
      </w:pPr>
      <w:r>
        <w:rPr>
          <w:color w:val="323232"/>
        </w:rPr>
        <w:t xml:space="preserve">Emily Jayne Milodowski, Pablo Amengual-Batle, Elsa Beltran, Rodrigo Gutierrez-Quintana, and Steven De Decker.</w:t>
      </w:r>
    </w:p>
    <w:p/>
    <w:p>
      <w:pPr>
        <w:pStyle w:val="Normal"/>
      </w:pPr>
      <w:r>
        <w:rPr>
          <w:color w:val="323232"/>
        </w:rPr>
        <w:t xml:space="preserve">BACKGROUND:Little is known about the spectrum of underlying disorders in dogs with unilateral masticatory muscle (MM) atrophy.</w:t>
      </w:r>
    </w:p>
    <w:p/>
    <w:p>
      <w:pPr>
        <w:pStyle w:val="Normal"/>
      </w:pPr>
      <w:r>
        <w:rPr>
          <w:color w:val="323232"/>
        </w:rPr>
        <w:t xml:space="preserve">OBJECTIVES:To evaluate the clinical presentation, magnetic resonance imaging (MRI) findings, and outcome of dogs with unilateral MM atrophy.</w:t>
      </w:r>
    </w:p>
    <w:p/>
    <w:p>
      <w:pPr>
        <w:pStyle w:val="Normal"/>
      </w:pPr>
      <w:r>
        <w:rPr>
          <w:color w:val="323232"/>
        </w:rPr>
        <w:t xml:space="preserve">ANIMALS:Sixty-three client-owned dogs.</w:t>
      </w:r>
    </w:p>
    <w:p/>
    <w:p>
      <w:pPr>
        <w:pStyle w:val="Normal"/>
      </w:pPr>
      <w:r>
        <w:rPr>
          <w:color w:val="323232"/>
        </w:rPr>
        <w:t xml:space="preserve">METHODS:The medical database was retrospectively reviewed for dogs that underwent MRI for evaluation of unilateral MM atrophy. Imaging studies were reviewed and follow-up information was obtained from telephone interviews.</w:t>
      </w:r>
    </w:p>
    <w:p/>
    <w:p>
      <w:pPr>
        <w:pStyle w:val="Normal"/>
      </w:pPr>
      <w:r>
        <w:rPr>
          <w:color w:val="323232"/>
        </w:rPr>
        <w:t xml:space="preserve">RESULTS:Presumptive trigeminal nerve sheath tumor (pTNST) was diagnosed in 30 dogs (47.6%); survival time varied from 1 day to 21</w:t>
      </w:r>
      <w:r>
        <w:rPr>
          <w:color w:val="323232"/>
        </w:rPr>
        <w:t xml:space="preserve"> </w:t>
      </w:r>
      <w:r>
        <w:rPr>
          <w:color w:val="323232"/>
        </w:rPr>
        <w:t xml:space="preserve">months (median, 5 months). Other extra-axial mass lesions were observed in 13 dogs (20.6%); survival time varied from 6 days to 25</w:t>
      </w:r>
      <w:r>
        <w:rPr>
          <w:color w:val="323232"/>
        </w:rPr>
        <w:t xml:space="preserve"> </w:t>
      </w:r>
      <w:r>
        <w:rPr>
          <w:color w:val="323232"/>
        </w:rPr>
        <w:t xml:space="preserve">months (median, 2.5 months). In 18 dogs (28.6%), no abnormalities were observed on MRI; neurological signs only progressed in 1 dog. Diagnosis had a significant influence on the type of neurological abnormalities, with additional neurological deficits observed in most dogs with pTNST and in all dogs with other extra-axial mass lesions. Diagnosis had a significant effect on euthanasia at the time of diagnosis and likelihood of neurological deterioration. Dogs with mass lesions were more likely to be euthanized or experience neurological deterioration, whereas these outcomes occurred less often in dogs in which no causative lesion could be identified.</w:t>
      </w:r>
    </w:p>
    <w:p/>
    <w:p>
      <w:pPr>
        <w:pStyle w:val="Normal"/>
      </w:pPr>
      <w:r>
        <w:rPr>
          <w:color w:val="323232"/>
        </w:rPr>
        <w:t xml:space="preserve">CONCLUSIONS AND CLINICAL IMPORTANCE:Trigeminal nerve sheath tumors should not be considered the only cause of unilateral MM atrophy. Our results illustrate the importance of performing a neurological examination and MRI when evaluating dogs with unilateral MM atrophy.</w:t>
      </w:r>
    </w:p>
    <w:p/>
    <w:p>
      <w:pPr>
        <w:pStyle w:val="Normal"/>
      </w:pPr>
      <w:r>
        <w:rPr>
          <w:color w:val="323232"/>
        </w:rPr>
        <w:t xml:space="preserve">J Vet Intern Med, 2019 vol. 33 (2) pp. 735-742.</w:t>
      </w:r>
    </w:p>
    <w:p>
      <w:r>
        <w:rPr>
          <w:rStyle w:val="Hyperlink"/>
        </w:rPr>
        <w:fldChar w:fldCharType="begin"/>
      </w:r>
      <w:r>
        <w:rPr>
          <w:rStyle w:val="Hyperlink"/>
        </w:rPr>
        <w:instrText xml:space="preserve"> HYPERLINK "http://dx.doi.org/10.1111/jvim.15373" </w:instrText>
      </w:r>
      <w:r>
        <w:rPr>
          <w:rStyle w:val="Hyperlink"/>
        </w:rPr>
      </w:r>
      <w:r>
        <w:rPr>
          <w:rStyle w:val="Hyperlink"/>
        </w:rPr>
        <w:fldChar w:fldCharType="separate"/>
      </w:r>
      <w:pPr>
        <w:pStyle w:val="Normal"/>
      </w:pPr>
      <w:r>
        <w:rPr>
          <w:rStyle w:val="Hyperlink"/>
        </w:rPr>
        <w:t xml:space="preserve">http://dx.doi.org/10.1111/jvim.15373</w:t>
      </w:r>
      <w:r>
        <w:rPr>
          <w:rStyle w:val="Hyperlink"/>
        </w:rPr>
        <w:fldChar w:fldCharType="end"/>
      </w:r>
    </w:p>
    <w:p>
      <w:pPr>
        <w:pStyle w:val="Normal"/>
      </w:pPr>
      <w:r>
        <w:rPr>
          <w:color w:val="323232"/>
        </w:rPr>
        <w:t xml:space="preserve">————————</w:t>
      </w:r>
    </w:p>
    <w:p>
      <w:pPr>
        <w:pStyle w:val="Heading4"/>
      </w:pPr>
      <w:r>
        <w:t xml:space="preserve">Daily oral cyanocobalamin supplementation in Beagles with hereditary cobalamin malabsorption (Imerslund-Gräsbeck syndrome) maintains normal clinical and cellular cobalamin status.</w:t>
      </w:r>
    </w:p>
    <w:p/>
    <w:p>
      <w:pPr>
        <w:pStyle w:val="Normal"/>
      </w:pPr>
      <w:r>
        <w:rPr>
          <w:color w:val="323232"/>
        </w:rPr>
        <w:t xml:space="preserve">Peter H Kook and Martin Hersberger.</w:t>
      </w:r>
    </w:p>
    <w:p/>
    <w:p>
      <w:pPr>
        <w:pStyle w:val="Normal"/>
      </w:pPr>
      <w:r>
        <w:rPr>
          <w:color w:val="323232"/>
        </w:rPr>
        <w:t xml:space="preserve">BACKGROUND:Efficacy of PO cobalamin (Cbl) supplementation in dogs with hereditary Cbl malabsorption (Imerslund-Gräsbeck syndrome, IGS) is unknown.</w:t>
      </w:r>
    </w:p>
    <w:p/>
    <w:p>
      <w:pPr>
        <w:pStyle w:val="Normal"/>
      </w:pPr>
      <w:r>
        <w:rPr>
          <w:color w:val="323232"/>
        </w:rPr>
        <w:t xml:space="preserve">OBJECTIVES:To evaluate PO Cbl supplementation in Beagles with IGS previously treated parenterally. We hypothesized that 1</w:t>
      </w:r>
      <w:r>
        <w:rPr>
          <w:color w:val="323232"/>
        </w:rPr>
        <w:t xml:space="preserve"> </w:t>
      </w:r>
      <w:r>
        <w:rPr>
          <w:color w:val="323232"/>
        </w:rPr>
        <w:t xml:space="preserve">mg cyano-Cbl daily PO would maintain clinical and metabolic remission.</w:t>
      </w:r>
    </w:p>
    <w:p/>
    <w:p>
      <w:pPr>
        <w:pStyle w:val="Normal"/>
      </w:pPr>
      <w:r>
        <w:rPr>
          <w:color w:val="323232"/>
        </w:rPr>
        <w:t xml:space="preserve">ANIMALS:Three client-owned Beagles with IGS and 48 healthy control dogs.</w:t>
      </w:r>
    </w:p>
    <w:p/>
    <w:p>
      <w:pPr>
        <w:pStyle w:val="Normal"/>
      </w:pPr>
      <w:r>
        <w:rPr>
          <w:color w:val="323232"/>
        </w:rPr>
        <w:t xml:space="preserve">METHODS:Prospective study. Daily PO cyanocobalamin (cyano-Cbl; 1</w:t>
      </w:r>
      <w:r>
        <w:rPr>
          <w:color w:val="323232"/>
        </w:rPr>
        <w:t xml:space="preserve"> </w:t>
      </w:r>
      <w:r>
        <w:rPr>
          <w:color w:val="323232"/>
        </w:rPr>
        <w:t xml:space="preserve">mg) supplementation was monitored for 13 (2 dogs) and 8</w:t>
      </w:r>
      <w:r>
        <w:rPr>
          <w:color w:val="323232"/>
        </w:rPr>
        <w:t xml:space="preserve"> </w:t>
      </w:r>
      <w:r>
        <w:rPr>
          <w:color w:val="323232"/>
        </w:rPr>
        <w:t xml:space="preserve">months (1 dog). Health status was assessed by owner observations. Methylmalonic acid (MMA)-to-creatinine concentrations were measured using an ultra-performance liquid chromatography-tandem mass spectrometry (UPLC-TMS) method on urine samples collected monthly. Concurrent measurements of serum MMA concentration (n</w:t>
      </w:r>
      <w:r>
        <w:rPr>
          <w:color w:val="323232"/>
        </w:rPr>
        <w:t xml:space="preserve"> </w:t>
      </w:r>
      <w:r>
        <w:rPr>
          <w:color w:val="323232"/>
        </w:rPr>
        <w:t xml:space="preserve">=</w:t>
      </w:r>
      <w:r>
        <w:rPr>
          <w:color w:val="323232"/>
        </w:rPr>
        <w:t xml:space="preserve"> </w:t>
      </w:r>
      <w:r>
        <w:rPr>
          <w:color w:val="323232"/>
        </w:rPr>
        <w:t xml:space="preserve">7; UPLC-TMS) were available for 1 dog.</w:t>
      </w:r>
    </w:p>
    <w:p/>
    <w:p>
      <w:pPr>
        <w:pStyle w:val="Normal"/>
      </w:pPr>
      <w:r>
        <w:rPr>
          <w:color w:val="323232"/>
        </w:rPr>
        <w:t xml:space="preserve">RESULTS:All dogs remained in excellent health during PO supplementation. Urine MMA remained consistently low in 2 dogs (median, 2.5</w:t>
      </w:r>
      <w:r>
        <w:rPr>
          <w:color w:val="323232"/>
        </w:rPr>
        <w:t xml:space="preserve"> </w:t>
      </w:r>
      <w:r>
        <w:rPr>
          <w:color w:val="323232"/>
        </w:rPr>
        <w:t xml:space="preserve">mmol/ mol creatinine; range, 1.2-9; healthy dogs [n</w:t>
      </w:r>
      <w:r>
        <w:rPr>
          <w:color w:val="323232"/>
        </w:rPr>
        <w:t xml:space="preserve"> </w:t>
      </w:r>
      <w:r>
        <w:rPr>
          <w:color w:val="323232"/>
        </w:rPr>
        <w:t xml:space="preserve">=</w:t>
      </w:r>
      <w:r>
        <w:rPr>
          <w:color w:val="323232"/>
        </w:rPr>
        <w:t xml:space="preserve"> </w:t>
      </w:r>
      <w:r>
        <w:rPr>
          <w:color w:val="323232"/>
        </w:rPr>
        <w:t xml:space="preserve">30], median, 2.9</w:t>
      </w:r>
      <w:r>
        <w:rPr>
          <w:color w:val="323232"/>
        </w:rPr>
        <w:t xml:space="preserve"> </w:t>
      </w:r>
      <w:r>
        <w:rPr>
          <w:color w:val="323232"/>
        </w:rPr>
        <w:t xml:space="preserve">mmol/ mol creatinine; range, 1.3-76.5). Urine MMA ranged from 38.9-84.9</w:t>
      </w:r>
      <w:r>
        <w:rPr>
          <w:color w:val="323232"/>
        </w:rPr>
        <w:t xml:space="preserve"> </w:t>
      </w:r>
      <w:r>
        <w:rPr>
          <w:color w:val="323232"/>
        </w:rPr>
        <w:t xml:space="preserve">mmol/ mol creatinine during the first 6</w:t>
      </w:r>
      <w:r>
        <w:rPr>
          <w:color w:val="323232"/>
        </w:rPr>
        <w:t xml:space="preserve"> </w:t>
      </w:r>
      <w:r>
        <w:rPr>
          <w:color w:val="323232"/>
        </w:rPr>
        <w:t xml:space="preserve">months in 1 dog already known to excrete comparable amounts when supplemented parenterally. Brief antibiotic treatment for an unrelated condition after 6</w:t>
      </w:r>
      <w:r>
        <w:rPr>
          <w:color w:val="323232"/>
        </w:rPr>
        <w:t xml:space="preserve"> </w:t>
      </w:r>
      <w:r>
        <w:rPr>
          <w:color w:val="323232"/>
        </w:rPr>
        <w:t xml:space="preserve">months resulted in low urine MMA (median, 2.8</w:t>
      </w:r>
      <w:r>
        <w:rPr>
          <w:color w:val="323232"/>
        </w:rPr>
        <w:t xml:space="preserve"> </w:t>
      </w:r>
      <w:r>
        <w:rPr>
          <w:color w:val="323232"/>
        </w:rPr>
        <w:t xml:space="preserve">mmol/ mol creatinine; range, 1.9-4.8) for the next 7</w:t>
      </w:r>
      <w:r>
        <w:rPr>
          <w:color w:val="323232"/>
        </w:rPr>
        <w:t xml:space="preserve"> </w:t>
      </w:r>
      <w:r>
        <w:rPr>
          <w:color w:val="323232"/>
        </w:rPr>
        <w:t xml:space="preserve">months. All concurrent serum MMA concentrations (median, 651</w:t>
      </w:r>
      <w:r>
        <w:rPr>
          <w:color w:val="323232"/>
        </w:rPr>
        <w:t xml:space="preserve"> </w:t>
      </w:r>
      <w:r>
        <w:rPr>
          <w:color w:val="323232"/>
        </w:rPr>
        <w:t xml:space="preserve">nmol/ L; range, 399-919) before and after month 6 were within the established reference interval (393-1476</w:t>
      </w:r>
      <w:r>
        <w:rPr>
          <w:color w:val="323232"/>
        </w:rPr>
        <w:t xml:space="preserve"> </w:t>
      </w:r>
      <w:r>
        <w:rPr>
          <w:color w:val="323232"/>
        </w:rPr>
        <w:t xml:space="preserve">nmol/ L; n</w:t>
      </w:r>
      <w:r>
        <w:rPr>
          <w:color w:val="323232"/>
        </w:rPr>
        <w:t xml:space="preserve"> </w:t>
      </w:r>
      <w:r>
        <w:rPr>
          <w:color w:val="323232"/>
        </w:rPr>
        <w:t xml:space="preserve">=</w:t>
      </w:r>
      <w:r>
        <w:rPr>
          <w:color w:val="323232"/>
        </w:rPr>
        <w:t xml:space="preserve"> </w:t>
      </w:r>
      <w:r>
        <w:rPr>
          <w:color w:val="323232"/>
        </w:rPr>
        <w:t xml:space="preserve">48).</w:t>
      </w:r>
    </w:p>
    <w:p/>
    <w:p>
      <w:pPr>
        <w:pStyle w:val="Normal"/>
      </w:pPr>
      <w:r>
        <w:rPr>
          <w:color w:val="323232"/>
        </w:rPr>
        <w:t xml:space="preserve">CONCLUSIONS AND CLINICAL IMPORTANCE:One milligram of cyano-Cbl daily PO appears efficacious for maintaining normal clinical status and normal cellular markers of Cbl metabolism in Beagles with IGS.</w:t>
      </w:r>
    </w:p>
    <w:p/>
    <w:p>
      <w:pPr>
        <w:pStyle w:val="Normal"/>
      </w:pPr>
      <w:r>
        <w:rPr>
          <w:color w:val="323232"/>
        </w:rPr>
        <w:t xml:space="preserve">J Vet Intern Med, 2019 vol. 33 (2) pp. 751-757.</w:t>
      </w:r>
    </w:p>
    <w:p>
      <w:r>
        <w:rPr>
          <w:rStyle w:val="Hyperlink"/>
        </w:rPr>
        <w:fldChar w:fldCharType="begin"/>
      </w:r>
      <w:r>
        <w:rPr>
          <w:rStyle w:val="Hyperlink"/>
        </w:rPr>
        <w:instrText xml:space="preserve"> HYPERLINK "http://dx.doi.org/10.1111/jvim.15380" </w:instrText>
      </w:r>
      <w:r>
        <w:rPr>
          <w:rStyle w:val="Hyperlink"/>
        </w:rPr>
      </w:r>
      <w:r>
        <w:rPr>
          <w:rStyle w:val="Hyperlink"/>
        </w:rPr>
        <w:fldChar w:fldCharType="separate"/>
      </w:r>
      <w:pPr>
        <w:pStyle w:val="Normal"/>
      </w:pPr>
      <w:r>
        <w:rPr>
          <w:rStyle w:val="Hyperlink"/>
        </w:rPr>
        <w:t xml:space="preserve">http://dx.doi.org/10.1111/jvim.15380</w:t>
      </w:r>
      <w:r>
        <w:rPr>
          <w:rStyle w:val="Hyperlink"/>
        </w:rPr>
        <w:fldChar w:fldCharType="end"/>
      </w:r>
    </w:p>
    <w:p>
      <w:pPr>
        <w:pStyle w:val="Normal"/>
      </w:pPr>
      <w:r>
        <w:rPr>
          <w:color w:val="323232"/>
        </w:rPr>
        <w:t xml:space="preserve">————————</w:t>
      </w:r>
    </w:p>
    <w:p>
      <w:pPr>
        <w:pStyle w:val="Heading4"/>
      </w:pPr>
      <w:r>
        <w:t xml:space="preserve">Vitamin D metabolism in dogs with and without hypercalciuric calcium oxalate urolithiasis.</w:t>
      </w:r>
    </w:p>
    <w:p/>
    <w:p>
      <w:pPr>
        <w:pStyle w:val="Normal"/>
      </w:pPr>
      <w:r>
        <w:rPr>
          <w:color w:val="323232"/>
        </w:rPr>
        <w:t xml:space="preserve">Elizabeth M Groth, Jody P Lulich, Dennis J Chew, Valerie J Parker, and Eva Furrow.</w:t>
      </w:r>
    </w:p>
    <w:p/>
    <w:p>
      <w:pPr>
        <w:pStyle w:val="Normal"/>
      </w:pPr>
      <w:r>
        <w:rPr>
          <w:color w:val="323232"/>
        </w:rPr>
        <w:t xml:space="preserve">BACKGROUND:There are abnormalities in vitamin D metabolism in people with calcium nephrolithiasis, but limited data are available on vitamin D status in dogs with calcium oxalate (CaOx) urolithiasis.</w:t>
      </w:r>
    </w:p>
    <w:p/>
    <w:p>
      <w:pPr>
        <w:pStyle w:val="Normal"/>
      </w:pPr>
      <w:r>
        <w:rPr>
          <w:color w:val="323232"/>
        </w:rPr>
        <w:t xml:space="preserve">OBJECTIVE:To compare serum concentrations of vitamin D metabolites in dogs with and without hypercalciuric CaOx urolithiasis.</w:t>
      </w:r>
    </w:p>
    <w:p/>
    <w:p>
      <w:pPr>
        <w:pStyle w:val="Normal"/>
      </w:pPr>
      <w:r>
        <w:rPr>
          <w:color w:val="323232"/>
        </w:rPr>
        <w:t xml:space="preserve">ANIMALS:Thirty-eight dogs with (n</w:t>
      </w:r>
      <w:r>
        <w:rPr>
          <w:color w:val="323232"/>
        </w:rPr>
        <w:t xml:space="preserve"> </w:t>
      </w:r>
      <w:r>
        <w:rPr>
          <w:color w:val="323232"/>
        </w:rPr>
        <w:t xml:space="preserve">=</w:t>
      </w:r>
      <w:r>
        <w:rPr>
          <w:color w:val="323232"/>
        </w:rPr>
        <w:t xml:space="preserve"> </w:t>
      </w:r>
      <w:r>
        <w:rPr>
          <w:color w:val="323232"/>
        </w:rPr>
        <w:t xml:space="preserve">19) and without (n</w:t>
      </w:r>
      <w:r>
        <w:rPr>
          <w:color w:val="323232"/>
        </w:rPr>
        <w:t xml:space="preserve"> </w:t>
      </w:r>
      <w:r>
        <w:rPr>
          <w:color w:val="323232"/>
        </w:rPr>
        <w:t xml:space="preserve">=</w:t>
      </w:r>
      <w:r>
        <w:rPr>
          <w:color w:val="323232"/>
        </w:rPr>
        <w:t xml:space="preserve"> </w:t>
      </w:r>
      <w:r>
        <w:rPr>
          <w:color w:val="323232"/>
        </w:rPr>
        <w:t xml:space="preserve">19) a history of CaOx urolithiasis and hypercalciuria.</w:t>
      </w:r>
    </w:p>
    <w:p/>
    <w:p>
      <w:pPr>
        <w:pStyle w:val="Normal"/>
      </w:pPr>
      <w:r>
        <w:rPr>
          <w:color w:val="323232"/>
        </w:rPr>
        <w:t xml:space="preserve">METHODS:Retrospective cross-sectional study. Serum 25-hydroxyvitamin D [25(OH)D], 1,25-dihydroxyvitamin D [1,25(OH)2 D], and 24,25-dihydroxyvitamin D [24,25(OH)2 D] were measured. The ratios of 25(OH)D/24,25(OH)2 D and 1,25(OH)2 D/25(OH)D were compared between cases and controls.</w:t>
      </w:r>
    </w:p>
    <w:p/>
    <w:p>
      <w:pPr>
        <w:pStyle w:val="Normal"/>
      </w:pPr>
      <w:r>
        <w:rPr>
          <w:color w:val="323232"/>
        </w:rPr>
        <w:t xml:space="preserve">RESULTS:There were no significant differences between cases and controls when comparing 25(OH)D, 24,25(OH)2 D, 1,25(OH)2 D, or 1,25(OH)2 D/25(OH)D. Cases had higher 25(OH)D/24,25(OH)2 D (median</w:t>
      </w:r>
      <w:r>
        <w:rPr>
          <w:color w:val="323232"/>
        </w:rPr>
        <w:t xml:space="preserve"> </w:t>
      </w:r>
      <w:r>
        <w:rPr>
          <w:color w:val="323232"/>
        </w:rPr>
        <w:t xml:space="preserve">=</w:t>
      </w:r>
      <w:r>
        <w:rPr>
          <w:color w:val="323232"/>
        </w:rPr>
        <w:t xml:space="preserve"> </w:t>
      </w:r>
      <w:r>
        <w:rPr>
          <w:color w:val="323232"/>
        </w:rPr>
        <w:t xml:space="preserve">1.40, range</w:t>
      </w:r>
      <w:r>
        <w:rPr>
          <w:color w:val="323232"/>
        </w:rPr>
        <w:t xml:space="preserve"> </w:t>
      </w:r>
      <w:r>
        <w:rPr>
          <w:color w:val="323232"/>
        </w:rPr>
        <w:t xml:space="preserve">=</w:t>
      </w:r>
      <w:r>
        <w:rPr>
          <w:color w:val="323232"/>
        </w:rPr>
        <w:t xml:space="preserve"> </w:t>
      </w:r>
      <w:r>
        <w:rPr>
          <w:color w:val="323232"/>
        </w:rPr>
        <w:t xml:space="preserve">0.98-1.58) compared to controls (median</w:t>
      </w:r>
      <w:r>
        <w:rPr>
          <w:color w:val="323232"/>
        </w:rPr>
        <w:t xml:space="preserve"> </w:t>
      </w:r>
      <w:r>
        <w:rPr>
          <w:color w:val="323232"/>
        </w:rPr>
        <w:t xml:space="preserve">=</w:t>
      </w:r>
      <w:r>
        <w:rPr>
          <w:color w:val="323232"/>
        </w:rPr>
        <w:t xml:space="preserve"> </w:t>
      </w:r>
      <w:r>
        <w:rPr>
          <w:color w:val="323232"/>
        </w:rPr>
        <w:t xml:space="preserve">1.16, range</w:t>
      </w:r>
      <w:r>
        <w:rPr>
          <w:color w:val="323232"/>
        </w:rPr>
        <w:t xml:space="preserve"> </w:t>
      </w:r>
      <w:r>
        <w:rPr>
          <w:color w:val="323232"/>
        </w:rPr>
        <w:t xml:space="preserve">=</w:t>
      </w:r>
      <w:r>
        <w:rPr>
          <w:color w:val="323232"/>
        </w:rPr>
        <w:t xml:space="preserve"> </w:t>
      </w:r>
      <w:r>
        <w:rPr>
          <w:color w:val="323232"/>
        </w:rPr>
        <w:t xml:space="preserve">0.92-2.75; P</w:t>
      </w:r>
      <w:r>
        <w:rPr>
          <w:color w:val="323232"/>
        </w:rPr>
        <w:t xml:space="preserve"> </w:t>
      </w:r>
      <w:r>
        <w:rPr>
          <w:color w:val="323232"/>
        </w:rPr>
        <w:t xml:space="preserve">=</w:t>
      </w:r>
      <w:r>
        <w:rPr>
          <w:color w:val="323232"/>
        </w:rPr>
        <w:t xml:space="preserve"> </w:t>
      </w:r>
      <w:r>
        <w:rPr>
          <w:color w:val="323232"/>
        </w:rPr>
        <w:t xml:space="preserve">.01). There was overlap in the ranges for 25(OH)D/24,25(OH)2 D between cases and controls, but 6 cases (32%) had ratios above the control dog range. There was a moderate positive correlation between the ratio of 25(OH)D/24,25(OH)2 D and urinary calcium-to-creatinine ratios (r</w:t>
      </w:r>
      <w:r>
        <w:rPr>
          <w:color w:val="323232"/>
        </w:rPr>
        <w:t xml:space="preserve"> </w:t>
      </w:r>
      <w:r>
        <w:rPr>
          <w:color w:val="323232"/>
        </w:rPr>
        <w:t xml:space="preserve">=</w:t>
      </w:r>
      <w:r>
        <w:rPr>
          <w:color w:val="323232"/>
        </w:rPr>
        <w:t xml:space="preserve"> </w:t>
      </w:r>
      <w:r>
        <w:rPr>
          <w:color w:val="323232"/>
        </w:rPr>
        <w:t xml:space="preserve">0.40, 95% confidence interval</w:t>
      </w:r>
      <w:r>
        <w:rPr>
          <w:color w:val="323232"/>
        </w:rPr>
        <w:t xml:space="preserve"> </w:t>
      </w:r>
      <w:r>
        <w:rPr>
          <w:color w:val="323232"/>
        </w:rPr>
        <w:t xml:space="preserve">=</w:t>
      </w:r>
      <w:r>
        <w:rPr>
          <w:color w:val="323232"/>
        </w:rPr>
        <w:t xml:space="preserve"> </w:t>
      </w:r>
      <w:r>
        <w:rPr>
          <w:color w:val="323232"/>
        </w:rPr>
        <w:t xml:space="preserve">0.10-0.64; P</w:t>
      </w:r>
      <w:r>
        <w:rPr>
          <w:color w:val="323232"/>
        </w:rPr>
        <w:t xml:space="preserve"> </w:t>
      </w:r>
      <w:r>
        <w:rPr>
          <w:color w:val="323232"/>
        </w:rPr>
        <w:t xml:space="preserve">=</w:t>
      </w:r>
      <w:r>
        <w:rPr>
          <w:color w:val="323232"/>
        </w:rPr>
        <w:t xml:space="preserve"> </w:t>
      </w:r>
      <w:r>
        <w:rPr>
          <w:color w:val="323232"/>
        </w:rPr>
        <w:t xml:space="preserve">.01).</w:t>
      </w:r>
    </w:p>
    <w:p/>
    <w:p>
      <w:pPr>
        <w:pStyle w:val="Normal"/>
      </w:pPr>
      <w:r>
        <w:rPr>
          <w:color w:val="323232"/>
        </w:rPr>
        <w:t xml:space="preserve">CONCLUSIONS AND CLINICAL IMPORTANCE:These data suggest that decreased conversion of 25(OH)D to 24,25(OH)2 D occurs in a subset of dogs with CaOx urolithiasis. Abnormalities in vitamin D metabolism might contribute to stone risk in dogs.</w:t>
      </w:r>
    </w:p>
    <w:p/>
    <w:p>
      <w:pPr>
        <w:pStyle w:val="Normal"/>
      </w:pPr>
      <w:r>
        <w:rPr>
          <w:color w:val="323232"/>
        </w:rPr>
        <w:t xml:space="preserve">J Vet Intern Med, 2019 vol. 33 (2) pp. 758-763.</w:t>
      </w:r>
    </w:p>
    <w:p>
      <w:r>
        <w:rPr>
          <w:rStyle w:val="Hyperlink"/>
        </w:rPr>
        <w:fldChar w:fldCharType="begin"/>
      </w:r>
      <w:r>
        <w:rPr>
          <w:rStyle w:val="Hyperlink"/>
        </w:rPr>
        <w:instrText xml:space="preserve"> HYPERLINK "http://dx.doi.org/10.1111/jvim.15442" </w:instrText>
      </w:r>
      <w:r>
        <w:rPr>
          <w:rStyle w:val="Hyperlink"/>
        </w:rPr>
      </w:r>
      <w:r>
        <w:rPr>
          <w:rStyle w:val="Hyperlink"/>
        </w:rPr>
        <w:fldChar w:fldCharType="separate"/>
      </w:r>
      <w:pPr>
        <w:pStyle w:val="Normal"/>
      </w:pPr>
      <w:r>
        <w:rPr>
          <w:rStyle w:val="Hyperlink"/>
        </w:rPr>
        <w:t xml:space="preserve">http://dx.doi.org/10.1111/jvim.15442</w:t>
      </w:r>
      <w:r>
        <w:rPr>
          <w:rStyle w:val="Hyperlink"/>
        </w:rPr>
        <w:fldChar w:fldCharType="end"/>
      </w:r>
    </w:p>
    <w:p>
      <w:pPr>
        <w:pStyle w:val="Normal"/>
      </w:pPr>
      <w:r>
        <w:rPr>
          <w:color w:val="323232"/>
        </w:rPr>
        <w:t xml:space="preserve">————————</w:t>
      </w:r>
    </w:p>
    <w:p>
      <w:pPr>
        <w:pStyle w:val="Heading4"/>
      </w:pPr>
      <w:r>
        <w:t xml:space="preserve">Incidence and risk factors associated with development of clinical cardiotoxicity in dogs receiving doxorubicin.</w:t>
      </w:r>
    </w:p>
    <w:p/>
    <w:p>
      <w:pPr>
        <w:pStyle w:val="Normal"/>
      </w:pPr>
      <w:r>
        <w:rPr>
          <w:color w:val="323232"/>
        </w:rPr>
        <w:t xml:space="preserve">Briana E Hallman, Marlene L Hauck, Laurel E Williams, Paul R Hess, and Steven E Suter.</w:t>
      </w:r>
    </w:p>
    <w:p/>
    <w:p>
      <w:pPr>
        <w:pStyle w:val="Normal"/>
      </w:pPr>
      <w:r>
        <w:rPr>
          <w:color w:val="323232"/>
        </w:rPr>
        <w:t xml:space="preserve">BACKGROUND:Doxorubicin (DOX) can cause cumulative cardiotoxicity in dogs, but the incidence of clinical cardiotoxicity in dogs receiving DOX has not been determined.</w:t>
      </w:r>
    </w:p>
    <w:p/>
    <w:p>
      <w:pPr>
        <w:pStyle w:val="Normal"/>
      </w:pPr>
      <w:r>
        <w:rPr>
          <w:color w:val="323232"/>
        </w:rPr>
        <w:t xml:space="preserve">HYPOTHESIS/OBJECTIVES:To determine if the duration of DOX infusion influences the incidence of cardiotoxicity, to characterize the incidence of clinical cardiotoxicity in dogs during or after DOX chemotherapy, and to identify any risk factors associated with cardiotoxicity.</w:t>
      </w:r>
    </w:p>
    <w:p/>
    <w:p>
      <w:pPr>
        <w:pStyle w:val="Normal"/>
      </w:pPr>
      <w:r>
        <w:rPr>
          <w:color w:val="323232"/>
        </w:rPr>
        <w:t xml:space="preserve">ANIMALS:Four-hundred ninety-four dogs that received at least 1 dose of DOX for the treatment of cancer.</w:t>
      </w:r>
    </w:p>
    <w:p/>
    <w:p>
      <w:pPr>
        <w:pStyle w:val="Normal"/>
      </w:pPr>
      <w:r>
        <w:rPr>
          <w:color w:val="323232"/>
        </w:rPr>
        <w:t xml:space="preserve">METHODS:Retrospective study of dogs that received DOX from 2006 to 2015.</w:t>
      </w:r>
    </w:p>
    <w:p/>
    <w:p>
      <w:pPr>
        <w:pStyle w:val="Normal"/>
      </w:pPr>
      <w:r>
        <w:rPr>
          <w:color w:val="323232"/>
        </w:rPr>
        <w:t xml:space="preserve">RESULTS:Of 494 dogs, 20 (4.0%) developed clinical cardiotoxicity. The duration of DOX infusion was not significantly associated with clinical cardiotoxicity, whereas a higher cumulative dose of DOX, higher body weight, decreases in fractional shortening after 5 doses of DOX, and development of ventricular premature contractions were significantly associated with clinical cardiotoxicity. High-risk breeds for developing dilated cardiomyopathy had an incidence of 15.4%, whereas low-risk breeds had an incidence of 3.0%.</w:t>
      </w:r>
    </w:p>
    <w:p/>
    <w:p>
      <w:pPr>
        <w:pStyle w:val="Normal"/>
      </w:pPr>
      <w:r>
        <w:rPr>
          <w:color w:val="323232"/>
        </w:rPr>
        <w:t xml:space="preserve">CONCLUSIONS AND CLINICAL IMPORTANCE:Although the duration of DOX infusion did not influence the incidence of cardiotoxicity, premature contractions and decreases in fractional shortening should raise concern for the development of clinical cardiotoxicity. Overall, the incidence of clinical DOX-induced cardiotoxicity is low, but Boxers and other breeds at high risk for dilated cardiomyopathy may be at an increased risk.</w:t>
      </w:r>
    </w:p>
    <w:p/>
    <w:p>
      <w:pPr>
        <w:pStyle w:val="Normal"/>
      </w:pPr>
      <w:r>
        <w:rPr>
          <w:color w:val="323232"/>
        </w:rPr>
        <w:t xml:space="preserve">J Vet Intern Med, 2019 vol. 33 (2) pp. 783-791.</w:t>
      </w:r>
    </w:p>
    <w:p>
      <w:r>
        <w:rPr>
          <w:rStyle w:val="Hyperlink"/>
        </w:rPr>
        <w:fldChar w:fldCharType="begin"/>
      </w:r>
      <w:r>
        <w:rPr>
          <w:rStyle w:val="Hyperlink"/>
        </w:rPr>
        <w:instrText xml:space="preserve"> HYPERLINK "http://dx.doi.org/10.1111/jvim.15414" </w:instrText>
      </w:r>
      <w:r>
        <w:rPr>
          <w:rStyle w:val="Hyperlink"/>
        </w:rPr>
      </w:r>
      <w:r>
        <w:rPr>
          <w:rStyle w:val="Hyperlink"/>
        </w:rPr>
        <w:fldChar w:fldCharType="separate"/>
      </w:r>
      <w:pPr>
        <w:pStyle w:val="Normal"/>
      </w:pPr>
      <w:r>
        <w:rPr>
          <w:rStyle w:val="Hyperlink"/>
        </w:rPr>
        <w:t xml:space="preserve">http://dx.doi.org/10.1111/jvim.15414</w:t>
      </w:r>
      <w:r>
        <w:rPr>
          <w:rStyle w:val="Hyperlink"/>
        </w:rPr>
        <w:fldChar w:fldCharType="end"/>
      </w:r>
    </w:p>
    <w:p>
      <w:pPr>
        <w:pStyle w:val="Normal"/>
      </w:pPr>
      <w:r>
        <w:rPr>
          <w:color w:val="323232"/>
        </w:rPr>
        <w:t xml:space="preserve">————————</w:t>
      </w:r>
    </w:p>
    <w:p>
      <w:pPr>
        <w:pStyle w:val="Heading4"/>
      </w:pPr>
      <w:r>
        <w:t xml:space="preserve">Serum levetiracetam concentrations after transdermal levetiracetam administration, 3 times daily, to healthy cats.</w:t>
      </w:r>
    </w:p>
    <w:p/>
    <w:p>
      <w:pPr>
        <w:pStyle w:val="Normal"/>
      </w:pPr>
      <w:r>
        <w:rPr>
          <w:color w:val="323232"/>
        </w:rPr>
        <w:t xml:space="preserve">Casey Smith, Heidi L Barnes Heller, Nicole Reif, Matthew Van Hesteren, and Jennifer M Reinhart.</w:t>
      </w:r>
    </w:p>
    <w:p/>
    <w:p>
      <w:pPr>
        <w:pStyle w:val="Normal"/>
      </w:pPr>
      <w:r>
        <w:rPr>
          <w:color w:val="323232"/>
        </w:rPr>
        <w:t xml:space="preserve">BACKGROUND:Repeated oral administration of antiepileptic drugs can be challenging for cat owners, resulting in reduced compliance, poor seizure control, and reduced quality of life for cats. Levetiracetam (LEV) has several properties that make it an appealing drug for transdermal application.</w:t>
      </w:r>
    </w:p>
    <w:p/>
    <w:p>
      <w:pPr>
        <w:pStyle w:val="Normal"/>
      </w:pPr>
      <w:r>
        <w:rPr>
          <w:color w:val="323232"/>
        </w:rPr>
        <w:t xml:space="preserve">OBJECTIVES:The aims were to (1) determine if transdermal LEV, in a lipophilic, liposomic cream vehicle, resulted in serum concentrations above 5</w:t>
      </w:r>
      <w:r>
        <w:rPr>
          <w:color w:val="323232"/>
        </w:rPr>
        <w:t xml:space="preserve"> </w:t>
      </w:r>
      <w:r>
        <w:rPr>
          <w:color w:val="323232"/>
        </w:rPr>
        <w:t xml:space="preserve">μg/mL; (2) identify clinical adverse effects; and (3) evaluate the concentration of LEV in a lipophilic liposomic cream at set intervals.</w:t>
      </w:r>
    </w:p>
    <w:p/>
    <w:p>
      <w:pPr>
        <w:pStyle w:val="Normal"/>
      </w:pPr>
      <w:r>
        <w:rPr>
          <w:color w:val="323232"/>
        </w:rPr>
        <w:t xml:space="preserve">ANIMALS:Six healthy, client-owned cats weighing ≤5</w:t>
      </w:r>
      <w:r>
        <w:rPr>
          <w:color w:val="323232"/>
        </w:rPr>
        <w:t xml:space="preserve"> </w:t>
      </w:r>
      <w:r>
        <w:rPr>
          <w:color w:val="323232"/>
        </w:rPr>
        <w:t xml:space="preserve">kg.</w:t>
      </w:r>
    </w:p>
    <w:p/>
    <w:p>
      <w:pPr>
        <w:pStyle w:val="Normal"/>
      </w:pPr>
      <w:r>
        <w:rPr>
          <w:color w:val="323232"/>
        </w:rPr>
        <w:t xml:space="preserve">METHODS:Prospective clinical trial. Transdermal LEV was applied to the inner pinna at a dosage of 60</w:t>
      </w:r>
      <w:r>
        <w:rPr>
          <w:color w:val="323232"/>
        </w:rPr>
        <w:t xml:space="preserve"> </w:t>
      </w:r>
      <w:r>
        <w:rPr>
          <w:color w:val="323232"/>
        </w:rPr>
        <w:t xml:space="preserve">mg</w:t>
      </w:r>
      <w:r>
        <w:rPr>
          <w:i w:val="1"/>
          <w:color w:val="323232"/>
        </w:rPr>
        <w:t xml:space="preserve">kg (400</w:t>
      </w:r>
      <w:r>
        <w:rPr>
          <w:color w:val="323232"/>
        </w:rPr>
        <w:t xml:space="preserve"> </w:t>
      </w:r>
      <w:r>
        <w:rPr>
          <w:i w:val="1"/>
          <w:color w:val="323232"/>
        </w:rPr>
        <w:t xml:space="preserve">mg</w:t>
      </w:r>
      <w:r>
        <w:rPr>
          <w:color w:val="323232"/>
        </w:rPr>
        <w:t xml:space="preserve">mL concentration) at home for 6</w:t>
      </w:r>
      <w:r>
        <w:rPr>
          <w:color w:val="323232"/>
        </w:rPr>
        <w:t xml:space="preserve"> </w:t>
      </w:r>
      <w:r>
        <w:rPr>
          <w:color w:val="323232"/>
        </w:rPr>
        <w:t xml:space="preserve">days. Day 7, cats were hospitalized for blood sample collection for LEV concentration at times 0 (before dose administration), 0.5, 1, 2, 3, and 4</w:t>
      </w:r>
      <w:r>
        <w:rPr>
          <w:color w:val="323232"/>
        </w:rPr>
        <w:t xml:space="preserve"> </w:t>
      </w:r>
      <w:r>
        <w:rPr>
          <w:color w:val="323232"/>
        </w:rPr>
        <w:t xml:space="preserve">hours after administration.</w:t>
      </w:r>
    </w:p>
    <w:p/>
    <w:p>
      <w:pPr>
        <w:pStyle w:val="Normal"/>
      </w:pPr>
      <w:r>
        <w:rPr>
          <w:color w:val="323232"/>
        </w:rPr>
        <w:t xml:space="preserve">RESULTS:Median (range) timed serum concentrations were 16.6 (8.6-39.6) μg</w:t>
      </w:r>
      <w:r>
        <w:rPr>
          <w:i w:val="1"/>
          <w:color w:val="323232"/>
        </w:rPr>
        <w:t xml:space="preserve">mL, 16.1 (6.8-34.4) μg</w:t>
      </w:r>
      <w:r>
        <w:rPr>
          <w:color w:val="323232"/>
        </w:rPr>
        <w:t xml:space="preserve">mL, 15.4 (10.1-36.7) μg</w:t>
      </w:r>
      <w:r>
        <w:rPr>
          <w:i w:val="1"/>
          <w:color w:val="323232"/>
        </w:rPr>
        <w:t xml:space="preserve">mL, 17.4 (9.2-32.7) μg</w:t>
      </w:r>
      <w:r>
        <w:rPr>
          <w:color w:val="323232"/>
        </w:rPr>
        <w:t xml:space="preserve">mL, 15.1 (8.3-25.9) μg</w:t>
      </w:r>
      <w:r>
        <w:rPr>
          <w:i w:val="1"/>
          <w:color w:val="323232"/>
        </w:rPr>
        <w:t xml:space="preserve">mL, and 14.8 (11.9-28.4) μg</w:t>
      </w:r>
      <w:r>
        <w:rPr>
          <w:color w:val="323232"/>
        </w:rPr>
        <w:t xml:space="preserve">mL, respectively. Adverse events were limited to sedation (1/6 cats) and pinna crusting (1/6 cats). The LEV, in the proposed vehicle, retained concentration above 95% at 400</w:t>
      </w:r>
      <w:r>
        <w:rPr>
          <w:color w:val="323232"/>
        </w:rPr>
        <w:t xml:space="preserve"> </w:t>
      </w:r>
      <w:r>
        <w:rPr>
          <w:color w:val="323232"/>
        </w:rPr>
        <w:t xml:space="preserve">mg/mL up to 5</w:t>
      </w:r>
      <w:r>
        <w:rPr>
          <w:color w:val="323232"/>
        </w:rPr>
        <w:t xml:space="preserve"> </w:t>
      </w:r>
      <w:r>
        <w:rPr>
          <w:color w:val="323232"/>
        </w:rPr>
        <w:t xml:space="preserve">weeks.</w:t>
      </w:r>
    </w:p>
    <w:p/>
    <w:p>
      <w:pPr>
        <w:pStyle w:val="Normal"/>
      </w:pPr>
      <w:r>
        <w:rPr>
          <w:color w:val="323232"/>
        </w:rPr>
        <w:t xml:space="preserve">CONCLUSIONS AND CLINICAL IMPORTANCE:Thrice daily transdermal LEV resulted in median serum concentrations ≥5</w:t>
      </w:r>
      <w:r>
        <w:rPr>
          <w:color w:val="323232"/>
        </w:rPr>
        <w:t xml:space="preserve"> </w:t>
      </w:r>
      <w:r>
        <w:rPr>
          <w:color w:val="323232"/>
        </w:rPr>
        <w:t xml:space="preserve">μg/mL throughout the sampling period and clinical adverse events were minimal. Transdermal LEV can provide an alternative for cats resistant to administration of other forms of anticonvulsant medication.</w:t>
      </w:r>
    </w:p>
    <w:p/>
    <w:p>
      <w:pPr>
        <w:pStyle w:val="Normal"/>
      </w:pPr>
      <w:r>
        <w:rPr>
          <w:color w:val="323232"/>
        </w:rPr>
        <w:t xml:space="preserve">J Vet Intern Med, 2019 vol. 33 (2) pp. 827-830.</w:t>
      </w:r>
    </w:p>
    <w:p>
      <w:r>
        <w:rPr>
          <w:rStyle w:val="Hyperlink"/>
        </w:rPr>
        <w:fldChar w:fldCharType="begin"/>
      </w:r>
      <w:r>
        <w:rPr>
          <w:rStyle w:val="Hyperlink"/>
        </w:rPr>
        <w:instrText xml:space="preserve"> HYPERLINK "http://dx.doi.org/10.1111/jvim.15412" </w:instrText>
      </w:r>
      <w:r>
        <w:rPr>
          <w:rStyle w:val="Hyperlink"/>
        </w:rPr>
      </w:r>
      <w:r>
        <w:rPr>
          <w:rStyle w:val="Hyperlink"/>
        </w:rPr>
        <w:fldChar w:fldCharType="separate"/>
      </w:r>
      <w:pPr>
        <w:pStyle w:val="Normal"/>
      </w:pPr>
      <w:r>
        <w:rPr>
          <w:rStyle w:val="Hyperlink"/>
        </w:rPr>
        <w:t xml:space="preserve">http://dx.doi.org/10.1111/jvim.15412</w:t>
      </w:r>
      <w:r>
        <w:rPr>
          <w:rStyle w:val="Hyperlink"/>
        </w:rPr>
        <w:fldChar w:fldCharType="end"/>
      </w:r>
    </w:p>
    <w:p>
      <w:pPr>
        <w:pStyle w:val="Normal"/>
      </w:pPr>
      <w:r>
        <w:rPr>
          <w:color w:val="323232"/>
        </w:rPr>
        <w:t xml:space="preserve">————————</w:t>
      </w:r>
    </w:p>
    <w:p>
      <w:pPr>
        <w:pStyle w:val="Heading4"/>
      </w:pPr>
      <w:r>
        <w:t xml:space="preserve">Evaluation of liposome toll-like receptor ligand complexes for non-specific mucosal immunoprotection from feline herpesvirus-1 infection.</w:t>
      </w:r>
    </w:p>
    <w:p/>
    <w:p>
      <w:pPr>
        <w:pStyle w:val="Normal"/>
      </w:pPr>
      <w:r>
        <w:rPr>
          <w:color w:val="323232"/>
        </w:rPr>
        <w:t xml:space="preserve">Elena T Contreras, Francisco Olea-Popelka, William Wheat, Steven Dow, Jennifer Hawley, and Michael R Lappin.</w:t>
      </w:r>
    </w:p>
    <w:p/>
    <w:p>
      <w:pPr>
        <w:pStyle w:val="Normal"/>
      </w:pPr>
      <w:r>
        <w:rPr>
          <w:color w:val="323232"/>
        </w:rPr>
        <w:t xml:space="preserve">BACKGROUND:Feline herpesvirus-1 (FHV-1) infection can result in serious morbidity and mortality, especially in kittens. Immunotherapy using liposome-toll-like receptor (TLR) ligand complexes (LTC) has been shown to activate innate immune responses.</w:t>
      </w:r>
    </w:p>
    <w:p/>
    <w:p>
      <w:pPr>
        <w:pStyle w:val="Normal"/>
      </w:pPr>
      <w:r>
        <w:rPr>
          <w:color w:val="323232"/>
        </w:rPr>
        <w:t xml:space="preserve">OBJECTIVES:To determine in kittens whether mucosal administration of LTC before FHV-1 inoculation would decrease severity of clinical signs and decrease quantities of FHV-1 DNA in materials collected on oropharyngeal swabs.</w:t>
      </w:r>
    </w:p>
    <w:p/>
    <w:p>
      <w:pPr>
        <w:pStyle w:val="Normal"/>
      </w:pPr>
      <w:r>
        <w:rPr>
          <w:color w:val="323232"/>
        </w:rPr>
        <w:t xml:space="preserve">ANIMALS:Nineteen, 14-week-old, purpose-bred kittens.</w:t>
      </w:r>
    </w:p>
    <w:p/>
    <w:p>
      <w:pPr>
        <w:pStyle w:val="Normal"/>
      </w:pPr>
      <w:r>
        <w:rPr>
          <w:color w:val="323232"/>
        </w:rPr>
        <w:t xml:space="preserve">METHODS:Pilot clinical trial with 2 groups of kittens allocated to either an LTC or control group. The LTC were administered into both nares and the oropharynx of the 12 LTC group kittens, and all 19 kittens were inoculated with FHV-1 24</w:t>
      </w:r>
      <w:r>
        <w:rPr>
          <w:color w:val="323232"/>
        </w:rPr>
        <w:t xml:space="preserve"> </w:t>
      </w:r>
      <w:r>
        <w:rPr>
          <w:color w:val="323232"/>
        </w:rPr>
        <w:t xml:space="preserve">hours later. Clinical scores were determined daily for 28</w:t>
      </w:r>
      <w:r>
        <w:rPr>
          <w:color w:val="323232"/>
        </w:rPr>
        <w:t xml:space="preserve"> </w:t>
      </w:r>
      <w:r>
        <w:rPr>
          <w:color w:val="323232"/>
        </w:rPr>
        <w:t xml:space="preserve">days, and oropharyngeal mucosal materials were collected every 7</w:t>
      </w:r>
      <w:r>
        <w:rPr>
          <w:color w:val="323232"/>
        </w:rPr>
        <w:t xml:space="preserve"> </w:t>
      </w:r>
      <w:r>
        <w:rPr>
          <w:color w:val="323232"/>
        </w:rPr>
        <w:t xml:space="preserve">days to assess FHV-1 DNA quantities for comparison between groups.</w:t>
      </w:r>
    </w:p>
    <w:p/>
    <w:p>
      <w:pPr>
        <w:pStyle w:val="Normal"/>
      </w:pPr>
      <w:r>
        <w:rPr>
          <w:color w:val="323232"/>
        </w:rPr>
        <w:t xml:space="preserve">RESULTS:Conjunctivitis was more common in kittens in the control group on Days 15-28 (P</w:t>
      </w:r>
      <w:r>
        <w:rPr>
          <w:color w:val="323232"/>
        </w:rPr>
        <w:t xml:space="preserve"> </w:t>
      </w:r>
      <w:r>
        <w:rPr>
          <w:color w:val="323232"/>
        </w:rPr>
        <w:t xml:space="preserve">=</w:t>
      </w:r>
      <w:r>
        <w:rPr>
          <w:color w:val="323232"/>
        </w:rPr>
        <w:t xml:space="preserve"> </w:t>
      </w:r>
      <w:r>
        <w:rPr>
          <w:color w:val="323232"/>
        </w:rPr>
        <w:t xml:space="preserve">.01) and Days 1-28 (P</w:t>
      </w:r>
      <w:r>
        <w:rPr>
          <w:color w:val="323232"/>
        </w:rPr>
        <w:t xml:space="preserve"> </w:t>
      </w:r>
      <w:r>
        <w:rPr>
          <w:color w:val="323232"/>
        </w:rPr>
        <w:t xml:space="preserve">=</w:t>
      </w:r>
      <w:r>
        <w:rPr>
          <w:color w:val="323232"/>
        </w:rPr>
        <w:t xml:space="preserve"> </w:t>
      </w:r>
      <w:r>
        <w:rPr>
          <w:color w:val="323232"/>
        </w:rPr>
        <w:t xml:space="preserve">.02). Total respiratory scores were higher in the LTC group on days 15-28 (P</w:t>
      </w:r>
      <w:r>
        <w:rPr>
          <w:color w:val="323232"/>
        </w:rPr>
        <w:t xml:space="preserve"> </w:t>
      </w:r>
      <w:r>
        <w:rPr>
          <w:color w:val="323232"/>
        </w:rPr>
        <w:t xml:space="preserve">=</w:t>
      </w:r>
      <w:r>
        <w:rPr>
          <w:color w:val="323232"/>
        </w:rPr>
        <w:t xml:space="preserve"> </w:t>
      </w:r>
      <w:r>
        <w:rPr>
          <w:color w:val="323232"/>
        </w:rPr>
        <w:t xml:space="preserve">.03). The LTC group had significantly decreased FHV-1 DNA on swabs when compared to the control group on some postinoculation days, using 2 methods of calculation.</w:t>
      </w:r>
    </w:p>
    <w:p/>
    <w:p>
      <w:pPr>
        <w:pStyle w:val="Normal"/>
      </w:pPr>
      <w:r>
        <w:rPr>
          <w:color w:val="323232"/>
        </w:rPr>
        <w:t xml:space="preserve">CONCLUSIONS AND CLINICAL IMPORTANCE:Administration of LTC to kittens was shown to decrease FHV-1 DNA and some manifestations of illness in kittens when administrated 24</w:t>
      </w:r>
      <w:r>
        <w:rPr>
          <w:color w:val="323232"/>
        </w:rPr>
        <w:t xml:space="preserve"> </w:t>
      </w:r>
      <w:r>
        <w:rPr>
          <w:color w:val="323232"/>
        </w:rPr>
        <w:t xml:space="preserve">hours before inoculation, suggesting clinical benefit.</w:t>
      </w:r>
    </w:p>
    <w:p/>
    <w:p>
      <w:pPr>
        <w:pStyle w:val="Normal"/>
      </w:pPr>
      <w:r>
        <w:rPr>
          <w:color w:val="323232"/>
        </w:rPr>
        <w:t xml:space="preserve">J Vet Intern Med, 2019 vol. 33 (2) pp. 831-837.</w:t>
      </w:r>
    </w:p>
    <w:p>
      <w:r>
        <w:rPr>
          <w:rStyle w:val="Hyperlink"/>
        </w:rPr>
        <w:fldChar w:fldCharType="begin"/>
      </w:r>
      <w:r>
        <w:rPr>
          <w:rStyle w:val="Hyperlink"/>
        </w:rPr>
        <w:instrText xml:space="preserve"> HYPERLINK "http://dx.doi.org/10.1111/jvim.15427" </w:instrText>
      </w:r>
      <w:r>
        <w:rPr>
          <w:rStyle w:val="Hyperlink"/>
        </w:rPr>
      </w:r>
      <w:r>
        <w:rPr>
          <w:rStyle w:val="Hyperlink"/>
        </w:rPr>
        <w:fldChar w:fldCharType="separate"/>
      </w:r>
      <w:pPr>
        <w:pStyle w:val="Normal"/>
      </w:pPr>
      <w:r>
        <w:rPr>
          <w:rStyle w:val="Hyperlink"/>
        </w:rPr>
        <w:t xml:space="preserve">http://dx.doi.org/10.1111/jvim.15427</w:t>
      </w:r>
      <w:r>
        <w:rPr>
          <w:rStyle w:val="Hyperlink"/>
        </w:rPr>
        <w:fldChar w:fldCharType="end"/>
      </w:r>
    </w:p>
    <w:p>
      <w:pPr>
        <w:pStyle w:val="Normal"/>
      </w:pPr>
      <w:r>
        <w:rPr>
          <w:color w:val="323232"/>
        </w:rPr>
        <w:t xml:space="preserve">————————</w:t>
      </w:r>
    </w:p>
    <w:p>
      <w:pPr>
        <w:pStyle w:val="Heading4"/>
      </w:pPr>
      <w:r>
        <w:t xml:space="preserve">Activation of upper respiratory tract mucosal innate immune responses in cats by liposomal toll-like receptor ligand complexes delivered topically.</w:t>
      </w:r>
    </w:p>
    <w:p/>
    <w:p>
      <w:pPr>
        <w:pStyle w:val="Normal"/>
      </w:pPr>
      <w:r>
        <w:rPr>
          <w:color w:val="323232"/>
        </w:rPr>
        <w:t xml:space="preserve">William Wheat, Lyndah Chow, Jonathan Coy, Elena Contreras, Michael Lappin, and Steven Dow.</w:t>
      </w:r>
    </w:p>
    <w:p/>
    <w:p>
      <w:pPr>
        <w:pStyle w:val="Normal"/>
      </w:pPr>
      <w:r>
        <w:rPr>
          <w:color w:val="323232"/>
        </w:rPr>
        <w:t xml:space="preserve">BACKGROUND:Nonspecific induction of local innate immune responses by mucosally administered immunotherapy is a new approach to protection from upper respiratory tract infections. Therefore, a new liposome-toll-like receptor complex (LTC) immune stimulant was developed and investigated for its ability to activate innate immune responses in cats, both in vitro and in vivo, as part of an initial evaluation of LTC for use as an immunotherapeutic agent in cats.</w:t>
      </w:r>
    </w:p>
    <w:p/>
    <w:p>
      <w:pPr>
        <w:pStyle w:val="Normal"/>
      </w:pPr>
      <w:r>
        <w:rPr>
          <w:color w:val="323232"/>
        </w:rPr>
        <w:t xml:space="preserve">OBJECTIVES:We hypothesized that LTC could activate innate immune responses in cats after topical application to nasal and oropharyngeal mucosal surfaces.</w:t>
      </w:r>
    </w:p>
    <w:p/>
    <w:p>
      <w:pPr>
        <w:pStyle w:val="Normal"/>
      </w:pPr>
      <w:r>
        <w:rPr>
          <w:color w:val="323232"/>
        </w:rPr>
        <w:t xml:space="preserve">ANIMALS:Mucosal immune responses to topical administration of LTC were assessed in 7 healthy, purpose-bred cats, and in vitro responses were assessed using blood samples from healthy cats.</w:t>
      </w:r>
    </w:p>
    <w:p/>
    <w:p>
      <w:pPr>
        <w:pStyle w:val="Normal"/>
      </w:pPr>
      <w:r>
        <w:rPr>
          <w:color w:val="323232"/>
        </w:rPr>
        <w:t xml:space="preserve">METHODS:Cytokine and cellular immune responses to LTC were evaluated in blood samples, nasal lavage specimens, and pharyngeal swabs from cats, using reverse transcriptase polymerase chain reaction assays, ELISA assays, and flow cytometry.</w:t>
      </w:r>
    </w:p>
    <w:p/>
    <w:p>
      <w:pPr>
        <w:pStyle w:val="Normal"/>
      </w:pPr>
      <w:r>
        <w:rPr>
          <w:color w:val="323232"/>
        </w:rPr>
        <w:t xml:space="preserve">RESULTS:Liposome-TLR complexes rapidly activated leukocytes in vitro, including upregulation of costimulatory molecule expression and cytokine production. Topical administration of LTC in healthy cats triggered rapid recruitment of monocytes to the nasal and oropharyngeal mucosa.</w:t>
      </w:r>
    </w:p>
    <w:p/>
    <w:p>
      <w:pPr>
        <w:pStyle w:val="Normal"/>
      </w:pPr>
      <w:r>
        <w:rPr>
          <w:color w:val="323232"/>
        </w:rPr>
        <w:t xml:space="preserve">CONCLUSIONS AND CLINICAL IMPORTANCE:Liposome-TLR complexes were found to effectively activate innate immune responses in cats after mucosal administration. These findings suggest that LTC have potential for use as a new mucosally administered immunotherapy for nonspecific protection from viral and bacterial respiratory tract infections.</w:t>
      </w:r>
    </w:p>
    <w:p/>
    <w:p>
      <w:pPr>
        <w:pStyle w:val="Normal"/>
      </w:pPr>
      <w:r>
        <w:rPr>
          <w:color w:val="323232"/>
        </w:rPr>
        <w:t xml:space="preserve">J Vet Intern Med, 2019 vol. 33 (2) pp. 838-845.</w:t>
      </w:r>
    </w:p>
    <w:p>
      <w:r>
        <w:rPr>
          <w:rStyle w:val="Hyperlink"/>
        </w:rPr>
        <w:fldChar w:fldCharType="begin"/>
      </w:r>
      <w:r>
        <w:rPr>
          <w:rStyle w:val="Hyperlink"/>
        </w:rPr>
        <w:instrText xml:space="preserve"> HYPERLINK "http://dx.doi.org/10.1111/jvim.15426" </w:instrText>
      </w:r>
      <w:r>
        <w:rPr>
          <w:rStyle w:val="Hyperlink"/>
        </w:rPr>
      </w:r>
      <w:r>
        <w:rPr>
          <w:rStyle w:val="Hyperlink"/>
        </w:rPr>
        <w:fldChar w:fldCharType="separate"/>
      </w:r>
      <w:pPr>
        <w:pStyle w:val="Normal"/>
      </w:pPr>
      <w:r>
        <w:rPr>
          <w:rStyle w:val="Hyperlink"/>
        </w:rPr>
        <w:t xml:space="preserve">http://dx.doi.org/10.1111/jvim.15426</w:t>
      </w:r>
      <w:r>
        <w:rPr>
          <w:rStyle w:val="Hyperlink"/>
        </w:rPr>
        <w:fldChar w:fldCharType="end"/>
      </w:r>
    </w:p>
    <w:p>
      <w:pPr>
        <w:pStyle w:val="Normal"/>
      </w:pPr>
      <w:r>
        <w:rPr>
          <w:color w:val="323232"/>
        </w:rPr>
        <w:t xml:space="preserve">————————</w:t>
      </w:r>
    </w:p>
    <w:p>
      <w:pPr>
        <w:pStyle w:val="Heading4"/>
      </w:pPr>
      <w:r>
        <w:t xml:space="preserve">Recurrent bacterial pneumonia in Irish Wolfhounds: Clinical findings and etiological studies.</w:t>
      </w:r>
    </w:p>
    <w:p/>
    <w:p>
      <w:pPr>
        <w:pStyle w:val="Normal"/>
      </w:pPr>
      <w:r>
        <w:rPr>
          <w:color w:val="323232"/>
        </w:rPr>
        <w:t xml:space="preserve">Sanna J Viitanen, Anu K Lappalainen, Ninna M Koho, Tiina Pessa-Morikawa, Lorenzo Ressel, and Minna M Rajamäki.</w:t>
      </w:r>
    </w:p>
    <w:p/>
    <w:p>
      <w:pPr>
        <w:pStyle w:val="Normal"/>
      </w:pPr>
      <w:r>
        <w:rPr>
          <w:color w:val="323232"/>
        </w:rPr>
        <w:t xml:space="preserve">BACKGROUND:Increased incidence of bacterial pneumonia (BP) has been reported in Irish Wolfhounds (IWHs), and recurrence of BP is common. The etiology of recurrent pneumonia in IWHs is largely unknown.</w:t>
      </w:r>
    </w:p>
    <w:p/>
    <w:p>
      <w:pPr>
        <w:pStyle w:val="Normal"/>
      </w:pPr>
      <w:r>
        <w:rPr>
          <w:color w:val="323232"/>
        </w:rPr>
        <w:t xml:space="preserve">OBJECTIVES:To describe clinical findings in IWHs with recurrent BP and investigate possible etiologies.</w:t>
      </w:r>
    </w:p>
    <w:p/>
    <w:p>
      <w:pPr>
        <w:pStyle w:val="Normal"/>
      </w:pPr>
      <w:r>
        <w:rPr>
          <w:color w:val="323232"/>
        </w:rPr>
        <w:t xml:space="preserve">ANIMALS:Eleven affected IWHs, 25 healthy IWHs, 28 healthy dogs of other Sighthound breeds, and 16 healthy dogs of other breeds.</w:t>
      </w:r>
    </w:p>
    <w:p/>
    <w:p>
      <w:pPr>
        <w:pStyle w:val="Normal"/>
      </w:pPr>
      <w:r>
        <w:rPr>
          <w:color w:val="323232"/>
        </w:rPr>
        <w:t xml:space="preserve">METHODS:Prospective cross-sectional observational study. All affected IWHs underwent thorough clinical examinations including thoracic radiographs, thoracic computed tomography, electron microscopic evaluation of ciliary structure, and bronchoscopy and bronchoalveolar lavage fluid (BALF) cytology and culture. Serum and BALF immunoglobulin concentrations were measured using an ELISA method, and peripheral blood lymphocyte subpopulations were analyzed using flow cytometry. Esophageal function was assessed by fluoroscopy (n</w:t>
      </w:r>
      <w:r>
        <w:rPr>
          <w:color w:val="323232"/>
        </w:rPr>
        <w:t xml:space="preserve"> </w:t>
      </w:r>
      <w:r>
        <w:rPr>
          <w:color w:val="323232"/>
        </w:rPr>
        <w:t xml:space="preserve">=</w:t>
      </w:r>
      <w:r>
        <w:rPr>
          <w:color w:val="323232"/>
        </w:rPr>
        <w:t xml:space="preserve"> </w:t>
      </w:r>
      <w:r>
        <w:rPr>
          <w:color w:val="323232"/>
        </w:rPr>
        <w:t xml:space="preserve">2).</w:t>
      </w:r>
    </w:p>
    <w:p/>
    <w:p>
      <w:pPr>
        <w:pStyle w:val="Normal"/>
      </w:pPr>
      <w:r>
        <w:rPr>
          <w:color w:val="323232"/>
        </w:rPr>
        <w:t xml:space="preserve">RESULTS:Median age of onset was 5.0 years (range, 0.4-6.5 years), and when presented for study, dogs had experienced a median of 5 previous episodes of BP (range, 2-6). The following predisposing factors to BP were detected: focal bronchiectasis (10/11), unilateral (2/9) and bilateral (1/9) laryngeal paralysis, and esophageal hypomotility (2/2). Local or systemic immunoglobulin deficiencies or primary ciliary defects were not detected.</w:t>
      </w:r>
    </w:p>
    <w:p/>
    <w:p>
      <w:pPr>
        <w:pStyle w:val="Normal"/>
      </w:pPr>
      <w:r>
        <w:rPr>
          <w:color w:val="323232"/>
        </w:rPr>
        <w:t xml:space="preserve">CONCLUSIONS AND CLINICAL IMPORTANCE:Recurrent BP affects mostly middle-aged and older IWHs without any evident immune deficit or primary ciliary defects. Focal BE was a frequent finding in affected dogs and likely contributed to the development of recurrent respiratory infections. Laryngeal and esophageal dysfunction identified in a minority of dogs may contribute to recurrent BP.</w:t>
      </w:r>
    </w:p>
    <w:p/>
    <w:p>
      <w:pPr>
        <w:pStyle w:val="Normal"/>
      </w:pPr>
      <w:r>
        <w:rPr>
          <w:color w:val="323232"/>
        </w:rPr>
        <w:t xml:space="preserve">J Vet Intern Med, 2019 vol. 33 (2) pp. 846-855.</w:t>
      </w:r>
    </w:p>
    <w:p>
      <w:r>
        <w:rPr>
          <w:rStyle w:val="Hyperlink"/>
        </w:rPr>
        <w:fldChar w:fldCharType="begin"/>
      </w:r>
      <w:r>
        <w:rPr>
          <w:rStyle w:val="Hyperlink"/>
        </w:rPr>
        <w:instrText xml:space="preserve"> HYPERLINK "http://dx.doi.org/10.1111/jvim.15413" </w:instrText>
      </w:r>
      <w:r>
        <w:rPr>
          <w:rStyle w:val="Hyperlink"/>
        </w:rPr>
      </w:r>
      <w:r>
        <w:rPr>
          <w:rStyle w:val="Hyperlink"/>
        </w:rPr>
        <w:fldChar w:fldCharType="separate"/>
      </w:r>
      <w:pPr>
        <w:pStyle w:val="Normal"/>
      </w:pPr>
      <w:r>
        <w:rPr>
          <w:rStyle w:val="Hyperlink"/>
        </w:rPr>
        <w:t xml:space="preserve">http://dx.doi.org/10.1111/jvim.15413</w:t>
      </w:r>
      <w:r>
        <w:rPr>
          <w:rStyle w:val="Hyperlink"/>
        </w:rPr>
        <w:fldChar w:fldCharType="end"/>
      </w:r>
    </w:p>
    <w:p>
      <w:pPr>
        <w:pStyle w:val="Normal"/>
      </w:pPr>
      <w:r>
        <w:rPr>
          <w:color w:val="323232"/>
        </w:rPr>
        <w:t xml:space="preserve">————————</w:t>
      </w:r>
    </w:p>
    <w:p>
      <w:pPr>
        <w:pStyle w:val="Heading4"/>
      </w:pPr>
      <w:r>
        <w:t xml:space="preserve">Clinical, epidemiological and echocardiographic features and prognostic factors in cats with restrictive cardiomyopathy: A retrospective study of 92 cases (2001-2015).</w:t>
      </w:r>
    </w:p>
    <w:p/>
    <w:p>
      <w:pPr>
        <w:pStyle w:val="Normal"/>
      </w:pPr>
      <w:r>
        <w:rPr>
          <w:color w:val="323232"/>
        </w:rPr>
        <w:t xml:space="preserve">Valerie Chetboul, Peggy Passavin, Emilie Trehiou-Sechi, Vassiliki Gouni, Camille Poissonnier, Jean Louis Pouchelon, and Loïc Desquilbet.</w:t>
      </w:r>
    </w:p>
    <w:p/>
    <w:p>
      <w:pPr>
        <w:pStyle w:val="Normal"/>
      </w:pPr>
      <w:r>
        <w:rPr>
          <w:color w:val="323232"/>
        </w:rPr>
        <w:t xml:space="preserve">BACKGROUND:Restrictive cardiomyopathy (RCM) is a common primary cardiomyopathy of cats. However, little information is available regarding prognostic variables in large populations of cats with RCM.</w:t>
      </w:r>
    </w:p>
    <w:p/>
    <w:p>
      <w:pPr>
        <w:pStyle w:val="Normal"/>
      </w:pPr>
      <w:r>
        <w:rPr>
          <w:color w:val="323232"/>
        </w:rPr>
        <w:t xml:space="preserve">OBJECTIVES:To characterize the epidemiological, clinical, and echocardiographic features of cats with RCM and to document their survival times and risk factors for cardiac death (CD).</w:t>
      </w:r>
    </w:p>
    <w:p/>
    <w:p>
      <w:pPr>
        <w:pStyle w:val="Normal"/>
      </w:pPr>
      <w:r>
        <w:rPr>
          <w:color w:val="323232"/>
        </w:rPr>
        <w:t xml:space="preserve">ANIMALS:Ninety-two cats with RCM.</w:t>
      </w:r>
    </w:p>
    <w:p/>
    <w:p>
      <w:pPr>
        <w:pStyle w:val="Normal"/>
      </w:pPr>
      <w:r>
        <w:rPr>
          <w:color w:val="323232"/>
        </w:rPr>
        <w:t xml:space="preserve">METHODS:Retrospective study. Diagnosis of RCM was based on echocardiographic and Doppler criteria. Median survival time to CD and adjusted hazard ratios (HR) were estimated by the Kaplan-Meier method and multivariate Cox models, respectively.</w:t>
      </w:r>
    </w:p>
    <w:p/>
    <w:p>
      <w:pPr>
        <w:pStyle w:val="Normal"/>
      </w:pPr>
      <w:r>
        <w:rPr>
          <w:color w:val="323232"/>
        </w:rPr>
        <w:t xml:space="preserve">RESULTS:The feline population (median age [interquartile range], 8.6</w:t>
      </w:r>
      <w:r>
        <w:rPr>
          <w:color w:val="323232"/>
        </w:rPr>
        <w:t xml:space="preserve"> </w:t>
      </w:r>
      <w:r>
        <w:rPr>
          <w:color w:val="323232"/>
        </w:rPr>
        <w:t xml:space="preserve">years [4.1-12.4]; body weight, 4.0</w:t>
      </w:r>
      <w:r>
        <w:rPr>
          <w:color w:val="323232"/>
        </w:rPr>
        <w:t xml:space="preserve"> </w:t>
      </w:r>
      <w:r>
        <w:rPr>
          <w:color w:val="323232"/>
        </w:rPr>
        <w:t xml:space="preserve">kg [3.3-4.7]) included 83 cats (90%) with the myocardial RCM form and 9 (10%) with the endomyocardial fibrosis RCM form. Most RCM cats (64/92, 70%) were symptomatic at the time of diagnosis, with dyspnea related to congestive heart failure in 57 of 64 cats (89%). The median survival time of the 69 cats with the myocardial RCM form and available follow-up was 667</w:t>
      </w:r>
      <w:r>
        <w:rPr>
          <w:color w:val="323232"/>
        </w:rPr>
        <w:t xml:space="preserve"> </w:t>
      </w:r>
      <w:r>
        <w:rPr>
          <w:color w:val="323232"/>
        </w:rPr>
        <w:t xml:space="preserve">days (range, 2-3710</w:t>
      </w:r>
      <w:r>
        <w:rPr>
          <w:color w:val="323232"/>
        </w:rPr>
        <w:t xml:space="preserve"> </w:t>
      </w:r>
      <w:r>
        <w:rPr>
          <w:color w:val="323232"/>
        </w:rPr>
        <w:t xml:space="preserve">days) considering CD. Independent of age, biatrial enlargement, and arrhythmias, increase of the left atrium (LA)-to-aorta (Ao) ratio (hazard ration [HR], 2.5 per 0.5-unit increase; 95% confidence interval [CI], 1.5-4.2; P</w:t>
      </w:r>
      <w:r>
        <w:rPr>
          <w:color w:val="323232"/>
        </w:rPr>
        <w:t xml:space="preserve"> </w:t>
      </w:r>
      <w:r>
        <w:rPr>
          <w:color w:val="323232"/>
        </w:rPr>
        <w:t xml:space="preserve">&lt;</w:t>
      </w:r>
      <w:r>
        <w:rPr>
          <w:color w:val="323232"/>
        </w:rPr>
        <w:t xml:space="preserve"> </w:t>
      </w:r>
      <w:r>
        <w:rPr>
          <w:color w:val="323232"/>
        </w:rPr>
        <w:t xml:space="preserve">.001) and presence of severe LA enlargement (end-diastolic LA : Ao ≥2; HR, 3.4; 95% CI, 1.3-8.7; P</w:t>
      </w:r>
      <w:r>
        <w:rPr>
          <w:color w:val="323232"/>
        </w:rPr>
        <w:t xml:space="preserve"> </w:t>
      </w:r>
      <w:r>
        <w:rPr>
          <w:color w:val="323232"/>
        </w:rPr>
        <w:t xml:space="preserve">=</w:t>
      </w:r>
      <w:r>
        <w:rPr>
          <w:color w:val="323232"/>
        </w:rPr>
        <w:t xml:space="preserve"> </w:t>
      </w:r>
      <w:r>
        <w:rPr>
          <w:color w:val="323232"/>
        </w:rPr>
        <w:t xml:space="preserve">.01) were significantly associated with shorter time to CD.</w:t>
      </w:r>
    </w:p>
    <w:p/>
    <w:p>
      <w:pPr>
        <w:pStyle w:val="Normal"/>
      </w:pPr>
      <w:r>
        <w:rPr>
          <w:color w:val="323232"/>
        </w:rPr>
        <w:t xml:space="preserve">CONCLUSIONS AND CLINICAL IMPORTANCE:Cardiac death is common in RCM cats, and LA enlargement seems independently associated with decreased survival time in these cats.</w:t>
      </w:r>
    </w:p>
    <w:p/>
    <w:p>
      <w:pPr>
        <w:pStyle w:val="Normal"/>
      </w:pPr>
      <w:r>
        <w:rPr>
          <w:color w:val="323232"/>
        </w:rPr>
        <w:t xml:space="preserve">J Vet Intern Med, 2019 vol. 33 (3) pp. 1222-1231.</w:t>
      </w:r>
    </w:p>
    <w:p>
      <w:r>
        <w:rPr>
          <w:rStyle w:val="Hyperlink"/>
        </w:rPr>
        <w:fldChar w:fldCharType="begin"/>
      </w:r>
      <w:r>
        <w:rPr>
          <w:rStyle w:val="Hyperlink"/>
        </w:rPr>
        <w:instrText xml:space="preserve"> HYPERLINK "http://eutils.ncbi.nlm.nih.gov/entrez/eutils/elink.fcgi?dbfrom=pubmed&amp;id=30924221&amp;retmode=ref&amp;cmd=prlinks"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http://eutils.ncbi.nlm.nih.gov/entrez/eutils/elink.fcgi?dbfrom=pubmed&amp;id=30924221&amp;retmode=ref&amp;cmd=prlinks</w:t>
      </w:r>
      <w:r>
        <w:rPr>
          <w:rStyle w:val="Hyperlink"/>
        </w:rPr>
        <w:fldChar w:fldCharType="end"/>
      </w:r>
    </w:p>
    <w:p>
      <w:pPr>
        <w:pStyle w:val="Normal"/>
      </w:pPr>
      <w:r>
        <w:rPr>
          <w:color w:val="323232"/>
        </w:rPr>
        <w:t xml:space="preserve">————————</w:t>
      </w:r>
    </w:p>
    <w:p>
      <w:pPr>
        <w:pStyle w:val="Heading4"/>
      </w:pPr>
      <w:r>
        <w:t xml:space="preserve">Speckle tracking echocardiography in cats with preclinical hypertrophic cardiomyopathy.</w:t>
      </w:r>
    </w:p>
    <w:p/>
    <w:p>
      <w:pPr>
        <w:pStyle w:val="Normal"/>
      </w:pPr>
      <w:r>
        <w:rPr>
          <w:color w:val="323232"/>
        </w:rPr>
        <w:t xml:space="preserve">Ilaria Spalla, Adrian Boswood, David J Connolly, and Virginia Luis Fuentes.</w:t>
      </w:r>
    </w:p>
    <w:p/>
    <w:p>
      <w:pPr>
        <w:pStyle w:val="Normal"/>
      </w:pPr>
      <w:r>
        <w:rPr>
          <w:color w:val="323232"/>
        </w:rPr>
        <w:t xml:space="preserve">BACKGROUND:Cats with hypertrophic cardiomyopathy (HCM) have decreased left ventricular (LV) longitudinal deformation detected by mitral annular plane systolic excursion (MAPSE) and speckle tracking echocardiography. People with preclinical HCM have decreased systolic LV longitudinal and radial strain (S) and strain rate (SR), with preserved circumferential S and SR.</w:t>
      </w:r>
    </w:p>
    <w:p/>
    <w:p>
      <w:pPr>
        <w:pStyle w:val="Normal"/>
      </w:pPr>
      <w:r>
        <w:rPr>
          <w:color w:val="323232"/>
        </w:rPr>
        <w:t xml:space="preserve">HYPOTHESIS/OBJECTIVES:Cats with preclinical HCM have decreased systolic LV deformation compared to normal cats.</w:t>
      </w:r>
    </w:p>
    <w:p/>
    <w:p>
      <w:pPr>
        <w:pStyle w:val="Normal"/>
      </w:pPr>
      <w:r>
        <w:rPr>
          <w:color w:val="323232"/>
        </w:rPr>
        <w:t xml:space="preserve">ANIMALS:Seventy-three client-owned cats with (n</w:t>
      </w:r>
      <w:r>
        <w:rPr>
          <w:color w:val="323232"/>
        </w:rPr>
        <w:t xml:space="preserve"> </w:t>
      </w:r>
      <w:r>
        <w:rPr>
          <w:color w:val="323232"/>
        </w:rPr>
        <w:t xml:space="preserve">=</w:t>
      </w:r>
      <w:r>
        <w:rPr>
          <w:color w:val="323232"/>
        </w:rPr>
        <w:t xml:space="preserve"> </w:t>
      </w:r>
      <w:r>
        <w:rPr>
          <w:color w:val="323232"/>
        </w:rPr>
        <w:t xml:space="preserve">37) and without (n</w:t>
      </w:r>
      <w:r>
        <w:rPr>
          <w:color w:val="323232"/>
        </w:rPr>
        <w:t xml:space="preserve"> </w:t>
      </w:r>
      <w:r>
        <w:rPr>
          <w:color w:val="323232"/>
        </w:rPr>
        <w:t xml:space="preserve">=</w:t>
      </w:r>
      <w:r>
        <w:rPr>
          <w:color w:val="323232"/>
        </w:rPr>
        <w:t xml:space="preserve"> </w:t>
      </w:r>
      <w:r>
        <w:rPr>
          <w:color w:val="323232"/>
        </w:rPr>
        <w:t xml:space="preserve">36) preclinical HCM.</w:t>
      </w:r>
    </w:p>
    <w:p/>
    <w:p>
      <w:pPr>
        <w:pStyle w:val="Normal"/>
      </w:pPr>
      <w:r>
        <w:rPr>
          <w:color w:val="323232"/>
        </w:rPr>
        <w:t xml:space="preserve">METHODS:Retrospective echocardiographic study. Left and right ventricular longitudinal S and SR, LV radial and circumferential S and SR were calculated by STE. Left ventricular mass was also calculated. Correlation between STE variables and LV hypertrophy was determined and receiver-operating characteristic (ROC) curves were plotted for prediction of HCM.</w:t>
      </w:r>
    </w:p>
    <w:p/>
    <w:p>
      <w:pPr>
        <w:pStyle w:val="Normal"/>
      </w:pPr>
      <w:r>
        <w:rPr>
          <w:color w:val="323232"/>
        </w:rPr>
        <w:t xml:space="preserve">RESULTS:Cats with HCM had smaller absolute longitudinal S (-14.8</w:t>
      </w:r>
      <w:r>
        <w:rPr>
          <w:color w:val="323232"/>
        </w:rPr>
        <w:t xml:space="preserve"> </w:t>
      </w:r>
      <w:r>
        <w:rPr>
          <w:color w:val="323232"/>
        </w:rPr>
        <w:t xml:space="preserve">±</w:t>
      </w:r>
      <w:r>
        <w:rPr>
          <w:color w:val="323232"/>
        </w:rPr>
        <w:t xml:space="preserve"> </w:t>
      </w:r>
      <w:r>
        <w:rPr>
          <w:color w:val="323232"/>
        </w:rPr>
        <w:t xml:space="preserve">3.3% vs -19.7</w:t>
      </w:r>
      <w:r>
        <w:rPr>
          <w:color w:val="323232"/>
        </w:rPr>
        <w:t xml:space="preserve"> </w:t>
      </w:r>
      <w:r>
        <w:rPr>
          <w:color w:val="323232"/>
        </w:rPr>
        <w:t xml:space="preserve">±</w:t>
      </w:r>
      <w:r>
        <w:rPr>
          <w:color w:val="323232"/>
        </w:rPr>
        <w:t xml:space="preserve"> </w:t>
      </w:r>
      <w:r>
        <w:rPr>
          <w:color w:val="323232"/>
        </w:rPr>
        <w:t xml:space="preserve">2.7%, P</w:t>
      </w:r>
      <w:r>
        <w:rPr>
          <w:color w:val="323232"/>
        </w:rPr>
        <w:t xml:space="preserve"> </w:t>
      </w:r>
      <w:r>
        <w:rPr>
          <w:color w:val="323232"/>
        </w:rPr>
        <w:t xml:space="preserve">&lt;</w:t>
      </w:r>
      <w:r>
        <w:rPr>
          <w:color w:val="323232"/>
        </w:rPr>
        <w:t xml:space="preserve"> </w:t>
      </w:r>
      <w:r>
        <w:rPr>
          <w:color w:val="323232"/>
        </w:rPr>
        <w:t xml:space="preserve">.001), longitudinal SR (-2.36</w:t>
      </w:r>
      <w:r>
        <w:rPr>
          <w:color w:val="323232"/>
        </w:rPr>
        <w:t xml:space="preserve"> </w:t>
      </w:r>
      <w:r>
        <w:rPr>
          <w:color w:val="323232"/>
        </w:rPr>
        <w:t xml:space="preserve">±</w:t>
      </w:r>
      <w:r>
        <w:rPr>
          <w:color w:val="323232"/>
        </w:rPr>
        <w:t xml:space="preserve"> </w:t>
      </w:r>
      <w:r>
        <w:rPr>
          <w:color w:val="323232"/>
        </w:rPr>
        <w:t xml:space="preserve">0.62 vs -2.95</w:t>
      </w:r>
      <w:r>
        <w:rPr>
          <w:color w:val="323232"/>
        </w:rPr>
        <w:t xml:space="preserve"> </w:t>
      </w:r>
      <w:r>
        <w:rPr>
          <w:color w:val="323232"/>
        </w:rPr>
        <w:t xml:space="preserve">±</w:t>
      </w:r>
      <w:r>
        <w:rPr>
          <w:color w:val="323232"/>
        </w:rPr>
        <w:t xml:space="preserve"> </w:t>
      </w:r>
      <w:r>
        <w:rPr>
          <w:color w:val="323232"/>
        </w:rPr>
        <w:t xml:space="preserve">0.68</w:t>
      </w:r>
      <w:r>
        <w:rPr>
          <w:color w:val="323232"/>
        </w:rPr>
        <w:t xml:space="preserve"> </w:t>
      </w:r>
      <w:r>
        <w:rPr>
          <w:color w:val="323232"/>
        </w:rPr>
        <w:t xml:space="preserve">second-1 , P</w:t>
      </w:r>
      <w:r>
        <w:rPr>
          <w:color w:val="323232"/>
        </w:rPr>
        <w:t xml:space="preserve"> </w:t>
      </w:r>
      <w:r>
        <w:rPr>
          <w:color w:val="323232"/>
        </w:rPr>
        <w:t xml:space="preserve">&lt;</w:t>
      </w:r>
      <w:r>
        <w:rPr>
          <w:color w:val="323232"/>
        </w:rPr>
        <w:t xml:space="preserve"> </w:t>
      </w:r>
      <w:r>
        <w:rPr>
          <w:color w:val="323232"/>
        </w:rPr>
        <w:t xml:space="preserve">.001), radial S (46.2</w:t>
      </w:r>
      <w:r>
        <w:rPr>
          <w:color w:val="323232"/>
        </w:rPr>
        <w:t xml:space="preserve"> </w:t>
      </w:r>
      <w:r>
        <w:rPr>
          <w:color w:val="323232"/>
        </w:rPr>
        <w:t xml:space="preserve">±</w:t>
      </w:r>
      <w:r>
        <w:rPr>
          <w:color w:val="323232"/>
        </w:rPr>
        <w:t xml:space="preserve"> </w:t>
      </w:r>
      <w:r>
        <w:rPr>
          <w:color w:val="323232"/>
        </w:rPr>
        <w:t xml:space="preserve">21.3% vs 66.7</w:t>
      </w:r>
      <w:r>
        <w:rPr>
          <w:color w:val="323232"/>
        </w:rPr>
        <w:t xml:space="preserve"> </w:t>
      </w:r>
      <w:r>
        <w:rPr>
          <w:color w:val="323232"/>
        </w:rPr>
        <w:t xml:space="preserve">±</w:t>
      </w:r>
      <w:r>
        <w:rPr>
          <w:color w:val="323232"/>
        </w:rPr>
        <w:t xml:space="preserve"> </w:t>
      </w:r>
      <w:r>
        <w:rPr>
          <w:color w:val="323232"/>
        </w:rPr>
        <w:t xml:space="preserve">17.6%, P</w:t>
      </w:r>
      <w:r>
        <w:rPr>
          <w:color w:val="323232"/>
        </w:rPr>
        <w:t xml:space="preserve"> </w:t>
      </w:r>
      <w:r>
        <w:rPr>
          <w:color w:val="323232"/>
        </w:rPr>
        <w:t xml:space="preserve">&lt;</w:t>
      </w:r>
      <w:r>
        <w:rPr>
          <w:color w:val="323232"/>
        </w:rPr>
        <w:t xml:space="preserve"> </w:t>
      </w:r>
      <w:r>
        <w:rPr>
          <w:color w:val="323232"/>
        </w:rPr>
        <w:t xml:space="preserve">.001), and radial SR (5.60</w:t>
      </w:r>
      <w:r>
        <w:rPr>
          <w:color w:val="323232"/>
        </w:rPr>
        <w:t xml:space="preserve"> </w:t>
      </w:r>
      <w:r>
        <w:rPr>
          <w:color w:val="323232"/>
        </w:rPr>
        <w:t xml:space="preserve">±</w:t>
      </w:r>
      <w:r>
        <w:rPr>
          <w:color w:val="323232"/>
        </w:rPr>
        <w:t xml:space="preserve"> </w:t>
      </w:r>
      <w:r>
        <w:rPr>
          <w:color w:val="323232"/>
        </w:rPr>
        <w:t xml:space="preserve">2.08 vs 6.67</w:t>
      </w:r>
      <w:r>
        <w:rPr>
          <w:color w:val="323232"/>
        </w:rPr>
        <w:t xml:space="preserve"> </w:t>
      </w:r>
      <w:r>
        <w:rPr>
          <w:color w:val="323232"/>
        </w:rPr>
        <w:t xml:space="preserve">±</w:t>
      </w:r>
      <w:r>
        <w:rPr>
          <w:color w:val="323232"/>
        </w:rPr>
        <w:t xml:space="preserve"> </w:t>
      </w:r>
      <w:r>
        <w:rPr>
          <w:color w:val="323232"/>
        </w:rPr>
        <w:t xml:space="preserve">1.8 second-1 , P</w:t>
      </w:r>
      <w:r>
        <w:rPr>
          <w:color w:val="323232"/>
        </w:rPr>
        <w:t xml:space="preserve"> </w:t>
      </w:r>
      <w:r>
        <w:rPr>
          <w:color w:val="323232"/>
        </w:rPr>
        <w:t xml:space="preserve">&lt;</w:t>
      </w:r>
      <w:r>
        <w:rPr>
          <w:color w:val="323232"/>
        </w:rPr>
        <w:t xml:space="preserve"> </w:t>
      </w:r>
      <w:r>
        <w:rPr>
          <w:color w:val="323232"/>
        </w:rPr>
        <w:t xml:space="preserve">.001) compared to healthy controls. No difference was observed for circumferential S and SR. Cats with HCM had greater LV mass (13.2</w:t>
      </w:r>
      <w:r>
        <w:rPr>
          <w:color w:val="323232"/>
        </w:rPr>
        <w:t xml:space="preserve"> </w:t>
      </w:r>
      <w:r>
        <w:rPr>
          <w:color w:val="323232"/>
        </w:rPr>
        <w:t xml:space="preserve">±</w:t>
      </w:r>
      <w:r>
        <w:rPr>
          <w:color w:val="323232"/>
        </w:rPr>
        <w:t xml:space="preserve"> </w:t>
      </w:r>
      <w:r>
        <w:rPr>
          <w:color w:val="323232"/>
        </w:rPr>
        <w:t xml:space="preserve">3.7 g vs 8.6</w:t>
      </w:r>
      <w:r>
        <w:rPr>
          <w:color w:val="323232"/>
        </w:rPr>
        <w:t xml:space="preserve"> </w:t>
      </w:r>
      <w:r>
        <w:rPr>
          <w:color w:val="323232"/>
        </w:rPr>
        <w:t xml:space="preserve">±</w:t>
      </w:r>
      <w:r>
        <w:rPr>
          <w:color w:val="323232"/>
        </w:rPr>
        <w:t xml:space="preserve"> </w:t>
      </w:r>
      <w:r>
        <w:rPr>
          <w:color w:val="323232"/>
        </w:rPr>
        <w:t xml:space="preserve">2.7 g, P</w:t>
      </w:r>
      <w:r>
        <w:rPr>
          <w:color w:val="323232"/>
        </w:rPr>
        <w:t xml:space="preserve"> </w:t>
      </w:r>
      <w:r>
        <w:rPr>
          <w:color w:val="323232"/>
        </w:rPr>
        <w:t xml:space="preserve">&lt;</w:t>
      </w:r>
      <w:r>
        <w:rPr>
          <w:color w:val="323232"/>
        </w:rPr>
        <w:t xml:space="preserve"> </w:t>
      </w:r>
      <w:r>
        <w:rPr>
          <w:color w:val="323232"/>
        </w:rPr>
        <w:t xml:space="preserve">.001). The ROC with the greatest area under the curve (AUC) for the identification of HCM (0.974) was plotted from a logistic regression equation combining LV mass, MAPSE at the free wall, and LV internal diameter in diastole (LVIDd).</w:t>
      </w:r>
    </w:p>
    <w:p/>
    <w:p>
      <w:pPr>
        <w:pStyle w:val="Normal"/>
      </w:pPr>
      <w:r>
        <w:rPr>
          <w:color w:val="323232"/>
        </w:rPr>
        <w:t xml:space="preserve">CONCLUSIONS AND CLINICAL IMPORTANCE:Cats with preclinical HCM have decreased long axis and radial deformation. Decreased longitudinal deformation and decreased LVIDd are factors that would support a diagnosis of HCM.</w:t>
      </w:r>
    </w:p>
    <w:p/>
    <w:p>
      <w:pPr>
        <w:pStyle w:val="Normal"/>
      </w:pPr>
      <w:r>
        <w:rPr>
          <w:color w:val="323232"/>
        </w:rPr>
        <w:t xml:space="preserve">J Vet Intern Med, 2019 vol. 33 (3) pp. 1232-1241.</w:t>
      </w:r>
    </w:p>
    <w:p>
      <w:r>
        <w:rPr>
          <w:rStyle w:val="Hyperlink"/>
        </w:rPr>
        <w:fldChar w:fldCharType="begin"/>
      </w:r>
      <w:r>
        <w:rPr>
          <w:rStyle w:val="Hyperlink"/>
        </w:rPr>
        <w:instrText xml:space="preserve"> HYPERLINK "http://dx.doi.org/10.1111/jvim.15495" </w:instrText>
      </w:r>
      <w:r>
        <w:rPr>
          <w:rStyle w:val="Hyperlink"/>
        </w:rPr>
      </w:r>
      <w:r>
        <w:rPr>
          <w:rStyle w:val="Hyperlink"/>
        </w:rPr>
        <w:fldChar w:fldCharType="separate"/>
      </w:r>
      <w:pPr>
        <w:pStyle w:val="Normal"/>
      </w:pPr>
      <w:r>
        <w:rPr>
          <w:rStyle w:val="Hyperlink"/>
        </w:rPr>
        <w:t xml:space="preserve">http://dx.doi.org/10.1111/jvim.15495</w:t>
      </w:r>
      <w:r>
        <w:rPr>
          <w:rStyle w:val="Hyperlink"/>
        </w:rPr>
        <w:fldChar w:fldCharType="end"/>
      </w:r>
    </w:p>
    <w:p>
      <w:pPr>
        <w:pStyle w:val="Normal"/>
      </w:pPr>
      <w:r>
        <w:rPr>
          <w:color w:val="323232"/>
        </w:rPr>
        <w:t xml:space="preserve">————————</w:t>
      </w:r>
    </w:p>
    <w:p>
      <w:pPr>
        <w:pStyle w:val="Heading4"/>
      </w:pPr>
      <w:r>
        <w:t xml:space="preserve">Evaluation of a sensitive cardiac troponin I assay as a screening test for the diagnosis of hypertrophic cardiomyopathy in cats.</w:t>
      </w:r>
    </w:p>
    <w:p/>
    <w:p>
      <w:pPr>
        <w:pStyle w:val="Normal"/>
      </w:pPr>
      <w:r>
        <w:rPr>
          <w:color w:val="323232"/>
        </w:rPr>
        <w:t xml:space="preserve">S Hertzsch, A Roos, and G Wess.</w:t>
      </w:r>
    </w:p>
    <w:p/>
    <w:p>
      <w:pPr>
        <w:pStyle w:val="Normal"/>
      </w:pPr>
      <w:r>
        <w:rPr>
          <w:color w:val="323232"/>
        </w:rPr>
        <w:t xml:space="preserve">BACKGROUND:Hypertrophic cardiomyopathy (HCM) is the most common cardiac disease in cats. However, most cats are not diagnosed until they develop congestive heart failure, arterial thromboembolism (ATE), or sudden cardiac death. Thus, an affordable screening test for early detection of HCM is desirable.</w:t>
      </w:r>
    </w:p>
    <w:p/>
    <w:p>
      <w:pPr>
        <w:pStyle w:val="Normal"/>
      </w:pPr>
      <w:r>
        <w:rPr>
          <w:color w:val="323232"/>
        </w:rPr>
        <w:t xml:space="preserve">HYPOTHESIS/OBJECTIVES:Evaluation of a sensitive cardiac troponin I (cTnI) assay as a screening test for HCM in cats and determination of a cutoff for its early detection.</w:t>
      </w:r>
    </w:p>
    <w:p/>
    <w:p>
      <w:pPr>
        <w:pStyle w:val="Normal"/>
      </w:pPr>
      <w:r>
        <w:rPr>
          <w:color w:val="323232"/>
        </w:rPr>
        <w:t xml:space="preserve">ANIMALS:One hundred sixty-six client-owned cats (male, n</w:t>
      </w:r>
      <w:r>
        <w:rPr>
          <w:color w:val="323232"/>
        </w:rPr>
        <w:t xml:space="preserve"> </w:t>
      </w:r>
      <w:r>
        <w:rPr>
          <w:color w:val="323232"/>
        </w:rPr>
        <w:t xml:space="preserve">=</w:t>
      </w:r>
      <w:r>
        <w:rPr>
          <w:color w:val="323232"/>
        </w:rPr>
        <w:t xml:space="preserve"> </w:t>
      </w:r>
      <w:r>
        <w:rPr>
          <w:color w:val="323232"/>
        </w:rPr>
        <w:t xml:space="preserve">97) of various breeds were evaluated and classified using echocardiography as being healthy (n</w:t>
      </w:r>
      <w:r>
        <w:rPr>
          <w:color w:val="323232"/>
        </w:rPr>
        <w:t xml:space="preserve"> </w:t>
      </w:r>
      <w:r>
        <w:rPr>
          <w:color w:val="323232"/>
        </w:rPr>
        <w:t xml:space="preserve">=</w:t>
      </w:r>
      <w:r>
        <w:rPr>
          <w:color w:val="323232"/>
        </w:rPr>
        <w:t xml:space="preserve"> </w:t>
      </w:r>
      <w:r>
        <w:rPr>
          <w:color w:val="323232"/>
        </w:rPr>
        <w:t xml:space="preserve">87), equivocal (n</w:t>
      </w:r>
      <w:r>
        <w:rPr>
          <w:color w:val="323232"/>
        </w:rPr>
        <w:t xml:space="preserve"> </w:t>
      </w:r>
      <w:r>
        <w:rPr>
          <w:color w:val="323232"/>
        </w:rPr>
        <w:t xml:space="preserve">=</w:t>
      </w:r>
      <w:r>
        <w:rPr>
          <w:color w:val="323232"/>
        </w:rPr>
        <w:t xml:space="preserve"> </w:t>
      </w:r>
      <w:r>
        <w:rPr>
          <w:color w:val="323232"/>
        </w:rPr>
        <w:t xml:space="preserve">15), or having HCM (mild, n</w:t>
      </w:r>
      <w:r>
        <w:rPr>
          <w:color w:val="323232"/>
        </w:rPr>
        <w:t xml:space="preserve"> </w:t>
      </w:r>
      <w:r>
        <w:rPr>
          <w:color w:val="323232"/>
        </w:rPr>
        <w:t xml:space="preserve">=</w:t>
      </w:r>
      <w:r>
        <w:rPr>
          <w:color w:val="323232"/>
        </w:rPr>
        <w:t xml:space="preserve"> </w:t>
      </w:r>
      <w:r>
        <w:rPr>
          <w:color w:val="323232"/>
        </w:rPr>
        <w:t xml:space="preserve">16; moderate, n</w:t>
      </w:r>
      <w:r>
        <w:rPr>
          <w:color w:val="323232"/>
        </w:rPr>
        <w:t xml:space="preserve"> </w:t>
      </w:r>
      <w:r>
        <w:rPr>
          <w:color w:val="323232"/>
        </w:rPr>
        <w:t xml:space="preserve">= 10; severe, n</w:t>
      </w:r>
      <w:r>
        <w:rPr>
          <w:color w:val="323232"/>
        </w:rPr>
        <w:t xml:space="preserve"> </w:t>
      </w:r>
      <w:r>
        <w:rPr>
          <w:color w:val="323232"/>
        </w:rPr>
        <w:t xml:space="preserve">=</w:t>
      </w:r>
      <w:r>
        <w:rPr>
          <w:color w:val="323232"/>
        </w:rPr>
        <w:t xml:space="preserve"> </w:t>
      </w:r>
      <w:r>
        <w:rPr>
          <w:color w:val="323232"/>
        </w:rPr>
        <w:t xml:space="preserve">34) or ATE (n</w:t>
      </w:r>
      <w:r>
        <w:rPr>
          <w:color w:val="323232"/>
        </w:rPr>
        <w:t xml:space="preserve"> </w:t>
      </w:r>
      <w:r>
        <w:rPr>
          <w:color w:val="323232"/>
        </w:rPr>
        <w:t xml:space="preserve">= 4).</w:t>
      </w:r>
    </w:p>
    <w:p/>
    <w:p>
      <w:pPr>
        <w:pStyle w:val="Normal"/>
      </w:pPr>
      <w:r>
        <w:rPr>
          <w:color w:val="323232"/>
        </w:rPr>
        <w:t xml:space="preserve">METHODS:All cats were prospectively evaluated by echocardiography, and serum cTnI concentration was determined using the currently most sensitive assay (Siemens ADVIA Centaur TnI-Ultra).</w:t>
      </w:r>
    </w:p>
    <w:p/>
    <w:p>
      <w:pPr>
        <w:pStyle w:val="Normal"/>
      </w:pPr>
      <w:r>
        <w:rPr>
          <w:color w:val="323232"/>
        </w:rPr>
        <w:t xml:space="preserve">RESULTS:The median cTnI concentration was significantly different between study groups (P &lt;</w:t>
      </w:r>
      <w:r>
        <w:rPr>
          <w:color w:val="323232"/>
        </w:rPr>
        <w:t xml:space="preserve"> </w:t>
      </w:r>
      <w:r>
        <w:rPr>
          <w:color w:val="323232"/>
        </w:rPr>
        <w:t xml:space="preserve">.000001). A cutoff of 0.06</w:t>
      </w:r>
      <w:r>
        <w:rPr>
          <w:color w:val="323232"/>
        </w:rPr>
        <w:t xml:space="preserve"> </w:t>
      </w:r>
      <w:r>
        <w:rPr>
          <w:color w:val="323232"/>
        </w:rPr>
        <w:t xml:space="preserve">ng</w:t>
      </w:r>
      <w:r>
        <w:rPr>
          <w:i w:val="1"/>
          <w:color w:val="323232"/>
        </w:rPr>
        <w:t xml:space="preserve">mL provided good discrimination between healthy cats and cats with HCM (sensitivity, 91.7%; specificity, 95.4%; area under the curve [AUC], 0.95; 95% confidence interval [CI], 0.899-0.978). Even for asymptomatic cats with HCM, sensitivity and specificity for a cutoff of &gt;0.06</w:t>
      </w:r>
      <w:r>
        <w:rPr>
          <w:color w:val="323232"/>
        </w:rPr>
        <w:t xml:space="preserve"> </w:t>
      </w:r>
      <w:r>
        <w:rPr>
          <w:i w:val="1"/>
          <w:color w:val="323232"/>
        </w:rPr>
        <w:t xml:space="preserve">ng</w:t>
      </w:r>
      <w:r>
        <w:rPr>
          <w:color w:val="323232"/>
        </w:rPr>
        <w:t xml:space="preserve">mL remained high at 87.8% and 95.4%, respectively (AUC, 0.93; 95% CI, 0.864-0.964).</w:t>
      </w:r>
    </w:p>
    <w:p/>
    <w:p>
      <w:pPr>
        <w:pStyle w:val="Normal"/>
      </w:pPr>
      <w:r>
        <w:rPr>
          <w:color w:val="323232"/>
        </w:rPr>
        <w:t xml:space="preserve">CONCLUSIONS AND CLINICAL IMPORTANCE:Cardiac troponin I can be used as a sensitive and specific screening test for the diagnosis of HCM in otherwise healthy cats (cutoff, &gt;0.06</w:t>
      </w:r>
      <w:r>
        <w:rPr>
          <w:color w:val="323232"/>
        </w:rPr>
        <w:t xml:space="preserve"> </w:t>
      </w:r>
      <w:r>
        <w:rPr>
          <w:color w:val="323232"/>
        </w:rPr>
        <w:t xml:space="preserve">ng/mL). However, echocardiography is needed to confirm the diagnosis.</w:t>
      </w:r>
    </w:p>
    <w:p/>
    <w:p>
      <w:pPr>
        <w:pStyle w:val="Normal"/>
      </w:pPr>
      <w:r>
        <w:rPr>
          <w:color w:val="323232"/>
        </w:rPr>
        <w:t xml:space="preserve">J Vet Intern Med, 2019 vol. 33 (3) pp. 1242-1250.</w:t>
      </w:r>
    </w:p>
    <w:p>
      <w:r>
        <w:rPr>
          <w:rStyle w:val="Hyperlink"/>
        </w:rPr>
        <w:fldChar w:fldCharType="begin"/>
      </w:r>
      <w:r>
        <w:rPr>
          <w:rStyle w:val="Hyperlink"/>
        </w:rPr>
        <w:instrText xml:space="preserve"> HYPERLINK "http://dx.doi.org/10.1111/jvim.15498" </w:instrText>
      </w:r>
      <w:r>
        <w:rPr>
          <w:rStyle w:val="Hyperlink"/>
        </w:rPr>
      </w:r>
      <w:r>
        <w:rPr>
          <w:rStyle w:val="Hyperlink"/>
        </w:rPr>
        <w:fldChar w:fldCharType="separate"/>
      </w:r>
      <w:pPr>
        <w:pStyle w:val="Normal"/>
      </w:pPr>
      <w:r>
        <w:rPr>
          <w:rStyle w:val="Hyperlink"/>
        </w:rPr>
        <w:t xml:space="preserve">http://dx.doi.org/10.1111/jvim.15498</w:t>
      </w:r>
      <w:r>
        <w:rPr>
          <w:rStyle w:val="Hyperlink"/>
        </w:rPr>
        <w:fldChar w:fldCharType="end"/>
      </w:r>
    </w:p>
    <w:p>
      <w:pPr>
        <w:pStyle w:val="Normal"/>
      </w:pPr>
      <w:r>
        <w:rPr>
          <w:color w:val="323232"/>
        </w:rPr>
        <w:t xml:space="preserve">————————</w:t>
      </w:r>
    </w:p>
    <w:p>
      <w:pPr>
        <w:pStyle w:val="Heading4"/>
      </w:pPr>
      <w:r>
        <w:t xml:space="preserve">Ultrasonographic features of presumed gastric wall edema in 14 dogs with pancreatitis.</w:t>
      </w:r>
    </w:p>
    <w:p/>
    <w:p>
      <w:pPr>
        <w:pStyle w:val="Normal"/>
      </w:pPr>
      <w:r>
        <w:rPr>
          <w:color w:val="323232"/>
        </w:rPr>
        <w:t xml:space="preserve">Masahiro Murakami, Hock Gan Heng, Chee Kin Lim, Nolie K Parnell, Nicholas J Rancilio, Tsang L Lin, and Mario Sola.</w:t>
      </w:r>
    </w:p>
    <w:p/>
    <w:p>
      <w:pPr>
        <w:pStyle w:val="Normal"/>
      </w:pPr>
      <w:r>
        <w:rPr>
          <w:color w:val="323232"/>
        </w:rPr>
        <w:t xml:space="preserve">BACKGROUND:Gastric wall edema has not been reported as a complication of acute pancreatitis in dogs.</w:t>
      </w:r>
    </w:p>
    <w:p/>
    <w:p>
      <w:pPr>
        <w:pStyle w:val="Normal"/>
      </w:pPr>
      <w:r>
        <w:rPr>
          <w:color w:val="323232"/>
        </w:rPr>
        <w:t xml:space="preserve">OBJECTIVE:To describe the ultrasonographic features of gastric wall thickening in dogs with acute pancreatitis.</w:t>
      </w:r>
    </w:p>
    <w:p/>
    <w:p>
      <w:pPr>
        <w:pStyle w:val="Normal"/>
      </w:pPr>
      <w:r>
        <w:rPr>
          <w:color w:val="323232"/>
        </w:rPr>
        <w:t xml:space="preserve">ANIMALS:Fourteen dogs with ultrasonographic evidence and clinical diagnosis of acute pancreatitis, with ultrasonographic evidence of increased gastric wall thickness (&gt;5 mm).</w:t>
      </w:r>
    </w:p>
    <w:p/>
    <w:p>
      <w:pPr>
        <w:pStyle w:val="Normal"/>
      </w:pPr>
      <w:r>
        <w:rPr>
          <w:color w:val="323232"/>
        </w:rPr>
        <w:t xml:space="preserve">METHODS:A retrospective search in the medical records from 2014 to 2016 was performed to identify dogs that had ultrasonographic evidence of acute pancreatitis, that had increased thickness of the gastric wall and that were diagnosed with acute pancreatitis clinically. The gastric wall changes such as thickness, layering appearance, echogenicity, distribution of lesions, and perigastric changes were recorded. Serial ultrasonographic examination and histopathological findings were recorded if available.</w:t>
      </w:r>
    </w:p>
    <w:p/>
    <w:p>
      <w:pPr>
        <w:pStyle w:val="Normal"/>
      </w:pPr>
      <w:r>
        <w:rPr>
          <w:color w:val="323232"/>
        </w:rPr>
        <w:t xml:space="preserve">RESULTS:Mean gastric wall thickness was 9.9</w:t>
      </w:r>
      <w:r>
        <w:rPr>
          <w:color w:val="323232"/>
        </w:rPr>
        <w:t xml:space="preserve"> </w:t>
      </w:r>
      <w:r>
        <w:rPr>
          <w:color w:val="323232"/>
        </w:rPr>
        <w:t xml:space="preserve">±</w:t>
      </w:r>
      <w:r>
        <w:rPr>
          <w:color w:val="323232"/>
        </w:rPr>
        <w:t xml:space="preserve"> </w:t>
      </w:r>
      <w:r>
        <w:rPr>
          <w:color w:val="323232"/>
        </w:rPr>
        <w:t xml:space="preserve">4.0 mm (SD). A complete loss of wall layering was observed in 2 dogs. Thickening of the submucosal layer was observed in 12 dogs, and 5 of them had concurrent muscularis layer thickening. The echogenicity of thickened submucosal layer was intermediate hyperechoic. Lacy appearances were present within the thickened submucosal layer in 7 dogs and in the muscularis layer of 1 dog. Thickening was focal in 12 dogs and adjacent to the diseased pancreas. Subsequent resolution of gastric wall thickening was observed in 3 dogs (range 3-28</w:t>
      </w:r>
      <w:r>
        <w:rPr>
          <w:color w:val="323232"/>
        </w:rPr>
        <w:t xml:space="preserve"> </w:t>
      </w:r>
      <w:r>
        <w:rPr>
          <w:color w:val="323232"/>
        </w:rPr>
        <w:t xml:space="preserve">days) via follow-up ultrasound. One dog underwent necropsy, and gastric wall edema was confirmed histopathologically.</w:t>
      </w:r>
    </w:p>
    <w:p/>
    <w:p>
      <w:pPr>
        <w:pStyle w:val="Normal"/>
      </w:pPr>
      <w:r>
        <w:rPr>
          <w:color w:val="323232"/>
        </w:rPr>
        <w:t xml:space="preserve">CONCLUSIONS AND CLINICAL IMPORTANCE:Findings indicated that gastric wall thickening presumably because of edema could be a complication of acute pancreatitis.</w:t>
      </w:r>
    </w:p>
    <w:p/>
    <w:p>
      <w:pPr>
        <w:pStyle w:val="Normal"/>
      </w:pPr>
      <w:r>
        <w:rPr>
          <w:color w:val="323232"/>
        </w:rPr>
        <w:t xml:space="preserve">J Vet Intern Med, 2019 vol. 33 (3) pp. 1260-1265.</w:t>
      </w:r>
    </w:p>
    <w:p>
      <w:r>
        <w:rPr>
          <w:rStyle w:val="Hyperlink"/>
        </w:rPr>
        <w:fldChar w:fldCharType="begin"/>
      </w:r>
      <w:r>
        <w:rPr>
          <w:rStyle w:val="Hyperlink"/>
        </w:rPr>
        <w:instrText xml:space="preserve"> HYPERLINK "http://dx.doi.org/10.1111/jvim.15507" </w:instrText>
      </w:r>
      <w:r>
        <w:rPr>
          <w:rStyle w:val="Hyperlink"/>
        </w:rPr>
      </w:r>
      <w:r>
        <w:rPr>
          <w:rStyle w:val="Hyperlink"/>
        </w:rPr>
        <w:fldChar w:fldCharType="separate"/>
      </w:r>
      <w:pPr>
        <w:pStyle w:val="Normal"/>
      </w:pPr>
      <w:r>
        <w:rPr>
          <w:rStyle w:val="Hyperlink"/>
        </w:rPr>
        <w:t xml:space="preserve">http://dx.doi.org/10.1111/jvim.15507</w:t>
      </w:r>
      <w:r>
        <w:rPr>
          <w:rStyle w:val="Hyperlink"/>
        </w:rPr>
        <w:fldChar w:fldCharType="end"/>
      </w:r>
    </w:p>
    <w:p>
      <w:pPr>
        <w:pStyle w:val="Normal"/>
      </w:pPr>
      <w:r>
        <w:rPr>
          <w:color w:val="323232"/>
        </w:rPr>
        <w:t xml:space="preserve">————————</w:t>
      </w:r>
    </w:p>
    <w:p>
      <w:pPr>
        <w:pStyle w:val="Heading4"/>
      </w:pPr>
      <w:r>
        <w:t xml:space="preserve">Evaluation of a low-dose desoxycorticosterone pivalate treatment protocol for long-term management of dogs with primary hypoadrenocorticism.</w:t>
      </w:r>
    </w:p>
    <w:p/>
    <w:p>
      <w:pPr>
        <w:pStyle w:val="Normal"/>
      </w:pPr>
      <w:r>
        <w:rPr>
          <w:color w:val="323232"/>
        </w:rPr>
        <w:t xml:space="preserve">Nadia S Sieber-Ruckstuhl, Claudia E Reusch, Nathalie Hofer-Inteeworn, Claudia Kuemmerle Fraune, Claudia Müller, Regina Hofmann-Lehmann, and Felicitas S Boretti.</w:t>
      </w:r>
    </w:p>
    <w:p/>
    <w:p>
      <w:pPr>
        <w:pStyle w:val="Normal"/>
      </w:pPr>
      <w:r>
        <w:rPr>
          <w:color w:val="323232"/>
        </w:rPr>
        <w:t xml:space="preserve">BACKGROUND:Lowering the dose of desoxycorticosterone pivalate (DOCP) for the treatment of dogs with primary hypoadrenocorticism (PH) decreases costs and could lead to increased owner motivation to treat their affected dogs.</w:t>
      </w:r>
    </w:p>
    <w:p/>
    <w:p>
      <w:pPr>
        <w:pStyle w:val="Normal"/>
      </w:pPr>
      <w:r>
        <w:rPr>
          <w:color w:val="323232"/>
        </w:rPr>
        <w:t xml:space="preserve">OBJECTIVE:To evaluate the efficacy of a low-dose DOCP treatment protocol in dogs with PH.</w:t>
      </w:r>
    </w:p>
    <w:p/>
    <w:p>
      <w:pPr>
        <w:pStyle w:val="Normal"/>
      </w:pPr>
      <w:r>
        <w:rPr>
          <w:color w:val="323232"/>
        </w:rPr>
        <w:t xml:space="preserve">ANIMALS:Prospective study, 17 client-owned dogs with naturally occurring PH (12 newly diagnosed, 5 previously treated with fludrocortisone acetate [FC]).</w:t>
      </w:r>
    </w:p>
    <w:p/>
    <w:p>
      <w:pPr>
        <w:pStyle w:val="Normal"/>
      </w:pPr>
      <w:r>
        <w:rPr>
          <w:color w:val="323232"/>
        </w:rPr>
        <w:t xml:space="preserve">METHODS:Dogs with newly diagnosed PH were started on 1.5</w:t>
      </w:r>
      <w:r>
        <w:rPr>
          <w:color w:val="323232"/>
        </w:rPr>
        <w:t xml:space="preserve"> </w:t>
      </w:r>
      <w:r>
        <w:rPr>
          <w:color w:val="323232"/>
        </w:rPr>
        <w:t xml:space="preserve">mg</w:t>
      </w:r>
      <w:r>
        <w:rPr>
          <w:i w:val="1"/>
          <w:color w:val="323232"/>
        </w:rPr>
        <w:t xml:space="preserve">kg DOCP SC; dogs previously treated with FC were started on 1.0-1.8</w:t>
      </w:r>
      <w:r>
        <w:rPr>
          <w:color w:val="323232"/>
        </w:rPr>
        <w:t xml:space="preserve"> </w:t>
      </w:r>
      <w:r>
        <w:rPr>
          <w:i w:val="1"/>
          <w:color w:val="323232"/>
        </w:rPr>
        <w:t xml:space="preserve">mg</w:t>
      </w:r>
      <w:r>
        <w:rPr>
          <w:color w:val="323232"/>
        </w:rPr>
        <w:t xml:space="preserve">kg DOCP SC. Reevaluations took place at regular intervals for a minimum of 3</w:t>
      </w:r>
      <w:r>
        <w:rPr>
          <w:color w:val="323232"/>
        </w:rPr>
        <w:t xml:space="preserve"> </w:t>
      </w:r>
      <w:r>
        <w:rPr>
          <w:color w:val="323232"/>
        </w:rPr>
        <w:t xml:space="preserve">months and included clinical examination and determination of serum sodium and potassium concentrations. The DOCP dosage was adjusted to obtain an injection interval of 28-30</w:t>
      </w:r>
      <w:r>
        <w:rPr>
          <w:color w:val="323232"/>
        </w:rPr>
        <w:t xml:space="preserve"> </w:t>
      </w:r>
      <w:r>
        <w:rPr>
          <w:color w:val="323232"/>
        </w:rPr>
        <w:t xml:space="preserve">days and to keep serum electrolyte concentrations within the reference interval.</w:t>
      </w:r>
    </w:p>
    <w:p/>
    <w:p>
      <w:pPr>
        <w:pStyle w:val="Normal"/>
      </w:pPr>
      <w:r>
        <w:rPr>
          <w:color w:val="323232"/>
        </w:rPr>
        <w:t xml:space="preserve">RESULTS:Median (range) follow-up was 16.2</w:t>
      </w:r>
      <w:r>
        <w:rPr>
          <w:color w:val="323232"/>
        </w:rPr>
        <w:t xml:space="preserve"> </w:t>
      </w:r>
      <w:r>
        <w:rPr>
          <w:color w:val="323232"/>
        </w:rPr>
        <w:t xml:space="preserve">months (4.5-32.3</w:t>
      </w:r>
      <w:r>
        <w:rPr>
          <w:color w:val="323232"/>
        </w:rPr>
        <w:t xml:space="preserve"> </w:t>
      </w:r>
      <w:r>
        <w:rPr>
          <w:color w:val="323232"/>
        </w:rPr>
        <w:t xml:space="preserve">months). The starting dosage was sufficient in all but 2 dogs and had to be significantly decreased after 2-3</w:t>
      </w:r>
      <w:r>
        <w:rPr>
          <w:color w:val="323232"/>
        </w:rPr>
        <w:t xml:space="preserve"> </w:t>
      </w:r>
      <w:r>
        <w:rPr>
          <w:color w:val="323232"/>
        </w:rPr>
        <w:t xml:space="preserve">months to a median dosage (range) of 1.1</w:t>
      </w:r>
      <w:r>
        <w:rPr>
          <w:color w:val="323232"/>
        </w:rPr>
        <w:t xml:space="preserve"> </w:t>
      </w:r>
      <w:r>
        <w:rPr>
          <w:color w:val="323232"/>
        </w:rPr>
        <w:t xml:space="preserve">mg</w:t>
      </w:r>
      <w:r>
        <w:rPr>
          <w:i w:val="1"/>
          <w:color w:val="323232"/>
        </w:rPr>
        <w:t xml:space="preserve">kg (0.7-1.8). Dogs 3</w:t>
      </w:r>
      <w:r>
        <w:rPr>
          <w:color w:val="323232"/>
        </w:rPr>
        <w:t xml:space="preserve"> </w:t>
      </w:r>
      <w:r>
        <w:rPr>
          <w:i w:val="1"/>
          <w:color w:val="323232"/>
        </w:rPr>
        <w:t xml:space="preserve">years of age or younger needed significantly higher dosages compared to older dogs. None of them, however, needed the 2.2</w:t>
      </w:r>
      <w:r>
        <w:rPr>
          <w:color w:val="323232"/>
        </w:rPr>
        <w:t xml:space="preserve"> </w:t>
      </w:r>
      <w:r>
        <w:rPr>
          <w:i w:val="1"/>
          <w:color w:val="323232"/>
        </w:rPr>
        <w:t xml:space="preserve">mg</w:t>
      </w:r>
      <w:r>
        <w:rPr>
          <w:color w:val="323232"/>
        </w:rPr>
        <w:t xml:space="preserve">kg DOCP dosage, recommended by the manufacturer.</w:t>
      </w:r>
    </w:p>
    <w:p/>
    <w:p>
      <w:pPr>
        <w:pStyle w:val="Normal"/>
      </w:pPr>
      <w:r>
        <w:rPr>
          <w:color w:val="323232"/>
        </w:rPr>
        <w:t xml:space="preserve">CONCLUSIONS AND CLINICAL IMPORTANCE:A starting dosage of 1.5</w:t>
      </w:r>
      <w:r>
        <w:rPr>
          <w:color w:val="323232"/>
        </w:rPr>
        <w:t xml:space="preserve"> </w:t>
      </w:r>
      <w:r>
        <w:rPr>
          <w:color w:val="323232"/>
        </w:rPr>
        <w:t xml:space="preserve">mg/kg DOCP is effective in controlling clinical signs and serum electrolyte concentrations in the majority of dogs with PH. An additional dose reduction often is needed to maintain an injection interval of 28-30</w:t>
      </w:r>
      <w:r>
        <w:rPr>
          <w:color w:val="323232"/>
        </w:rPr>
        <w:t xml:space="preserve"> </w:t>
      </w:r>
      <w:r>
        <w:rPr>
          <w:color w:val="323232"/>
        </w:rPr>
        <w:t xml:space="preserve">days. Young and growing animals seem to need higher dosages.</w:t>
      </w:r>
    </w:p>
    <w:p/>
    <w:p>
      <w:pPr>
        <w:pStyle w:val="Normal"/>
      </w:pPr>
      <w:r>
        <w:rPr>
          <w:color w:val="323232"/>
        </w:rPr>
        <w:t xml:space="preserve">J Vet Intern Med, 2019 vol. 33 (3) pp. 1266-1271.</w:t>
      </w:r>
    </w:p>
    <w:p>
      <w:r>
        <w:rPr>
          <w:rStyle w:val="Hyperlink"/>
        </w:rPr>
        <w:fldChar w:fldCharType="begin"/>
      </w:r>
      <w:r>
        <w:rPr>
          <w:rStyle w:val="Hyperlink"/>
        </w:rPr>
        <w:instrText xml:space="preserve"> HYPERLINK "http://dx.doi.org/10.1111/jvim.15475" </w:instrText>
      </w:r>
      <w:r>
        <w:rPr>
          <w:rStyle w:val="Hyperlink"/>
        </w:rPr>
      </w:r>
      <w:r>
        <w:rPr>
          <w:rStyle w:val="Hyperlink"/>
        </w:rPr>
        <w:fldChar w:fldCharType="separate"/>
      </w:r>
      <w:pPr>
        <w:pStyle w:val="Normal"/>
      </w:pPr>
      <w:r>
        <w:rPr>
          <w:rStyle w:val="Hyperlink"/>
        </w:rPr>
        <w:t xml:space="preserve">http://dx.doi.org/10.1111/jvim.15475</w:t>
      </w:r>
      <w:r>
        <w:rPr>
          <w:rStyle w:val="Hyperlink"/>
        </w:rPr>
        <w:fldChar w:fldCharType="end"/>
      </w:r>
    </w:p>
    <w:p>
      <w:pPr>
        <w:pStyle w:val="Normal"/>
      </w:pPr>
      <w:r>
        <w:rPr>
          <w:color w:val="323232"/>
        </w:rPr>
        <w:t xml:space="preserve">————————</w:t>
      </w:r>
    </w:p>
    <w:p>
      <w:pPr>
        <w:pStyle w:val="Heading4"/>
      </w:pPr>
      <w:r>
        <w:t xml:space="preserve">Comparison of diagnostic techniques for detection of Giardia duodenalis in dogs and cats.</w:t>
      </w:r>
    </w:p>
    <w:p/>
    <w:p>
      <w:pPr>
        <w:pStyle w:val="Normal"/>
      </w:pPr>
      <w:r>
        <w:rPr>
          <w:color w:val="323232"/>
        </w:rPr>
        <w:t xml:space="preserve">Meriam N Saleh, Jack R Heptinstall, Eileen M Johnson, Lora R Ballweber, David S Lindsay, Stephen Werre, Joel F Herbein, and Anne M Zajac.</w:t>
      </w:r>
    </w:p>
    <w:p/>
    <w:p>
      <w:pPr>
        <w:pStyle w:val="Normal"/>
      </w:pPr>
      <w:r>
        <w:rPr>
          <w:color w:val="323232"/>
        </w:rPr>
        <w:t xml:space="preserve">BACKGROUND:An evaluation of currently available in-clinic diagnostic tests for Giardia duodenalis infection of dogs and cats has not been performed. In addition, there is discordance among published diagnostic comparisons. The absence of a true gold standard for detecting Giardia duodenalis also complicates diagnostic evaluations.</w:t>
      </w:r>
    </w:p>
    <w:p/>
    <w:p>
      <w:pPr>
        <w:pStyle w:val="Normal"/>
      </w:pPr>
      <w:r>
        <w:rPr>
          <w:color w:val="323232"/>
        </w:rPr>
        <w:t xml:space="preserve">OBJECTIVES:To evaluate diagnostic tests commercially available in the United States for detecting Giardia duodenalis in dogs and cats, in comparison to a widely used reference test, the direct immunofluorescent assay (IFA), and also to compare the results of 2 methods of analysis: comparison of diagnostic tests to a reference test (IFA) and Bayesian analysis.</w:t>
      </w:r>
    </w:p>
    <w:p/>
    <w:p>
      <w:pPr>
        <w:pStyle w:val="Normal"/>
      </w:pPr>
      <w:r>
        <w:rPr>
          <w:color w:val="323232"/>
        </w:rPr>
        <w:t xml:space="preserve">ANIMALS:Fecal samples from a convenience sample of 388 cats and dogs located in Colorado, Oklahoma, and Virginia.</w:t>
      </w:r>
    </w:p>
    <w:p/>
    <w:p>
      <w:pPr>
        <w:pStyle w:val="Normal"/>
      </w:pPr>
      <w:r>
        <w:rPr>
          <w:color w:val="323232"/>
        </w:rPr>
        <w:t xml:space="preserve">METHODS:Fecal samples were tested for Giardia duodenalis by zinc sulfate centrifugal fecal flotation and 4 different commercial diagnostic immunoassays. Results were analyzed via Bayesian analysis and by comparison to the IFA as the reference test.</w:t>
      </w:r>
    </w:p>
    <w:p/>
    <w:p>
      <w:pPr>
        <w:pStyle w:val="Normal"/>
      </w:pPr>
      <w:r>
        <w:rPr>
          <w:color w:val="323232"/>
        </w:rPr>
        <w:t xml:space="preserve">RESULTS:Sensitivity and specificity by comparison to IFA was ≥82% and ≥90%, respectively, for all diagnostic tests in dogs and cats. When analyzed via Bayesian analysis, sensitivity and specificity were ≥83% and ≥95%, respectively. When ZnSO4 centrifugal fecal flotation results were combined with immunoassay results, there was no longer a significant difference between the sensitivities of the commercial in-clinic immunoassays.</w:t>
      </w:r>
    </w:p>
    <w:p/>
    <w:p>
      <w:pPr>
        <w:pStyle w:val="Normal"/>
      </w:pPr>
      <w:r>
        <w:rPr>
          <w:color w:val="323232"/>
        </w:rPr>
        <w:t xml:space="preserve">CONCLUSION AND CLINICAL RELEVANCE:The Bayesian analysis validates using IFA as the reference test. Differences in commercial in-clinic immunoassay sensitivities can be mitigated when the results are combined with ZnSO4 centrifugal fecal flotation results.</w:t>
      </w:r>
    </w:p>
    <w:p/>
    <w:p>
      <w:pPr>
        <w:pStyle w:val="Normal"/>
      </w:pPr>
      <w:r>
        <w:rPr>
          <w:color w:val="323232"/>
        </w:rPr>
        <w:t xml:space="preserve">J Vet Intern Med, 2019 vol. 33 (3) pp. 1272-1277.</w:t>
      </w:r>
    </w:p>
    <w:p>
      <w:r>
        <w:rPr>
          <w:rStyle w:val="Hyperlink"/>
        </w:rPr>
        <w:fldChar w:fldCharType="begin"/>
      </w:r>
      <w:r>
        <w:rPr>
          <w:rStyle w:val="Hyperlink"/>
        </w:rPr>
        <w:instrText xml:space="preserve"> HYPERLINK "http://dx.doi.org/10.1111/jvim.15491" </w:instrText>
      </w:r>
      <w:r>
        <w:rPr>
          <w:rStyle w:val="Hyperlink"/>
        </w:rPr>
      </w:r>
      <w:r>
        <w:rPr>
          <w:rStyle w:val="Hyperlink"/>
        </w:rPr>
        <w:fldChar w:fldCharType="separate"/>
      </w:r>
      <w:pPr>
        <w:pStyle w:val="Normal"/>
      </w:pPr>
      <w:r>
        <w:rPr>
          <w:rStyle w:val="Hyperlink"/>
        </w:rPr>
        <w:t xml:space="preserve">http://dx.doi.org/10.1111/jvim.15491</w:t>
      </w:r>
      <w:r>
        <w:rPr>
          <w:rStyle w:val="Hyperlink"/>
        </w:rPr>
        <w:fldChar w:fldCharType="end"/>
      </w:r>
    </w:p>
    <w:p>
      <w:pPr>
        <w:pStyle w:val="Normal"/>
      </w:pPr>
      <w:r>
        <w:rPr>
          <w:color w:val="323232"/>
        </w:rPr>
        <w:t xml:space="preserve">————————</w:t>
      </w:r>
    </w:p>
    <w:p>
      <w:pPr>
        <w:pStyle w:val="Heading4"/>
      </w:pPr>
      <w:r>
        <w:t xml:space="preserve">Ability of ultrasonography to predict the presence and location of histologic lesions in the small intestine of cats.</w:t>
      </w:r>
    </w:p>
    <w:p/>
    <w:p>
      <w:pPr>
        <w:pStyle w:val="Normal"/>
      </w:pPr>
      <w:r>
        <w:rPr>
          <w:color w:val="323232"/>
        </w:rPr>
        <w:t xml:space="preserve">Talia Guttin, Audra Walsh, Amy C Durham, Jennifer A Reetz, Dorothy C Brown, and Mark P Rondeau.</w:t>
      </w:r>
    </w:p>
    <w:p/>
    <w:p>
      <w:pPr>
        <w:pStyle w:val="Normal"/>
      </w:pPr>
      <w:r>
        <w:rPr>
          <w:color w:val="323232"/>
        </w:rPr>
        <w:t xml:space="preserve">BACKGROUND:Diagnosis of infiltrative small intestinal (SI) disease in cats is challenging, and debate continues regarding optimal biopsy techniques. Ultrasonography may facilitate selection of biopsy type and location.</w:t>
      </w:r>
    </w:p>
    <w:p/>
    <w:p>
      <w:pPr>
        <w:pStyle w:val="Normal"/>
      </w:pPr>
      <w:r>
        <w:rPr>
          <w:color w:val="323232"/>
        </w:rPr>
        <w:t xml:space="preserve">HYPOTHESIS/OBJECTIVES:Assess ability of ultrasonography to predict histologic lesions by SI segment and tissue layer.</w:t>
      </w:r>
    </w:p>
    <w:p/>
    <w:p>
      <w:pPr>
        <w:pStyle w:val="Normal"/>
      </w:pPr>
      <w:r>
        <w:rPr>
          <w:color w:val="323232"/>
        </w:rPr>
        <w:t xml:space="preserve">ANIMALS:One-hundred sixty-nine cats that had abdominal ultrasonography and full-thickness SI biopsies performed.</w:t>
      </w:r>
    </w:p>
    <w:p/>
    <w:p>
      <w:pPr>
        <w:pStyle w:val="Normal"/>
      </w:pPr>
      <w:r>
        <w:rPr>
          <w:color w:val="323232"/>
        </w:rPr>
        <w:t xml:space="preserve">METHODS:Ultrasonographic images and full-thickness biopsy samples were retrospectively reviewed, and each SI wall layer evaluated for lesions according to published standards.</w:t>
      </w:r>
    </w:p>
    <w:p/>
    <w:p>
      <w:pPr>
        <w:pStyle w:val="Normal"/>
      </w:pPr>
      <w:r>
        <w:rPr>
          <w:color w:val="323232"/>
        </w:rPr>
        <w:t xml:space="preserve">RESULTS:Ultrasonographic SI lesions were present in 132 cats (63 duodenum; 115 jejunum; 71 ileum). Samples were obtained at laparotomy (60) or necropsy (109). Ultrasonographic abnormalities had high positive predictive value (PPV) for histologic lesions (duodenum, 82.0%; 95% confidence interval [CI], 68.6-91.4; jejunum, 91.0%; 95% CI, 81.5-96.6; ileum, 88.1%; 95% CI, 74.4-96.0), but poor negative predictive value (duodenum, 27.1%; 95% CI, 17.2-39.1; jejunum, 27.3%; 95% CI, 10.7-50.2; ileum, 40.4%; 95% CI, 26.4-55.7). The ability of ultrasonography to predict histologic lesions in this population, which had high disease prevalence (SI histologic lesions in 78.1% of cats) was high for mucosal lesions (PPV, 72.7%-100%) but low for submucosal or muscularis lesions (PPV, 18.9%-57.1%).</w:t>
      </w:r>
    </w:p>
    <w:p/>
    <w:p>
      <w:pPr>
        <w:pStyle w:val="Normal"/>
      </w:pPr>
      <w:r>
        <w:rPr>
          <w:color w:val="323232"/>
        </w:rPr>
        <w:t xml:space="preserve">CONCLUSIONS AND CLINICAL IMPORTANCE:In a population with high disease prevalence, most cats with SI mucosal ultrasonographic lesions will have mucosal histologic lesions. Small intestinal submucosal and muscularis ultrasonographic lesions are not predictive of histologic disease in those layers, suggesting that full-thickness biopsy may not be essential in these cats. Ultrasonography may help guide decisions about biopsy type in individual cats.</w:t>
      </w:r>
    </w:p>
    <w:p/>
    <w:p>
      <w:pPr>
        <w:pStyle w:val="Normal"/>
      </w:pPr>
      <w:r>
        <w:rPr>
          <w:color w:val="323232"/>
        </w:rPr>
        <w:t xml:space="preserve">J Vet Intern Med, 2019 vol. 33 (3) pp. 1278-1285.</w:t>
      </w:r>
    </w:p>
    <w:p>
      <w:r>
        <w:rPr>
          <w:rStyle w:val="Hyperlink"/>
        </w:rPr>
        <w:fldChar w:fldCharType="begin"/>
      </w:r>
      <w:r>
        <w:rPr>
          <w:rStyle w:val="Hyperlink"/>
        </w:rPr>
        <w:instrText xml:space="preserve"> HYPERLINK "http://dx.doi.org/10.1111/jvim.15471" </w:instrText>
      </w:r>
      <w:r>
        <w:rPr>
          <w:rStyle w:val="Hyperlink"/>
        </w:rPr>
      </w:r>
      <w:r>
        <w:rPr>
          <w:rStyle w:val="Hyperlink"/>
        </w:rPr>
        <w:fldChar w:fldCharType="separate"/>
      </w:r>
      <w:pPr>
        <w:pStyle w:val="Normal"/>
      </w:pPr>
      <w:r>
        <w:rPr>
          <w:rStyle w:val="Hyperlink"/>
        </w:rPr>
        <w:t xml:space="preserve">http://dx.doi.org/10.1111/jvim.15471</w:t>
      </w:r>
      <w:r>
        <w:rPr>
          <w:rStyle w:val="Hyperlink"/>
        </w:rPr>
        <w:fldChar w:fldCharType="end"/>
      </w:r>
    </w:p>
    <w:p>
      <w:pPr>
        <w:pStyle w:val="Normal"/>
      </w:pPr>
      <w:r>
        <w:rPr>
          <w:color w:val="323232"/>
        </w:rPr>
        <w:t xml:space="preserve">————————</w:t>
      </w:r>
    </w:p>
    <w:p>
      <w:pPr>
        <w:pStyle w:val="Heading4"/>
      </w:pPr>
      <w:r>
        <w:t xml:space="preserve">Efficacy of an orally administered anti-diarrheal probiotic paste (Pro-Kolin Advanced) in dogs with acute diarrhea: A randomized, placebo-controlled, double-blinded clinical study.</w:t>
      </w:r>
    </w:p>
    <w:p/>
    <w:p>
      <w:pPr>
        <w:pStyle w:val="Normal"/>
      </w:pPr>
      <w:r>
        <w:rPr>
          <w:color w:val="323232"/>
        </w:rPr>
        <w:t xml:space="preserve">Sophie L Nixon, Lindsay Rose, and Annika T Muller.</w:t>
      </w:r>
    </w:p>
    <w:p/>
    <w:p>
      <w:pPr>
        <w:pStyle w:val="Normal"/>
      </w:pPr>
      <w:r>
        <w:rPr>
          <w:color w:val="323232"/>
        </w:rPr>
        <w:t xml:space="preserve">BACKGROUND:Acute diarrhea is a common clinical presentation of dogs. The effect of specific anti-diarrheal probiotic pastes (ADPPs) in the management of acute, uncomplicated diarrhea in dogs is unknown.</w:t>
      </w:r>
    </w:p>
    <w:p/>
    <w:p>
      <w:pPr>
        <w:pStyle w:val="Normal"/>
      </w:pPr>
      <w:r>
        <w:rPr>
          <w:color w:val="323232"/>
        </w:rPr>
        <w:t xml:space="preserve">HYPOTHESIS:Administration of an ADPP containing Enterococcus faecium 4b1707 will improve the clinical outcome of acute, uncomplicated diarrhea in dogs compared to placebo.</w:t>
      </w:r>
    </w:p>
    <w:p/>
    <w:p>
      <w:pPr>
        <w:pStyle w:val="Normal"/>
      </w:pPr>
      <w:r>
        <w:rPr>
          <w:color w:val="323232"/>
        </w:rPr>
        <w:t xml:space="preserve">ANIMALS:One hundred forty-eight client-owned dogs with acute diarrhea as the main clinical sign.</w:t>
      </w:r>
    </w:p>
    <w:p/>
    <w:p>
      <w:pPr>
        <w:pStyle w:val="Normal"/>
      </w:pPr>
      <w:r>
        <w:rPr>
          <w:color w:val="323232"/>
        </w:rPr>
        <w:t xml:space="preserve">METHODS:Double-blinded, placebo-controlled, randomized, blocked, multicenter clinical field study conducted at 14 primary care veterinary practices in the United Kingdom and Ireland.</w:t>
      </w:r>
    </w:p>
    <w:p/>
    <w:p>
      <w:pPr>
        <w:pStyle w:val="Normal"/>
      </w:pPr>
      <w:r>
        <w:rPr>
          <w:color w:val="323232"/>
        </w:rPr>
        <w:t xml:space="preserve">RESULTS:The ADPP was associated with better clinical outcome compared to placebo in dogs with acute, uncomplicated diarrhea. Dogs in the ADPP group had a significantly shorter duration of diarrhea (ADPP: median, 32</w:t>
      </w:r>
      <w:r>
        <w:rPr>
          <w:color w:val="323232"/>
        </w:rPr>
        <w:t xml:space="preserve"> </w:t>
      </w:r>
      <w:r>
        <w:rPr>
          <w:color w:val="323232"/>
        </w:rPr>
        <w:t xml:space="preserve">hours; 95% confidence interval [CI], 2-118; n</w:t>
      </w:r>
      <w:r>
        <w:rPr>
          <w:color w:val="323232"/>
        </w:rPr>
        <w:t xml:space="preserve"> </w:t>
      </w:r>
      <w:r>
        <w:rPr>
          <w:color w:val="323232"/>
        </w:rPr>
        <w:t xml:space="preserve">=</w:t>
      </w:r>
      <w:r>
        <w:rPr>
          <w:color w:val="323232"/>
        </w:rPr>
        <w:t xml:space="preserve"> </w:t>
      </w:r>
      <w:r>
        <w:rPr>
          <w:color w:val="323232"/>
        </w:rPr>
        <w:t xml:space="preserve">51; Placebo: median, 47</w:t>
      </w:r>
      <w:r>
        <w:rPr>
          <w:color w:val="323232"/>
        </w:rPr>
        <w:t xml:space="preserve"> </w:t>
      </w:r>
      <w:r>
        <w:rPr>
          <w:color w:val="323232"/>
        </w:rPr>
        <w:t xml:space="preserve">hours; 95% CI, 4-167; n</w:t>
      </w:r>
      <w:r>
        <w:rPr>
          <w:color w:val="323232"/>
        </w:rPr>
        <w:t xml:space="preserve"> </w:t>
      </w:r>
      <w:r>
        <w:rPr>
          <w:color w:val="323232"/>
        </w:rPr>
        <w:t xml:space="preserve">=</w:t>
      </w:r>
      <w:r>
        <w:rPr>
          <w:color w:val="323232"/>
        </w:rPr>
        <w:t xml:space="preserve"> </w:t>
      </w:r>
      <w:r>
        <w:rPr>
          <w:color w:val="323232"/>
        </w:rPr>
        <w:t xml:space="preserve">58; P</w:t>
      </w:r>
      <w:r>
        <w:rPr>
          <w:color w:val="323232"/>
        </w:rPr>
        <w:t xml:space="preserve"> </w:t>
      </w:r>
      <w:r>
        <w:rPr>
          <w:color w:val="323232"/>
        </w:rPr>
        <w:t xml:space="preserve">=</w:t>
      </w:r>
      <w:r>
        <w:rPr>
          <w:color w:val="323232"/>
        </w:rPr>
        <w:t xml:space="preserve"> </w:t>
      </w:r>
      <w:r>
        <w:rPr>
          <w:color w:val="323232"/>
        </w:rPr>
        <w:t xml:space="preserve">.008) and the rate of resolution of diarrhea was 1.60 times faster in the ADPP group than in the Placebo group (ratio, 1.60; 95% CI, 1.08-2.44; P</w:t>
      </w:r>
      <w:r>
        <w:rPr>
          <w:color w:val="323232"/>
        </w:rPr>
        <w:t xml:space="preserve"> </w:t>
      </w:r>
      <w:r>
        <w:rPr>
          <w:color w:val="323232"/>
        </w:rPr>
        <w:t xml:space="preserve">=</w:t>
      </w:r>
      <w:r>
        <w:rPr>
          <w:color w:val="323232"/>
        </w:rPr>
        <w:t xml:space="preserve"> </w:t>
      </w:r>
      <w:r>
        <w:rPr>
          <w:color w:val="323232"/>
        </w:rPr>
        <w:t xml:space="preserve">.02). Fewer dogs required additional medical intervention (AMI) for non-improvement or worsening in the ADPP group compared to the Placebo group (3.5% of dogs and 14.8% of dogs, respectively), with a relative risk of 0.88 (P</w:t>
      </w:r>
      <w:r>
        <w:rPr>
          <w:color w:val="323232"/>
        </w:rPr>
        <w:t xml:space="preserve"> </w:t>
      </w:r>
      <w:r>
        <w:rPr>
          <w:color w:val="323232"/>
        </w:rPr>
        <w:t xml:space="preserve">=</w:t>
      </w:r>
      <w:r>
        <w:rPr>
          <w:color w:val="323232"/>
        </w:rPr>
        <w:t xml:space="preserve"> </w:t>
      </w:r>
      <w:r>
        <w:rPr>
          <w:color w:val="323232"/>
        </w:rPr>
        <w:t xml:space="preserve">.04; AMI, ADPP, 3.5%, 2/57 dogs; Placebo, 14.8%, 9/61 dogs; relative risk, 0.88; 95% CI, 0.77-0.99).</w:t>
      </w:r>
    </w:p>
    <w:p/>
    <w:p>
      <w:pPr>
        <w:pStyle w:val="Normal"/>
      </w:pPr>
      <w:r>
        <w:rPr>
          <w:color w:val="323232"/>
        </w:rPr>
        <w:t xml:space="preserve">CONCLUSION AND CLINICAL IMPORTANCE:The ADPP may accelerate resolution of acute diarrhea in dogs and decrease the requirement for AMI.</w:t>
      </w:r>
    </w:p>
    <w:p/>
    <w:p>
      <w:pPr>
        <w:pStyle w:val="Normal"/>
      </w:pPr>
      <w:r>
        <w:rPr>
          <w:color w:val="323232"/>
        </w:rPr>
        <w:t xml:space="preserve">J Vet Intern Med, 2019 vol. 33 (3) pp. 1286-1294.</w:t>
      </w:r>
    </w:p>
    <w:p>
      <w:r>
        <w:rPr>
          <w:rStyle w:val="Hyperlink"/>
        </w:rPr>
        <w:fldChar w:fldCharType="begin"/>
      </w:r>
      <w:r>
        <w:rPr>
          <w:rStyle w:val="Hyperlink"/>
        </w:rPr>
        <w:instrText xml:space="preserve"> HYPERLINK "http://eutils.ncbi.nlm.nih.gov/entrez/eutils/elink.fcgi?dbfrom=pubmed&amp;id=30882953&amp;retmode=ref&amp;cmd=prlinks"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http://eutils.ncbi.nlm.nih.gov/entrez/eutils/elink.fcgi?dbfrom=pubmed&amp;id=30882953&amp;retmode=ref&amp;cmd=prlinks</w:t>
      </w:r>
      <w:r>
        <w:rPr>
          <w:rStyle w:val="Hyperlink"/>
        </w:rPr>
        <w:fldChar w:fldCharType="end"/>
      </w:r>
    </w:p>
    <w:p>
      <w:pPr>
        <w:pStyle w:val="Normal"/>
      </w:pPr>
      <w:r>
        <w:rPr>
          <w:color w:val="323232"/>
        </w:rPr>
        <w:t xml:space="preserve">————————</w:t>
      </w:r>
    </w:p>
    <w:p>
      <w:pPr>
        <w:pStyle w:val="Heading4"/>
      </w:pPr>
      <w:r>
        <w:t xml:space="preserve">Longitudinal assessment of microbial dysbiosis, fecal unconjugated bile acid concentrations, and disease activity in dogs with steroid-responsive chronic inflammatory enteropathy.</w:t>
      </w:r>
    </w:p>
    <w:p/>
    <w:p>
      <w:pPr>
        <w:pStyle w:val="Normal"/>
      </w:pPr>
      <w:r>
        <w:rPr>
          <w:color w:val="323232"/>
        </w:rPr>
        <w:t xml:space="preserve">Blake C Guard, Julia B Honneffer, Albert E Jergens, Michelle M Jonika, Linda Toresson, Yuri A Lawrence, Craig B Webb, Steve Hill, Jonathan A Lidbury, Joerg M Steiner, and Jan S Suchodolski.</w:t>
      </w:r>
    </w:p>
    <w:p/>
    <w:p>
      <w:pPr>
        <w:pStyle w:val="Normal"/>
      </w:pPr>
      <w:r>
        <w:rPr>
          <w:color w:val="323232"/>
        </w:rPr>
        <w:t xml:space="preserve">BACKGROUND:Mounting evidence from human studies suggests that bile acid dysmetabolism might play a role in various human chronic gastrointestinal diseases. It is unknown whether fecal bile acid dysmetabolism occurs in dogs with chronic inflammatory enteropathy (CE).</w:t>
      </w:r>
    </w:p>
    <w:p/>
    <w:p>
      <w:pPr>
        <w:pStyle w:val="Normal"/>
      </w:pPr>
      <w:r>
        <w:rPr>
          <w:color w:val="323232"/>
        </w:rPr>
        <w:t xml:space="preserve">OBJECTIVE:To assess microbial dysbiosis, fecal unconjugated bile acids (fUBA), and disease activity in dogs with steroid-responsive CE.</w:t>
      </w:r>
    </w:p>
    <w:p/>
    <w:p>
      <w:pPr>
        <w:pStyle w:val="Normal"/>
      </w:pPr>
      <w:r>
        <w:rPr>
          <w:color w:val="323232"/>
        </w:rPr>
        <w:t xml:space="preserve">ANIMALS:Twenty-four healthy control dogs and 23 dogs with steroid-responsive CE.</w:t>
      </w:r>
    </w:p>
    <w:p/>
    <w:p>
      <w:pPr>
        <w:pStyle w:val="Normal"/>
      </w:pPr>
      <w:r>
        <w:rPr>
          <w:color w:val="323232"/>
        </w:rPr>
        <w:t xml:space="preserve">METHODS:In this retrospective study, fUBA were measured and analyzed. Fecal microbiota were assessed using a dysbiosis index. The canine inflammatory bowel disease activity index was used to evaluate remission of clinical signs. This was a multi-institutional study where dogs with steroid-responsive CE were evaluated over time.</w:t>
      </w:r>
    </w:p>
    <w:p/>
    <w:p>
      <w:pPr>
        <w:pStyle w:val="Normal"/>
      </w:pPr>
      <w:r>
        <w:rPr>
          <w:color w:val="323232"/>
        </w:rPr>
        <w:t xml:space="preserve">RESULTS:The dysbiosis index was increased in dogs with CE (median, 2.5; range, -6.2 to 6.5) at baseline compared with healthy dogs (median, -4.5; range, -6.5 to -2.6; P</w:t>
      </w:r>
      <w:r>
        <w:rPr>
          <w:color w:val="323232"/>
        </w:rPr>
        <w:t xml:space="preserve"> </w:t>
      </w:r>
      <w:r>
        <w:rPr>
          <w:color w:val="323232"/>
        </w:rPr>
        <w:t xml:space="preserve">=</w:t>
      </w:r>
      <w:r>
        <w:rPr>
          <w:color w:val="323232"/>
        </w:rPr>
        <w:t xml:space="preserve"> </w:t>
      </w:r>
      <w:r>
        <w:rPr>
          <w:color w:val="323232"/>
        </w:rPr>
        <w:t xml:space="preserve">.002) but did not change in dogs with CE over time. Secondary fUBA were decreased in dogs with CE (median, 29%; range, 1%-99%) compared with healthy dogs (median, 88%; 4%-96%; P</w:t>
      </w:r>
      <w:r>
        <w:rPr>
          <w:color w:val="323232"/>
        </w:rPr>
        <w:t xml:space="preserve"> </w:t>
      </w:r>
      <w:r>
        <w:rPr>
          <w:color w:val="323232"/>
        </w:rPr>
        <w:t xml:space="preserve">=</w:t>
      </w:r>
      <w:r>
        <w:rPr>
          <w:color w:val="323232"/>
        </w:rPr>
        <w:t xml:space="preserve"> </w:t>
      </w:r>
      <w:r>
        <w:rPr>
          <w:color w:val="323232"/>
        </w:rPr>
        <w:t xml:space="preserve">.049). The percent of secondary fUBA in dogs with CE increased from baseline values (median, 28%; range, 1%-99%) after 2-3</w:t>
      </w:r>
      <w:r>
        <w:rPr>
          <w:color w:val="323232"/>
        </w:rPr>
        <w:t xml:space="preserve"> </w:t>
      </w:r>
      <w:r>
        <w:rPr>
          <w:color w:val="323232"/>
        </w:rPr>
        <w:t xml:space="preserve">months of treatment (median, 94%; range, 1%-99%; P</w:t>
      </w:r>
      <w:r>
        <w:rPr>
          <w:color w:val="323232"/>
        </w:rPr>
        <w:t xml:space="preserve"> </w:t>
      </w:r>
      <w:r>
        <w:rPr>
          <w:color w:val="323232"/>
        </w:rPr>
        <w:t xml:space="preserve">=</w:t>
      </w:r>
      <w:r>
        <w:rPr>
          <w:color w:val="323232"/>
        </w:rPr>
        <w:t xml:space="preserve"> </w:t>
      </w:r>
      <w:r>
        <w:rPr>
          <w:color w:val="323232"/>
        </w:rPr>
        <w:t xml:space="preserve">0.0183).</w:t>
      </w:r>
    </w:p>
    <w:p/>
    <w:p>
      <w:pPr>
        <w:pStyle w:val="Normal"/>
      </w:pPr>
      <w:r>
        <w:rPr>
          <w:color w:val="323232"/>
        </w:rPr>
        <w:t xml:space="preserve">CONCLUSIONS AND CLINICAL IMPORTANCE:These findings suggest that corticosteroids regulate fecal bile acids in dogs with CE. Additionally, resolution of clinical activity index in dogs with therapeutically managed CE and bile acid dysmetabolism are likely correlated. However, subclinical disease (i.e., microbial dysbiosis) can persist in dogs with steroid-responsive CE.</w:t>
      </w:r>
    </w:p>
    <w:p/>
    <w:p>
      <w:pPr>
        <w:pStyle w:val="Normal"/>
      </w:pPr>
      <w:r>
        <w:rPr>
          <w:color w:val="323232"/>
        </w:rPr>
        <w:t xml:space="preserve">J Vet Intern Med, 2019 vol. 33 (3) pp. 1295-1305.</w:t>
      </w:r>
    </w:p>
    <w:p>
      <w:r>
        <w:rPr>
          <w:rStyle w:val="Hyperlink"/>
        </w:rPr>
        <w:fldChar w:fldCharType="begin"/>
      </w:r>
      <w:r>
        <w:rPr>
          <w:rStyle w:val="Hyperlink"/>
        </w:rPr>
        <w:instrText xml:space="preserve"> HYPERLINK "http://dx.doi.org/10.1111/jvim.15493" </w:instrText>
      </w:r>
      <w:r>
        <w:rPr>
          <w:rStyle w:val="Hyperlink"/>
        </w:rPr>
      </w:r>
      <w:r>
        <w:rPr>
          <w:rStyle w:val="Hyperlink"/>
        </w:rPr>
        <w:fldChar w:fldCharType="separate"/>
      </w:r>
      <w:pPr>
        <w:pStyle w:val="Normal"/>
      </w:pPr>
      <w:r>
        <w:rPr>
          <w:rStyle w:val="Hyperlink"/>
        </w:rPr>
        <w:t xml:space="preserve">http://dx.doi.org/10.1111/jvim.15493</w:t>
      </w:r>
      <w:r>
        <w:rPr>
          <w:rStyle w:val="Hyperlink"/>
        </w:rPr>
        <w:fldChar w:fldCharType="end"/>
      </w:r>
    </w:p>
    <w:p>
      <w:pPr>
        <w:pStyle w:val="Normal"/>
      </w:pPr>
      <w:r>
        <w:rPr>
          <w:color w:val="323232"/>
        </w:rPr>
        <w:t xml:space="preserve">————————</w:t>
      </w:r>
    </w:p>
    <w:p>
      <w:pPr>
        <w:pStyle w:val="Heading4"/>
      </w:pPr>
      <w:r>
        <w:t xml:space="preserve">Esophageal feeding tube placement and the associated complications in 248 cats.</w:t>
      </w:r>
    </w:p>
    <w:p/>
    <w:p>
      <w:pPr>
        <w:pStyle w:val="Normal"/>
      </w:pPr>
      <w:r>
        <w:rPr>
          <w:color w:val="323232"/>
        </w:rPr>
        <w:t xml:space="preserve">Craig R Breheny, Alisdair Boag, Alice Le Gal, Sven Erik Hõim, Matteo Cantatore, Davina Anderson, Tim Nuttall, Marjoie L Chandler, and Danièlle A Gunn-Moore.</w:t>
      </w:r>
    </w:p>
    <w:p/>
    <w:p>
      <w:pPr>
        <w:pStyle w:val="Normal"/>
      </w:pPr>
      <w:r>
        <w:rPr>
          <w:color w:val="323232"/>
        </w:rPr>
        <w:t xml:space="preserve">BACKGROUND:Esophageal feeding tubes are commonly used to provide enteral nutrition to cats, but their use is associated with adverse effects.</w:t>
      </w:r>
    </w:p>
    <w:p/>
    <w:p>
      <w:pPr>
        <w:pStyle w:val="Normal"/>
      </w:pPr>
      <w:r>
        <w:rPr>
          <w:color w:val="323232"/>
        </w:rPr>
        <w:t xml:space="preserve">OBJECTIVES:To evaluate the complications associated with e-tube placement in cats and to identify factors predisposing to these complications.</w:t>
      </w:r>
    </w:p>
    <w:p/>
    <w:p>
      <w:pPr>
        <w:pStyle w:val="Normal"/>
      </w:pPr>
      <w:r>
        <w:rPr>
          <w:color w:val="323232"/>
        </w:rPr>
        <w:t xml:space="preserve">ANIMALS:Cats that had an esophageal feeding tube placed (n</w:t>
      </w:r>
      <w:r>
        <w:rPr>
          <w:color w:val="323232"/>
        </w:rPr>
        <w:t xml:space="preserve"> </w:t>
      </w:r>
      <w:r>
        <w:rPr>
          <w:color w:val="323232"/>
        </w:rPr>
        <w:t xml:space="preserve">=</w:t>
      </w:r>
      <w:r>
        <w:rPr>
          <w:color w:val="323232"/>
        </w:rPr>
        <w:t xml:space="preserve"> </w:t>
      </w:r>
      <w:r>
        <w:rPr>
          <w:color w:val="323232"/>
        </w:rPr>
        <w:t xml:space="preserve">248).</w:t>
      </w:r>
    </w:p>
    <w:p/>
    <w:p>
      <w:pPr>
        <w:pStyle w:val="Normal"/>
      </w:pPr>
      <w:r>
        <w:rPr>
          <w:color w:val="323232"/>
        </w:rPr>
        <w:t xml:space="preserve">METHODS:This was a retrospective case review in which clinical records were interrogated across 2 referral centers to identify records of cats that had esophageal tubes placed. Clinical data were collected for signalment, clinical indication, method of placement, time of removal, and any complications. Logistic regression was then employed to assess the odds of an increase in complications, including infection and death.</w:t>
      </w:r>
    </w:p>
    <w:p/>
    <w:p>
      <w:pPr>
        <w:pStyle w:val="Normal"/>
      </w:pPr>
      <w:r>
        <w:rPr>
          <w:color w:val="323232"/>
        </w:rPr>
        <w:t xml:space="preserve">RESULTS:For those cats that survived to discharge, tubes were in place for a median of 11</w:t>
      </w:r>
      <w:r>
        <w:rPr>
          <w:color w:val="323232"/>
        </w:rPr>
        <w:t xml:space="preserve"> </w:t>
      </w:r>
      <w:r>
        <w:rPr>
          <w:color w:val="323232"/>
        </w:rPr>
        <w:t xml:space="preserve">days, ranging from 1 to 93</w:t>
      </w:r>
      <w:r>
        <w:rPr>
          <w:color w:val="323232"/>
        </w:rPr>
        <w:t xml:space="preserve"> </w:t>
      </w:r>
      <w:r>
        <w:rPr>
          <w:color w:val="323232"/>
        </w:rPr>
        <w:t xml:space="preserve">days. Complications occurred in 35.8% of the cats, with the most common being tube dislodgement (14.5%), followed by stoma site infections (12.1%). Cats receiving glucocorticoids or oncolytic agents (OR</w:t>
      </w:r>
      <w:r>
        <w:rPr>
          <w:color w:val="323232"/>
        </w:rPr>
        <w:t xml:space="preserve"> </w:t>
      </w:r>
      <w:r>
        <w:rPr>
          <w:color w:val="323232"/>
        </w:rPr>
        <w:t xml:space="preserve">=</w:t>
      </w:r>
      <w:r>
        <w:rPr>
          <w:color w:val="323232"/>
        </w:rPr>
        <w:t xml:space="preserve"> </w:t>
      </w:r>
      <w:r>
        <w:rPr>
          <w:color w:val="323232"/>
        </w:rPr>
        <w:t xml:space="preserve">3.91; 95% CI, 1.14-13.44) and with discharge at the stoma site (OR</w:t>
      </w:r>
      <w:r>
        <w:rPr>
          <w:color w:val="323232"/>
        </w:rPr>
        <w:t xml:space="preserve"> </w:t>
      </w:r>
      <w:r>
        <w:rPr>
          <w:color w:val="323232"/>
        </w:rPr>
        <w:t xml:space="preserve">=</w:t>
      </w:r>
      <w:r>
        <w:rPr>
          <w:color w:val="323232"/>
        </w:rPr>
        <w:t xml:space="preserve"> </w:t>
      </w:r>
      <w:r>
        <w:rPr>
          <w:color w:val="323232"/>
        </w:rPr>
        <w:t xml:space="preserve">159.8; CI, 18.9-1351) were at an increased odds of developing a stoma site infection, whereas those with a lower weight (OR</w:t>
      </w:r>
      <w:r>
        <w:rPr>
          <w:color w:val="323232"/>
        </w:rPr>
        <w:t xml:space="preserve"> </w:t>
      </w:r>
      <w:r>
        <w:rPr>
          <w:color w:val="323232"/>
        </w:rPr>
        <w:t xml:space="preserve">=</w:t>
      </w:r>
      <w:r>
        <w:rPr>
          <w:color w:val="323232"/>
        </w:rPr>
        <w:t xml:space="preserve"> </w:t>
      </w:r>
      <w:r>
        <w:rPr>
          <w:color w:val="323232"/>
        </w:rPr>
        <w:t xml:space="preserve">1.33; 95% CI, 1.02-1.75) or (pancreatic [OR</w:t>
      </w:r>
      <w:r>
        <w:rPr>
          <w:color w:val="323232"/>
        </w:rPr>
        <w:t xml:space="preserve"> </w:t>
      </w:r>
      <w:r>
        <w:rPr>
          <w:color w:val="323232"/>
        </w:rPr>
        <w:t xml:space="preserve">=</w:t>
      </w:r>
      <w:r>
        <w:rPr>
          <w:color w:val="323232"/>
        </w:rPr>
        <w:t xml:space="preserve"> </w:t>
      </w:r>
      <w:r>
        <w:rPr>
          <w:color w:val="323232"/>
        </w:rPr>
        <w:t xml:space="preserve">4.33; 95% CI, 1.02-18.47], neoplastic [OR</w:t>
      </w:r>
      <w:r>
        <w:rPr>
          <w:color w:val="323232"/>
        </w:rPr>
        <w:t xml:space="preserve"> </w:t>
      </w:r>
      <w:r>
        <w:rPr>
          <w:color w:val="323232"/>
        </w:rPr>
        <w:t xml:space="preserve">=</w:t>
      </w:r>
      <w:r>
        <w:rPr>
          <w:color w:val="323232"/>
        </w:rPr>
        <w:t xml:space="preserve"> </w:t>
      </w:r>
      <w:r>
        <w:rPr>
          <w:color w:val="323232"/>
        </w:rPr>
        <w:t xml:space="preserve">15.44; 95% CI, 3.67-65.07], respiratory [OR</w:t>
      </w:r>
      <w:r>
        <w:rPr>
          <w:color w:val="323232"/>
        </w:rPr>
        <w:t xml:space="preserve"> </w:t>
      </w:r>
      <w:r>
        <w:rPr>
          <w:color w:val="323232"/>
        </w:rPr>
        <w:t xml:space="preserve">=</w:t>
      </w:r>
      <w:r>
        <w:rPr>
          <w:color w:val="323232"/>
        </w:rPr>
        <w:t xml:space="preserve"> </w:t>
      </w:r>
      <w:r>
        <w:rPr>
          <w:color w:val="323232"/>
        </w:rPr>
        <w:t xml:space="preserve">19.66; 95% CI, 2.81-137.48], urogenital [OR</w:t>
      </w:r>
      <w:r>
        <w:rPr>
          <w:color w:val="323232"/>
        </w:rPr>
        <w:t xml:space="preserve"> </w:t>
      </w:r>
      <w:r>
        <w:rPr>
          <w:color w:val="323232"/>
        </w:rPr>
        <w:t xml:space="preserve">= 5.78; 95% CI, 1.15-28.99], and infectious diseases [OR</w:t>
      </w:r>
      <w:r>
        <w:rPr>
          <w:color w:val="323232"/>
        </w:rPr>
        <w:t xml:space="preserve"> </w:t>
      </w:r>
      <w:r>
        <w:rPr>
          <w:color w:val="323232"/>
        </w:rPr>
        <w:t xml:space="preserve">=</w:t>
      </w:r>
      <w:r>
        <w:rPr>
          <w:color w:val="323232"/>
        </w:rPr>
        <w:t xml:space="preserve"> </w:t>
      </w:r>
      <w:r>
        <w:rPr>
          <w:color w:val="323232"/>
        </w:rPr>
        <w:t xml:space="preserve">11.57; 95% CI, 2.27-58.94]) had an increased odds of death. The duration of time in place and the cat being discharged with the tube in place were not associated with an increased risk of infection or death.</w:t>
      </w:r>
    </w:p>
    <w:p/>
    <w:p>
      <w:pPr>
        <w:pStyle w:val="Normal"/>
      </w:pPr>
      <w:r>
        <w:rPr>
          <w:color w:val="323232"/>
        </w:rPr>
        <w:t xml:space="preserve">CONCLUSIONS AND CLINICAL IMPORTANCE:Owners should be made aware of the potential risks involved and their predisposing factors.</w:t>
      </w:r>
    </w:p>
    <w:p/>
    <w:p>
      <w:pPr>
        <w:pStyle w:val="Normal"/>
      </w:pPr>
      <w:r>
        <w:rPr>
          <w:color w:val="323232"/>
        </w:rPr>
        <w:t xml:space="preserve">J Vet Intern Med, 2019 vol. 33 (3) pp. 1306-1314.</w:t>
      </w:r>
    </w:p>
    <w:p>
      <w:r>
        <w:rPr>
          <w:rStyle w:val="Hyperlink"/>
        </w:rPr>
        <w:fldChar w:fldCharType="begin"/>
      </w:r>
      <w:r>
        <w:rPr>
          <w:rStyle w:val="Hyperlink"/>
        </w:rPr>
        <w:instrText xml:space="preserve"> HYPERLINK "http://eutils.ncbi.nlm.nih.gov/entrez/eutils/elink.fcgi?dbfrom=pubmed&amp;id=31001901&amp;retmode=ref&amp;cmd=prlinks"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http://eutils.ncbi.nlm.nih.gov/entrez/eutils/elink.fcgi?dbfrom=pubmed&amp;id=31001901&amp;retmode=ref&amp;cmd=prlinks</w:t>
      </w:r>
      <w:r>
        <w:rPr>
          <w:rStyle w:val="Hyperlink"/>
        </w:rPr>
        <w:fldChar w:fldCharType="end"/>
      </w:r>
    </w:p>
    <w:p>
      <w:pPr>
        <w:pStyle w:val="Normal"/>
      </w:pPr>
      <w:r>
        <w:rPr>
          <w:color w:val="323232"/>
        </w:rPr>
        <w:t xml:space="preserve">————————</w:t>
      </w:r>
    </w:p>
    <w:p>
      <w:pPr>
        <w:pStyle w:val="Heading4"/>
      </w:pPr>
      <w:r>
        <w:t xml:space="preserve">Bronchoalveolar lavage fluid lymphocytosis in 104 dogs (2006-2016).</w:t>
      </w:r>
    </w:p>
    <w:p/>
    <w:p>
      <w:pPr>
        <w:pStyle w:val="Normal"/>
      </w:pPr>
      <w:r>
        <w:rPr>
          <w:color w:val="323232"/>
        </w:rPr>
        <w:t xml:space="preserve">Lynelle R Johnson and William Vernau.</w:t>
      </w:r>
    </w:p>
    <w:p/>
    <w:p>
      <w:pPr>
        <w:pStyle w:val="Normal"/>
      </w:pPr>
      <w:r>
        <w:rPr>
          <w:color w:val="323232"/>
        </w:rPr>
        <w:t xml:space="preserve">BACKGROUND:Bronchoalveolar lavage (BAL) fluid cytology and culture are used to characterize respiratory diseases in dogs. Little is known about disorders associated with increased numbers of lymphocytes in BAL fluid.</w:t>
      </w:r>
    </w:p>
    <w:p/>
    <w:p>
      <w:pPr>
        <w:pStyle w:val="Normal"/>
      </w:pPr>
      <w:r>
        <w:rPr>
          <w:color w:val="323232"/>
        </w:rPr>
        <w:t xml:space="preserve">OBJECTIVE:To evaluate duration of clinical signs and detection of specific respiratory diagnoses in dogs with BAL lymphocytosis.</w:t>
      </w:r>
    </w:p>
    <w:p/>
    <w:p>
      <w:pPr>
        <w:pStyle w:val="Normal"/>
      </w:pPr>
      <w:r>
        <w:rPr>
          <w:color w:val="323232"/>
        </w:rPr>
        <w:t xml:space="preserve">ANIMALS:One-hundred four client-owned dogs evaluated for respiratory signs.</w:t>
      </w:r>
    </w:p>
    <w:p/>
    <w:p>
      <w:pPr>
        <w:pStyle w:val="Normal"/>
      </w:pPr>
      <w:r>
        <w:rPr>
          <w:color w:val="323232"/>
        </w:rPr>
        <w:t xml:space="preserve">METHODS:Medical records of dogs that had &gt;300 cells/μL and &gt;20% lymphocytes on a differential cell count of BAL fluid between January 1, 2006, and January 1, 2016, were reviewed retrospectively. Cases were evaluated for the duration of clinical signs and respiratory diagnoses, including aspiration injury, infectious or inflammatory respiratory disease, and airway collapse.</w:t>
      </w:r>
    </w:p>
    <w:p/>
    <w:p>
      <w:pPr>
        <w:pStyle w:val="Normal"/>
      </w:pPr>
      <w:r>
        <w:rPr>
          <w:color w:val="323232"/>
        </w:rPr>
        <w:t xml:space="preserve">RESULTS:Dogs ranged in age from 0.5 to 16</w:t>
      </w:r>
      <w:r>
        <w:rPr>
          <w:color w:val="323232"/>
        </w:rPr>
        <w:t xml:space="preserve"> </w:t>
      </w:r>
      <w:r>
        <w:rPr>
          <w:color w:val="323232"/>
        </w:rPr>
        <w:t xml:space="preserve">years (median, 7.9</w:t>
      </w:r>
      <w:r>
        <w:rPr>
          <w:color w:val="323232"/>
        </w:rPr>
        <w:t xml:space="preserve"> </w:t>
      </w:r>
      <w:r>
        <w:rPr>
          <w:color w:val="323232"/>
        </w:rPr>
        <w:t xml:space="preserve">years) and had a median body weight of 11.4</w:t>
      </w:r>
      <w:r>
        <w:rPr>
          <w:color w:val="323232"/>
        </w:rPr>
        <w:t xml:space="preserve"> </w:t>
      </w:r>
      <w:r>
        <w:rPr>
          <w:color w:val="323232"/>
        </w:rPr>
        <w:t xml:space="preserve">kg (range, 2.0-42.7</w:t>
      </w:r>
      <w:r>
        <w:rPr>
          <w:color w:val="323232"/>
        </w:rPr>
        <w:t xml:space="preserve"> </w:t>
      </w:r>
      <w:r>
        <w:rPr>
          <w:color w:val="323232"/>
        </w:rPr>
        <w:t xml:space="preserve">kg). Eosinophilic lung disease was documented in 13 of 104 dogs (Group 1) and airway neutrophilia associated with infectious or inflammatory disease was found in 59 of 104 dogs (Group 2). Lymphocytosis alone in BAL fluid was described in 32 dogs (Group 3). Duration of cough did not differ among groups, but airway collapse was significantly more common in dogs with solitary lymphocytosis than in those with other types of inflammation.</w:t>
      </w:r>
    </w:p>
    <w:p/>
    <w:p>
      <w:pPr>
        <w:pStyle w:val="Normal"/>
      </w:pPr>
      <w:r>
        <w:rPr>
          <w:color w:val="323232"/>
        </w:rPr>
        <w:t xml:space="preserve">CONCLUSIONS AND CLINICAL IMPORTANCE:Lymphocytosis in BAL fluid is common in dogs and, in many cases, likely represents a common response to airway injury, independent of the type or duration of insult. It is unknown whether airway collapse leads to lymphocytosis or if the inflammatory process causes airway collapse.</w:t>
      </w:r>
    </w:p>
    <w:p/>
    <w:p>
      <w:pPr>
        <w:pStyle w:val="Normal"/>
      </w:pPr>
      <w:r>
        <w:rPr>
          <w:color w:val="323232"/>
        </w:rPr>
        <w:t xml:space="preserve">J Vet Intern Med, 2019 vol. 33 (3) pp. 1315-1321.</w:t>
      </w:r>
    </w:p>
    <w:p>
      <w:r>
        <w:rPr>
          <w:rStyle w:val="Hyperlink"/>
        </w:rPr>
        <w:fldChar w:fldCharType="begin"/>
      </w:r>
      <w:r>
        <w:rPr>
          <w:rStyle w:val="Hyperlink"/>
        </w:rPr>
        <w:instrText xml:space="preserve"> HYPERLINK "http://eutils.ncbi.nlm.nih.gov/entrez/eutils/elink.fcgi?dbfrom=pubmed&amp;id=30912207&amp;retmode=ref&amp;cmd=prlinks"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http://eutils.ncbi.nlm.nih.gov/entrez/eutils/elink.fcgi?dbfrom=pubmed&amp;id=30912207&amp;retmode=ref&amp;cmd=prlinks</w:t>
      </w:r>
      <w:r>
        <w:rPr>
          <w:rStyle w:val="Hyperlink"/>
        </w:rPr>
        <w:fldChar w:fldCharType="end"/>
      </w:r>
    </w:p>
    <w:p>
      <w:pPr>
        <w:pStyle w:val="Normal"/>
      </w:pPr>
      <w:r>
        <w:rPr>
          <w:color w:val="323232"/>
        </w:rPr>
        <w:t xml:space="preserve">————————</w:t>
      </w:r>
    </w:p>
    <w:p>
      <w:pPr>
        <w:pStyle w:val="Heading4"/>
      </w:pPr>
      <w:r>
        <w:t xml:space="preserve">Therapeutic monitoring of rivaroxaban in dogs using thromboelastography and prothrombin time.</w:t>
      </w:r>
    </w:p>
    <w:p/>
    <w:p>
      <w:pPr>
        <w:pStyle w:val="Normal"/>
      </w:pPr>
      <w:r>
        <w:rPr>
          <w:color w:val="323232"/>
        </w:rPr>
        <w:t xml:space="preserve">Junwoo Bae, Hyunwoo Kim, Woosun Kim, Suhee Kim, Jinho Park, Dong-In Jung, and Dohyeon Yu.</w:t>
      </w:r>
    </w:p>
    <w:p/>
    <w:p>
      <w:pPr>
        <w:pStyle w:val="Normal"/>
      </w:pPr>
      <w:r>
        <w:rPr>
          <w:color w:val="323232"/>
        </w:rPr>
        <w:t xml:space="preserve">BACKGROUND:The chromogenic anti-Xa assay, the gold standard for monitoring the anti-Xa effect of rivaroxaban, is not available as a cage-side diagnostic test for use in a clinical setting.</w:t>
      </w:r>
    </w:p>
    <w:p/>
    <w:p>
      <w:pPr>
        <w:pStyle w:val="Normal"/>
      </w:pPr>
      <w:r>
        <w:rPr>
          <w:color w:val="323232"/>
        </w:rPr>
        <w:t xml:space="preserve">HYPOTHESIS/OBJECTIVES:To evaluate clinical modalities for measuring the anticoagulant effects of rivaroxaban using a point-of-care prothrombin time (PT) and thromboelastography (TEG).</w:t>
      </w:r>
    </w:p>
    <w:p/>
    <w:p>
      <w:pPr>
        <w:pStyle w:val="Normal"/>
      </w:pPr>
      <w:r>
        <w:rPr>
          <w:color w:val="323232"/>
        </w:rPr>
        <w:t xml:space="preserve">ANIMALS:Six healthy Beagle dogs.</w:t>
      </w:r>
    </w:p>
    <w:p/>
    <w:p>
      <w:pPr>
        <w:pStyle w:val="Normal"/>
      </w:pPr>
      <w:r>
        <w:rPr>
          <w:color w:val="323232"/>
        </w:rPr>
        <w:t xml:space="preserve">METHODS:Prospective, experimental study. Four different doses of rivaroxaban (0.5, 1, 2, and 4</w:t>
      </w:r>
      <w:r>
        <w:rPr>
          <w:color w:val="323232"/>
        </w:rPr>
        <w:t xml:space="preserve"> </w:t>
      </w:r>
      <w:r>
        <w:rPr>
          <w:color w:val="323232"/>
        </w:rPr>
        <w:t xml:space="preserve">mg/kg) were administered PO to dogs. Single PO and 3 consecutive dosing regimens also were assessed. Plasma rivaroxaban concentration was determined using a chromogenic anti-Xa assay, point-of-care PT, and TEG analysis with 4 activators (RapidTEG, 1 : 100 tissue factor [TF100], 1 : 3700 tissue factor [TF3700], and kaolin), and results were compared. Spearman correlation coefficients were calculated between ratios (peak to baseline PT; peak reaction time [R] of TEG to baseline [R] of TEG) and anti-Xa concentration.</w:t>
      </w:r>
    </w:p>
    <w:p/>
    <w:p>
      <w:pPr>
        <w:pStyle w:val="Normal"/>
      </w:pPr>
      <w:r>
        <w:rPr>
          <w:color w:val="323232"/>
        </w:rPr>
        <w:t xml:space="preserve">RESULTS:Anti-Xa concentration had a significant correlation with point-of-care PT (R</w:t>
      </w:r>
      <w:r>
        <w:rPr>
          <w:color w:val="323232"/>
        </w:rPr>
        <w:t xml:space="preserve"> </w:t>
      </w:r>
      <w:r>
        <w:rPr>
          <w:color w:val="323232"/>
        </w:rPr>
        <w:t xml:space="preserve">=</w:t>
      </w:r>
      <w:r>
        <w:rPr>
          <w:color w:val="323232"/>
        </w:rPr>
        <w:t xml:space="preserve"> </w:t>
      </w:r>
      <w:r>
        <w:rPr>
          <w:color w:val="323232"/>
        </w:rPr>
        <w:t xml:space="preserve">0.82, P</w:t>
      </w:r>
      <w:r>
        <w:rPr>
          <w:color w:val="323232"/>
        </w:rPr>
        <w:t xml:space="preserve"> </w:t>
      </w:r>
      <w:r>
        <w:rPr>
          <w:color w:val="323232"/>
        </w:rPr>
        <w:t xml:space="preserve">&lt;</w:t>
      </w:r>
      <w:r>
        <w:rPr>
          <w:color w:val="323232"/>
        </w:rPr>
        <w:t xml:space="preserve"> </w:t>
      </w:r>
      <w:r>
        <w:rPr>
          <w:color w:val="323232"/>
        </w:rPr>
        <w:t xml:space="preserve">.001) and RapidTEG-TEG, TF100-TEG, and TF3700-TEG (R</w:t>
      </w:r>
      <w:r>
        <w:rPr>
          <w:color w:val="323232"/>
        </w:rPr>
        <w:t xml:space="preserve"> </w:t>
      </w:r>
      <w:r>
        <w:rPr>
          <w:color w:val="323232"/>
        </w:rPr>
        <w:t xml:space="preserve">=</w:t>
      </w:r>
      <w:r>
        <w:rPr>
          <w:color w:val="323232"/>
        </w:rPr>
        <w:t xml:space="preserve"> </w:t>
      </w:r>
      <w:r>
        <w:rPr>
          <w:color w:val="323232"/>
        </w:rPr>
        <w:t xml:space="preserve">0.76, P</w:t>
      </w:r>
      <w:r>
        <w:rPr>
          <w:color w:val="323232"/>
        </w:rPr>
        <w:t xml:space="preserve"> </w:t>
      </w:r>
      <w:r>
        <w:rPr>
          <w:color w:val="323232"/>
        </w:rPr>
        <w:t xml:space="preserve">&lt;</w:t>
      </w:r>
      <w:r>
        <w:rPr>
          <w:color w:val="323232"/>
        </w:rPr>
        <w:t xml:space="preserve"> </w:t>
      </w:r>
      <w:r>
        <w:rPr>
          <w:color w:val="323232"/>
        </w:rPr>
        <w:t xml:space="preserve">.001; R</w:t>
      </w:r>
      <w:r>
        <w:rPr>
          <w:color w:val="323232"/>
        </w:rPr>
        <w:t xml:space="preserve"> </w:t>
      </w:r>
      <w:r>
        <w:rPr>
          <w:color w:val="323232"/>
        </w:rPr>
        <w:t xml:space="preserve">=</w:t>
      </w:r>
      <w:r>
        <w:rPr>
          <w:color w:val="323232"/>
        </w:rPr>
        <w:t xml:space="preserve"> </w:t>
      </w:r>
      <w:r>
        <w:rPr>
          <w:color w:val="323232"/>
        </w:rPr>
        <w:t xml:space="preserve">0.82, P</w:t>
      </w:r>
      <w:r>
        <w:rPr>
          <w:color w:val="323232"/>
        </w:rPr>
        <w:t xml:space="preserve"> </w:t>
      </w:r>
      <w:r>
        <w:rPr>
          <w:color w:val="323232"/>
        </w:rPr>
        <w:t xml:space="preserve">&lt;</w:t>
      </w:r>
      <w:r>
        <w:rPr>
          <w:color w:val="323232"/>
        </w:rPr>
        <w:t xml:space="preserve"> </w:t>
      </w:r>
      <w:r>
        <w:rPr>
          <w:color w:val="323232"/>
        </w:rPr>
        <w:t xml:space="preserve">.001; and R</w:t>
      </w:r>
      <w:r>
        <w:rPr>
          <w:color w:val="323232"/>
        </w:rPr>
        <w:t xml:space="preserve"> </w:t>
      </w:r>
      <w:r>
        <w:rPr>
          <w:color w:val="323232"/>
        </w:rPr>
        <w:t xml:space="preserve">=</w:t>
      </w:r>
      <w:r>
        <w:rPr>
          <w:color w:val="323232"/>
        </w:rPr>
        <w:t xml:space="preserve"> </w:t>
      </w:r>
      <w:r>
        <w:rPr>
          <w:color w:val="323232"/>
        </w:rPr>
        <w:t xml:space="preserve">0.83, P</w:t>
      </w:r>
      <w:r>
        <w:rPr>
          <w:color w:val="323232"/>
        </w:rPr>
        <w:t xml:space="preserve"> </w:t>
      </w:r>
      <w:r>
        <w:rPr>
          <w:color w:val="323232"/>
        </w:rPr>
        <w:t xml:space="preserve">&lt;</w:t>
      </w:r>
      <w:r>
        <w:rPr>
          <w:color w:val="323232"/>
        </w:rPr>
        <w:t xml:space="preserve"> </w:t>
      </w:r>
      <w:r>
        <w:rPr>
          <w:color w:val="323232"/>
        </w:rPr>
        <w:t xml:space="preserve">.001, respectively).</w:t>
      </w:r>
    </w:p>
    <w:p/>
    <w:p>
      <w:pPr>
        <w:pStyle w:val="Normal"/>
      </w:pPr>
      <w:r>
        <w:rPr>
          <w:color w:val="323232"/>
        </w:rPr>
        <w:t xml:space="preserve">CONCLUSIONS AND CLINICAL IMPORTANCE:Overall, a 1.5-1.9</w:t>
      </w:r>
      <w:r>
        <w:rPr>
          <w:color w:val="323232"/>
        </w:rPr>
        <w:t xml:space="preserve"> </w:t>
      </w:r>
      <w:r>
        <w:rPr>
          <w:color w:val="323232"/>
        </w:rPr>
        <w:t xml:space="preserve">×</w:t>
      </w:r>
      <w:r>
        <w:rPr>
          <w:color w:val="323232"/>
        </w:rPr>
        <w:t xml:space="preserve"> </w:t>
      </w:r>
      <w:r>
        <w:rPr>
          <w:color w:val="323232"/>
        </w:rPr>
        <w:t xml:space="preserve">delay in PT and R values of TEG 3</w:t>
      </w:r>
      <w:r>
        <w:rPr>
          <w:color w:val="323232"/>
        </w:rPr>
        <w:t xml:space="preserve"> </w:t>
      </w:r>
      <w:r>
        <w:rPr>
          <w:color w:val="323232"/>
        </w:rPr>
        <w:t xml:space="preserve">hours after rivaroxaban administration is required to achieve therapeutic anti-Xa concentrations of rivaroxaban in canine plasma. The R values of TEG, specifically using tissue factors (RapidTEG, TF100, TF3700) and point-of-care PT for rivaroxaban can be used practically for therapeutic monitoring of rivaroxaban in dogs.</w:t>
      </w:r>
    </w:p>
    <w:p/>
    <w:p>
      <w:pPr>
        <w:pStyle w:val="Normal"/>
      </w:pPr>
      <w:r>
        <w:rPr>
          <w:color w:val="323232"/>
        </w:rPr>
        <w:t xml:space="preserve">J Vet Intern Med, 2019 vol. 33 (3) pp. 1322-1330.</w:t>
      </w:r>
    </w:p>
    <w:p>
      <w:r>
        <w:rPr>
          <w:rStyle w:val="Hyperlink"/>
        </w:rPr>
        <w:fldChar w:fldCharType="begin"/>
      </w:r>
      <w:r>
        <w:rPr>
          <w:rStyle w:val="Hyperlink"/>
        </w:rPr>
        <w:instrText xml:space="preserve"> HYPERLINK "http://dx.doi.org/10.1111/jvim.15478" </w:instrText>
      </w:r>
      <w:r>
        <w:rPr>
          <w:rStyle w:val="Hyperlink"/>
        </w:rPr>
      </w:r>
      <w:r>
        <w:rPr>
          <w:rStyle w:val="Hyperlink"/>
        </w:rPr>
        <w:fldChar w:fldCharType="separate"/>
      </w:r>
      <w:pPr>
        <w:pStyle w:val="Normal"/>
      </w:pPr>
      <w:r>
        <w:rPr>
          <w:rStyle w:val="Hyperlink"/>
        </w:rPr>
        <w:t xml:space="preserve">http://dx.doi.org/10.1111/jvim.15478</w:t>
      </w:r>
      <w:r>
        <w:rPr>
          <w:rStyle w:val="Hyperlink"/>
        </w:rPr>
        <w:fldChar w:fldCharType="end"/>
      </w:r>
    </w:p>
    <w:p>
      <w:pPr>
        <w:pStyle w:val="Normal"/>
      </w:pPr>
      <w:r>
        <w:rPr>
          <w:color w:val="323232"/>
        </w:rPr>
        <w:t xml:space="preserve">————————</w:t>
      </w:r>
    </w:p>
    <w:p>
      <w:pPr>
        <w:pStyle w:val="Heading4"/>
      </w:pPr>
      <w:r>
        <w:t xml:space="preserve">Efficacy of orally administered sodium benzoate and sodium phenylbutyrate in dogs with congenital portosystemic shunts.</w:t>
      </w:r>
    </w:p>
    <w:p/>
    <w:p>
      <w:pPr>
        <w:pStyle w:val="Normal"/>
      </w:pPr>
      <w:r>
        <w:rPr>
          <w:color w:val="323232"/>
        </w:rPr>
        <w:t xml:space="preserve">Giora van Straten, Diewke van Dalen, Sietske J Mesu, Jan Rothuizen, Erik Teske, Bart Spee, Robert P Favier, and Ingeborg M van Geijlswijk.</w:t>
      </w:r>
    </w:p>
    <w:p/>
    <w:p>
      <w:pPr>
        <w:pStyle w:val="Normal"/>
      </w:pPr>
      <w:r>
        <w:rPr>
          <w:color w:val="323232"/>
        </w:rPr>
        <w:t xml:space="preserve">BACKGROUND:Hyperammonemia can result in hepatic encephalopathy, which in severe cases eventually can lead to coma and death. In dogs, congenital portosystemic shunts (CPSS) are the most common cause for hyperammonemia. Conservative treatment consists of a protein modified diet, nonabsorbable disaccharides, antibiotics, or some combinations of these. Sodium benzoate (SB) and sodium phenylbutyrate (SPB) both are used in the acute and long-term treatment of humans with hyperammonemia caused by urea cycle enzyme deficiencies. Both treatments are believed to lower blood ammonia concentrations by promoting excretion of excess nitrogen via alternative pathways.</w:t>
      </w:r>
    </w:p>
    <w:p/>
    <w:p>
      <w:pPr>
        <w:pStyle w:val="Normal"/>
      </w:pPr>
      <w:r>
        <w:rPr>
          <w:color w:val="323232"/>
        </w:rPr>
        <w:t xml:space="preserve">OBJECTIVES:To evaluate the efficacy and safety of PO treatment with SB and SPB on hyperammonemia and clinical signs in CPSS dogs.</w:t>
      </w:r>
    </w:p>
    <w:p/>
    <w:p>
      <w:pPr>
        <w:pStyle w:val="Normal"/>
      </w:pPr>
      <w:r>
        <w:rPr>
          <w:color w:val="323232"/>
        </w:rPr>
        <w:t xml:space="preserve">METHODS:Randomized, double-blind, placebo-controlled crossover trial. Concentrations of blood ammonia and bile acids were measured in CPSS dogs before and after a 5-day treatment with SB, SPB, and placebo. A wash-out period of 3</w:t>
      </w:r>
      <w:r>
        <w:rPr>
          <w:color w:val="323232"/>
        </w:rPr>
        <w:t xml:space="preserve"> </w:t>
      </w:r>
      <w:r>
        <w:rPr>
          <w:color w:val="323232"/>
        </w:rPr>
        <w:t xml:space="preserve">days was used between treatments. A standard questionnaire was developed and distributed to owners to evaluate clinical signs before and after each treatment.</w:t>
      </w:r>
    </w:p>
    <w:p/>
    <w:p>
      <w:pPr>
        <w:pStyle w:val="Normal"/>
      </w:pPr>
      <w:r>
        <w:rPr>
          <w:color w:val="323232"/>
        </w:rPr>
        <w:t xml:space="preserve">RESULTS:Blood ammonia concentrations were not influenced by any of the treatments and were comparable to those observed during placebo treatment. In addition, SB and SPB treatment did not result in improvement of clinical signs. Adverse effects during treatment included anorexia, vomiting, and lethargy.</w:t>
      </w:r>
    </w:p>
    <w:p/>
    <w:p>
      <w:pPr>
        <w:pStyle w:val="Normal"/>
      </w:pPr>
      <w:r>
        <w:rPr>
          <w:color w:val="323232"/>
        </w:rPr>
        <w:t xml:space="preserve">CONCLUSIONS AND CLINICAL IMPORTANCE:Based on our results, we conclude that SB or SPB are not useful in the conservative treatment of hyperammonemia in dogs with CPSS.</w:t>
      </w:r>
    </w:p>
    <w:p/>
    <w:p>
      <w:pPr>
        <w:pStyle w:val="Normal"/>
      </w:pPr>
      <w:r>
        <w:rPr>
          <w:color w:val="323232"/>
        </w:rPr>
        <w:t xml:space="preserve">J Vet Intern Med, 2019 vol. 33 (3) pp. 1331-1335.</w:t>
      </w:r>
    </w:p>
    <w:p>
      <w:r>
        <w:rPr>
          <w:rStyle w:val="Hyperlink"/>
        </w:rPr>
        <w:fldChar w:fldCharType="begin"/>
      </w:r>
      <w:r>
        <w:rPr>
          <w:rStyle w:val="Hyperlink"/>
        </w:rPr>
        <w:instrText xml:space="preserve"> HYPERLINK "http://eutils.ncbi.nlm.nih.gov/entrez/eutils/elink.fcgi?dbfrom=pubmed&amp;id=30916412&amp;retmode=ref&amp;cmd=prlinks"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http://eutils.ncbi.nlm.nih.gov/entrez/eutils/elink.fcgi?dbfrom=pubmed&amp;id=30916412&amp;retmode=ref&amp;cmd=prlinks</w:t>
      </w:r>
      <w:r>
        <w:rPr>
          <w:rStyle w:val="Hyperlink"/>
        </w:rPr>
        <w:fldChar w:fldCharType="end"/>
      </w:r>
    </w:p>
    <w:p>
      <w:pPr>
        <w:pStyle w:val="Normal"/>
      </w:pPr>
      <w:r>
        <w:rPr>
          <w:color w:val="323232"/>
        </w:rPr>
        <w:t xml:space="preserve">————————</w:t>
      </w:r>
    </w:p>
    <w:p>
      <w:pPr>
        <w:pStyle w:val="Heading4"/>
      </w:pPr>
      <w:r>
        <w:t xml:space="preserve">Ammonium tetrathiomolybdate treatment of copper-associated hepatopathy in dogs.</w:t>
      </w:r>
    </w:p>
    <w:p/>
    <w:p>
      <w:pPr>
        <w:pStyle w:val="Normal"/>
      </w:pPr>
      <w:r>
        <w:rPr>
          <w:color w:val="323232"/>
        </w:rPr>
        <w:t xml:space="preserve">Daniel K Langlois, Janice R Querubin, William D Schall, Nathan C Nelson, and Rebecca C Smedley.</w:t>
      </w:r>
    </w:p>
    <w:p/>
    <w:p>
      <w:pPr>
        <w:pStyle w:val="Normal"/>
      </w:pPr>
      <w:r>
        <w:rPr>
          <w:color w:val="323232"/>
        </w:rPr>
        <w:t xml:space="preserve">BACKGROUND:Copper-associated hepatopathy (CAH) is a common cause of liver disease in dogs. Although d-penicillamine can be an effective treatment, some dogs fail treatment or develop adverse effects. Ammonium tetrathiomolybdate (TTM) has been used to treat pathologic copper accumulation in other species, but its therapeutic potential for CAH is unknown.</w:t>
      </w:r>
    </w:p>
    <w:p/>
    <w:p>
      <w:pPr>
        <w:pStyle w:val="Normal"/>
      </w:pPr>
      <w:r>
        <w:rPr>
          <w:color w:val="323232"/>
        </w:rPr>
        <w:t xml:space="preserve">OBJECTIVES:To investigate short-term safety and efficacy of TTM for treatment of CAH.</w:t>
      </w:r>
    </w:p>
    <w:p/>
    <w:p>
      <w:pPr>
        <w:pStyle w:val="Normal"/>
      </w:pPr>
      <w:r>
        <w:rPr>
          <w:color w:val="323232"/>
        </w:rPr>
        <w:t xml:space="preserve">ANIMALS:Ten dogs with CAH.</w:t>
      </w:r>
    </w:p>
    <w:p/>
    <w:p>
      <w:pPr>
        <w:pStyle w:val="Normal"/>
      </w:pPr>
      <w:r>
        <w:rPr>
          <w:color w:val="323232"/>
        </w:rPr>
        <w:t xml:space="preserve">METHODS:Prospective study. All dogs were treated with TTM PO for 6</w:t>
      </w:r>
      <w:r>
        <w:rPr>
          <w:color w:val="323232"/>
        </w:rPr>
        <w:t xml:space="preserve"> </w:t>
      </w:r>
      <w:r>
        <w:rPr>
          <w:color w:val="323232"/>
        </w:rPr>
        <w:t xml:space="preserve">weeks, and hepatic biopsies were performed after the treatment course. Dog experiencing initial decreases in hepatic copper concentrations ([Cu]H ) received 6 additional weeks of TTM treatment and underwent 1 additional biopsy. Physical and laboratory examinations were performed every 2</w:t>
      </w:r>
      <w:r>
        <w:rPr>
          <w:color w:val="323232"/>
        </w:rPr>
        <w:t xml:space="preserve"> </w:t>
      </w:r>
      <w:r>
        <w:rPr>
          <w:color w:val="323232"/>
        </w:rPr>
        <w:t xml:space="preserve">weeks for study duration.</w:t>
      </w:r>
    </w:p>
    <w:p/>
    <w:p>
      <w:pPr>
        <w:pStyle w:val="Normal"/>
      </w:pPr>
      <w:r>
        <w:rPr>
          <w:color w:val="323232"/>
        </w:rPr>
        <w:t xml:space="preserve">RESULTS:Eight of 10 dogs had decreases in [Cu]H . Compared to baseline (median, 1606</w:t>
      </w:r>
      <w:r>
        <w:rPr>
          <w:color w:val="323232"/>
        </w:rPr>
        <w:t xml:space="preserve"> </w:t>
      </w:r>
      <w:r>
        <w:rPr>
          <w:color w:val="323232"/>
        </w:rPr>
        <w:t xml:space="preserve">μg/ g; range, 572-5158</w:t>
      </w:r>
      <w:r>
        <w:rPr>
          <w:color w:val="323232"/>
        </w:rPr>
        <w:t xml:space="preserve"> </w:t>
      </w:r>
      <w:r>
        <w:rPr>
          <w:color w:val="323232"/>
        </w:rPr>
        <w:t xml:space="preserve">μg/ g), [Cu]H were decreased at 6</w:t>
      </w:r>
      <w:r>
        <w:rPr>
          <w:color w:val="323232"/>
        </w:rPr>
        <w:t xml:space="preserve"> </w:t>
      </w:r>
      <w:r>
        <w:rPr>
          <w:color w:val="323232"/>
        </w:rPr>
        <w:t xml:space="preserve">weeks (1033</w:t>
      </w:r>
      <w:r>
        <w:rPr>
          <w:color w:val="323232"/>
        </w:rPr>
        <w:t xml:space="preserve"> </w:t>
      </w:r>
      <w:r>
        <w:rPr>
          <w:color w:val="323232"/>
        </w:rPr>
        <w:t xml:space="preserve">μg/ g, 450-2975</w:t>
      </w:r>
      <w:r>
        <w:rPr>
          <w:color w:val="323232"/>
        </w:rPr>
        <w:t xml:space="preserve"> </w:t>
      </w:r>
      <w:r>
        <w:rPr>
          <w:color w:val="323232"/>
        </w:rPr>
        <w:t xml:space="preserve">μg/ g; P</w:t>
      </w:r>
      <w:r>
        <w:rPr>
          <w:color w:val="323232"/>
        </w:rPr>
        <w:t xml:space="preserve"> </w:t>
      </w:r>
      <w:r>
        <w:rPr>
          <w:color w:val="323232"/>
        </w:rPr>
        <w:t xml:space="preserve">=</w:t>
      </w:r>
      <w:r>
        <w:rPr>
          <w:color w:val="323232"/>
        </w:rPr>
        <w:t xml:space="preserve"> </w:t>
      </w:r>
      <w:r>
        <w:rPr>
          <w:color w:val="323232"/>
        </w:rPr>
        <w:t xml:space="preserve">.04) and 12</w:t>
      </w:r>
      <w:r>
        <w:rPr>
          <w:color w:val="323232"/>
        </w:rPr>
        <w:t xml:space="preserve"> </w:t>
      </w:r>
      <w:r>
        <w:rPr>
          <w:color w:val="323232"/>
        </w:rPr>
        <w:t xml:space="preserve">weeks (931</w:t>
      </w:r>
      <w:r>
        <w:rPr>
          <w:color w:val="323232"/>
        </w:rPr>
        <w:t xml:space="preserve"> </w:t>
      </w:r>
      <w:r>
        <w:rPr>
          <w:color w:val="323232"/>
        </w:rPr>
        <w:t xml:space="preserve">μg/ g, 218-1677</w:t>
      </w:r>
      <w:r>
        <w:rPr>
          <w:color w:val="323232"/>
        </w:rPr>
        <w:t xml:space="preserve"> </w:t>
      </w:r>
      <w:r>
        <w:rPr>
          <w:color w:val="323232"/>
        </w:rPr>
        <w:t xml:space="preserve">μg/g; P</w:t>
      </w:r>
      <w:r>
        <w:rPr>
          <w:color w:val="323232"/>
        </w:rPr>
        <w:t xml:space="preserve"> </w:t>
      </w:r>
      <w:r>
        <w:rPr>
          <w:color w:val="323232"/>
        </w:rPr>
        <w:t xml:space="preserve">=</w:t>
      </w:r>
      <w:r>
        <w:rPr>
          <w:color w:val="323232"/>
        </w:rPr>
        <w:t xml:space="preserve"> </w:t>
      </w:r>
      <w:r>
        <w:rPr>
          <w:color w:val="323232"/>
        </w:rPr>
        <w:t xml:space="preserve">.02). Hepatic molybdenum concentrations increased &gt;50-fold (P</w:t>
      </w:r>
      <w:r>
        <w:rPr>
          <w:color w:val="323232"/>
        </w:rPr>
        <w:t xml:space="preserve"> </w:t>
      </w:r>
      <w:r>
        <w:rPr>
          <w:color w:val="323232"/>
        </w:rPr>
        <w:t xml:space="preserve">&lt;</w:t>
      </w:r>
      <w:r>
        <w:rPr>
          <w:color w:val="323232"/>
        </w:rPr>
        <w:t xml:space="preserve"> </w:t>
      </w:r>
      <w:r>
        <w:rPr>
          <w:color w:val="323232"/>
        </w:rPr>
        <w:t xml:space="preserve">0.001). Changes in histologic scores and hematologic and biochemical test results were variable and not significantly different from baseline. One dog developed presumed immune-mediated anemia and thrombocytopenia, but it was unclear if this was related to TTM administration.</w:t>
      </w:r>
    </w:p>
    <w:p/>
    <w:p>
      <w:pPr>
        <w:pStyle w:val="Normal"/>
      </w:pPr>
      <w:r>
        <w:rPr>
          <w:color w:val="323232"/>
        </w:rPr>
        <w:t xml:space="preserve">CONCLUSIONS AND CLINICAL IMPORTANCE:Results suggest that TTM can effectively decrease [Cu]H in some dogs with CAH. Larger studies are needed to determine the overall safety and efficacy of TTM for treating CAH and how it compares with current treatments.</w:t>
      </w:r>
    </w:p>
    <w:p/>
    <w:p>
      <w:pPr>
        <w:pStyle w:val="Normal"/>
      </w:pPr>
      <w:r>
        <w:rPr>
          <w:color w:val="323232"/>
        </w:rPr>
        <w:t xml:space="preserve">J Vet Intern Med, 2019 vol. 33 (3) pp. 1336-1343.</w:t>
      </w:r>
    </w:p>
    <w:p>
      <w:r>
        <w:rPr>
          <w:rStyle w:val="Hyperlink"/>
        </w:rPr>
        <w:fldChar w:fldCharType="begin"/>
      </w:r>
      <w:r>
        <w:rPr>
          <w:rStyle w:val="Hyperlink"/>
        </w:rPr>
        <w:instrText xml:space="preserve"> HYPERLINK "http://dx.doi.org/10.1111/jvim.15474" </w:instrText>
      </w:r>
      <w:r>
        <w:rPr>
          <w:rStyle w:val="Hyperlink"/>
        </w:rPr>
      </w:r>
      <w:r>
        <w:rPr>
          <w:rStyle w:val="Hyperlink"/>
        </w:rPr>
        <w:fldChar w:fldCharType="separate"/>
      </w:r>
      <w:pPr>
        <w:pStyle w:val="Normal"/>
      </w:pPr>
      <w:r>
        <w:rPr>
          <w:rStyle w:val="Hyperlink"/>
        </w:rPr>
        <w:t xml:space="preserve">http://dx.doi.org/10.1111/jvim.15474</w:t>
      </w:r>
      <w:r>
        <w:rPr>
          <w:rStyle w:val="Hyperlink"/>
        </w:rPr>
        <w:fldChar w:fldCharType="end"/>
      </w:r>
    </w:p>
    <w:p>
      <w:pPr>
        <w:pStyle w:val="Normal"/>
      </w:pPr>
      <w:r>
        <w:rPr>
          <w:color w:val="323232"/>
        </w:rPr>
        <w:t xml:space="preserve">————————</w:t>
      </w:r>
    </w:p>
    <w:p>
      <w:pPr>
        <w:pStyle w:val="Heading4"/>
      </w:pPr>
      <w:r>
        <w:t xml:space="preserve">Untargeted metabolomic profiling of serum from dogs with chronic hepatic disease.</w:t>
      </w:r>
    </w:p>
    <w:p/>
    <w:p>
      <w:pPr>
        <w:pStyle w:val="Normal"/>
      </w:pPr>
      <w:r>
        <w:rPr>
          <w:color w:val="323232"/>
        </w:rPr>
        <w:t xml:space="preserve">Yuri A Lawrence, Micah A Bishop, Julia B Honneffer, Audrey K Cook, Aline Rodrigues-Hoffmann, Jörg M Steiner, Jan S Suchodolski, and Jonathan A Lidbury.</w:t>
      </w:r>
    </w:p>
    <w:p/>
    <w:p>
      <w:pPr>
        <w:pStyle w:val="Normal"/>
      </w:pPr>
      <w:r>
        <w:rPr>
          <w:color w:val="323232"/>
        </w:rPr>
        <w:t xml:space="preserve">BACKGROUND:Chronic hepatopathies present a diagnostic challenge, with different diseases being associated with similar clinical and laboratory findings. Characterization of dogs with chronic hepatopathies can be difficult and require costly diagnostic procedures such as acquisition of a liver biopsy specimen. Noninvasive and inexpensive biomarkers that reliably characterize chronic hepatopathies such as chronic hepatitis or a congenital portosystemic vascular anomaly may decrease the need for costly or invasive diagnostic testing and guide novel therapeutic interventions.</w:t>
      </w:r>
    </w:p>
    <w:p/>
    <w:p>
      <w:pPr>
        <w:pStyle w:val="Normal"/>
      </w:pPr>
      <w:r>
        <w:rPr>
          <w:color w:val="323232"/>
        </w:rPr>
        <w:t xml:space="preserve">OBJECTIVE:To investigate differences in the serum metabolome among healthy dogs, dogs with congenital portosystemic shunts, and dogs with chronic hepatitis.</w:t>
      </w:r>
    </w:p>
    <w:p/>
    <w:p>
      <w:pPr>
        <w:pStyle w:val="Normal"/>
      </w:pPr>
      <w:r>
        <w:rPr>
          <w:color w:val="323232"/>
        </w:rPr>
        <w:t xml:space="preserve">ANIMALS:Stored serum samples from 12 healthy dogs, 10 dogs with congenital portosystemic shunts, and 6 dogs with chronic hepatitis were analyzed.</w:t>
      </w:r>
    </w:p>
    <w:p/>
    <w:p>
      <w:pPr>
        <w:pStyle w:val="Normal"/>
      </w:pPr>
      <w:r>
        <w:rPr>
          <w:color w:val="323232"/>
        </w:rPr>
        <w:t xml:space="preserve">METHODS:The serum metabolome was analyzed with an untargeted metabolomics approach using gas chromatography-quadrupole time of flight mass spectrometry.</w:t>
      </w:r>
    </w:p>
    <w:p/>
    <w:p>
      <w:pPr>
        <w:pStyle w:val="Normal"/>
      </w:pPr>
      <w:r>
        <w:rPr>
          <w:color w:val="323232"/>
        </w:rPr>
        <w:t xml:space="preserve">RESULTS:Principal component analysis and heat dendrogram plots of the metabolomics data showed clustering among individuals in each group. Random forest analysis showed differences in the abundance of various metabolites including increased aromatic amino acids and xylitol in dogs with congenital portosystemic shunts. Based on the univariate statistics, 50 metabolites were significantly different among groups.</w:t>
      </w:r>
    </w:p>
    <w:p/>
    <w:p>
      <w:pPr>
        <w:pStyle w:val="Normal"/>
      </w:pPr>
      <w:r>
        <w:rPr>
          <w:color w:val="323232"/>
        </w:rPr>
        <w:t xml:space="preserve">CONCLUSIONS AND CLINICAL IMPORTANCE:The serum metabolome varies among healthy dogs, dogs with congenital portosystemic shunts, and dogs with chronic hepatitis. Statistical analysis identified several metabolites that differentiated healthy dogs from dogs with vascular or parenchymal liver disease. Further targeted assessment of these metabolites is needed to confirm their diagnostic reliability.</w:t>
      </w:r>
    </w:p>
    <w:p/>
    <w:p>
      <w:pPr>
        <w:pStyle w:val="Normal"/>
      </w:pPr>
      <w:r>
        <w:rPr>
          <w:color w:val="323232"/>
        </w:rPr>
        <w:t xml:space="preserve">J Vet Intern Med, 2019 vol. 33 (3) pp. 1344-1352.</w:t>
      </w:r>
    </w:p>
    <w:p>
      <w:r>
        <w:rPr>
          <w:rStyle w:val="Hyperlink"/>
        </w:rPr>
        <w:fldChar w:fldCharType="begin"/>
      </w:r>
      <w:r>
        <w:rPr>
          <w:rStyle w:val="Hyperlink"/>
        </w:rPr>
        <w:instrText xml:space="preserve"> HYPERLINK "http://dx.doi.org/10.1111/jvim.15479" </w:instrText>
      </w:r>
      <w:r>
        <w:rPr>
          <w:rStyle w:val="Hyperlink"/>
        </w:rPr>
      </w:r>
      <w:r>
        <w:rPr>
          <w:rStyle w:val="Hyperlink"/>
        </w:rPr>
        <w:fldChar w:fldCharType="separate"/>
      </w:r>
      <w:pPr>
        <w:pStyle w:val="Normal"/>
      </w:pPr>
      <w:r>
        <w:rPr>
          <w:rStyle w:val="Hyperlink"/>
        </w:rPr>
        <w:t xml:space="preserve">http://dx.doi.org/10.1111/jvim.15479</w:t>
      </w:r>
      <w:r>
        <w:rPr>
          <w:rStyle w:val="Hyperlink"/>
        </w:rPr>
        <w:fldChar w:fldCharType="end"/>
      </w:r>
    </w:p>
    <w:p>
      <w:pPr>
        <w:pStyle w:val="Normal"/>
      </w:pPr>
      <w:r>
        <w:rPr>
          <w:color w:val="323232"/>
        </w:rPr>
        <w:t xml:space="preserve">————————</w:t>
      </w:r>
    </w:p>
    <w:p>
      <w:pPr>
        <w:pStyle w:val="Heading4"/>
      </w:pPr>
      <w:r>
        <w:t xml:space="preserve">Intra-arterial renal infusion of autologous mesenchymal stem cells for treatment of chronic kidney disease in cats: Phase I clinical trial.</w:t>
      </w:r>
    </w:p>
    <w:p/>
    <w:p>
      <w:pPr>
        <w:pStyle w:val="Normal"/>
      </w:pPr>
      <w:r>
        <w:rPr>
          <w:color w:val="323232"/>
        </w:rPr>
        <w:t xml:space="preserve">Abigail L Thomson, Allyson C Berent, Chick Weisse, and Catherine E Langston.</w:t>
      </w:r>
    </w:p>
    <w:p/>
    <w:p>
      <w:pPr>
        <w:pStyle w:val="Normal"/>
      </w:pPr>
      <w:r>
        <w:rPr>
          <w:color w:val="323232"/>
        </w:rPr>
        <w:t xml:space="preserve">BACKGROUND:There are no known treatments that halt or reverse chronic kidney disease (CKD) in cats. In rodent models, stem cell treatment has been associated with improvement in renal function parameters, especially when stem cells were delivered intra-arterially to the kidney. To date, only IV and intrarenal stem cell infusions have been studied in cats with CKD with no clinically relevant improvement noted.</w:t>
      </w:r>
    </w:p>
    <w:p/>
    <w:p>
      <w:pPr>
        <w:pStyle w:val="Normal"/>
      </w:pPr>
      <w:r>
        <w:rPr>
          <w:color w:val="323232"/>
        </w:rPr>
        <w:t xml:space="preserve">OBJECTIVE:To assess the safety and feasibility of intra-arterial delivery of autologous mesenchymal stem cells (MSC) in stromal vascular fraction (SVF) to the kidney in cats with CKD.</w:t>
      </w:r>
    </w:p>
    <w:p/>
    <w:p>
      <w:pPr>
        <w:pStyle w:val="Normal"/>
      </w:pPr>
      <w:r>
        <w:rPr>
          <w:color w:val="323232"/>
        </w:rPr>
        <w:t xml:space="preserve">ANIMALS:Five client-owned domestic cats with International Renal Interest Society stage III CKD.</w:t>
      </w:r>
    </w:p>
    <w:p/>
    <w:p>
      <w:pPr>
        <w:pStyle w:val="Normal"/>
      </w:pPr>
      <w:r>
        <w:rPr>
          <w:color w:val="323232"/>
        </w:rPr>
        <w:t xml:space="preserve">METHODS:Prospective cohort study (phase I clinical trial). Adipose tissue was harvested from study animals on day 0. On days 2 and 14, an infusion of MSC in SVF was administered into the renal artery via the femoral or carotid artery using fluoroscopic guidance. Serum creatinine and blood urea nitrogen concentration, plasma iohexol clearance, and quality of life assessments were monitored between days 0 and 90.</w:t>
      </w:r>
    </w:p>
    <w:p/>
    <w:p>
      <w:pPr>
        <w:pStyle w:val="Normal"/>
      </w:pPr>
      <w:r>
        <w:rPr>
          <w:color w:val="323232"/>
        </w:rPr>
        <w:t xml:space="preserve">RESULTS:The procedure was performed successfully in all cats. No severe adverse events were observed in any cat during the study period.</w:t>
      </w:r>
    </w:p>
    <w:p/>
    <w:p>
      <w:pPr>
        <w:pStyle w:val="Normal"/>
      </w:pPr>
      <w:r>
        <w:rPr>
          <w:color w:val="323232"/>
        </w:rPr>
        <w:t xml:space="preserve">CONCLUSIONS AND CLINICAL IMPORTANCE:Intra-arterial infusion of MSC into the renal artery in CKD cats was feasible and safe within a 3-month postoperative period. Efficacy and long-term safety have yet to be established. This procedure requires careful technique and training.</w:t>
      </w:r>
    </w:p>
    <w:p/>
    <w:p>
      <w:pPr>
        <w:pStyle w:val="Normal"/>
      </w:pPr>
      <w:r>
        <w:rPr>
          <w:color w:val="323232"/>
        </w:rPr>
        <w:t xml:space="preserve">J Vet Intern Med, 2019 vol. 33 (3) pp. 1353-1361.</w:t>
      </w:r>
    </w:p>
    <w:p>
      <w:r>
        <w:rPr>
          <w:rStyle w:val="Hyperlink"/>
        </w:rPr>
        <w:fldChar w:fldCharType="begin"/>
      </w:r>
      <w:r>
        <w:rPr>
          <w:rStyle w:val="Hyperlink"/>
        </w:rPr>
        <w:instrText xml:space="preserve"> HYPERLINK "http://dx.doi.org/10.1111/jvim.15486" </w:instrText>
      </w:r>
      <w:r>
        <w:rPr>
          <w:rStyle w:val="Hyperlink"/>
        </w:rPr>
      </w:r>
      <w:r>
        <w:rPr>
          <w:rStyle w:val="Hyperlink"/>
        </w:rPr>
        <w:fldChar w:fldCharType="separate"/>
      </w:r>
      <w:pPr>
        <w:pStyle w:val="Normal"/>
      </w:pPr>
      <w:r>
        <w:rPr>
          <w:rStyle w:val="Hyperlink"/>
        </w:rPr>
        <w:t xml:space="preserve">http://dx.doi.org/10.1111/jvim.15486</w:t>
      </w:r>
      <w:r>
        <w:rPr>
          <w:rStyle w:val="Hyperlink"/>
        </w:rPr>
        <w:fldChar w:fldCharType="end"/>
      </w:r>
    </w:p>
    <w:p>
      <w:pPr>
        <w:pStyle w:val="Normal"/>
      </w:pPr>
      <w:r>
        <w:rPr>
          <w:color w:val="323232"/>
        </w:rPr>
        <w:t xml:space="preserve">————————</w:t>
      </w:r>
    </w:p>
    <w:p>
      <w:pPr>
        <w:pStyle w:val="Heading4"/>
      </w:pPr>
      <w:r>
        <w:t xml:space="preserve">Sequential changes in urine production, glomerular filtration rate, and electrolyte excretion after mannitol administration.</w:t>
      </w:r>
    </w:p>
    <w:p/>
    <w:p>
      <w:pPr>
        <w:pStyle w:val="Normal"/>
      </w:pPr>
      <w:r>
        <w:rPr>
          <w:color w:val="323232"/>
        </w:rPr>
        <w:t xml:space="preserve">Gilad Segev, Cheryl Stafford, John Kirby, and Larry D Cowgill.</w:t>
      </w:r>
    </w:p>
    <w:p/>
    <w:p>
      <w:pPr>
        <w:pStyle w:val="Normal"/>
      </w:pPr>
      <w:r>
        <w:rPr>
          <w:color w:val="323232"/>
        </w:rPr>
        <w:t xml:space="preserve">INTRODUCTION:Acute kidney injury (AKI) leading to severe uremia is associated with high morbidity and mortality. Mannitol is an osmotic diuretic, widely used in the management of AKI, both as a bolus injection and as a constant rate infusion (CRI).</w:t>
      </w:r>
    </w:p>
    <w:p/>
    <w:p>
      <w:pPr>
        <w:pStyle w:val="Normal"/>
      </w:pPr>
      <w:r>
        <w:rPr>
          <w:color w:val="323232"/>
        </w:rPr>
        <w:t xml:space="preserve">OBJECTIVES:To determine the plasma concentration of mannitol after a bolus injection and CRI at the recommended dosages, and to assess the effect of mannitol on renal function variables including urine production, glomerular filtration rate (GFR), and solute excretion.</w:t>
      </w:r>
    </w:p>
    <w:p/>
    <w:p>
      <w:pPr>
        <w:pStyle w:val="Normal"/>
      </w:pPr>
      <w:r>
        <w:rPr>
          <w:color w:val="323232"/>
        </w:rPr>
        <w:t xml:space="preserve">METHODS:Prospective cross-over design study, using 6 healthy dogs. Each dog underwent 3 protocols with at least a 7-day washout period between protocols. The first protocol included bolus injection of mannitol, the second protocol included bolus injection followed by CRI of mannitol and the third protocol (control) included injection of 5% dextrose in water (D5W). Urine production, GFR, and fractional excretion (FE) of solutes were measured for 10</w:t>
      </w:r>
      <w:r>
        <w:rPr>
          <w:color w:val="323232"/>
        </w:rPr>
        <w:t xml:space="preserve"> </w:t>
      </w:r>
      <w:r>
        <w:rPr>
          <w:color w:val="323232"/>
        </w:rPr>
        <w:t xml:space="preserve">hours.</w:t>
      </w:r>
    </w:p>
    <w:p/>
    <w:p>
      <w:pPr>
        <w:pStyle w:val="Normal"/>
      </w:pPr>
      <w:r>
        <w:rPr>
          <w:color w:val="323232"/>
        </w:rPr>
        <w:t xml:space="preserve">RESULTS:For all protocols, urine production significantly (P</w:t>
      </w:r>
      <w:r>
        <w:rPr>
          <w:color w:val="323232"/>
        </w:rPr>
        <w:t xml:space="preserve"> </w:t>
      </w:r>
      <w:r>
        <w:rPr>
          <w:color w:val="323232"/>
        </w:rPr>
        <w:t xml:space="preserve">&lt;</w:t>
      </w:r>
      <w:r>
        <w:rPr>
          <w:color w:val="323232"/>
        </w:rPr>
        <w:t xml:space="preserve"> </w:t>
      </w:r>
      <w:r>
        <w:rPr>
          <w:color w:val="323232"/>
        </w:rPr>
        <w:t xml:space="preserve">.001) increased after bolus injection, but no significant difference in urine production or GFR was observed among the treatment groups. Mannitol injection increased the FE of sodium and urea nitrogen, but these effects were short-lived.</w:t>
      </w:r>
    </w:p>
    <w:p/>
    <w:p>
      <w:pPr>
        <w:pStyle w:val="Normal"/>
      </w:pPr>
      <w:r>
        <w:rPr>
          <w:color w:val="323232"/>
        </w:rPr>
        <w:t xml:space="preserve">CONCLUSIONS:Mannitol has minimal effect on urine production and GFR but does increase FE of urea nitrogen and sodium, immediately after bolus injection. Constant rate infusion at a conventional dosage of 1</w:t>
      </w:r>
      <w:r>
        <w:rPr>
          <w:color w:val="323232"/>
        </w:rPr>
        <w:t xml:space="preserve"> </w:t>
      </w:r>
      <w:r>
        <w:rPr>
          <w:color w:val="323232"/>
        </w:rPr>
        <w:t xml:space="preserve">mg</w:t>
      </w:r>
      <w:r>
        <w:rPr>
          <w:i w:val="1"/>
          <w:color w:val="323232"/>
        </w:rPr>
        <w:t xml:space="preserve">kg</w:t>
      </w:r>
      <w:r>
        <w:rPr>
          <w:color w:val="323232"/>
        </w:rPr>
        <w:t xml:space="preserve">min cannot maintain these effects in dogs with normal renal function, because mannitol concentration decreases rapidly.</w:t>
      </w:r>
    </w:p>
    <w:p/>
    <w:p>
      <w:pPr>
        <w:pStyle w:val="Normal"/>
      </w:pPr>
      <w:r>
        <w:rPr>
          <w:color w:val="323232"/>
        </w:rPr>
        <w:t xml:space="preserve">J Vet Intern Med, 2019 vol. 33 (3) pp. 1362-1367.</w:t>
      </w:r>
    </w:p>
    <w:p>
      <w:r>
        <w:rPr>
          <w:rStyle w:val="Hyperlink"/>
        </w:rPr>
        <w:fldChar w:fldCharType="begin"/>
      </w:r>
      <w:r>
        <w:rPr>
          <w:rStyle w:val="Hyperlink"/>
        </w:rPr>
        <w:instrText xml:space="preserve"> HYPERLINK "http://eutils.ncbi.nlm.nih.gov/entrez/eutils/elink.fcgi?dbfrom=pubmed&amp;id=30927388&amp;retmode=ref&amp;cmd=prlinks"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http://eutils.ncbi.nlm.nih.gov/entrez/eutils/elink.fcgi?dbfrom=pubmed&amp;id=30927388&amp;retmode=ref&amp;cmd=prlinks</w:t>
      </w:r>
      <w:r>
        <w:rPr>
          <w:rStyle w:val="Hyperlink"/>
        </w:rPr>
        <w:fldChar w:fldCharType="end"/>
      </w:r>
    </w:p>
    <w:p>
      <w:pPr>
        <w:pStyle w:val="Normal"/>
      </w:pPr>
      <w:r>
        <w:rPr>
          <w:color w:val="323232"/>
        </w:rPr>
        <w:t xml:space="preserve">————————</w:t>
      </w:r>
    </w:p>
    <w:p>
      <w:pPr>
        <w:pStyle w:val="Heading4"/>
      </w:pPr>
      <w:r>
        <w:t xml:space="preserve">Association between improvement of clinical signs and decrease of ventricular volume after ventriculoperitoneal shunting in dogs with internal hydrocephalus.</w:t>
      </w:r>
    </w:p>
    <w:p/>
    <w:p>
      <w:pPr>
        <w:pStyle w:val="Normal"/>
      </w:pPr>
      <w:r>
        <w:rPr>
          <w:color w:val="323232"/>
        </w:rPr>
        <w:t xml:space="preserve">Martin J Schmidt, Antje Hartmann, Daniela Farke, Klaus Failling, and Malgorzata Kolecka.</w:t>
      </w:r>
    </w:p>
    <w:p/>
    <w:p>
      <w:pPr>
        <w:pStyle w:val="Normal"/>
      </w:pPr>
      <w:r>
        <w:rPr>
          <w:color w:val="323232"/>
        </w:rPr>
        <w:t xml:space="preserve">BACKGROUND:One of the remaining questions in treating dogs with internal hydrocephalus is the association between the decrease of ventricular volume and re-expansion of cerebral parenchyma with clinical improvement.</w:t>
      </w:r>
    </w:p>
    <w:p/>
    <w:p>
      <w:pPr>
        <w:pStyle w:val="Normal"/>
      </w:pPr>
      <w:r>
        <w:rPr>
          <w:color w:val="323232"/>
        </w:rPr>
        <w:t xml:space="preserve">HYPOTHESIS:A decrease in ventricular volume and re-expansion of brain tissue occur after ventriculoperitoneal shunting (VPS). Clinical improvement defined by resolution of ≥1 clinical signs is associated with decreased size of cerebral ventricles and that the extent of change in ventricular size is associated with clinical improvement.</w:t>
      </w:r>
    </w:p>
    <w:p/>
    <w:p>
      <w:pPr>
        <w:pStyle w:val="Normal"/>
      </w:pPr>
      <w:r>
        <w:rPr>
          <w:color w:val="323232"/>
        </w:rPr>
        <w:t xml:space="preserve">ANIMALS:Forty-five client-owned dogs with newly diagnosed communicating internal hydrocephalus.</w:t>
      </w:r>
    </w:p>
    <w:p/>
    <w:p>
      <w:pPr>
        <w:pStyle w:val="Normal"/>
      </w:pPr>
      <w:r>
        <w:rPr>
          <w:color w:val="323232"/>
        </w:rPr>
        <w:t xml:space="preserve">METHODS:Ventricular volume, brain volume, and clinical status of dogs that underwent VPS were measured before and 3</w:t>
      </w:r>
      <w:r>
        <w:rPr>
          <w:color w:val="323232"/>
        </w:rPr>
        <w:t xml:space="preserve"> </w:t>
      </w:r>
      <w:r>
        <w:rPr>
          <w:color w:val="323232"/>
        </w:rPr>
        <w:t xml:space="preserve">months after surgery. Multiple logistic regression analysis was performed to assess the influence of decrease in ventricular size in addition to the covariates "age of the animal" and "duration of clinical signs before surgery" on improvement of clinical signs.</w:t>
      </w:r>
    </w:p>
    <w:p/>
    <w:p>
      <w:pPr>
        <w:pStyle w:val="Normal"/>
      </w:pPr>
      <w:r>
        <w:rPr>
          <w:color w:val="323232"/>
        </w:rPr>
        <w:t xml:space="preserve">RESULTS:Decreased volume of cerebral ventricles was associated with resolution of ≥1 preoperative clinical sign (P &lt;</w:t>
      </w:r>
      <w:r>
        <w:rPr>
          <w:color w:val="323232"/>
        </w:rPr>
        <w:t xml:space="preserve"> </w:t>
      </w:r>
      <w:r>
        <w:rPr>
          <w:color w:val="323232"/>
        </w:rPr>
        <w:t xml:space="preserve">.003). The covariates "age of the animal" and "duration of clinical signs" were not associated with improvement of clinical signs. The percentage decrease in ventricular size was associated with resolution of ataxia (P =</w:t>
      </w:r>
      <w:r>
        <w:rPr>
          <w:color w:val="323232"/>
        </w:rPr>
        <w:t xml:space="preserve"> </w:t>
      </w:r>
      <w:r>
        <w:rPr>
          <w:color w:val="323232"/>
        </w:rPr>
        <w:t xml:space="preserve">.008) and obtundation (P =</w:t>
      </w:r>
      <w:r>
        <w:rPr>
          <w:color w:val="323232"/>
        </w:rPr>
        <w:t xml:space="preserve"> </w:t>
      </w:r>
      <w:r>
        <w:rPr>
          <w:color w:val="323232"/>
        </w:rPr>
        <w:t xml:space="preserve">.011).</w:t>
      </w:r>
    </w:p>
    <w:p/>
    <w:p>
      <w:pPr>
        <w:pStyle w:val="Normal"/>
      </w:pPr>
      <w:r>
        <w:rPr>
          <w:color w:val="323232"/>
        </w:rPr>
        <w:t xml:space="preserve">CONCLUSION AND CLINICAL IMPORTANCE:The decrease in ventricular volume and increase in brain parenchyma after VPS are associated with improvement in clinical signs.</w:t>
      </w:r>
    </w:p>
    <w:p/>
    <w:p>
      <w:pPr>
        <w:pStyle w:val="Normal"/>
      </w:pPr>
      <w:r>
        <w:rPr>
          <w:color w:val="323232"/>
        </w:rPr>
        <w:t xml:space="preserve">J Vet Intern Med, 2019 vol. 33 (3) pp. 1368-1375.</w:t>
      </w:r>
    </w:p>
    <w:p>
      <w:r>
        <w:rPr>
          <w:rStyle w:val="Hyperlink"/>
        </w:rPr>
        <w:fldChar w:fldCharType="begin"/>
      </w:r>
      <w:r>
        <w:rPr>
          <w:rStyle w:val="Hyperlink"/>
        </w:rPr>
        <w:instrText xml:space="preserve"> HYPERLINK "http://dx.doi.org/10.1111/jvim.15468" </w:instrText>
      </w:r>
      <w:r>
        <w:rPr>
          <w:rStyle w:val="Hyperlink"/>
        </w:rPr>
      </w:r>
      <w:r>
        <w:rPr>
          <w:rStyle w:val="Hyperlink"/>
        </w:rPr>
        <w:fldChar w:fldCharType="separate"/>
      </w:r>
      <w:pPr>
        <w:pStyle w:val="Normal"/>
      </w:pPr>
      <w:r>
        <w:rPr>
          <w:rStyle w:val="Hyperlink"/>
        </w:rPr>
        <w:t xml:space="preserve">http://dx.doi.org/10.1111/jvim.15468</w:t>
      </w:r>
      <w:r>
        <w:rPr>
          <w:rStyle w:val="Hyperlink"/>
        </w:rPr>
        <w:fldChar w:fldCharType="end"/>
      </w:r>
    </w:p>
    <w:p>
      <w:pPr>
        <w:pStyle w:val="Normal"/>
      </w:pPr>
      <w:r>
        <w:rPr>
          <w:color w:val="323232"/>
        </w:rPr>
        <w:t xml:space="preserve">————————</w:t>
      </w:r>
    </w:p>
    <w:p>
      <w:pPr>
        <w:pStyle w:val="Heading4"/>
      </w:pPr>
      <w:r>
        <w:t xml:space="preserve">Short- and long-term outcome and magnetic resonance imaging findings after surgical treatment of thoracolumbar spinal arachnoid diverticula in 25 Pugs.</w:t>
      </w:r>
    </w:p>
    <w:p/>
    <w:p>
      <w:pPr>
        <w:pStyle w:val="Normal"/>
      </w:pPr>
      <w:r>
        <w:rPr>
          <w:color w:val="323232"/>
        </w:rPr>
        <w:t xml:space="preserve">Neringa Alisauskaite, Sigitas Cizinauskas, Janis Jeserevics, Mindaugas Rakauskas, Giunio Bruto Cherubini, Marjukka Anttila, and Frank Steffen.</w:t>
      </w:r>
    </w:p>
    <w:p/>
    <w:p>
      <w:pPr>
        <w:pStyle w:val="Normal"/>
      </w:pPr>
      <w:r>
        <w:rPr>
          <w:color w:val="323232"/>
        </w:rPr>
        <w:t xml:space="preserve">BACKGROUND:There is a successful outcome after surgical management of spinal arachnoid diverticula (SAD) in up to 82% of cases.</w:t>
      </w:r>
    </w:p>
    <w:p/>
    <w:p>
      <w:pPr>
        <w:pStyle w:val="Normal"/>
      </w:pPr>
      <w:r>
        <w:rPr>
          <w:color w:val="323232"/>
        </w:rPr>
        <w:t xml:space="preserve">HYPOTHESIS/OBJECTIVES:We hypothesized that Pugs have favorable short-term and poor long-term prognosis after surgical treatment of thoracolumbar SAD. The aim of the present investigation was to describe clinical findings, short- and long-term outcomes, and follow-up magnetic resonance imaging (MRI) findings in Pugs with thoracolumbar SAD.</w:t>
      </w:r>
    </w:p>
    <w:p/>
    <w:p>
      <w:pPr>
        <w:pStyle w:val="Normal"/>
      </w:pPr>
      <w:r>
        <w:rPr>
          <w:color w:val="323232"/>
        </w:rPr>
        <w:t xml:space="preserve">ANIMALS:Twenty-five client owned Pugs with 12-month follow-up information after surgical treatment of thoracolumbar SAD.</w:t>
      </w:r>
    </w:p>
    <w:p/>
    <w:p>
      <w:pPr>
        <w:pStyle w:val="Normal"/>
      </w:pPr>
      <w:r>
        <w:rPr>
          <w:color w:val="323232"/>
        </w:rPr>
        <w:t xml:space="preserve">METHODS:Multicenter retrospective case series. All medical records were searched for Pugs diagnosed with SAD. Data regarding signalment, history, surgical procedure, outcome, histopathology, and follow-up MRI results were extracted.</w:t>
      </w:r>
    </w:p>
    <w:p/>
    <w:p>
      <w:pPr>
        <w:pStyle w:val="Normal"/>
      </w:pPr>
      <w:r>
        <w:rPr>
          <w:color w:val="323232"/>
        </w:rPr>
        <w:t xml:space="preserve">RESULTS:Mean age at presentation was 7.32 (range 2-11) years, 80% were males. Short-term outcome was available in 25 dogs, and improvement was confirmed in 80% of dogs. Long-term outcome was available in 21 dogs, and deterioration was confirmed in 86% of cases, with late-onset recurrence of clinical signs after initial postsurgical improvement affecting 85% of Pugs. A moderate correlation (r</w:t>
      </w:r>
      <w:r>
        <w:rPr>
          <w:color w:val="323232"/>
        </w:rPr>
        <w:t xml:space="preserve"> </w:t>
      </w:r>
      <w:r>
        <w:rPr>
          <w:color w:val="323232"/>
        </w:rPr>
        <w:t xml:space="preserve">=</w:t>
      </w:r>
      <w:r>
        <w:rPr>
          <w:color w:val="323232"/>
        </w:rPr>
        <w:t xml:space="preserve"> </w:t>
      </w:r>
      <w:r>
        <w:rPr>
          <w:color w:val="323232"/>
        </w:rPr>
        <w:t xml:space="preserve">0.50) was found between duration of clinical signs and outcome. In 8 dogs with deteriorating clinical signs, follow-up MRI revealed regrowth of the SAD in 2 cases, new SAD formation in 2 cases, and intramedullary T2W hyperintensity/syringomyelia in 6 cases.</w:t>
      </w:r>
    </w:p>
    <w:p/>
    <w:p>
      <w:pPr>
        <w:pStyle w:val="Normal"/>
      </w:pPr>
      <w:r>
        <w:rPr>
          <w:color w:val="323232"/>
        </w:rPr>
        <w:t xml:space="preserve">CONCLUSIONS AND CLINICAL IMPORTANCE:This study suggests that Pugs with thoracolumbar SAD do not have a favorable long-term prognosis after surgical treatment for reasons yet to be determined.</w:t>
      </w:r>
    </w:p>
    <w:p/>
    <w:p>
      <w:pPr>
        <w:pStyle w:val="Normal"/>
      </w:pPr>
      <w:r>
        <w:rPr>
          <w:color w:val="323232"/>
        </w:rPr>
        <w:t xml:space="preserve">J Vet Intern Med, 2019 vol. 33 (3) pp. 1376-1383.</w:t>
      </w:r>
    </w:p>
    <w:p>
      <w:r>
        <w:rPr>
          <w:rStyle w:val="Hyperlink"/>
        </w:rPr>
        <w:fldChar w:fldCharType="begin"/>
      </w:r>
      <w:r>
        <w:rPr>
          <w:rStyle w:val="Hyperlink"/>
        </w:rPr>
        <w:instrText xml:space="preserve"> HYPERLINK "http://dx.doi.org/10.1111/jvim.15470" </w:instrText>
      </w:r>
      <w:r>
        <w:rPr>
          <w:rStyle w:val="Hyperlink"/>
        </w:rPr>
      </w:r>
      <w:r>
        <w:rPr>
          <w:rStyle w:val="Hyperlink"/>
        </w:rPr>
        <w:fldChar w:fldCharType="separate"/>
      </w:r>
      <w:pPr>
        <w:pStyle w:val="Normal"/>
      </w:pPr>
      <w:r>
        <w:rPr>
          <w:rStyle w:val="Hyperlink"/>
        </w:rPr>
        <w:t xml:space="preserve">http://dx.doi.org/10.1111/jvim.15470</w:t>
      </w:r>
      <w:r>
        <w:rPr>
          <w:rStyle w:val="Hyperlink"/>
        </w:rPr>
        <w:fldChar w:fldCharType="end"/>
      </w:r>
    </w:p>
    <w:p>
      <w:pPr>
        <w:pStyle w:val="Normal"/>
      </w:pPr>
      <w:r>
        <w:rPr>
          <w:color w:val="323232"/>
        </w:rPr>
        <w:t xml:space="preserve">————————</w:t>
      </w:r>
    </w:p>
    <w:p>
      <w:pPr>
        <w:pStyle w:val="Heading4"/>
      </w:pPr>
      <w:r>
        <w:t xml:space="preserve">Diagnostic accuracy of stereotactic brain biopsy for intracranial neoplasia in dogs: Comparison of biopsy, surgical resection, and necropsy specimens.</w:t>
      </w:r>
    </w:p>
    <w:p/>
    <w:p>
      <w:pPr>
        <w:pStyle w:val="Normal"/>
      </w:pPr>
      <w:r>
        <w:rPr>
          <w:color w:val="323232"/>
        </w:rPr>
        <w:t xml:space="preserve">Yukitaka Kani, Thomas E Cecere, Kevin Lahmers, Tanya LeRoith, Kurt L Zimmerman, Scott Isom, Fang-Chi Hsu, Waldemar Debinksi, John L Robertson, and John H Rossmeisl.</w:t>
      </w:r>
    </w:p>
    <w:p/>
    <w:p>
      <w:pPr>
        <w:pStyle w:val="Normal"/>
      </w:pPr>
      <w:r>
        <w:rPr>
          <w:color w:val="323232"/>
        </w:rPr>
        <w:t xml:space="preserve">BACKGROUND:Stereotactic brain biopsy (SBB) is a technique that allows for definitive diagnosis of brain lesions. Little information is available regarding the diagnostic utility of SBB in dogs with intracranial diseases.</w:t>
      </w:r>
    </w:p>
    <w:p/>
    <w:p>
      <w:pPr>
        <w:pStyle w:val="Normal"/>
      </w:pPr>
      <w:r>
        <w:rPr>
          <w:color w:val="323232"/>
        </w:rPr>
        <w:t xml:space="preserve">OBJECTIVE:To investigate the diagnostic accuracy (DA) of SBB in dogs with brain tumors.</w:t>
      </w:r>
    </w:p>
    <w:p/>
    <w:p>
      <w:pPr>
        <w:pStyle w:val="Normal"/>
      </w:pPr>
      <w:r>
        <w:rPr>
          <w:color w:val="323232"/>
        </w:rPr>
        <w:t xml:space="preserve">ANIMALS:Thirty-one client-owned dogs that underwent SBB followed by surgical resection or necropsy examinations.</w:t>
      </w:r>
    </w:p>
    <w:p/>
    <w:p>
      <w:pPr>
        <w:pStyle w:val="Normal"/>
      </w:pPr>
      <w:r>
        <w:rPr>
          <w:color w:val="323232"/>
        </w:rPr>
        <w:t xml:space="preserve">METHODS:Retrospective observational study. Two pathologists blinded to SBB and reference standard diagnoses reviewed histologic specimens and typed and graded tumors according to World Health Organization and revised canine glioma classification criteria. Agreement between tumor type and grade from SBB were compared to reference standards and assessed using kappa statistics. Patient and technical factors associated with agreement also were examined.</w:t>
      </w:r>
    </w:p>
    <w:p/>
    <w:p>
      <w:pPr>
        <w:pStyle w:val="Normal"/>
      </w:pPr>
      <w:r>
        <w:rPr>
          <w:color w:val="323232"/>
        </w:rPr>
        <w:t xml:space="preserve">RESULTS:Stereotactic brain biopsy specimens were obtained from 24 dogs with gliomas and 7 with meningiomas. Tumor type agreement between SBB and the reference standard was observed in 30/31 cases (κ</w:t>
      </w:r>
      <w:r>
        <w:rPr>
          <w:color w:val="323232"/>
        </w:rPr>
        <w:t xml:space="preserve"> </w:t>
      </w:r>
      <w:r>
        <w:rPr>
          <w:color w:val="323232"/>
        </w:rPr>
        <w:t xml:space="preserve">=</w:t>
      </w:r>
      <w:r>
        <w:rPr>
          <w:color w:val="323232"/>
        </w:rPr>
        <w:t xml:space="preserve"> </w:t>
      </w:r>
      <w:r>
        <w:rPr>
          <w:color w:val="323232"/>
        </w:rPr>
        <w:t xml:space="preserve">0.95). Diagnostic concordance was perfect for meningiomas. Grade agreement among gliomas was observed in 18/23 cases (κ</w:t>
      </w:r>
      <w:r>
        <w:rPr>
          <w:color w:val="323232"/>
        </w:rPr>
        <w:t xml:space="preserve"> </w:t>
      </w:r>
      <w:r>
        <w:rPr>
          <w:color w:val="323232"/>
        </w:rPr>
        <w:t xml:space="preserve">=</w:t>
      </w:r>
      <w:r>
        <w:rPr>
          <w:color w:val="323232"/>
        </w:rPr>
        <w:t xml:space="preserve"> </w:t>
      </w:r>
      <w:r>
        <w:rPr>
          <w:color w:val="323232"/>
        </w:rPr>
        <w:t xml:space="preserve">0.47). Stereotactic brain biopsy underrepresented the reference standard glioma grade in cases with disagreement. The DA of SBB was 81%, with agreement noted in 56/69 biopsy samples. Smaller tumors and fewer SBB specimens obtained were significantly associated with diagnostic discordance.</w:t>
      </w:r>
    </w:p>
    <w:p/>
    <w:p>
      <w:pPr>
        <w:pStyle w:val="Normal"/>
      </w:pPr>
      <w:r>
        <w:rPr>
          <w:color w:val="323232"/>
        </w:rPr>
        <w:t xml:space="preserve">CONCLUSIONS AND CLINICAL IMPORTANCE:The DA of SBB readily allows for the diagnosis of common brain tumors in dogs. Although glioma grade discordance was frequent, diagnoses obtained from SBB are sufficient to currently inform therapeutic decisions. Multiple SBB specimens should be collected to maximize DA.</w:t>
      </w:r>
    </w:p>
    <w:p/>
    <w:p>
      <w:pPr>
        <w:pStyle w:val="Normal"/>
      </w:pPr>
      <w:r>
        <w:rPr>
          <w:color w:val="323232"/>
        </w:rPr>
        <w:t xml:space="preserve">J Vet Intern Med, 2019 vol. 33 (3) pp. 1384-1391.</w:t>
      </w:r>
    </w:p>
    <w:p>
      <w:r>
        <w:rPr>
          <w:rStyle w:val="Hyperlink"/>
        </w:rPr>
        <w:fldChar w:fldCharType="begin"/>
      </w:r>
      <w:r>
        <w:rPr>
          <w:rStyle w:val="Hyperlink"/>
        </w:rPr>
        <w:instrText xml:space="preserve"> HYPERLINK "http://dx.doi.org/10.1111/jvim.15500" </w:instrText>
      </w:r>
      <w:r>
        <w:rPr>
          <w:rStyle w:val="Hyperlink"/>
        </w:rPr>
      </w:r>
      <w:r>
        <w:rPr>
          <w:rStyle w:val="Hyperlink"/>
        </w:rPr>
        <w:fldChar w:fldCharType="separate"/>
      </w:r>
      <w:pPr>
        <w:pStyle w:val="Normal"/>
      </w:pPr>
      <w:r>
        <w:rPr>
          <w:rStyle w:val="Hyperlink"/>
        </w:rPr>
        <w:t xml:space="preserve">http://dx.doi.org/10.1111/jvim.15500</w:t>
      </w:r>
      <w:r>
        <w:rPr>
          <w:rStyle w:val="Hyperlink"/>
        </w:rPr>
        <w:fldChar w:fldCharType="end"/>
      </w:r>
    </w:p>
    <w:p>
      <w:pPr>
        <w:pStyle w:val="Normal"/>
      </w:pPr>
      <w:r>
        <w:rPr>
          <w:color w:val="323232"/>
        </w:rPr>
        <w:t xml:space="preserve">————————</w:t>
      </w:r>
    </w:p>
    <w:p>
      <w:pPr>
        <w:pStyle w:val="Heading4"/>
      </w:pPr>
      <w:r>
        <w:t xml:space="preserve">Mechanical dilation, botulinum toxin A injection, and surgical myotomy with fundoplication for treatment of lower esophageal sphincter achalasia-like syndrome in dogs.</w:t>
      </w:r>
    </w:p>
    <w:p/>
    <w:p>
      <w:pPr>
        <w:pStyle w:val="Normal"/>
      </w:pPr>
      <w:r>
        <w:rPr>
          <w:color w:val="323232"/>
        </w:rPr>
        <w:t xml:space="preserve">M E Grobman, K D Hutcheson, T E Lever, F A Mann, and C R Reinero.</w:t>
      </w:r>
    </w:p>
    <w:p/>
    <w:p>
      <w:pPr>
        <w:pStyle w:val="Normal"/>
      </w:pPr>
      <w:r>
        <w:rPr>
          <w:color w:val="323232"/>
        </w:rPr>
        <w:t xml:space="preserve">BACKGROUND:Megaesophagus (ME) carries a poor long-term prognosis in dogs. In people, lower esophageal sphincter (LES) achalasia is a rare cause of ME that may respond to targeted intervention. Dogs with lower esophageal sphincter achalasia-like syndrome (LES-AS) have been described recently, warranting investigation of analogous targeted treatment.</w:t>
      </w:r>
    </w:p>
    <w:p/>
    <w:p>
      <w:pPr>
        <w:pStyle w:val="Normal"/>
      </w:pPr>
      <w:r>
        <w:rPr>
          <w:color w:val="323232"/>
        </w:rPr>
        <w:t xml:space="preserve">HYPOTHESIS/OBJECTIVES:Evaluate response of dogs with LES-AS to LES mechanical dilation and botulinum toxin A (BTA) injections, with or without surgical myotomy and fundoplication. We hypothesized that clinical and videofluoroscopic swallow study (VFSS) features of LES-AS would improve after treatment targeting functional LES obstruction.</w:t>
      </w:r>
    </w:p>
    <w:p/>
    <w:p>
      <w:pPr>
        <w:pStyle w:val="Normal"/>
      </w:pPr>
      <w:r>
        <w:rPr>
          <w:color w:val="323232"/>
        </w:rPr>
        <w:t xml:space="preserve">ANIMALS:Fourteen client-owned dogs with LES-AS diagnosed by VFSS.</w:t>
      </w:r>
    </w:p>
    <w:p/>
    <w:p>
      <w:pPr>
        <w:pStyle w:val="Normal"/>
      </w:pPr>
      <w:r>
        <w:rPr>
          <w:color w:val="323232"/>
        </w:rPr>
        <w:t xml:space="preserve">METHODS:Retrospective study. Dogs diagnosed with LES-AS underwent treatment between April 2015 and December 2017. Outcome measures included client perception of clinical severity, body weight (BW), body condition score (BCS), regurgitation frequency, and VFSS parameters (ME, esophageal motility, gastric filling). Dogs with positive responses were considered candidates for LES myotomy with fundoplication.</w:t>
      </w:r>
    </w:p>
    <w:p/>
    <w:p>
      <w:pPr>
        <w:pStyle w:val="Normal"/>
      </w:pPr>
      <w:r>
        <w:rPr>
          <w:color w:val="323232"/>
        </w:rPr>
        <w:t xml:space="preserve">RESULTS:By a median IQR of 21 (IQR, 14-25) days after mechanical dilation and BTA, clients reported clinical improvement in 100% of dogs, BW increased 20.4% (IQR, 12.7%-25%), pre- and post-treatment BCS was 3 (IQR, 3-4) and 5 (IQR, 4-5), respectively, and frequency of regurgitation decreased by 80% (IQR, 50%-85%). Duration of effect was 40 (IQR, 17-53) days. Despite clinical improvement, ME and abnormal esophageal motility persisted in 14 dogs. Six dogs subsequently underwent myotomy and fundoplication and maintained improvement observed after mechanical dilation and BTA.</w:t>
      </w:r>
    </w:p>
    <w:p/>
    <w:p>
      <w:pPr>
        <w:pStyle w:val="Normal"/>
      </w:pPr>
      <w:r>
        <w:rPr>
          <w:color w:val="323232"/>
        </w:rPr>
        <w:t xml:space="preserve">CONCLUSIONS AND CLINICAL IMPORTANCE:Dogs with LES-AS experienced significant, temporary, clinical improvement after mechanical dilation and BTA. Preliminary results suggest myotomy with fundoplication provide lasting clinical benefit despite persistence of ME.</w:t>
      </w:r>
    </w:p>
    <w:p/>
    <w:p>
      <w:pPr>
        <w:pStyle w:val="Normal"/>
      </w:pPr>
      <w:r>
        <w:rPr>
          <w:color w:val="323232"/>
        </w:rPr>
        <w:t xml:space="preserve">J Vet Intern Med, 2019 vol. 33 (3) pp. 1423-1433.</w:t>
      </w:r>
    </w:p>
    <w:p>
      <w:r>
        <w:rPr>
          <w:rStyle w:val="Hyperlink"/>
        </w:rPr>
        <w:fldChar w:fldCharType="begin"/>
      </w:r>
      <w:r>
        <w:rPr>
          <w:rStyle w:val="Hyperlink"/>
        </w:rPr>
        <w:instrText xml:space="preserve"> HYPERLINK "http://dx.doi.org/10.1111/jvim.15476" </w:instrText>
      </w:r>
      <w:r>
        <w:rPr>
          <w:rStyle w:val="Hyperlink"/>
        </w:rPr>
      </w:r>
      <w:r>
        <w:rPr>
          <w:rStyle w:val="Hyperlink"/>
        </w:rPr>
        <w:fldChar w:fldCharType="separate"/>
      </w:r>
      <w:pPr>
        <w:pStyle w:val="Normal"/>
      </w:pPr>
      <w:r>
        <w:rPr>
          <w:rStyle w:val="Hyperlink"/>
        </w:rPr>
        <w:t xml:space="preserve">http://dx.doi.org/10.1111/jvim.15476</w:t>
      </w:r>
      <w:r>
        <w:rPr>
          <w:rStyle w:val="Hyperlink"/>
        </w:rPr>
        <w:fldChar w:fldCharType="end"/>
      </w:r>
    </w:p>
    <w:p>
      <w:pPr>
        <w:pStyle w:val="Normal"/>
      </w:pPr>
      <w:r>
        <w:rPr>
          <w:color w:val="323232"/>
        </w:rPr>
        <w:t xml:space="preserve">————————</w:t>
      </w:r>
    </w:p>
    <w:p>
      <w:pPr>
        <w:pStyle w:val="Heading4"/>
      </w:pPr>
      <w:r>
        <w:t xml:space="preserve">Plasma and tissue angiotensin-converting enzyme 2 activity and plasma equilibrium concentrations of angiotensin peptides in dogs with heart disease.</w:t>
      </w:r>
    </w:p>
    <w:p/>
    <w:p>
      <w:pPr>
        <w:pStyle w:val="Normal"/>
      </w:pPr>
      <w:r>
        <w:rPr>
          <w:color w:val="323232"/>
        </w:rPr>
        <w:t xml:space="preserve">Éva Larouche-Lebel, Kerry A Loughran, Mark A Oyama, Phil F Solter, Danielle S Laughlin, Melissa D Sánchez, Charles-Antoine Assenmacher, Philip R Fox, and Ryan C Fries.</w:t>
      </w:r>
    </w:p>
    <w:p/>
    <w:p>
      <w:pPr>
        <w:pStyle w:val="Normal"/>
      </w:pPr>
      <w:r>
        <w:rPr>
          <w:color w:val="323232"/>
        </w:rPr>
        <w:t xml:space="preserve">BACKGROUND:Angiotensin-converting enzyme 2 (ACE2) is a homologue of angiotensin-converting enzyme (ACE) and produces angiotensin peptides (APs), such as angiotensin 1-9 and 1-7 that are vasodilatory and natriuretic, and act to counterbalance angiotensin II.</w:t>
      </w:r>
    </w:p>
    <w:p/>
    <w:p>
      <w:pPr>
        <w:pStyle w:val="Normal"/>
      </w:pPr>
      <w:r>
        <w:rPr>
          <w:color w:val="323232"/>
        </w:rPr>
        <w:t xml:space="preserve">HYPOTHESIS:Evidence of ACE2 can be found in tissues and plasma of dogs. Equilibrium concentrations of renin angiotensin aldosterone system (RAAS) APs differ in dogs with heart disease compared to healthy dogs and recombinant human ACE2 (rhACE2) alters relative concentrations of APs.</w:t>
      </w:r>
    </w:p>
    <w:p/>
    <w:p>
      <w:pPr>
        <w:pStyle w:val="Normal"/>
      </w:pPr>
      <w:r>
        <w:rPr>
          <w:color w:val="323232"/>
        </w:rPr>
        <w:t xml:space="preserve">ANIMALS:Forty-nine dogs with and 34 dogs without heart disease.</w:t>
      </w:r>
    </w:p>
    <w:p/>
    <w:p>
      <w:pPr>
        <w:pStyle w:val="Normal"/>
      </w:pPr>
      <w:r>
        <w:rPr>
          <w:color w:val="323232"/>
        </w:rPr>
        <w:t xml:space="preserve">METHODS:Immunohistochemistry and assays for tissue and plasma ACE2 activity and equilibrium concentrations of plasma RAAS APs were performed.</w:t>
      </w:r>
    </w:p>
    <w:p/>
    <w:p>
      <w:pPr>
        <w:pStyle w:val="Normal"/>
      </w:pPr>
      <w:r>
        <w:rPr>
          <w:color w:val="323232"/>
        </w:rPr>
        <w:t xml:space="preserve">RESULTS:Immunolabeling for ACE2 was present in kidney and myocardial tissue. Median plasma ACE2 activity was significantly increased in dogs with congestive heart failure (CHF; 6.9 mU</w:t>
      </w:r>
      <w:r>
        <w:rPr>
          <w:i w:val="1"/>
          <w:color w:val="323232"/>
        </w:rPr>
        <w:t xml:space="preserve">mg; interquartile range [IQR], 5.1-12.1) as compared to control (2.2 mU</w:t>
      </w:r>
      <w:r>
        <w:rPr>
          <w:color w:val="323232"/>
        </w:rPr>
        <w:t xml:space="preserve">m g; IQR, 1.8-3.0; P = .0003). Plasma equilibrium analysis of RAAS APs identified significant increases in the median concentrations of beneficial APs, such as angiotensin 1-7, in dogs with CHF (486.7 pg/ mL; IQR, 214.2-1168) as compared to those with preclinical disease (41.0 pg/ mL; IQR, 27.4-45.1; P</w:t>
      </w:r>
      <w:r>
        <w:rPr>
          <w:color w:val="323232"/>
        </w:rPr>
        <w:t xml:space="preserve"> </w:t>
      </w:r>
      <w:r>
        <w:rPr>
          <w:color w:val="323232"/>
        </w:rPr>
        <w:t xml:space="preserve">&lt;</w:t>
      </w:r>
      <w:r>
        <w:rPr>
          <w:color w:val="323232"/>
        </w:rPr>
        <w:t xml:space="preserve"> </w:t>
      </w:r>
      <w:r>
        <w:rPr>
          <w:color w:val="323232"/>
        </w:rPr>
        <w:t xml:space="preserve">.0001) or control (11.4 pg/ mL; IQR, 7.1-25.3; P = .01). Incubation of plasma samples from dogs with CHF with rhACE2 increased beneficial APs, such as angiotensin 1-9 (preincubation, 10.3 pg/ mL; IQR, 4.4-37.2; postincubation, 2431</w:t>
      </w:r>
      <w:r>
        <w:rPr>
          <w:color w:val="323232"/>
        </w:rPr>
        <w:t xml:space="preserve"> </w:t>
      </w:r>
      <w:r>
        <w:rPr>
          <w:color w:val="323232"/>
        </w:rPr>
        <w:t xml:space="preserve">pg/ mL; IQR, 1355-3037; P = .02), while simultaneously decreasing maladaptive APs, such as angiotensin II (preincubation, 53.4 pg/ mL; IQR, 28.6-226.4; postincubation, 2.4 pg/mL; IQR, 0.50-5.8; P = .02).</w:t>
      </w:r>
    </w:p>
    <w:p/>
    <w:p>
      <w:pPr>
        <w:pStyle w:val="Normal"/>
      </w:pPr>
      <w:r>
        <w:rPr>
          <w:color w:val="323232"/>
        </w:rPr>
        <w:t xml:space="preserve">CONCLUSIONS AND CLINICAL IMPORTANCE:Recognition of the ACE2 system expands the conventional view of the RAAS in the dog and represents an important potential therapeutic target.</w:t>
      </w:r>
    </w:p>
    <w:p/>
    <w:p>
      <w:pPr>
        <w:pStyle w:val="Normal"/>
      </w:pPr>
      <w:r>
        <w:rPr>
          <w:color w:val="323232"/>
        </w:rPr>
        <w:t xml:space="preserve">J Vet Intern Med, 2019 vol. 33 (4) pp. 1571-1584.</w:t>
      </w:r>
    </w:p>
    <w:p>
      <w:r>
        <w:rPr>
          <w:rStyle w:val="Hyperlink"/>
        </w:rPr>
        <w:fldChar w:fldCharType="begin"/>
      </w:r>
      <w:r>
        <w:rPr>
          <w:rStyle w:val="Hyperlink"/>
        </w:rPr>
        <w:instrText xml:space="preserve"> HYPERLINK "http://dx.doi.org/10.1111/jvim.15548" </w:instrText>
      </w:r>
      <w:r>
        <w:rPr>
          <w:rStyle w:val="Hyperlink"/>
        </w:rPr>
      </w:r>
      <w:r>
        <w:rPr>
          <w:rStyle w:val="Hyperlink"/>
        </w:rPr>
        <w:fldChar w:fldCharType="separate"/>
      </w:r>
      <w:pPr>
        <w:pStyle w:val="Normal"/>
      </w:pPr>
      <w:r>
        <w:rPr>
          <w:rStyle w:val="Hyperlink"/>
        </w:rPr>
        <w:t xml:space="preserve">http://dx.doi.org/10.1111/jvim.15548</w:t>
      </w:r>
      <w:r>
        <w:rPr>
          <w:rStyle w:val="Hyperlink"/>
        </w:rPr>
        <w:fldChar w:fldCharType="end"/>
      </w:r>
    </w:p>
    <w:p>
      <w:pPr>
        <w:pStyle w:val="Normal"/>
      </w:pPr>
      <w:r>
        <w:rPr>
          <w:color w:val="323232"/>
        </w:rPr>
        <w:t xml:space="preserve">————————</w:t>
      </w:r>
    </w:p>
    <w:p>
      <w:pPr>
        <w:pStyle w:val="Heading4"/>
      </w:pPr>
      <w:r>
        <w:t xml:space="preserve">Lidocaine for chemical cardioversion of orthodromic atrioventricular reciprocating tachycardia in dogs.</w:t>
      </w:r>
    </w:p>
    <w:p/>
    <w:p>
      <w:pPr>
        <w:pStyle w:val="Normal"/>
      </w:pPr>
      <w:r>
        <w:rPr>
          <w:color w:val="323232"/>
        </w:rPr>
        <w:t xml:space="preserve">Kathy N Wright, Thaibinh Nguyenba, and Holly M Irvin.</w:t>
      </w:r>
    </w:p>
    <w:p/>
    <w:p>
      <w:pPr>
        <w:pStyle w:val="Normal"/>
      </w:pPr>
      <w:r>
        <w:rPr>
          <w:color w:val="323232"/>
        </w:rPr>
        <w:t xml:space="preserve">BACKGROUND:Typical atrioventricular accessory pathways (APs) are composed of myocardial cells. They provide electrical connections between atria and ventricles separate from the normal conduction system. Accessory pathways can participate in a macroreentrant circuit resulting in orthodromic atrioventricular reciprocating tachycardia (OAVRT).</w:t>
      </w:r>
    </w:p>
    <w:p/>
    <w:p>
      <w:pPr>
        <w:pStyle w:val="Normal"/>
      </w:pPr>
      <w:r>
        <w:rPr>
          <w:color w:val="323232"/>
        </w:rPr>
        <w:t xml:space="preserve">HYPOTHESIS:Because of ultrastructural similarities of typical AP cells to ventricular myocardial cells, we hypothesized lidocaine would be effective in blocking AP conduction, thus terminating OAVRT.</w:t>
      </w:r>
    </w:p>
    <w:p/>
    <w:p>
      <w:pPr>
        <w:pStyle w:val="Normal"/>
      </w:pPr>
      <w:r>
        <w:rPr>
          <w:color w:val="323232"/>
        </w:rPr>
        <w:t xml:space="preserve">ANIMALS:Thirty-two consecutive client-owned dogs presenting with narrow complex tachyarrhythmias were confirmed to have OAVRT by electrophysiologic study (EPS).</w:t>
      </w:r>
    </w:p>
    <w:p/>
    <w:p>
      <w:pPr>
        <w:pStyle w:val="Normal"/>
      </w:pPr>
      <w:r>
        <w:rPr>
          <w:color w:val="323232"/>
        </w:rPr>
        <w:t xml:space="preserve">METHODS:Prospective, nonrandomized, single-arm study with lidocaine administered IV to dogs during OAVRT in 2 mg</w:t>
      </w:r>
      <w:r>
        <w:rPr>
          <w:i w:val="1"/>
          <w:color w:val="323232"/>
        </w:rPr>
        <w:t xml:space="preserve">kg boluses to a cumulative dose of 8 mg</w:t>
      </w:r>
      <w:r>
        <w:rPr>
          <w:color w:val="323232"/>
        </w:rPr>
        <w:t xml:space="preserve">kg or development of adverse effects. Electrocardiograms were monitored continuously. Subsequent EPS was performed to confirm OAVRT and the absence of other tachycardia mechanisms.</w:t>
      </w:r>
    </w:p>
    <w:p/>
    <w:p>
      <w:pPr>
        <w:pStyle w:val="Normal"/>
      </w:pPr>
      <w:r>
        <w:rPr>
          <w:color w:val="323232"/>
        </w:rPr>
        <w:t xml:space="preserve">RESULTS:Twenty-seven dogs experienced OAVRT cardioversion with lidocaine, before or at the time of adverse effects. Orthodromic atrioventricular reciprocating tachycardia in 5 dogs did not cardiovert before adverse effects, precluding additional dosing. Median total lidocaine dose for cardioversion was 2 mg /kg (interquartile range, 2-5.5 mg /kg). Dogs with right free wall APs had a significantly higher rate of cardioversion than did dogs with right posteroseptal APs.</w:t>
      </w:r>
    </w:p>
    <w:p/>
    <w:p>
      <w:pPr>
        <w:pStyle w:val="Normal"/>
      </w:pPr>
      <w:r>
        <w:rPr>
          <w:color w:val="323232"/>
        </w:rPr>
        <w:t xml:space="preserve">CONCLUSIONS AND CLINICAL IMPORTANCE:Lidocaine successfully cardioverted OAVRT in 84.4% of dogs in our study before adverse effects precluded additional dosing. In 5 dogs with dose limited by adverse effects, it is unknown whether cardioversion would have occurred at a higher cumulative dose.</w:t>
      </w:r>
    </w:p>
    <w:p/>
    <w:p>
      <w:pPr>
        <w:pStyle w:val="Normal"/>
      </w:pPr>
      <w:r>
        <w:rPr>
          <w:color w:val="323232"/>
        </w:rPr>
        <w:t xml:space="preserve">J Vet Intern Med, 2019 vol. 33 (4) pp. 1585-1592.</w:t>
      </w:r>
    </w:p>
    <w:p>
      <w:r>
        <w:rPr>
          <w:rStyle w:val="Hyperlink"/>
        </w:rPr>
        <w:fldChar w:fldCharType="begin"/>
      </w:r>
      <w:r>
        <w:rPr>
          <w:rStyle w:val="Hyperlink"/>
        </w:rPr>
        <w:instrText xml:space="preserve"> HYPERLINK "http://dx.doi.org/10.1111/jvim.15546" </w:instrText>
      </w:r>
      <w:r>
        <w:rPr>
          <w:rStyle w:val="Hyperlink"/>
        </w:rPr>
      </w:r>
      <w:r>
        <w:rPr>
          <w:rStyle w:val="Hyperlink"/>
        </w:rPr>
        <w:fldChar w:fldCharType="separate"/>
      </w:r>
      <w:pPr>
        <w:pStyle w:val="Normal"/>
      </w:pPr>
      <w:r>
        <w:rPr>
          <w:rStyle w:val="Hyperlink"/>
        </w:rPr>
        <w:t xml:space="preserve">http://dx.doi.org/10.1111/jvim.15546</w:t>
      </w:r>
      <w:r>
        <w:rPr>
          <w:rStyle w:val="Hyperlink"/>
        </w:rPr>
        <w:fldChar w:fldCharType="end"/>
      </w:r>
    </w:p>
    <w:p>
      <w:pPr>
        <w:pStyle w:val="Normal"/>
      </w:pPr>
      <w:r>
        <w:rPr>
          <w:color w:val="323232"/>
        </w:rPr>
        <w:t xml:space="preserve">————————</w:t>
      </w:r>
    </w:p>
    <w:p>
      <w:pPr>
        <w:pStyle w:val="Heading4"/>
      </w:pPr>
      <w:r>
        <w:t xml:space="preserve">Lispro insulin and electrolyte supplementation for treatment of diabetic ketoacidosis in cats.</w:t>
      </w:r>
    </w:p>
    <w:p/>
    <w:p>
      <w:pPr>
        <w:pStyle w:val="Normal"/>
      </w:pPr>
      <w:r>
        <w:rPr>
          <w:color w:val="323232"/>
        </w:rPr>
        <w:t xml:space="preserve">Jodie D Anderson, Danielle A Rondeau, and Rebecka S Hess.</w:t>
      </w:r>
    </w:p>
    <w:p/>
    <w:p>
      <w:pPr>
        <w:pStyle w:val="Normal"/>
      </w:pPr>
      <w:r>
        <w:rPr>
          <w:color w:val="323232"/>
        </w:rPr>
        <w:t xml:space="preserve">BACKGROUND:Intravenous continuous rate infusion (IVCRI) of lispro at a starting dose of 0.09</w:t>
      </w:r>
      <w:r>
        <w:rPr>
          <w:color w:val="323232"/>
        </w:rPr>
        <w:t xml:space="preserve"> </w:t>
      </w:r>
      <w:r>
        <w:rPr>
          <w:color w:val="323232"/>
        </w:rPr>
        <w:t xml:space="preserve">U</w:t>
      </w:r>
      <w:r>
        <w:rPr>
          <w:i w:val="1"/>
          <w:color w:val="323232"/>
        </w:rPr>
        <w:t xml:space="preserve">kg</w:t>
      </w:r>
      <w:r>
        <w:rPr>
          <w:color w:val="323232"/>
        </w:rPr>
        <w:t xml:space="preserve">h and the use of 0.9% sodium chloride (NaCl) for fluid resuscitation in cats with diabetic ketoacidosis (DKA) have not been reported. Protocols for correction of electrolyte deficiencies in cats with DKA are lacking.</w:t>
      </w:r>
    </w:p>
    <w:p/>
    <w:p>
      <w:pPr>
        <w:pStyle w:val="Normal"/>
      </w:pPr>
      <w:r>
        <w:rPr>
          <w:color w:val="323232"/>
        </w:rPr>
        <w:t xml:space="preserve">OBJECTIVES:To characterize the use of IVCRI lispro at an initial dose of 0.09</w:t>
      </w:r>
      <w:r>
        <w:rPr>
          <w:color w:val="323232"/>
        </w:rPr>
        <w:t xml:space="preserve"> </w:t>
      </w:r>
      <w:r>
        <w:rPr>
          <w:color w:val="323232"/>
        </w:rPr>
        <w:t xml:space="preserve">U</w:t>
      </w:r>
      <w:r>
        <w:rPr>
          <w:i w:val="1"/>
          <w:color w:val="323232"/>
        </w:rPr>
        <w:t xml:space="preserve">kg</w:t>
      </w:r>
      <w:r>
        <w:rPr>
          <w:color w:val="323232"/>
        </w:rPr>
        <w:t xml:space="preserve">h and the use of NaCl for resuscitation. Explore protocols for electrolyte supplementation in cats with DKA.</w:t>
      </w:r>
    </w:p>
    <w:p/>
    <w:p>
      <w:pPr>
        <w:pStyle w:val="Normal"/>
      </w:pPr>
      <w:r>
        <w:rPr>
          <w:color w:val="323232"/>
        </w:rPr>
        <w:t xml:space="preserve">ANIMALS:Twelve cats with DKA enrolled from the cat population of a university hospital.</w:t>
      </w:r>
    </w:p>
    <w:p/>
    <w:p>
      <w:pPr>
        <w:pStyle w:val="Normal"/>
      </w:pPr>
      <w:r>
        <w:rPr>
          <w:color w:val="323232"/>
        </w:rPr>
        <w:t xml:space="preserve">METHODS:Randomized, controlled, blinded study. Six cats were randomized into each group, the lispro insulin treatment group (LITG) and regular insulin treatment group (RITG). All cats received IVCRI fluid resuscitation with NaCl. Solutions with higher than previously published electrolyte concentrations were used to treat electrolyte deficiencies.</w:t>
      </w:r>
    </w:p>
    <w:p/>
    <w:p>
      <w:pPr>
        <w:pStyle w:val="Normal"/>
      </w:pPr>
      <w:r>
        <w:rPr>
          <w:color w:val="323232"/>
        </w:rPr>
        <w:t xml:space="preserve">RESULTS:The median time to blood glucose (BG) concentration &lt;250</w:t>
      </w:r>
      <w:r>
        <w:rPr>
          <w:color w:val="323232"/>
        </w:rPr>
        <w:t xml:space="preserve"> </w:t>
      </w:r>
      <w:r>
        <w:rPr>
          <w:color w:val="323232"/>
        </w:rPr>
        <w:t xml:space="preserve">mg/ dL was significantly shorter in the LITG (median 7</w:t>
      </w:r>
      <w:r>
        <w:rPr>
          <w:color w:val="323232"/>
        </w:rPr>
        <w:t xml:space="preserve"> </w:t>
      </w:r>
      <w:r>
        <w:rPr>
          <w:color w:val="323232"/>
        </w:rPr>
        <w:t xml:space="preserve">hours, 2-10</w:t>
      </w:r>
      <w:r>
        <w:rPr>
          <w:color w:val="323232"/>
        </w:rPr>
        <w:t xml:space="preserve"> </w:t>
      </w:r>
      <w:r>
        <w:rPr>
          <w:color w:val="323232"/>
        </w:rPr>
        <w:t xml:space="preserve">hours) than the RITG (median 12.5</w:t>
      </w:r>
      <w:r>
        <w:rPr>
          <w:color w:val="323232"/>
        </w:rPr>
        <w:t xml:space="preserve"> </w:t>
      </w:r>
      <w:r>
        <w:rPr>
          <w:color w:val="323232"/>
        </w:rPr>
        <w:t xml:space="preserve">hours, 8-20</w:t>
      </w:r>
      <w:r>
        <w:rPr>
          <w:color w:val="323232"/>
        </w:rPr>
        <w:t xml:space="preserve"> </w:t>
      </w:r>
      <w:r>
        <w:rPr>
          <w:color w:val="323232"/>
        </w:rPr>
        <w:t xml:space="preserve">hours; P</w:t>
      </w:r>
      <w:r>
        <w:rPr>
          <w:color w:val="323232"/>
        </w:rPr>
        <w:t xml:space="preserve"> </w:t>
      </w:r>
      <w:r>
        <w:rPr>
          <w:color w:val="323232"/>
        </w:rPr>
        <w:t xml:space="preserve">=</w:t>
      </w:r>
      <w:r>
        <w:rPr>
          <w:color w:val="323232"/>
        </w:rPr>
        <w:t xml:space="preserve"> </w:t>
      </w:r>
      <w:r>
        <w:rPr>
          <w:color w:val="323232"/>
        </w:rPr>
        <w:t xml:space="preserve">.02). Two cats had nonclinical hypoglycemia (BG</w:t>
      </w:r>
      <w:r>
        <w:rPr>
          <w:color w:val="323232"/>
        </w:rPr>
        <w:t xml:space="preserve"> </w:t>
      </w:r>
      <w:r>
        <w:rPr>
          <w:color w:val="323232"/>
        </w:rPr>
        <w:t xml:space="preserve">=</w:t>
      </w:r>
      <w:r>
        <w:rPr>
          <w:color w:val="323232"/>
        </w:rPr>
        <w:t xml:space="preserve"> </w:t>
      </w:r>
      <w:r>
        <w:rPr>
          <w:color w:val="323232"/>
        </w:rPr>
        <w:t xml:space="preserve">40</w:t>
      </w:r>
      <w:r>
        <w:rPr>
          <w:color w:val="323232"/>
        </w:rPr>
        <w:t xml:space="preserve"> </w:t>
      </w:r>
      <w:r>
        <w:rPr>
          <w:color w:val="323232"/>
        </w:rPr>
        <w:t xml:space="preserve">mg/ dL). The most rapid change in 157 measurements of corrected sodium concentrations was 0.7</w:t>
      </w:r>
      <w:r>
        <w:rPr>
          <w:color w:val="323232"/>
        </w:rPr>
        <w:t xml:space="preserve"> </w:t>
      </w:r>
      <w:r>
        <w:rPr>
          <w:color w:val="323232"/>
        </w:rPr>
        <w:t xml:space="preserve">mmol/ L/h. Low concentrations of serum sodium, potassium, phosphate, and magnesium were over 3 times more common than above normal electrolyte concentrations, despite supplementation with fluids of high electrolyte concentrations.</w:t>
      </w:r>
    </w:p>
    <w:p/>
    <w:p>
      <w:pPr>
        <w:pStyle w:val="Normal"/>
      </w:pPr>
      <w:r>
        <w:rPr>
          <w:color w:val="323232"/>
        </w:rPr>
        <w:t xml:space="preserve">CONCLUSIONS AND CLINICAL IMPORTANCE:Lispro at a starting dose of 0.09</w:t>
      </w:r>
      <w:r>
        <w:rPr>
          <w:color w:val="323232"/>
        </w:rPr>
        <w:t xml:space="preserve"> </w:t>
      </w:r>
      <w:r>
        <w:rPr>
          <w:color w:val="323232"/>
        </w:rPr>
        <w:t xml:space="preserve">U</w:t>
      </w:r>
      <w:r>
        <w:rPr>
          <w:i w:val="1"/>
          <w:color w:val="323232"/>
        </w:rPr>
        <w:t xml:space="preserve">kg</w:t>
      </w:r>
      <w:r>
        <w:rPr>
          <w:color w:val="323232"/>
        </w:rPr>
        <w:t xml:space="preserve">h and NaCl administered for fluid resuscitation are safe and effective for treatment of DKA in cats.</w:t>
      </w:r>
    </w:p>
    <w:p/>
    <w:p>
      <w:pPr>
        <w:pStyle w:val="Normal"/>
      </w:pPr>
      <w:r>
        <w:rPr>
          <w:color w:val="323232"/>
        </w:rPr>
        <w:t xml:space="preserve">J Vet Intern Med, 2019 vol. 33 (4) pp. 1593-1601.</w:t>
      </w:r>
    </w:p>
    <w:p>
      <w:r>
        <w:rPr>
          <w:rStyle w:val="Hyperlink"/>
        </w:rPr>
        <w:fldChar w:fldCharType="begin"/>
      </w:r>
      <w:r>
        <w:rPr>
          <w:rStyle w:val="Hyperlink"/>
        </w:rPr>
        <w:instrText xml:space="preserve"> HYPERLINK "http://dx.doi.org/10.1111/jvim.15518" </w:instrText>
      </w:r>
      <w:r>
        <w:rPr>
          <w:rStyle w:val="Hyperlink"/>
        </w:rPr>
      </w:r>
      <w:r>
        <w:rPr>
          <w:rStyle w:val="Hyperlink"/>
        </w:rPr>
        <w:fldChar w:fldCharType="separate"/>
      </w:r>
      <w:pPr>
        <w:pStyle w:val="Normal"/>
      </w:pPr>
      <w:r>
        <w:rPr>
          <w:rStyle w:val="Hyperlink"/>
        </w:rPr>
        <w:t xml:space="preserve">http://dx.doi.org/10.1111/jvim.15518</w:t>
      </w:r>
      <w:r>
        <w:rPr>
          <w:rStyle w:val="Hyperlink"/>
        </w:rPr>
        <w:fldChar w:fldCharType="end"/>
      </w:r>
    </w:p>
    <w:p>
      <w:pPr>
        <w:pStyle w:val="Normal"/>
      </w:pPr>
      <w:r>
        <w:rPr>
          <w:color w:val="323232"/>
        </w:rPr>
        <w:t xml:space="preserve">————————</w:t>
      </w:r>
    </w:p>
    <w:p>
      <w:pPr>
        <w:pStyle w:val="Heading4"/>
      </w:pPr>
      <w:r>
        <w:t xml:space="preserve">Plasma amino acid profiles in dogs with inflammatory bowel disease.</w:t>
      </w:r>
    </w:p>
    <w:p/>
    <w:p>
      <w:pPr>
        <w:pStyle w:val="Normal"/>
      </w:pPr>
      <w:r>
        <w:rPr>
          <w:color w:val="323232"/>
        </w:rPr>
        <w:t xml:space="preserve">Yu Tamura, Hiroshi Ohta, Yumiko Kagawa, Tatsuyuki Osuga, Keitaro Morishita, Noboru Sasaki, and Mitsuyoshi Takiguchi.</w:t>
      </w:r>
    </w:p>
    <w:p/>
    <w:p>
      <w:pPr>
        <w:pStyle w:val="Normal"/>
      </w:pPr>
      <w:r>
        <w:rPr>
          <w:color w:val="323232"/>
        </w:rPr>
        <w:t xml:space="preserve">BACKGROUND:Lymphocytic-plasmacytic enteritis is the common form of idiopathic inflammatory bowel disease (IBD) in dogs. In human IBD, disturbances of amino acid metabolism have been demonstrated to be involved in the pathophysiology of IBD. Therefore, plasma amino acid profile might represent a novel marker of human IBD.</w:t>
      </w:r>
    </w:p>
    <w:p/>
    <w:p>
      <w:pPr>
        <w:pStyle w:val="Normal"/>
      </w:pPr>
      <w:r>
        <w:rPr>
          <w:color w:val="323232"/>
        </w:rPr>
        <w:t xml:space="preserve">OBJECTIVES:To determine the plasma amino acid profiles of dogs with IBD and its usefulness as a novel marker of IBD in dogs.</w:t>
      </w:r>
    </w:p>
    <w:p/>
    <w:p>
      <w:pPr>
        <w:pStyle w:val="Normal"/>
      </w:pPr>
      <w:r>
        <w:rPr>
          <w:color w:val="323232"/>
        </w:rPr>
        <w:t xml:space="preserve">ANIMALS:Fasting blood plasma was obtained from 10 dogs with IBD and 12 healthy dogs.</w:t>
      </w:r>
    </w:p>
    <w:p/>
    <w:p>
      <w:pPr>
        <w:pStyle w:val="Normal"/>
      </w:pPr>
      <w:r>
        <w:rPr>
          <w:color w:val="323232"/>
        </w:rPr>
        <w:t xml:space="preserve">METHODS:All IBD dogs were prospectively included in this study, and heparinized blood samples were collected. The plasma concentrations of 21 amino acids were determined using the ninhydrin method. The relationships among the plasma amino acid concentrations and plasma C-reactive protein (CRP) concentration, canine chronic enteropathy clinical activity index (CCECAI), and overall World Small Animal Veterinary Association (WSAVA) score were investigated.</w:t>
      </w:r>
    </w:p>
    <w:p/>
    <w:p>
      <w:pPr>
        <w:pStyle w:val="Normal"/>
      </w:pPr>
      <w:r>
        <w:rPr>
          <w:color w:val="323232"/>
        </w:rPr>
        <w:t xml:space="preserve">RESULTS:Median concentration (nmol/mL) of methionine [46.2; range, 30.0-59.3], proline [119.4; range, 76.7-189.2], serine [115.1; range, 61.4-155.9], and tryptophan [17.4; range, 11.9-56.3]) were significantly lower than in control dogs [62.6; range, 51.0-83.6, 199.1; range, 132.5-376.7, 164.3; range, 124.7-222.9, and 68.3; range, 35.7-94.8, respectively]. A negative correlation was identified between the plasma serine concentration and CCECAI (r s = -.67, P = .03), but there were no correlations between plasma amino acid concentrations and CRP concentration or overall WSAVA score.</w:t>
      </w:r>
    </w:p>
    <w:p/>
    <w:p>
      <w:pPr>
        <w:pStyle w:val="Normal"/>
      </w:pPr>
      <w:r>
        <w:rPr>
          <w:color w:val="323232"/>
        </w:rPr>
        <w:t xml:space="preserve">CONCLUSIONS AND CLINICAL IMPORTANCE:Plasma serine concentration might represent a novel maker of IBD in dogs.</w:t>
      </w:r>
    </w:p>
    <w:p/>
    <w:p>
      <w:pPr>
        <w:pStyle w:val="Normal"/>
      </w:pPr>
      <w:r>
        <w:rPr>
          <w:color w:val="323232"/>
        </w:rPr>
        <w:t xml:space="preserve">J Vet Intern Med, 2019 vol. 33 (4) pp. 1602-1607.</w:t>
      </w:r>
    </w:p>
    <w:p>
      <w:r>
        <w:rPr>
          <w:rStyle w:val="Hyperlink"/>
        </w:rPr>
        <w:fldChar w:fldCharType="begin"/>
      </w:r>
      <w:r>
        <w:rPr>
          <w:rStyle w:val="Hyperlink"/>
        </w:rPr>
        <w:instrText xml:space="preserve"> HYPERLINK "http://dx.doi.org/10.1111/jvim.15525" </w:instrText>
      </w:r>
      <w:r>
        <w:rPr>
          <w:rStyle w:val="Hyperlink"/>
        </w:rPr>
      </w:r>
      <w:r>
        <w:rPr>
          <w:rStyle w:val="Hyperlink"/>
        </w:rPr>
        <w:fldChar w:fldCharType="separate"/>
      </w:r>
      <w:pPr>
        <w:pStyle w:val="Normal"/>
      </w:pPr>
      <w:r>
        <w:rPr>
          <w:rStyle w:val="Hyperlink"/>
        </w:rPr>
        <w:t xml:space="preserve">http://dx.doi.org/10.1111/jvim.15525</w:t>
      </w:r>
      <w:r>
        <w:rPr>
          <w:rStyle w:val="Hyperlink"/>
        </w:rPr>
        <w:fldChar w:fldCharType="end"/>
      </w:r>
    </w:p>
    <w:p>
      <w:pPr>
        <w:pStyle w:val="Normal"/>
      </w:pPr>
      <w:r>
        <w:rPr>
          <w:color w:val="323232"/>
        </w:rPr>
        <w:t xml:space="preserve">————————</w:t>
      </w:r>
    </w:p>
    <w:p>
      <w:pPr>
        <w:pStyle w:val="Heading4"/>
      </w:pPr>
      <w:r>
        <w:t xml:space="preserve">Fecal short-chain fatty acid concentrations and dysbiosis in dogs with chronic enteropathy.</w:t>
      </w:r>
    </w:p>
    <w:p/>
    <w:p>
      <w:pPr>
        <w:pStyle w:val="Normal"/>
      </w:pPr>
      <w:r>
        <w:rPr>
          <w:color w:val="323232"/>
        </w:rPr>
        <w:t xml:space="preserve">Yasushi Minamoto, Tomomi Minamoto, Anitha Isaiah, Panpicha Sattasathuchana, Agostino Buono, Venkat R Rangachari, Isaac H McNeely, Jonathan Lidbury, Jörg M Steiner, and Jan S Suchodolski.</w:t>
      </w:r>
    </w:p>
    <w:p/>
    <w:p>
      <w:pPr>
        <w:pStyle w:val="Normal"/>
      </w:pPr>
      <w:r>
        <w:rPr>
          <w:color w:val="323232"/>
        </w:rPr>
        <w:t xml:space="preserve">BACKGROUND:Accumulating evidence shows an important relationship between the gastrointestinal (GI) microbiota and host health. Microbial metabolites are believed to play a critical role in host-microbial interactions. Short-chain fatty acids (SCFAs) are major end products of bacterial carbohydrate fermentation in the intestinal tract. Decreased concentrations of SCFAs have been observed in humans with GI disease. However, large-scale clinical data in dogs are lacking.</w:t>
      </w:r>
    </w:p>
    <w:p/>
    <w:p>
      <w:pPr>
        <w:pStyle w:val="Normal"/>
      </w:pPr>
      <w:r>
        <w:rPr>
          <w:color w:val="323232"/>
        </w:rPr>
        <w:t xml:space="preserve">HYPOTHESIS/OBJECTIVE:To evaluate fecal concentrations of SCFAs and the fecal microbiota in healthy control (HC) dogs and dogs with chronic enteropathy (CE).</w:t>
      </w:r>
    </w:p>
    <w:p/>
    <w:p>
      <w:pPr>
        <w:pStyle w:val="Normal"/>
      </w:pPr>
      <w:r>
        <w:rPr>
          <w:color w:val="323232"/>
        </w:rPr>
        <w:t xml:space="preserve">ANIMALS:Forty-nine privately owned HC dogs and 73 dogs with CE.</w:t>
      </w:r>
    </w:p>
    <w:p/>
    <w:p>
      <w:pPr>
        <w:pStyle w:val="Normal"/>
      </w:pPr>
      <w:r>
        <w:rPr>
          <w:color w:val="323232"/>
        </w:rPr>
        <w:t xml:space="preserve">METHODS:Prospective cohort study. Fecal concentrations of SCFAs were measured using gas chromatography/mass spectrometry. Illumina sequencing and quantitative real-time polymerase chain reaction were utilized to evaluate the fecal microbiota.</w:t>
      </w:r>
    </w:p>
    <w:p/>
    <w:p>
      <w:pPr>
        <w:pStyle w:val="Normal"/>
      </w:pPr>
      <w:r>
        <w:rPr>
          <w:color w:val="323232"/>
        </w:rPr>
        <w:t xml:space="preserve">RESULTS:Fecal concentrations (median [range] μmol/g of dry matter) of acetate were lower (P = .03) in dogs with CE (185.8 [20.1-1042.1]) than in HC dogs (224.0 [87.7-672.8]). Propionate were also lower (P</w:t>
      </w:r>
      <w:r>
        <w:rPr>
          <w:color w:val="323232"/>
        </w:rPr>
        <w:t xml:space="preserve"> </w:t>
      </w:r>
      <w:r>
        <w:rPr>
          <w:color w:val="323232"/>
        </w:rPr>
        <w:t xml:space="preserve">&lt;</w:t>
      </w:r>
      <w:r>
        <w:rPr>
          <w:color w:val="323232"/>
        </w:rPr>
        <w:t xml:space="preserve"> </w:t>
      </w:r>
      <w:r>
        <w:rPr>
          <w:color w:val="323232"/>
        </w:rPr>
        <w:t xml:space="preserve">.001) in dogs with CE (46.4 [0.4-227.9]) than in HC dogs (105.9 [1.6-266.9]). Moreover, total SCFAs were lower (P = .005) in dogs with CE (268.1 [21.8-1378.2]) than in HC dogs (377.2 [126.6-927.0]). Dysbiosis in dogs with CE was characterized by decreased bacterial diversity and richness, distinct microbial community clustering compared with that in HC dogs, and a higher dysbiosis index.</w:t>
      </w:r>
    </w:p>
    <w:p/>
    <w:p>
      <w:pPr>
        <w:pStyle w:val="Normal"/>
      </w:pPr>
      <w:r>
        <w:rPr>
          <w:color w:val="323232"/>
        </w:rPr>
        <w:t xml:space="preserve">CONCLUSIONS AND CLINICAL IMPORTANCE:Dogs with CE had an altered fecal SCFA concentration accompanied by significant changes of the fecal microbiota.</w:t>
      </w:r>
    </w:p>
    <w:p/>
    <w:p>
      <w:pPr>
        <w:pStyle w:val="Normal"/>
      </w:pPr>
      <w:r>
        <w:rPr>
          <w:color w:val="323232"/>
        </w:rPr>
        <w:t xml:space="preserve">J Vet Intern Med, 2019 vol. 33 (4) pp. 1608-1618.</w:t>
      </w:r>
    </w:p>
    <w:p>
      <w:r>
        <w:rPr>
          <w:rStyle w:val="Hyperlink"/>
        </w:rPr>
        <w:fldChar w:fldCharType="begin"/>
      </w:r>
      <w:r>
        <w:rPr>
          <w:rStyle w:val="Hyperlink"/>
        </w:rPr>
        <w:instrText xml:space="preserve"> HYPERLINK "http://dx.doi.org/10.1111/jvim.15520" </w:instrText>
      </w:r>
      <w:r>
        <w:rPr>
          <w:rStyle w:val="Hyperlink"/>
        </w:rPr>
      </w:r>
      <w:r>
        <w:rPr>
          <w:rStyle w:val="Hyperlink"/>
        </w:rPr>
        <w:fldChar w:fldCharType="separate"/>
      </w:r>
      <w:pPr>
        <w:pStyle w:val="Normal"/>
      </w:pPr>
      <w:r>
        <w:rPr>
          <w:rStyle w:val="Hyperlink"/>
        </w:rPr>
        <w:t xml:space="preserve">http://dx.doi.org/10.1111/jvim.15520</w:t>
      </w:r>
      <w:r>
        <w:rPr>
          <w:rStyle w:val="Hyperlink"/>
        </w:rPr>
        <w:fldChar w:fldCharType="end"/>
      </w:r>
    </w:p>
    <w:p>
      <w:pPr>
        <w:pStyle w:val="Normal"/>
      </w:pPr>
      <w:r>
        <w:rPr>
          <w:color w:val="323232"/>
        </w:rPr>
        <w:t xml:space="preserve">————————</w:t>
      </w:r>
    </w:p>
    <w:p>
      <w:pPr>
        <w:pStyle w:val="Heading4"/>
      </w:pPr>
      <w:r>
        <w:t xml:space="preserve">Randomized, controlled, crossover trial of prevention of antibiotic-induced gastrointestinal signs using a synbiotic mixture in healthy research dogs.</w:t>
      </w:r>
    </w:p>
    <w:p/>
    <w:p>
      <w:pPr>
        <w:pStyle w:val="Normal"/>
      </w:pPr>
      <w:r>
        <w:rPr>
          <w:color w:val="323232"/>
        </w:rPr>
        <w:t xml:space="preserve">Jacqueline C Whittemore, Tamberlyn D Moyers, and Joshua M Price.</w:t>
      </w:r>
    </w:p>
    <w:p/>
    <w:p>
      <w:pPr>
        <w:pStyle w:val="Normal"/>
      </w:pPr>
      <w:r>
        <w:rPr>
          <w:color w:val="323232"/>
        </w:rPr>
        <w:t xml:space="preserve">BACKGROUND:Synbiotics decrease antibiotic-associated gastrointestinal signs (AAGS) in cats, but data supporting synbiotic use to ameliorate AAGS in dogs are lacking.</w:t>
      </w:r>
    </w:p>
    <w:p/>
    <w:p>
      <w:pPr>
        <w:pStyle w:val="Normal"/>
      </w:pPr>
      <w:r>
        <w:rPr>
          <w:color w:val="323232"/>
        </w:rPr>
        <w:t xml:space="preserve">OBJECTIVES:To determine if administration of synbiotics mitigates AAGS in dogs.</w:t>
      </w:r>
    </w:p>
    <w:p/>
    <w:p>
      <w:pPr>
        <w:pStyle w:val="Normal"/>
      </w:pPr>
      <w:r>
        <w:rPr>
          <w:color w:val="323232"/>
        </w:rPr>
        <w:t xml:space="preserve">ANIMALS:Twenty-two healthy research dogs.</w:t>
      </w:r>
    </w:p>
    <w:p/>
    <w:p>
      <w:pPr>
        <w:pStyle w:val="Normal"/>
      </w:pPr>
      <w:r>
        <w:rPr>
          <w:color w:val="323232"/>
        </w:rPr>
        <w:t xml:space="preserve">METHODS:Randomized, double-blinded, placebo-controlled, 2-way, 2-period, crossover study with an 8-week washout period. Each period included a 1-week baseline and 3-week treatment phase. Dogs received enrofloxacin (10</w:t>
      </w:r>
      <w:r>
        <w:rPr>
          <w:color w:val="323232"/>
        </w:rPr>
        <w:t xml:space="preserve"> </w:t>
      </w:r>
      <w:r>
        <w:rPr>
          <w:color w:val="323232"/>
        </w:rPr>
        <w:t xml:space="preserve">mg</w:t>
      </w:r>
      <w:r>
        <w:rPr>
          <w:i w:val="1"/>
          <w:color w:val="323232"/>
        </w:rPr>
        <w:t xml:space="preserve">kg PO q24h) and metronidazole (12.5</w:t>
      </w:r>
      <w:r>
        <w:rPr>
          <w:color w:val="323232"/>
        </w:rPr>
        <w:t xml:space="preserve"> </w:t>
      </w:r>
      <w:r>
        <w:rPr>
          <w:i w:val="1"/>
          <w:color w:val="323232"/>
        </w:rPr>
        <w:t xml:space="preserve">mg</w:t>
      </w:r>
      <w:r>
        <w:rPr>
          <w:color w:val="323232"/>
        </w:rPr>
        <w:t xml:space="preserve">kg PO q12h), followed 1</w:t>
      </w:r>
      <w:r>
        <w:rPr>
          <w:color w:val="323232"/>
        </w:rPr>
        <w:t xml:space="preserve"> </w:t>
      </w:r>
      <w:r>
        <w:rPr>
          <w:color w:val="323232"/>
        </w:rPr>
        <w:t xml:space="preserve">hour later by a bacterial/yeast synbiotic combination or placebo. Food intake, vomiting, and fecal score were compared using repeated-measures crossover analyses, with P &lt;</w:t>
      </w:r>
      <w:r>
        <w:rPr>
          <w:color w:val="323232"/>
        </w:rPr>
        <w:t xml:space="preserve"> </w:t>
      </w:r>
      <w:r>
        <w:rPr>
          <w:color w:val="323232"/>
        </w:rPr>
        <w:t xml:space="preserve">.05 considered significant.</w:t>
      </w:r>
    </w:p>
    <w:p/>
    <w:p>
      <w:pPr>
        <w:pStyle w:val="Normal"/>
      </w:pPr>
      <w:r>
        <w:rPr>
          <w:color w:val="323232"/>
        </w:rPr>
        <w:t xml:space="preserve">RESULTS:Hyporexia, vomiting, and diarrhea occurred in 41% (95% confidence interval [CI], 21-64), 77% (95% CI, 55-92), and 100% (95% CI, 85-100) of dogs, respectively, during the first treatment period. Derangements in food intake were smaller in both periods for dogs receiving synbiotics (F-value, 5.1; P =</w:t>
      </w:r>
      <w:r>
        <w:rPr>
          <w:color w:val="323232"/>
        </w:rPr>
        <w:t xml:space="preserve"> </w:t>
      </w:r>
      <w:r>
        <w:rPr>
          <w:color w:val="323232"/>
        </w:rPr>
        <w:t xml:space="preserve">.04) with treatment-by-period interactions (F-value, 6.0; P</w:t>
      </w:r>
      <w:r>
        <w:rPr>
          <w:color w:val="323232"/>
        </w:rPr>
        <w:t xml:space="preserve"> </w:t>
      </w:r>
      <w:r>
        <w:rPr>
          <w:color w:val="323232"/>
        </w:rPr>
        <w:t xml:space="preserve">= .02). Days of vomiting differed over time (F-value, 4.7; P =</w:t>
      </w:r>
      <w:r>
        <w:rPr>
          <w:color w:val="323232"/>
        </w:rPr>
        <w:t xml:space="preserve"> </w:t>
      </w:r>
      <w:r>
        <w:rPr>
          <w:color w:val="323232"/>
        </w:rPr>
        <w:t xml:space="preserve">.006). Fecal scores increased over time (F-value, 33.5; P &lt;</w:t>
      </w:r>
      <w:r>
        <w:rPr>
          <w:color w:val="323232"/>
        </w:rPr>
        <w:t xml:space="preserve"> </w:t>
      </w:r>
      <w:r>
        <w:rPr>
          <w:color w:val="323232"/>
        </w:rPr>
        <w:t xml:space="preserve">.001), were lower during period 2 (F-value, 14.5; P</w:t>
      </w:r>
      <w:r>
        <w:rPr>
          <w:color w:val="323232"/>
        </w:rPr>
        <w:t xml:space="preserve"> </w:t>
      </w:r>
      <w:r>
        <w:rPr>
          <w:color w:val="323232"/>
        </w:rPr>
        <w:t xml:space="preserve">= .001), and had treatment-by-period effects (F-value, 4.8; P =</w:t>
      </w:r>
      <w:r>
        <w:rPr>
          <w:color w:val="323232"/>
        </w:rPr>
        <w:t xml:space="preserve"> </w:t>
      </w:r>
      <w:r>
        <w:rPr>
          <w:color w:val="323232"/>
        </w:rPr>
        <w:t xml:space="preserve">.04).</w:t>
      </w:r>
    </w:p>
    <w:p/>
    <w:p>
      <w:pPr>
        <w:pStyle w:val="Normal"/>
      </w:pPr>
      <w:r>
        <w:rPr>
          <w:color w:val="323232"/>
        </w:rPr>
        <w:t xml:space="preserve">CONCLUSIONS AND CLINICAL IMPORTANCE:Enrofloxacin/metronidazole administration is associated with a high frequency of AAGS. Synbiotic administration decreases food intake derangements. The presence of milder AAGS in period 2 suggests that clinical effects of synbiotics persist &gt;9</w:t>
      </w:r>
      <w:r>
        <w:rPr>
          <w:color w:val="323232"/>
        </w:rPr>
        <w:t xml:space="preserve"> </w:t>
      </w:r>
      <w:r>
        <w:rPr>
          <w:color w:val="323232"/>
        </w:rPr>
        <w:t xml:space="preserve">weeks after discontinuation, mitigating AAGS in dogs being treated with antibiotics followed by placebo.</w:t>
      </w:r>
    </w:p>
    <w:p/>
    <w:p>
      <w:pPr>
        <w:pStyle w:val="Normal"/>
      </w:pPr>
      <w:r>
        <w:rPr>
          <w:color w:val="323232"/>
        </w:rPr>
        <w:t xml:space="preserve">J Vet Intern Med, 2019 vol. 33 (4) pp. 1619-1626.</w:t>
      </w:r>
    </w:p>
    <w:p>
      <w:r>
        <w:rPr>
          <w:rStyle w:val="Hyperlink"/>
        </w:rPr>
        <w:fldChar w:fldCharType="begin"/>
      </w:r>
      <w:r>
        <w:rPr>
          <w:rStyle w:val="Hyperlink"/>
        </w:rPr>
        <w:instrText xml:space="preserve"> HYPERLINK "http://dx.doi.org/10.1111/jvim.15553" </w:instrText>
      </w:r>
      <w:r>
        <w:rPr>
          <w:rStyle w:val="Hyperlink"/>
        </w:rPr>
      </w:r>
      <w:r>
        <w:rPr>
          <w:rStyle w:val="Hyperlink"/>
        </w:rPr>
        <w:fldChar w:fldCharType="separate"/>
      </w:r>
      <w:pPr>
        <w:pStyle w:val="Normal"/>
      </w:pPr>
      <w:r>
        <w:rPr>
          <w:rStyle w:val="Hyperlink"/>
        </w:rPr>
        <w:t xml:space="preserve">http://dx.doi.org/10.1111/jvim.15553</w:t>
      </w:r>
      <w:r>
        <w:rPr>
          <w:rStyle w:val="Hyperlink"/>
        </w:rPr>
        <w:fldChar w:fldCharType="end"/>
      </w:r>
    </w:p>
    <w:p>
      <w:pPr>
        <w:pStyle w:val="Normal"/>
      </w:pPr>
      <w:r>
        <w:rPr>
          <w:color w:val="323232"/>
        </w:rPr>
        <w:t xml:space="preserve">————————</w:t>
      </w:r>
    </w:p>
    <w:p>
      <w:pPr>
        <w:pStyle w:val="Heading4"/>
      </w:pPr>
      <w:r>
        <w:t xml:space="preserve">Time course of serum cobalamin, folate, and total iron binding capacity concentrations in pregnant bitches and association with hematological variables and survival.</w:t>
      </w:r>
    </w:p>
    <w:p/>
    <w:p>
      <w:pPr>
        <w:pStyle w:val="Normal"/>
      </w:pPr>
      <w:r>
        <w:rPr>
          <w:color w:val="323232"/>
        </w:rPr>
        <w:t xml:space="preserve">Ran Nivy, Michal Mazaki-Tovi, Itamar Aroch, and Smadar Tal.</w:t>
      </w:r>
    </w:p>
    <w:p/>
    <w:p>
      <w:pPr>
        <w:pStyle w:val="Normal"/>
      </w:pPr>
      <w:r>
        <w:rPr>
          <w:color w:val="323232"/>
        </w:rPr>
        <w:t xml:space="preserve">BACKGROUND:Hypocobalaminemia, hypofolatemia and iron deficiency are associated with pregnancy-related anemia (PRA) and neonatal survival (NS) in women. Similar associations have not been investigated in pregnant bitches.</w:t>
      </w:r>
    </w:p>
    <w:p/>
    <w:p>
      <w:pPr>
        <w:pStyle w:val="Normal"/>
      </w:pPr>
      <w:r>
        <w:rPr>
          <w:color w:val="323232"/>
        </w:rPr>
        <w:t xml:space="preserve">OBJECTIVES:To investigate time course and associations of serum cobalamin, folate and iron status indicators with hematological variables and NS in pregnant bitches.</w:t>
      </w:r>
    </w:p>
    <w:p/>
    <w:p>
      <w:pPr>
        <w:pStyle w:val="Normal"/>
      </w:pPr>
      <w:r>
        <w:rPr>
          <w:color w:val="323232"/>
        </w:rPr>
        <w:t xml:space="preserve">ANIMALS:Forty-eight pregnant bitches.</w:t>
      </w:r>
    </w:p>
    <w:p/>
    <w:p>
      <w:pPr>
        <w:pStyle w:val="Normal"/>
      </w:pPr>
      <w:r>
        <w:rPr>
          <w:color w:val="323232"/>
        </w:rPr>
        <w:t xml:space="preserve">METHODS:A prospective cohort study. Pregnancy was confirmed by abdominal ultrasonography twice during mid- and late pregnancy, concurrently with blood sampling. Associations among pregnancy stage, NS and laboratory variables were assessed by generalized estimating equations.</w:t>
      </w:r>
    </w:p>
    <w:p/>
    <w:p>
      <w:pPr>
        <w:pStyle w:val="Normal"/>
      </w:pPr>
      <w:r>
        <w:rPr>
          <w:color w:val="323232"/>
        </w:rPr>
        <w:t xml:space="preserve">RESULTS:Compared with midpregnancy, serum cobalamin (adjusted mean [95% confidence interval, CI]) decreased at late pregnancy (430</w:t>
      </w:r>
      <w:r>
        <w:rPr>
          <w:color w:val="323232"/>
        </w:rPr>
        <w:t xml:space="preserve"> </w:t>
      </w:r>
      <w:r>
        <w:rPr>
          <w:color w:val="323232"/>
        </w:rPr>
        <w:t xml:space="preserve">pg</w:t>
      </w:r>
      <w:r>
        <w:rPr>
          <w:i w:val="1"/>
          <w:color w:val="323232"/>
        </w:rPr>
        <w:t xml:space="preserve">mL [394-466] versus 330</w:t>
      </w:r>
      <w:r>
        <w:rPr>
          <w:color w:val="323232"/>
        </w:rPr>
        <w:t xml:space="preserve"> </w:t>
      </w:r>
      <w:r>
        <w:rPr>
          <w:i w:val="1"/>
          <w:color w:val="323232"/>
        </w:rPr>
        <w:t xml:space="preserve">pg</w:t>
      </w:r>
      <w:r>
        <w:rPr>
          <w:color w:val="323232"/>
        </w:rPr>
        <w:t xml:space="preserve">mL [303-357], respectively; P</w:t>
      </w:r>
      <w:r>
        <w:rPr>
          <w:color w:val="323232"/>
        </w:rPr>
        <w:t xml:space="preserve"> </w:t>
      </w:r>
      <w:r>
        <w:rPr>
          <w:color w:val="323232"/>
        </w:rPr>
        <w:t xml:space="preserve">&lt;</w:t>
      </w:r>
      <w:r>
        <w:rPr>
          <w:color w:val="323232"/>
        </w:rPr>
        <w:t xml:space="preserve"> </w:t>
      </w:r>
      <w:r>
        <w:rPr>
          <w:color w:val="323232"/>
        </w:rPr>
        <w:t xml:space="preserve">.001), whereas serum folate did not. Every increment of 1 in parity number or litter size corresponded to 28.6 pg</w:t>
      </w:r>
      <w:r>
        <w:rPr>
          <w:i w:val="1"/>
          <w:color w:val="323232"/>
        </w:rPr>
        <w:t xml:space="preserve">mL (95% CI, 5.6-51.6; P = .02) and 20.3 pg</w:t>
      </w:r>
      <w:r>
        <w:rPr>
          <w:color w:val="323232"/>
        </w:rPr>
        <w:t xml:space="preserve">mL (95% CI, 10.9-29.7; P</w:t>
      </w:r>
      <w:r>
        <w:rPr>
          <w:color w:val="323232"/>
        </w:rPr>
        <w:t xml:space="preserve"> </w:t>
      </w:r>
      <w:r>
        <w:rPr>
          <w:color w:val="323232"/>
        </w:rPr>
        <w:t xml:space="preserve">&lt;</w:t>
      </w:r>
      <w:r>
        <w:rPr>
          <w:color w:val="323232"/>
        </w:rPr>
        <w:t xml:space="preserve"> </w:t>
      </w:r>
      <w:r>
        <w:rPr>
          <w:color w:val="323232"/>
        </w:rPr>
        <w:t xml:space="preserve">.001) decrease in serum cobalamin concentration. Compared with midpregnancy, serum iron (P</w:t>
      </w:r>
      <w:r>
        <w:rPr>
          <w:color w:val="323232"/>
        </w:rPr>
        <w:t xml:space="preserve"> </w:t>
      </w:r>
      <w:r>
        <w:rPr>
          <w:color w:val="323232"/>
        </w:rPr>
        <w:t xml:space="preserve">&lt;</w:t>
      </w:r>
      <w:r>
        <w:rPr>
          <w:color w:val="323232"/>
        </w:rPr>
        <w:t xml:space="preserve"> </w:t>
      </w:r>
      <w:r>
        <w:rPr>
          <w:color w:val="323232"/>
        </w:rPr>
        <w:t xml:space="preserve">.001) and transferrin saturation (P = .01) increased at late pregnancy. The decrease in red blood cell count (P</w:t>
      </w:r>
      <w:r>
        <w:rPr>
          <w:color w:val="323232"/>
        </w:rPr>
        <w:t xml:space="preserve"> </w:t>
      </w:r>
      <w:r>
        <w:rPr>
          <w:color w:val="323232"/>
        </w:rPr>
        <w:t xml:space="preserve">&lt;</w:t>
      </w:r>
      <w:r>
        <w:rPr>
          <w:color w:val="323232"/>
        </w:rPr>
        <w:t xml:space="preserve"> </w:t>
      </w:r>
      <w:r>
        <w:rPr>
          <w:color w:val="323232"/>
        </w:rPr>
        <w:t xml:space="preserve">.001) at late pregnancy was significantly, albeit weakly, correlated with decreasing serum folate concentration (r = 0.33; P = .02). None of the measures was associated with NS.</w:t>
      </w:r>
    </w:p>
    <w:p/>
    <w:p>
      <w:pPr>
        <w:pStyle w:val="Normal"/>
      </w:pPr>
      <w:r>
        <w:rPr>
          <w:color w:val="323232"/>
        </w:rPr>
        <w:t xml:space="preserve">CONCLUSIONS AND CLINICAL SIGNIFICANCE:Pregnancy-related anemia was common at late pregnancy. Unlike in women, in pregnant bitches, serum iron and transferrin saturation were increased at late pregnancy. Future studies are warranted to investigate the clinical ramifications of hypocobalaminemia in pregnant bitches and the utility of prophylactic folate administration in mitigating PRA.</w:t>
      </w:r>
    </w:p>
    <w:p/>
    <w:p>
      <w:pPr>
        <w:pStyle w:val="Normal"/>
      </w:pPr>
      <w:r>
        <w:rPr>
          <w:color w:val="323232"/>
        </w:rPr>
        <w:t xml:space="preserve">J Vet Intern Med, 2019 vol. 33 (4) pp. 1627-1634.</w:t>
      </w:r>
    </w:p>
    <w:p>
      <w:r>
        <w:rPr>
          <w:rStyle w:val="Hyperlink"/>
        </w:rPr>
        <w:fldChar w:fldCharType="begin"/>
      </w:r>
      <w:r>
        <w:rPr>
          <w:rStyle w:val="Hyperlink"/>
        </w:rPr>
        <w:instrText xml:space="preserve"> HYPERLINK "http://dx.doi.org/10.1111/jvim.15551" </w:instrText>
      </w:r>
      <w:r>
        <w:rPr>
          <w:rStyle w:val="Hyperlink"/>
        </w:rPr>
      </w:r>
      <w:r>
        <w:rPr>
          <w:rStyle w:val="Hyperlink"/>
        </w:rPr>
        <w:fldChar w:fldCharType="separate"/>
      </w:r>
      <w:pPr>
        <w:pStyle w:val="Normal"/>
      </w:pPr>
      <w:r>
        <w:rPr>
          <w:rStyle w:val="Hyperlink"/>
        </w:rPr>
        <w:t xml:space="preserve">http://dx.doi.org/10.1111/jvim.15551</w:t>
      </w:r>
      <w:r>
        <w:rPr>
          <w:rStyle w:val="Hyperlink"/>
        </w:rPr>
        <w:fldChar w:fldCharType="end"/>
      </w:r>
    </w:p>
    <w:p>
      <w:pPr>
        <w:pStyle w:val="Normal"/>
      </w:pPr>
      <w:r>
        <w:rPr>
          <w:color w:val="323232"/>
        </w:rPr>
        <w:t xml:space="preserve">————————</w:t>
      </w:r>
    </w:p>
    <w:p>
      <w:pPr>
        <w:pStyle w:val="Heading4"/>
      </w:pPr>
      <w:r>
        <w:t xml:space="preserve">Membrane-based therapeutic plasma exchange in dogs: Prescription, anticoagulation, and metabolic response.</w:t>
      </w:r>
    </w:p>
    <w:p/>
    <w:p>
      <w:pPr>
        <w:pStyle w:val="Normal"/>
      </w:pPr>
      <w:r>
        <w:rPr>
          <w:color w:val="323232"/>
        </w:rPr>
        <w:t xml:space="preserve">Thierry Francey and Ariane Schweighauser.</w:t>
      </w:r>
    </w:p>
    <w:p/>
    <w:p>
      <w:pPr>
        <w:pStyle w:val="Normal"/>
      </w:pPr>
      <w:r>
        <w:rPr>
          <w:color w:val="323232"/>
        </w:rPr>
        <w:t xml:space="preserve">BACKGROUND:Therapeutic plasma exchange (TPE) is used increasingly in small animals to remove circulating large molecular products such as antibodies, pathogenic proteins, and protein-bound toxins. Specific, efficient, and safe protocols need to be developed.</w:t>
      </w:r>
    </w:p>
    <w:p/>
    <w:p>
      <w:pPr>
        <w:pStyle w:val="Normal"/>
      </w:pPr>
      <w:r>
        <w:rPr>
          <w:color w:val="323232"/>
        </w:rPr>
        <w:t xml:space="preserve">HYPOTHESIS/OBJECTIVES:To describe the technique of membrane-based TPE, the resulting physiological and metabolic changes, and to define an adequate regional citrate anticoagulation protocol.</w:t>
      </w:r>
    </w:p>
    <w:p/>
    <w:p>
      <w:pPr>
        <w:pStyle w:val="Normal"/>
      </w:pPr>
      <w:r>
        <w:rPr>
          <w:color w:val="323232"/>
        </w:rPr>
        <w:t xml:space="preserve">ANIMALS:Thirty-four dogs treated with TPE (2011-2017).</w:t>
      </w:r>
    </w:p>
    <w:p/>
    <w:p>
      <w:pPr>
        <w:pStyle w:val="Normal"/>
      </w:pPr>
      <w:r>
        <w:rPr>
          <w:color w:val="323232"/>
        </w:rPr>
        <w:t xml:space="preserve">METHODS:Retrospective review of all TPE treatments performed at the Vetsuisse Faculty, University of Bern, identified through a search of the institutional database for extracorporeal treatments.</w:t>
      </w:r>
    </w:p>
    <w:p/>
    <w:p>
      <w:pPr>
        <w:pStyle w:val="Normal"/>
      </w:pPr>
      <w:r>
        <w:rPr>
          <w:color w:val="323232"/>
        </w:rPr>
        <w:t xml:space="preserve">RESULTS:Sixty-four treatments were performed, resulting in 1.0 plasma volume exchange (range, 0.4-1.1). Replacement fluids included fresh frozen plasma (12%-100% volume), colloids (0%-52%), human albumin (0%-41%), and saline (0%-70%). Anticoagulation was performed with regional citrate (n = 24), systemic heparinization (n = 2), or combined (n = 38). Main relevant laboratory changes included a 24.7% decrease in total proteins (interquartile range, 16.7-31.4; P</w:t>
      </w:r>
      <w:r>
        <w:rPr>
          <w:color w:val="323232"/>
        </w:rPr>
        <w:t xml:space="preserve"> </w:t>
      </w:r>
      <w:r>
        <w:rPr>
          <w:color w:val="323232"/>
        </w:rPr>
        <w:t xml:space="preserve">&lt;</w:t>
      </w:r>
      <w:r>
        <w:rPr>
          <w:color w:val="323232"/>
        </w:rPr>
        <w:t xml:space="preserve"> </w:t>
      </w:r>
      <w:r>
        <w:rPr>
          <w:color w:val="323232"/>
        </w:rPr>
        <w:t xml:space="preserve">.001), 53% in fibrinogen (-30 to 63; P = .009), 36% in bilirubin (13-43, P = .02), 9.0% in urea (0.7-15.7; P</w:t>
      </w:r>
      <w:r>
        <w:rPr>
          <w:color w:val="323232"/>
        </w:rPr>
        <w:t xml:space="preserve"> </w:t>
      </w:r>
      <w:r>
        <w:rPr>
          <w:color w:val="323232"/>
        </w:rPr>
        <w:t xml:space="preserve">&lt;</w:t>
      </w:r>
      <w:r>
        <w:rPr>
          <w:color w:val="323232"/>
        </w:rPr>
        <w:t xml:space="preserve"> </w:t>
      </w:r>
      <w:r>
        <w:rPr>
          <w:color w:val="323232"/>
        </w:rPr>
        <w:t xml:space="preserve">.001), and 4.5% in creatinine (-6.6 to 10.6; P = .006). Citrate accumulation was evidenced in all dogs, more pronounced in those with renal but not with hepatic impairment. Maximal tolerable citrate rates were estimated as 5.5 and 9.0 μmol</w:t>
      </w:r>
      <w:r>
        <w:rPr>
          <w:i w:val="1"/>
          <w:color w:val="323232"/>
        </w:rPr>
        <w:t xml:space="preserve">kg</w:t>
      </w:r>
      <w:r>
        <w:rPr>
          <w:color w:val="323232"/>
        </w:rPr>
        <w:t xml:space="preserve">min for treatments in dogs with and without renal impairment, respectively. Complications were observed in 22 treatments (34%) and were fatal in 2 dogs.</w:t>
      </w:r>
    </w:p>
    <w:p/>
    <w:p>
      <w:pPr>
        <w:pStyle w:val="Normal"/>
      </w:pPr>
      <w:r>
        <w:rPr>
          <w:color w:val="323232"/>
        </w:rPr>
        <w:t xml:space="preserve">CONCLUSIONS AND CLINICAL IMPORTANCE:Therapeutic plasma exchange causes metabolic and biochemical alterations. Understanding these effects makes possible to anticipate most complications and to improve safety of the procedure.</w:t>
      </w:r>
    </w:p>
    <w:p/>
    <w:p>
      <w:pPr>
        <w:pStyle w:val="Normal"/>
      </w:pPr>
      <w:r>
        <w:rPr>
          <w:color w:val="323232"/>
        </w:rPr>
        <w:t xml:space="preserve">J Vet Intern Med, 2019 vol. 33 (4) pp. 1635-1645.</w:t>
      </w:r>
    </w:p>
    <w:p>
      <w:r>
        <w:rPr>
          <w:rStyle w:val="Hyperlink"/>
        </w:rPr>
        <w:fldChar w:fldCharType="begin"/>
      </w:r>
      <w:r>
        <w:rPr>
          <w:rStyle w:val="Hyperlink"/>
        </w:rPr>
        <w:instrText xml:space="preserve"> HYPERLINK "http://dx.doi.org/10.1111/jvim.15528" </w:instrText>
      </w:r>
      <w:r>
        <w:rPr>
          <w:rStyle w:val="Hyperlink"/>
        </w:rPr>
      </w:r>
      <w:r>
        <w:rPr>
          <w:rStyle w:val="Hyperlink"/>
        </w:rPr>
        <w:fldChar w:fldCharType="separate"/>
      </w:r>
      <w:pPr>
        <w:pStyle w:val="Normal"/>
      </w:pPr>
      <w:r>
        <w:rPr>
          <w:rStyle w:val="Hyperlink"/>
        </w:rPr>
        <w:t xml:space="preserve">http://dx.doi.org/10.1111/jvim.15528</w:t>
      </w:r>
      <w:r>
        <w:rPr>
          <w:rStyle w:val="Hyperlink"/>
        </w:rPr>
        <w:fldChar w:fldCharType="end"/>
      </w:r>
    </w:p>
    <w:p>
      <w:pPr>
        <w:pStyle w:val="Normal"/>
      </w:pPr>
      <w:r>
        <w:rPr>
          <w:color w:val="323232"/>
        </w:rPr>
        <w:t xml:space="preserve">————————</w:t>
      </w:r>
    </w:p>
    <w:p>
      <w:pPr>
        <w:pStyle w:val="Heading4"/>
      </w:pPr>
      <w:r>
        <w:t xml:space="preserve">Association of the canine ATP7A and ATP7B with hepatic copper accumulation in Dobermann dogs.</w:t>
      </w:r>
    </w:p>
    <w:p/>
    <w:p>
      <w:pPr>
        <w:pStyle w:val="Normal"/>
      </w:pPr>
      <w:r>
        <w:rPr>
          <w:color w:val="323232"/>
        </w:rPr>
        <w:t xml:space="preserve">Xiaoyan Wu, Paul J J Mandigers, Adrian L Watson, Ted S G A M van den Ingh, Peter A J Leegwater, and Hille Fieten.</w:t>
      </w:r>
    </w:p>
    <w:p/>
    <w:p>
      <w:pPr>
        <w:pStyle w:val="Normal"/>
      </w:pPr>
      <w:r>
        <w:rPr>
          <w:color w:val="323232"/>
        </w:rPr>
        <w:t xml:space="preserve">BACKGROUND:Hepatic copper accumulation causes chronic hepatitis in dogs. Mutations in the copper transporters ATP7A and ATP7B were, respectively, associated with attenuation and enhancement of hepatic copper concentrations in Labrador Retrievers. There is a predisposition of Dobermanns to hepatitis with increased hepatic copper concentrations.</w:t>
      </w:r>
    </w:p>
    <w:p/>
    <w:p>
      <w:pPr>
        <w:pStyle w:val="Normal"/>
      </w:pPr>
      <w:r>
        <w:rPr>
          <w:color w:val="323232"/>
        </w:rPr>
        <w:t xml:space="preserve">OBJECTIVES:To investigate whether the ATP7A:c.980C&gt;T and ATP7B:c.4358G&gt;A mutations identified in Labrador Retrievers were associated with hepatic copper concentrations in Dobermanns.</w:t>
      </w:r>
    </w:p>
    <w:p/>
    <w:p>
      <w:pPr>
        <w:pStyle w:val="Normal"/>
      </w:pPr>
      <w:r>
        <w:rPr>
          <w:color w:val="323232"/>
        </w:rPr>
        <w:t xml:space="preserve">ANIMALS:Dobermanns from the Netherlands (n = 122) and the United States (n = 78).</w:t>
      </w:r>
    </w:p>
    <w:p/>
    <w:p>
      <w:pPr>
        <w:pStyle w:val="Normal"/>
      </w:pPr>
      <w:r>
        <w:rPr>
          <w:color w:val="323232"/>
        </w:rPr>
        <w:t xml:space="preserve">METHODS:In this retrospective study, mutations in ATP7A and ATP7B were investigated as risk factors for hepatic copper accumulation in Dobermanns. Liver biopsies of 200 Dobermanns were evaluated by histochemical copper staining, quantitative copper measurement, or both modalities. ATP7A and ATP7B genotypes were obtained by Kompetitive Allele Specific PCR. A linear regression model was used to investigate an association between genotype and hepatic copper concentrations.</w:t>
      </w:r>
    </w:p>
    <w:p/>
    <w:p>
      <w:pPr>
        <w:pStyle w:val="Normal"/>
      </w:pPr>
      <w:r>
        <w:rPr>
          <w:color w:val="323232"/>
        </w:rPr>
        <w:t xml:space="preserve">RESULTS:The ATP7A:c.980C&gt;T was identified in both Dutch (2 heterozygous individuals) and American Dobermanns. In the American cohort, the minor allele frequency of the mutation was low (.081) and a possible effect on hepatic copper concentrations could not be established from this data set. A significant association of the ATP7B:c.4358G&gt;A variant with increased hepatic copper concentrations in Dobermanns was observed.</w:t>
      </w:r>
    </w:p>
    <w:p/>
    <w:p>
      <w:pPr>
        <w:pStyle w:val="Normal"/>
      </w:pPr>
      <w:r>
        <w:rPr>
          <w:color w:val="323232"/>
        </w:rPr>
        <w:t xml:space="preserve">CONCLUSIONS AND CLINICAL IMPORTANCE:The ATP7B:c.4358G&gt;A variant could be a contributor to hepatic copper accumulation underlying the risk of development of copper-associated hepatitis in breeds other than the Labrador Retriever.</w:t>
      </w:r>
    </w:p>
    <w:p/>
    <w:p>
      <w:pPr>
        <w:pStyle w:val="Normal"/>
      </w:pPr>
      <w:r>
        <w:rPr>
          <w:color w:val="323232"/>
        </w:rPr>
        <w:t xml:space="preserve">J Vet Intern Med, 2019 vol. 33 (4) pp. 1646-1652.</w:t>
      </w:r>
    </w:p>
    <w:p>
      <w:r>
        <w:rPr>
          <w:rStyle w:val="Hyperlink"/>
        </w:rPr>
        <w:fldChar w:fldCharType="begin"/>
      </w:r>
      <w:r>
        <w:rPr>
          <w:rStyle w:val="Hyperlink"/>
        </w:rPr>
        <w:instrText xml:space="preserve"> HYPERLINK "http://dx.doi.org/10.1111/jvim.15536" </w:instrText>
      </w:r>
      <w:r>
        <w:rPr>
          <w:rStyle w:val="Hyperlink"/>
        </w:rPr>
      </w:r>
      <w:r>
        <w:rPr>
          <w:rStyle w:val="Hyperlink"/>
        </w:rPr>
        <w:fldChar w:fldCharType="separate"/>
      </w:r>
      <w:pPr>
        <w:pStyle w:val="Normal"/>
      </w:pPr>
      <w:r>
        <w:rPr>
          <w:rStyle w:val="Hyperlink"/>
        </w:rPr>
        <w:t xml:space="preserve">http://dx.doi.org/10.1111/jvim.15536</w:t>
      </w:r>
      <w:r>
        <w:rPr>
          <w:rStyle w:val="Hyperlink"/>
        </w:rPr>
        <w:fldChar w:fldCharType="end"/>
      </w:r>
    </w:p>
    <w:p>
      <w:pPr>
        <w:pStyle w:val="Normal"/>
      </w:pPr>
      <w:r>
        <w:rPr>
          <w:color w:val="323232"/>
        </w:rPr>
        <w:t xml:space="preserve">————————</w:t>
      </w:r>
    </w:p>
    <w:p>
      <w:pPr>
        <w:pStyle w:val="Heading4"/>
      </w:pPr>
      <w:r>
        <w:t xml:space="preserve">Plasma-free amino acid profiles in dogs with hepatocellular carcinoma.</w:t>
      </w:r>
    </w:p>
    <w:p/>
    <w:p>
      <w:pPr>
        <w:pStyle w:val="Normal"/>
      </w:pPr>
      <w:r>
        <w:rPr>
          <w:color w:val="323232"/>
        </w:rPr>
        <w:t xml:space="preserve">Rommaneeya Leela-Arporn, Hiroshi Ohta, Masahiro Tamura, Noriyuki Nagata, Kazuyoshi Sasaoka, Angkhana Dermlim, Khoirun Nisa, Tatsuyuki Osuga, Keitaro Morishita, Noboru Sasaki, and Mitsuyoshi Takiguchi.</w:t>
      </w:r>
    </w:p>
    <w:p/>
    <w:p>
      <w:pPr>
        <w:pStyle w:val="Normal"/>
      </w:pPr>
      <w:r>
        <w:rPr>
          <w:color w:val="323232"/>
        </w:rPr>
        <w:t xml:space="preserve">BACKGROUND:Metabolomic analysis using blood samples has been suggested to be useful for the early detection of cancer. Among metabolites, plasma-free amino acid (PFAA) profiles are potential diagnostic biomarkers for several diseases including cancer. However, the relationship between PFAA concentrations and liver tumors in dogs remains unknown.</w:t>
      </w:r>
    </w:p>
    <w:p/>
    <w:p>
      <w:pPr>
        <w:pStyle w:val="Normal"/>
      </w:pPr>
      <w:r>
        <w:rPr>
          <w:color w:val="323232"/>
        </w:rPr>
        <w:t xml:space="preserve">OBJECTIVE:To determine the characteristics of PFAA profiles of dogs with hepatocellular carcinoma (HCC) and correlated clinical features.</w:t>
      </w:r>
    </w:p>
    <w:p/>
    <w:p>
      <w:pPr>
        <w:pStyle w:val="Normal"/>
      </w:pPr>
      <w:r>
        <w:rPr>
          <w:color w:val="323232"/>
        </w:rPr>
        <w:t xml:space="preserve">ANIMALS:Thirty-four client-owned dogs diagnosed with HCC (n</w:t>
      </w:r>
      <w:r>
        <w:rPr>
          <w:color w:val="323232"/>
        </w:rPr>
        <w:t xml:space="preserve"> </w:t>
      </w:r>
      <w:r>
        <w:rPr>
          <w:color w:val="323232"/>
        </w:rPr>
        <w:t xml:space="preserve">=</w:t>
      </w:r>
      <w:r>
        <w:rPr>
          <w:color w:val="323232"/>
        </w:rPr>
        <w:t xml:space="preserve"> </w:t>
      </w:r>
      <w:r>
        <w:rPr>
          <w:color w:val="323232"/>
        </w:rPr>
        <w:t xml:space="preserve">26) and benign liver diseases (n</w:t>
      </w:r>
      <w:r>
        <w:rPr>
          <w:color w:val="323232"/>
        </w:rPr>
        <w:t xml:space="preserve"> </w:t>
      </w:r>
      <w:r>
        <w:rPr>
          <w:color w:val="323232"/>
        </w:rPr>
        <w:t xml:space="preserve">=</w:t>
      </w:r>
      <w:r>
        <w:rPr>
          <w:color w:val="323232"/>
        </w:rPr>
        <w:t xml:space="preserve"> </w:t>
      </w:r>
      <w:r>
        <w:rPr>
          <w:color w:val="323232"/>
        </w:rPr>
        <w:t xml:space="preserve">8) and 11 age-matched healthy dogs.</w:t>
      </w:r>
    </w:p>
    <w:p/>
    <w:p>
      <w:pPr>
        <w:pStyle w:val="Normal"/>
      </w:pPr>
      <w:r>
        <w:rPr>
          <w:color w:val="323232"/>
        </w:rPr>
        <w:t xml:space="preserve">METHODS:Prospective study using heparinized blood samples from fasted dogs. Plasma was deproteinized, and the concentrations of 21 amino acids were measured using an automated high-performance liquid chromatography amino acid analyzer.</w:t>
      </w:r>
    </w:p>
    <w:p/>
    <w:p>
      <w:pPr>
        <w:pStyle w:val="Normal"/>
      </w:pPr>
      <w:r>
        <w:rPr>
          <w:color w:val="323232"/>
        </w:rPr>
        <w:t xml:space="preserve">RESULTS:Plasma glutamic acid concentrations were significantly different among groups (P</w:t>
      </w:r>
      <w:r>
        <w:rPr>
          <w:color w:val="323232"/>
        </w:rPr>
        <w:t xml:space="preserve"> </w:t>
      </w:r>
      <w:r>
        <w:rPr>
          <w:color w:val="323232"/>
        </w:rPr>
        <w:t xml:space="preserve">&lt;</w:t>
      </w:r>
      <w:r>
        <w:rPr>
          <w:color w:val="323232"/>
        </w:rPr>
        <w:t xml:space="preserve"> </w:t>
      </w:r>
      <w:r>
        <w:rPr>
          <w:color w:val="323232"/>
        </w:rPr>
        <w:t xml:space="preserve">.0024 after Bonferroni correction). Compared to healthy dogs, dogs with HCC and benign liver diseases had significantly higher concentrations of glutamic acid by post hoc analysis. However, no significant difference in the PFAA profiles of HCC and benign liver diseases were detected. In addition, preoperative and postoperative PFAA profiles of dogs with HCC were not significantly different.</w:t>
      </w:r>
    </w:p>
    <w:p/>
    <w:p>
      <w:pPr>
        <w:pStyle w:val="Normal"/>
      </w:pPr>
      <w:r>
        <w:rPr>
          <w:color w:val="323232"/>
        </w:rPr>
        <w:t xml:space="preserve">CONCLUSIONS AND CLINICAL IMPORTANCE:Increased glutamic acid concentrations might play a role in the development or be a consequence of liver tumor formation. However, PFAA profiles of HCC could not be differentiated from those of benign lesions. In addition, glutamic acid concentrations did not change after surgical resection. These results indicate that PFAA profiles may not be useful biomarkers for detecting HCC in dogs.</w:t>
      </w:r>
    </w:p>
    <w:p/>
    <w:p>
      <w:pPr>
        <w:pStyle w:val="Normal"/>
      </w:pPr>
      <w:r>
        <w:rPr>
          <w:color w:val="323232"/>
        </w:rPr>
        <w:t xml:space="preserve">J Vet Intern Med, 2019 vol. 33 (4) pp. 1653-1659.</w:t>
      </w:r>
    </w:p>
    <w:p>
      <w:r>
        <w:rPr>
          <w:rStyle w:val="Hyperlink"/>
        </w:rPr>
        <w:fldChar w:fldCharType="begin"/>
      </w:r>
      <w:r>
        <w:rPr>
          <w:rStyle w:val="Hyperlink"/>
        </w:rPr>
        <w:instrText xml:space="preserve"> HYPERLINK "http://dx.doi.org/10.1111/jvim.15512" </w:instrText>
      </w:r>
      <w:r>
        <w:rPr>
          <w:rStyle w:val="Hyperlink"/>
        </w:rPr>
      </w:r>
      <w:r>
        <w:rPr>
          <w:rStyle w:val="Hyperlink"/>
        </w:rPr>
        <w:fldChar w:fldCharType="separate"/>
      </w:r>
      <w:pPr>
        <w:pStyle w:val="Normal"/>
      </w:pPr>
      <w:r>
        <w:rPr>
          <w:rStyle w:val="Hyperlink"/>
        </w:rPr>
        <w:t xml:space="preserve">http://dx.doi.org/10.1111/jvim.15512</w:t>
      </w:r>
      <w:r>
        <w:rPr>
          <w:rStyle w:val="Hyperlink"/>
        </w:rPr>
        <w:fldChar w:fldCharType="end"/>
      </w:r>
    </w:p>
    <w:p>
      <w:pPr>
        <w:pStyle w:val="Normal"/>
      </w:pPr>
      <w:r>
        <w:rPr>
          <w:color w:val="323232"/>
        </w:rPr>
        <w:t xml:space="preserve">————————</w:t>
      </w:r>
    </w:p>
    <w:p>
      <w:pPr>
        <w:pStyle w:val="Heading4"/>
      </w:pPr>
      <w:r>
        <w:t xml:space="preserve">Interleukin-13 and interleukin-33 mRNA are underexpressed in the duodenal mucosa of German Shepherd dogs with chronic enteropathy.</w:t>
      </w:r>
    </w:p>
    <w:p/>
    <w:p>
      <w:pPr>
        <w:pStyle w:val="Normal"/>
      </w:pPr>
      <w:r>
        <w:rPr>
          <w:color w:val="323232"/>
        </w:rPr>
        <w:t xml:space="preserve">Aarti Kathrani, Victor Lezcano, Edward J Hall, Albert E Jergens, Yeon-Jung Seo, Jonathan P Mochel, Todd Atherly, and Karin Allenspach.</w:t>
      </w:r>
    </w:p>
    <w:p/>
    <w:p>
      <w:pPr>
        <w:pStyle w:val="Normal"/>
      </w:pPr>
      <w:r>
        <w:rPr>
          <w:color w:val="323232"/>
        </w:rPr>
        <w:t xml:space="preserve">BACKGROUND:A recent genome-wide association study in German Shepherd dogs (GSDs) with chronic enteropathy (CE) has identified polymorphisms in the Th2 cytokine genes.</w:t>
      </w:r>
    </w:p>
    <w:p/>
    <w:p>
      <w:pPr>
        <w:pStyle w:val="Normal"/>
      </w:pPr>
      <w:r>
        <w:rPr>
          <w:color w:val="323232"/>
        </w:rPr>
        <w:t xml:space="preserve">HYPOTHESIS/OBJECTIVE:To determine if the expression of the Th2 cytokines, interleukin-13 (IL-13) and interleukin-33 (IL-33), is altered in the duodenal mucosa of GSDs with CE compared to non-GSDs with CE and healthy dogs.</w:t>
      </w:r>
    </w:p>
    <w:p/>
    <w:p>
      <w:pPr>
        <w:pStyle w:val="Normal"/>
      </w:pPr>
      <w:r>
        <w:rPr>
          <w:color w:val="323232"/>
        </w:rPr>
        <w:t xml:space="preserve">ANIMALS:Twenty client-owned dogs diagnosed with CE (10 GSDs and 10 non-GSDs) at the Bristol Veterinary School and 8 healthy Beagle dogs from the Iowa State University Service Colony.</w:t>
      </w:r>
    </w:p>
    <w:p/>
    <w:p>
      <w:pPr>
        <w:pStyle w:val="Normal"/>
      </w:pPr>
      <w:r>
        <w:rPr>
          <w:color w:val="323232"/>
        </w:rPr>
        <w:t xml:space="preserve">METHODS:Retrospective study using archived paraffin-embedded duodenal biopsy samples. A novel RNA in situ hybridization technology (RNAscope) was used to hybridize IL-13 and IL-33 mRNA probes onto at least 10 sections from duodenal biopsy samples for each dog. RNAscope signals were visualized using a microscope and semi-quantitative assessment was performed by a single operator.</w:t>
      </w:r>
    </w:p>
    <w:p/>
    <w:p>
      <w:pPr>
        <w:pStyle w:val="Normal"/>
      </w:pPr>
      <w:r>
        <w:rPr>
          <w:color w:val="323232"/>
        </w:rPr>
        <w:t xml:space="preserve">RESULTS:Based on duodenal villus, subvillus, epithelial, and lamina propria average expression scores, GSDs with CE had significantly lower IL-13 and IL-33 mRNA expression compared to non-GSDs with CE (IL-13, P &lt;</w:t>
      </w:r>
      <w:r>
        <w:rPr>
          <w:color w:val="323232"/>
        </w:rPr>
        <w:t xml:space="preserve"> </w:t>
      </w:r>
      <w:r>
        <w:rPr>
          <w:color w:val="323232"/>
        </w:rPr>
        <w:t xml:space="preserve">.04; IL-33, P &lt;</w:t>
      </w:r>
      <w:r>
        <w:rPr>
          <w:color w:val="323232"/>
        </w:rPr>
        <w:t xml:space="preserve"> </w:t>
      </w:r>
      <w:r>
        <w:rPr>
          <w:color w:val="323232"/>
        </w:rPr>
        <w:t xml:space="preserve">.02) and healthy Beagle dogs (IL-13, P &lt;</w:t>
      </w:r>
      <w:r>
        <w:rPr>
          <w:color w:val="323232"/>
        </w:rPr>
        <w:t xml:space="preserve"> </w:t>
      </w:r>
      <w:r>
        <w:rPr>
          <w:color w:val="323232"/>
        </w:rPr>
        <w:t xml:space="preserve">.02; IL-33, P &lt;</w:t>
      </w:r>
      <w:r>
        <w:rPr>
          <w:color w:val="323232"/>
        </w:rPr>
        <w:t xml:space="preserve"> </w:t>
      </w:r>
      <w:r>
        <w:rPr>
          <w:color w:val="323232"/>
        </w:rPr>
        <w:t xml:space="preserve">.004).</w:t>
      </w:r>
    </w:p>
    <w:p/>
    <w:p>
      <w:pPr>
        <w:pStyle w:val="Normal"/>
      </w:pPr>
      <w:r>
        <w:rPr>
          <w:color w:val="323232"/>
        </w:rPr>
        <w:t xml:space="preserve">CONCLUSIONS AND CLINICAL IMPORTANCE:Similar to human patients with ulcerative colitis, a subtype of human inflammatory bowel disease, these data indicate that Th2 cytokines may be involved in the pathogenesis of CE in GSDs.</w:t>
      </w:r>
    </w:p>
    <w:p/>
    <w:p>
      <w:pPr>
        <w:pStyle w:val="Normal"/>
      </w:pPr>
      <w:r>
        <w:rPr>
          <w:color w:val="323232"/>
        </w:rPr>
        <w:t xml:space="preserve">J Vet Intern Med, 2019 vol. 33 (4) pp. 1660-1668.</w:t>
      </w:r>
    </w:p>
    <w:p>
      <w:r>
        <w:rPr>
          <w:rStyle w:val="Hyperlink"/>
        </w:rPr>
        <w:fldChar w:fldCharType="begin"/>
      </w:r>
      <w:r>
        <w:rPr>
          <w:rStyle w:val="Hyperlink"/>
        </w:rPr>
        <w:instrText xml:space="preserve"> HYPERLINK "http://dx.doi.org/10.1111/jvim.15544" </w:instrText>
      </w:r>
      <w:r>
        <w:rPr>
          <w:rStyle w:val="Hyperlink"/>
        </w:rPr>
      </w:r>
      <w:r>
        <w:rPr>
          <w:rStyle w:val="Hyperlink"/>
        </w:rPr>
        <w:fldChar w:fldCharType="separate"/>
      </w:r>
      <w:pPr>
        <w:pStyle w:val="Normal"/>
      </w:pPr>
      <w:r>
        <w:rPr>
          <w:rStyle w:val="Hyperlink"/>
        </w:rPr>
        <w:t xml:space="preserve">http://dx.doi.org/10.1111/jvim.15544</w:t>
      </w:r>
      <w:r>
        <w:rPr>
          <w:rStyle w:val="Hyperlink"/>
        </w:rPr>
        <w:fldChar w:fldCharType="end"/>
      </w:r>
    </w:p>
    <w:p>
      <w:pPr>
        <w:pStyle w:val="Normal"/>
      </w:pPr>
      <w:r>
        <w:rPr>
          <w:color w:val="323232"/>
        </w:rPr>
        <w:t xml:space="preserve">————————</w:t>
      </w:r>
    </w:p>
    <w:p>
      <w:pPr>
        <w:pStyle w:val="Heading4"/>
      </w:pPr>
      <w:r>
        <w:t xml:space="preserve">Lymphatic endothelial cell immunohistochemical markers for evaluation of the intestinal lymphatic vasculature in dogs with chronic inflammatory enteropathy.</w:t>
      </w:r>
    </w:p>
    <w:p/>
    <w:p>
      <w:pPr>
        <w:pStyle w:val="Normal"/>
      </w:pPr>
      <w:r>
        <w:rPr>
          <w:color w:val="323232"/>
        </w:rPr>
        <w:t xml:space="preserve">Sara A Wennogle, Simon L Priestnall, Alejandro Suárez-Bonnet, Sirikul Soontararak, and Craig B Webb.</w:t>
      </w:r>
    </w:p>
    <w:p/>
    <w:p>
      <w:pPr>
        <w:pStyle w:val="Normal"/>
      </w:pPr>
      <w:r>
        <w:rPr>
          <w:color w:val="323232"/>
        </w:rPr>
        <w:t xml:space="preserve">BACKGROUND:Lymphatic endothelial cell (LEC) immunohistochemical markers have identified intestinal lymphatic vasculature abnormalities in humans with inflammatory bowel disease, but have not been used to evaluate intestinal lymphatic vasculature in a group of dogs with chronic inflammatory enteropathy (CIE).</w:t>
      </w:r>
    </w:p>
    <w:p/>
    <w:p>
      <w:pPr>
        <w:pStyle w:val="Normal"/>
      </w:pPr>
      <w:r>
        <w:rPr>
          <w:color w:val="323232"/>
        </w:rPr>
        <w:t xml:space="preserve">OBJECTIVES:To utilize LEC markers to identify and measure intestinal lymphatic vasculature in endoscopic biopsy samples of CIE dogs. To evaluate whether measured lymphatic vasculature variables correlate with serum albumin concentrations.</w:t>
      </w:r>
    </w:p>
    <w:p/>
    <w:p>
      <w:pPr>
        <w:pStyle w:val="Normal"/>
      </w:pPr>
      <w:r>
        <w:rPr>
          <w:color w:val="323232"/>
        </w:rPr>
        <w:t xml:space="preserve">ANIMALS:Twenty-four dogs with CIE; n = 13, serum albumin concentration &lt;2.5 g/ dL (CIE-protein-losing enteropathy [PLE]), n = 11, serum albumin concentration ≥2.5 g/dL (CIE-N).</w:t>
      </w:r>
    </w:p>
    <w:p/>
    <w:p>
      <w:pPr>
        <w:pStyle w:val="Normal"/>
      </w:pPr>
      <w:r>
        <w:rPr>
          <w:color w:val="323232"/>
        </w:rPr>
        <w:t xml:space="preserve">METHODS:Prospective study. Lymphatic endothelial cell immunolabeling with Prox-1 and LYVE-1 performed on endoscopic biopsy samples from 24 dogs with CIE. Duodenal and ileal villous lacteal width (VLW) and proprial mucosal lacteal width (MLW) were determined for each case and analyzed for correlation with serum albumin concentration. Lacteal dilatation scores using routine H&amp;E histopathology were assessed for correlation with immunohistochemistry (IHC)-calculated VLW and MLW.</w:t>
      </w:r>
    </w:p>
    <w:p/>
    <w:p>
      <w:pPr>
        <w:pStyle w:val="Normal"/>
      </w:pPr>
      <w:r>
        <w:rPr>
          <w:color w:val="323232"/>
        </w:rPr>
        <w:t xml:space="preserve">RESULTS:Lower serum albumin concentrations were correlated with increased VLW (rho = -.4644; P = .02) and MLW (rho = -.6514; P</w:t>
      </w:r>
      <w:r>
        <w:rPr>
          <w:color w:val="323232"/>
        </w:rPr>
        <w:t xml:space="preserve"> </w:t>
      </w:r>
      <w:r>
        <w:rPr>
          <w:color w:val="323232"/>
        </w:rPr>
        <w:t xml:space="preserve">&lt;</w:t>
      </w:r>
      <w:r>
        <w:rPr>
          <w:color w:val="323232"/>
        </w:rPr>
        <w:t xml:space="preserve"> </w:t>
      </w:r>
      <w:r>
        <w:rPr>
          <w:color w:val="323232"/>
        </w:rPr>
        <w:t xml:space="preserve">.001) in the ileum. Lymphatic endothelial cell IHC identified presumptive proprial mucosal lymphangiectasia in some dogs that was not recognized with routine H&amp;E staining. Lacteal dilatation scores were correlated with VLW in duodenum (rho = .4634; P = .02) and ileum (rho = .5292; P = .008), but did not correlate with MLW.</w:t>
      </w:r>
    </w:p>
    <w:p/>
    <w:p>
      <w:pPr>
        <w:pStyle w:val="Normal"/>
      </w:pPr>
      <w:r>
        <w:rPr>
          <w:color w:val="323232"/>
        </w:rPr>
        <w:t xml:space="preserve">CONCLUSIONS AND CLINICAL IMPORTANCE:Lymphatic endothelial cell immunolabeling identified presumptive proprial mucosal lymphangiectasia in CIE dogs, particularly in the ileum of hypoalbuminemic dogs. Routine evaluation of villous lacteals likely underestimates abnormalities of the lymphatic vasculature in dogs with CIE.</w:t>
      </w:r>
    </w:p>
    <w:p/>
    <w:p>
      <w:pPr>
        <w:pStyle w:val="Normal"/>
      </w:pPr>
      <w:r>
        <w:rPr>
          <w:color w:val="323232"/>
        </w:rPr>
        <w:t xml:space="preserve">J Vet Intern Med, 2019 vol. 33 (4) pp. 1669-1676.</w:t>
      </w:r>
    </w:p>
    <w:p>
      <w:r>
        <w:rPr>
          <w:rStyle w:val="Hyperlink"/>
        </w:rPr>
        <w:fldChar w:fldCharType="begin"/>
      </w:r>
      <w:r>
        <w:rPr>
          <w:rStyle w:val="Hyperlink"/>
        </w:rPr>
        <w:instrText xml:space="preserve"> HYPERLINK "http://dx.doi.org/10.1111/jvim.15545" </w:instrText>
      </w:r>
      <w:r>
        <w:rPr>
          <w:rStyle w:val="Hyperlink"/>
        </w:rPr>
      </w:r>
      <w:r>
        <w:rPr>
          <w:rStyle w:val="Hyperlink"/>
        </w:rPr>
        <w:fldChar w:fldCharType="separate"/>
      </w:r>
      <w:pPr>
        <w:pStyle w:val="Normal"/>
      </w:pPr>
      <w:r>
        <w:rPr>
          <w:rStyle w:val="Hyperlink"/>
        </w:rPr>
        <w:t xml:space="preserve">http://dx.doi.org/10.1111/jvim.15545</w:t>
      </w:r>
      <w:r>
        <w:rPr>
          <w:rStyle w:val="Hyperlink"/>
        </w:rPr>
        <w:fldChar w:fldCharType="end"/>
      </w:r>
    </w:p>
    <w:p>
      <w:pPr>
        <w:pStyle w:val="Normal"/>
      </w:pPr>
      <w:r>
        <w:rPr>
          <w:color w:val="323232"/>
        </w:rPr>
        <w:t xml:space="preserve">————————</w:t>
      </w:r>
    </w:p>
    <w:p>
      <w:pPr>
        <w:pStyle w:val="Heading4"/>
      </w:pPr>
      <w:r>
        <w:t xml:space="preserve">Usage patterns of carbapenem antimicrobials in dogs and cats at a veterinary tertiary care hospital.</w:t>
      </w:r>
    </w:p>
    <w:p/>
    <w:p>
      <w:pPr>
        <w:pStyle w:val="Normal"/>
      </w:pPr>
      <w:r>
        <w:rPr>
          <w:color w:val="323232"/>
        </w:rPr>
        <w:t xml:space="preserve">Alison Smith, Annie S Wayne, Claire L Fellman, and Marieke H Rosenbaum.</w:t>
      </w:r>
    </w:p>
    <w:p/>
    <w:p>
      <w:pPr>
        <w:pStyle w:val="Normal"/>
      </w:pPr>
      <w:r>
        <w:rPr>
          <w:color w:val="323232"/>
        </w:rPr>
        <w:t xml:space="preserve">BACKGROUND:Carbapenems are a class of antimicrobials reserved for resistant infections or systemically ill people, yet the extent and context in which they are prescribed in the small animals is understudied.</w:t>
      </w:r>
    </w:p>
    <w:p/>
    <w:p>
      <w:pPr>
        <w:pStyle w:val="Normal"/>
      </w:pPr>
      <w:r>
        <w:rPr>
          <w:color w:val="323232"/>
        </w:rPr>
        <w:t xml:space="preserve">HYPOTHESIS/OBJECTIVE:To describe cases in dogs and cats treated with carbapenems to establish baseline data regarding the types of infections, outcomes, and resistance profiles of target infections. We hypothesize that prescribing practices for carbapenems at a veterinary tertiary care hospital would not comply with the recommended use guidelines in human medicine.</w:t>
      </w:r>
    </w:p>
    <w:p/>
    <w:p>
      <w:pPr>
        <w:pStyle w:val="Normal"/>
      </w:pPr>
      <w:r>
        <w:rPr>
          <w:color w:val="323232"/>
        </w:rPr>
        <w:t xml:space="preserve">METHODS:Retrospective study of veterinary medical records from all dogs and cats prescribed carbapenems between May 1, 2016, and April 30, 2017.</w:t>
      </w:r>
    </w:p>
    <w:p/>
    <w:p>
      <w:pPr>
        <w:pStyle w:val="Normal"/>
      </w:pPr>
      <w:r>
        <w:rPr>
          <w:color w:val="323232"/>
        </w:rPr>
        <w:t xml:space="preserve">RESULTS:A total of 81 infections (71 in dogs and 10 in cats) representing 68 animals (58 dogs and 10 cats) involving carbapenem use were identified. Cultures were performed in 65/81 (80%) infections, and antimicrobial use was de-escalated or discontinued in 10/81 (12%) infections. The average duration of treatment was 27.5 days and ranged from 1 to 196</w:t>
      </w:r>
      <w:r>
        <w:rPr>
          <w:color w:val="323232"/>
        </w:rPr>
        <w:t xml:space="preserve"> </w:t>
      </w:r>
      <w:r>
        <w:rPr>
          <w:color w:val="323232"/>
        </w:rPr>
        <w:t xml:space="preserve">days. Resistance to more than 3 antimicrobial classes was present in 57/115 (50%) isolates. Resistance to carbapenems was found in 2/64 (3%) of the bacterial isolates with reported carbapenem susceptibility.</w:t>
      </w:r>
    </w:p>
    <w:p/>
    <w:p>
      <w:pPr>
        <w:pStyle w:val="Normal"/>
      </w:pPr>
      <w:r>
        <w:rPr>
          <w:color w:val="323232"/>
        </w:rPr>
        <w:t xml:space="preserve">CONCLUSIONS AND CLINICAL IMPORTANCE:The majority of carbapenem use at a veterinary tertiary care hospital was prescribed in conjunction with culture and sensitivity determination, with de-escalation performed in a minority of cases, and treatment durations longer than typically recommended in human medicine.</w:t>
      </w:r>
    </w:p>
    <w:p/>
    <w:p>
      <w:pPr>
        <w:pStyle w:val="Normal"/>
      </w:pPr>
      <w:r>
        <w:rPr>
          <w:color w:val="323232"/>
        </w:rPr>
        <w:t xml:space="preserve">J Vet Intern Med, 2019 vol. 33 (4) pp. 1677-1685.</w:t>
      </w:r>
    </w:p>
    <w:p>
      <w:r>
        <w:rPr>
          <w:rStyle w:val="Hyperlink"/>
        </w:rPr>
        <w:fldChar w:fldCharType="begin"/>
      </w:r>
      <w:r>
        <w:rPr>
          <w:rStyle w:val="Hyperlink"/>
        </w:rPr>
        <w:instrText xml:space="preserve"> HYPERLINK "http://dx.doi.org/10.1111/jvim.15522" </w:instrText>
      </w:r>
      <w:r>
        <w:rPr>
          <w:rStyle w:val="Hyperlink"/>
        </w:rPr>
      </w:r>
      <w:r>
        <w:rPr>
          <w:rStyle w:val="Hyperlink"/>
        </w:rPr>
        <w:fldChar w:fldCharType="separate"/>
      </w:r>
      <w:pPr>
        <w:pStyle w:val="Normal"/>
      </w:pPr>
      <w:r>
        <w:rPr>
          <w:rStyle w:val="Hyperlink"/>
        </w:rPr>
        <w:t xml:space="preserve">http://dx.doi.org/10.1111/jvim.15522</w:t>
      </w:r>
      <w:r>
        <w:rPr>
          <w:rStyle w:val="Hyperlink"/>
        </w:rPr>
        <w:fldChar w:fldCharType="end"/>
      </w:r>
    </w:p>
    <w:p>
      <w:pPr>
        <w:pStyle w:val="Normal"/>
      </w:pPr>
      <w:r>
        <w:rPr>
          <w:color w:val="323232"/>
        </w:rPr>
        <w:t xml:space="preserve">————————</w:t>
      </w:r>
    </w:p>
    <w:p>
      <w:pPr>
        <w:pStyle w:val="Heading4"/>
      </w:pPr>
      <w:r>
        <w:t xml:space="preserve">Association of acute Babesia canis infection and serum lipid, lipoprotein, and apoprotein concentrations in dogs.</w:t>
      </w:r>
    </w:p>
    <w:p/>
    <w:p>
      <w:pPr>
        <w:pStyle w:val="Normal"/>
      </w:pPr>
      <w:r>
        <w:rPr>
          <w:color w:val="323232"/>
        </w:rPr>
        <w:t xml:space="preserve">Zorana Milanović, Jelena Vekić, Vladimir Radonjić, Anja Ilić Božović, Aleksandra Zeljković, Jelena Janac, Vesna Spasojević-Kalimanovska, Jesse Buch, Ramaswamy Chandrashekar, Žanka Bojić-Trbojević, Ljiljana Hajduković, Mary M Christopher, and Milica Kovačević Filipović.</w:t>
      </w:r>
    </w:p>
    <w:p/>
    <w:p>
      <w:pPr>
        <w:pStyle w:val="Normal"/>
      </w:pPr>
      <w:r>
        <w:rPr>
          <w:color w:val="323232"/>
        </w:rPr>
        <w:t xml:space="preserve">BACKGROUND:Babesia canis infection induces a marked acute phase response (APR) that might be associated with alteration in lipid and lipoprotein metabolism and disease prognosis.</w:t>
      </w:r>
    </w:p>
    <w:p/>
    <w:p>
      <w:pPr>
        <w:pStyle w:val="Normal"/>
      </w:pPr>
      <w:r>
        <w:rPr>
          <w:color w:val="323232"/>
        </w:rPr>
        <w:t xml:space="preserve">HYPOTHESIS:Dogs with B. canis-induced APR develop dyslipidemia with altered lipoprotein concentration and morphology.</w:t>
      </w:r>
    </w:p>
    <w:p/>
    <w:p>
      <w:pPr>
        <w:pStyle w:val="Normal"/>
      </w:pPr>
      <w:r>
        <w:rPr>
          <w:color w:val="323232"/>
        </w:rPr>
        <w:t xml:space="preserve">ANIMALS:Twenty-nine client-owned dogs with acute B. canis infection and 10 clinically healthy control dogs.</w:t>
      </w:r>
    </w:p>
    <w:p/>
    <w:p>
      <w:pPr>
        <w:pStyle w:val="Normal"/>
      </w:pPr>
      <w:r>
        <w:rPr>
          <w:color w:val="323232"/>
        </w:rPr>
        <w:t xml:space="preserve">METHODS:Observational cross-sectional study. Serum amyloid A (SAA) was measured using ELISA. Cholesterol, phospholipids, and triglycerides were determined biochemically. Lipoproteins were separated using agarose gel electrophoresis. Lipoprotein diameter was assessed by polyacrylamide gradient gel electrophoresis; correlation with ApoA-1 (radioimmunoassay) and SAA was determined.</w:t>
      </w:r>
    </w:p>
    <w:p/>
    <w:p>
      <w:pPr>
        <w:pStyle w:val="Normal"/>
      </w:pPr>
      <w:r>
        <w:rPr>
          <w:color w:val="323232"/>
        </w:rPr>
        <w:t xml:space="preserve">RESULTS:Dogs with B. canis infection had a marked APR (median SAA, 168.3 μg</w:t>
      </w:r>
      <w:r>
        <w:rPr>
          <w:i w:val="1"/>
          <w:color w:val="323232"/>
        </w:rPr>
        <w:t xml:space="preserve">mL; range, 98.1-716.2 μg</w:t>
      </w:r>
      <w:r>
        <w:rPr>
          <w:color w:val="323232"/>
        </w:rPr>
        <w:t xml:space="preserve">mL) compared with controls (3.2 μg</w:t>
      </w:r>
      <w:r>
        <w:rPr>
          <w:i w:val="1"/>
          <w:color w:val="323232"/>
        </w:rPr>
        <w:t xml:space="preserve">mL, 2.0-4.2 μg</w:t>
      </w:r>
      <w:r>
        <w:rPr>
          <w:color w:val="323232"/>
        </w:rPr>
        <w:t xml:space="preserve">mL) (P</w:t>
      </w:r>
      <w:r>
        <w:rPr>
          <w:color w:val="323232"/>
        </w:rPr>
        <w:t xml:space="preserve"> </w:t>
      </w:r>
      <w:r>
        <w:rPr>
          <w:color w:val="323232"/>
        </w:rPr>
        <w:t xml:space="preserve">&lt;</w:t>
      </w:r>
      <w:r>
        <w:rPr>
          <w:color w:val="323232"/>
        </w:rPr>
        <w:t xml:space="preserve"> </w:t>
      </w:r>
      <w:r>
        <w:rPr>
          <w:color w:val="323232"/>
        </w:rPr>
        <w:t xml:space="preserve">.001). Dogs with B. canis infection had significantly lower median cholesterol (4.79</w:t>
      </w:r>
      <w:r>
        <w:rPr>
          <w:color w:val="323232"/>
        </w:rPr>
        <w:t xml:space="preserve"> </w:t>
      </w:r>
      <w:r>
        <w:rPr>
          <w:color w:val="323232"/>
        </w:rPr>
        <w:t xml:space="preserve">mmol</w:t>
      </w:r>
      <w:r>
        <w:rPr>
          <w:i w:val="1"/>
          <w:color w:val="323232"/>
        </w:rPr>
        <w:t xml:space="preserve">L, 1.89-7.64</w:t>
      </w:r>
      <w:r>
        <w:rPr>
          <w:color w:val="323232"/>
        </w:rPr>
        <w:t xml:space="preserve"> </w:t>
      </w:r>
      <w:r>
        <w:rPr>
          <w:i w:val="1"/>
          <w:color w:val="323232"/>
        </w:rPr>
        <w:t xml:space="preserve">mmol</w:t>
      </w:r>
      <w:r>
        <w:rPr>
          <w:color w:val="323232"/>
        </w:rPr>
        <w:t xml:space="preserve">L versus 6.15</w:t>
      </w:r>
      <w:r>
        <w:rPr>
          <w:color w:val="323232"/>
        </w:rPr>
        <w:t xml:space="preserve"> </w:t>
      </w:r>
      <w:r>
        <w:rPr>
          <w:color w:val="323232"/>
        </w:rPr>
        <w:t xml:space="preserve">mmol</w:t>
      </w:r>
      <w:r>
        <w:rPr>
          <w:i w:val="1"/>
          <w:color w:val="323232"/>
        </w:rPr>
        <w:t xml:space="preserve">L, 4.2-7.4 mmol</w:t>
      </w:r>
      <w:r>
        <w:rPr>
          <w:color w:val="323232"/>
        </w:rPr>
        <w:t xml:space="preserve">L) (P = .02), phospholipid (4.64</w:t>
      </w:r>
      <w:r>
        <w:rPr>
          <w:color w:val="323232"/>
        </w:rPr>
        <w:t xml:space="preserve"> </w:t>
      </w:r>
      <w:r>
        <w:rPr>
          <w:color w:val="323232"/>
        </w:rPr>
        <w:t xml:space="preserve">mmol</w:t>
      </w:r>
      <w:r>
        <w:rPr>
          <w:i w:val="1"/>
          <w:color w:val="323232"/>
        </w:rPr>
        <w:t xml:space="preserve">L, 2.6-6.6 mmol</w:t>
      </w:r>
      <w:r>
        <w:rPr>
          <w:color w:val="323232"/>
        </w:rPr>
        <w:t xml:space="preserve">L versus 5.72</w:t>
      </w:r>
      <w:r>
        <w:rPr>
          <w:color w:val="323232"/>
        </w:rPr>
        <w:t xml:space="preserve"> </w:t>
      </w:r>
      <w:r>
        <w:rPr>
          <w:color w:val="323232"/>
        </w:rPr>
        <w:t xml:space="preserve">mmol</w:t>
      </w:r>
      <w:r>
        <w:rPr>
          <w:i w:val="1"/>
          <w:color w:val="323232"/>
        </w:rPr>
        <w:t xml:space="preserve">L, 4.68-7.0 mmol</w:t>
      </w:r>
      <w:r>
        <w:rPr>
          <w:color w:val="323232"/>
        </w:rPr>
        <w:t xml:space="preserve">L) (P = .02), and α-lipoproteins (77.5%, 27.7%-93.5% versus 89.2%, 75.1%-93.5%) (P = .04), and higher ApoA-1 (1.36</w:t>
      </w:r>
      <w:r>
        <w:rPr>
          <w:color w:val="323232"/>
        </w:rPr>
        <w:t xml:space="preserve"> </w:t>
      </w:r>
      <w:r>
        <w:rPr>
          <w:color w:val="323232"/>
        </w:rPr>
        <w:t xml:space="preserve">U, 0.8-2.56</w:t>
      </w:r>
      <w:r>
        <w:rPr>
          <w:color w:val="323232"/>
        </w:rPr>
        <w:t xml:space="preserve"> </w:t>
      </w:r>
      <w:r>
        <w:rPr>
          <w:color w:val="323232"/>
        </w:rPr>
        <w:t xml:space="preserve">U versus 0.95</w:t>
      </w:r>
      <w:r>
        <w:rPr>
          <w:color w:val="323232"/>
        </w:rPr>
        <w:t xml:space="preserve"> </w:t>
      </w:r>
      <w:r>
        <w:rPr>
          <w:color w:val="323232"/>
        </w:rPr>
        <w:t xml:space="preserve">U, 0.73-1.54</w:t>
      </w:r>
      <w:r>
        <w:rPr>
          <w:color w:val="323232"/>
        </w:rPr>
        <w:t xml:space="preserve"> </w:t>
      </w:r>
      <w:r>
        <w:rPr>
          <w:color w:val="323232"/>
        </w:rPr>
        <w:t xml:space="preserve">U) concentrations (P = .02). Serum amyloid A correlated with high-density lipoproteins (HDLs) diameter (rho = .43; P = .03) and ApoA-1 (rho = .63, P</w:t>
      </w:r>
      <w:r>
        <w:rPr>
          <w:color w:val="323232"/>
        </w:rPr>
        <w:t xml:space="preserve"> </w:t>
      </w:r>
      <w:r>
        <w:rPr>
          <w:color w:val="323232"/>
        </w:rPr>
        <w:t xml:space="preserve">&lt;</w:t>
      </w:r>
      <w:r>
        <w:rPr>
          <w:color w:val="323232"/>
        </w:rPr>
        <w:t xml:space="preserve"> </w:t>
      </w:r>
      <w:r>
        <w:rPr>
          <w:color w:val="323232"/>
        </w:rPr>
        <w:t xml:space="preserve">.001).</w:t>
      </w:r>
    </w:p>
    <w:p/>
    <w:p>
      <w:pPr>
        <w:pStyle w:val="Normal"/>
      </w:pPr>
      <w:r>
        <w:rPr>
          <w:color w:val="323232"/>
        </w:rPr>
        <w:t xml:space="preserve">CONCLUSIONS AND CLINICAL IMPORTANCE:Major changes associated with B. canis-induced APR in dogs are related to concentration, composition, and morphology of HDL particles pointing to an altered reverse cholesterol transport. Parallel ApoA-1 and SAA concentration increase is a unique still unexplained pathophysiological finding.</w:t>
      </w:r>
    </w:p>
    <w:p/>
    <w:p>
      <w:pPr>
        <w:pStyle w:val="Normal"/>
      </w:pPr>
      <w:r>
        <w:rPr>
          <w:color w:val="323232"/>
        </w:rPr>
        <w:t xml:space="preserve">J Vet Intern Med, 2019 vol. 33 (4) pp. 1686-1694.</w:t>
      </w:r>
    </w:p>
    <w:p>
      <w:r>
        <w:rPr>
          <w:rStyle w:val="Hyperlink"/>
        </w:rPr>
        <w:fldChar w:fldCharType="begin"/>
      </w:r>
      <w:r>
        <w:rPr>
          <w:rStyle w:val="Hyperlink"/>
        </w:rPr>
        <w:instrText xml:space="preserve"> HYPERLINK "http://dx.doi.org/10.1111/jvim.15537" </w:instrText>
      </w:r>
      <w:r>
        <w:rPr>
          <w:rStyle w:val="Hyperlink"/>
        </w:rPr>
      </w:r>
      <w:r>
        <w:rPr>
          <w:rStyle w:val="Hyperlink"/>
        </w:rPr>
        <w:fldChar w:fldCharType="separate"/>
      </w:r>
      <w:pPr>
        <w:pStyle w:val="Normal"/>
      </w:pPr>
      <w:r>
        <w:rPr>
          <w:rStyle w:val="Hyperlink"/>
        </w:rPr>
        <w:t xml:space="preserve">http://dx.doi.org/10.1111/jvim.15537</w:t>
      </w:r>
      <w:r>
        <w:rPr>
          <w:rStyle w:val="Hyperlink"/>
        </w:rPr>
        <w:fldChar w:fldCharType="end"/>
      </w:r>
    </w:p>
    <w:p>
      <w:pPr>
        <w:pStyle w:val="Normal"/>
      </w:pPr>
      <w:r>
        <w:rPr>
          <w:color w:val="323232"/>
        </w:rPr>
        <w:t xml:space="preserve">————————</w:t>
      </w:r>
    </w:p>
    <w:p>
      <w:pPr>
        <w:pStyle w:val="Heading4"/>
      </w:pPr>
      <w:r>
        <w:t xml:space="preserve">Risk factors and select cardiac characteristics in dogs naturally infected with Trypanosoma cruzi presenting to a teaching hospital in Texas.</w:t>
      </w:r>
    </w:p>
    <w:p/>
    <w:p>
      <w:pPr>
        <w:pStyle w:val="Normal"/>
      </w:pPr>
      <w:r>
        <w:rPr>
          <w:color w:val="323232"/>
        </w:rPr>
        <w:t xml:space="preserve">Alyssa C Meyers, Sarah A Hamer, Derek Matthews, Sonya G Gordon, and Ashley B Saunders.</w:t>
      </w:r>
    </w:p>
    <w:p/>
    <w:p>
      <w:pPr>
        <w:pStyle w:val="Normal"/>
      </w:pPr>
      <w:r>
        <w:rPr>
          <w:color w:val="323232"/>
        </w:rPr>
        <w:t xml:space="preserve">BACKGROUND:Chagas disease, caused by the protozoan parasite Trypanosoma cruzi, causes sudden death and chronic heart disease with no currently approved treatment.</w:t>
      </w:r>
    </w:p>
    <w:p/>
    <w:p>
      <w:pPr>
        <w:pStyle w:val="Normal"/>
      </w:pPr>
      <w:r>
        <w:rPr>
          <w:color w:val="323232"/>
        </w:rPr>
        <w:t xml:space="preserve">OBJECTIVE:To report epidemiologic and select cardiac characteristics associated with T. cruzi infection in dogs presenting to a teaching hospital in Texas.</w:t>
      </w:r>
    </w:p>
    <w:p/>
    <w:p>
      <w:pPr>
        <w:pStyle w:val="Normal"/>
      </w:pPr>
      <w:r>
        <w:rPr>
          <w:color w:val="323232"/>
        </w:rPr>
        <w:t xml:space="preserve">ANIMALS:Three hundred seventy-five client-owned dogs.</w:t>
      </w:r>
    </w:p>
    <w:p/>
    <w:p>
      <w:pPr>
        <w:pStyle w:val="Normal"/>
      </w:pPr>
      <w:r>
        <w:rPr>
          <w:color w:val="323232"/>
        </w:rPr>
        <w:t xml:space="preserve">METHODS:A retrospective search of medical records identified dogs tested for T. cruzi antibodies or with histologic T. cruzi parasites. Data retrieved included signalment, location of residence, reported reason for testing, cardiac troponin I (cTnI) concentration, and ECG abnormalities.</w:t>
      </w:r>
    </w:p>
    <w:p/>
    <w:p>
      <w:pPr>
        <w:pStyle w:val="Normal"/>
      </w:pPr>
      <w:r>
        <w:rPr>
          <w:color w:val="323232"/>
        </w:rPr>
        <w:t xml:space="preserve">RESULTS:Trypanosoma cruzi-infected dogs (N</w:t>
      </w:r>
      <w:r>
        <w:rPr>
          <w:color w:val="323232"/>
        </w:rPr>
        <w:t xml:space="preserve"> </w:t>
      </w:r>
      <w:r>
        <w:rPr>
          <w:color w:val="323232"/>
        </w:rPr>
        <w:t xml:space="preserve">=</w:t>
      </w:r>
      <w:r>
        <w:rPr>
          <w:color w:val="323232"/>
        </w:rPr>
        <w:t xml:space="preserve"> </w:t>
      </w:r>
      <w:r>
        <w:rPr>
          <w:color w:val="323232"/>
        </w:rPr>
        <w:t xml:space="preserve">63, 16.8%) were significantly younger than negative dogs (N</w:t>
      </w:r>
      <w:r>
        <w:rPr>
          <w:color w:val="323232"/>
        </w:rPr>
        <w:t xml:space="preserve"> </w:t>
      </w:r>
      <w:r>
        <w:rPr>
          <w:color w:val="323232"/>
        </w:rPr>
        <w:t xml:space="preserve">=</w:t>
      </w:r>
      <w:r>
        <w:rPr>
          <w:color w:val="323232"/>
        </w:rPr>
        <w:t xml:space="preserve"> </w:t>
      </w:r>
      <w:r>
        <w:rPr>
          <w:color w:val="323232"/>
        </w:rPr>
        <w:t xml:space="preserve">312) (mean, 5.9</w:t>
      </w:r>
      <w:r>
        <w:rPr>
          <w:color w:val="323232"/>
        </w:rPr>
        <w:t xml:space="preserve"> </w:t>
      </w:r>
      <w:r>
        <w:rPr>
          <w:color w:val="323232"/>
        </w:rPr>
        <w:t xml:space="preserve">±</w:t>
      </w:r>
      <w:r>
        <w:rPr>
          <w:color w:val="323232"/>
        </w:rPr>
        <w:t xml:space="preserve"> </w:t>
      </w:r>
      <w:r>
        <w:rPr>
          <w:color w:val="323232"/>
        </w:rPr>
        <w:t xml:space="preserve">3.8 versus 7.4</w:t>
      </w:r>
      <w:r>
        <w:rPr>
          <w:color w:val="323232"/>
        </w:rPr>
        <w:t xml:space="preserve"> </w:t>
      </w:r>
      <w:r>
        <w:rPr>
          <w:color w:val="323232"/>
        </w:rPr>
        <w:t xml:space="preserve">±</w:t>
      </w:r>
      <w:r>
        <w:rPr>
          <w:color w:val="323232"/>
        </w:rPr>
        <w:t xml:space="preserve"> </w:t>
      </w:r>
      <w:r>
        <w:rPr>
          <w:color w:val="323232"/>
        </w:rPr>
        <w:t xml:space="preserve">4.0 years; P</w:t>
      </w:r>
      <w:r>
        <w:rPr>
          <w:color w:val="323232"/>
        </w:rPr>
        <w:t xml:space="preserve"> </w:t>
      </w:r>
      <w:r>
        <w:rPr>
          <w:color w:val="323232"/>
        </w:rPr>
        <w:t xml:space="preserve">=</w:t>
      </w:r>
      <w:r>
        <w:rPr>
          <w:color w:val="323232"/>
        </w:rPr>
        <w:t xml:space="preserve"> </w:t>
      </w:r>
      <w:r>
        <w:rPr>
          <w:color w:val="323232"/>
        </w:rPr>
        <w:t xml:space="preserve">.007) with no difference by sex or breed. Ninety-one breeds were tested; the highest percent infected were non-sporting (10/35; 29%) and toy breed (10/42; 24%) groups. The odds of infection were 13 times greater among dogs with an infected housemate or littermate (95% confidence interval [CI], 3.94-50.45; P &lt; .001). Infected dogs were more likely to have ventricular arrhythmias (odds ratio [OR], 2.19; 95% CI, 1.15-4.33, P</w:t>
      </w:r>
      <w:r>
        <w:rPr>
          <w:color w:val="323232"/>
        </w:rPr>
        <w:t xml:space="preserve"> </w:t>
      </w:r>
      <w:r>
        <w:rPr>
          <w:color w:val="323232"/>
        </w:rPr>
        <w:t xml:space="preserve">=</w:t>
      </w:r>
      <w:r>
        <w:rPr>
          <w:color w:val="323232"/>
        </w:rPr>
        <w:t xml:space="preserve"> </w:t>
      </w:r>
      <w:r>
        <w:rPr>
          <w:color w:val="323232"/>
        </w:rPr>
        <w:t xml:space="preserve">.02), combinations of ECG abnormalities (OR, 2.91; 95% CI, 1.37-5.99; P</w:t>
      </w:r>
      <w:r>
        <w:rPr>
          <w:color w:val="323232"/>
        </w:rPr>
        <w:t xml:space="preserve"> </w:t>
      </w:r>
      <w:r>
        <w:rPr>
          <w:color w:val="323232"/>
        </w:rPr>
        <w:t xml:space="preserve">=</w:t>
      </w:r>
      <w:r>
        <w:rPr>
          <w:color w:val="323232"/>
        </w:rPr>
        <w:t xml:space="preserve"> </w:t>
      </w:r>
      <w:r>
        <w:rPr>
          <w:color w:val="323232"/>
        </w:rPr>
        <w:t xml:space="preserve">.004), and cTnI &gt;0.129 ng/mL (ADVIA; OR, 10.71; 95% CI, 1.60-212.21; P</w:t>
      </w:r>
      <w:r>
        <w:rPr>
          <w:color w:val="323232"/>
        </w:rPr>
        <w:t xml:space="preserve"> </w:t>
      </w:r>
      <w:r>
        <w:rPr>
          <w:color w:val="323232"/>
        </w:rPr>
        <w:t xml:space="preserve">=</w:t>
      </w:r>
      <w:r>
        <w:rPr>
          <w:color w:val="323232"/>
        </w:rPr>
        <w:t xml:space="preserve"> </w:t>
      </w:r>
      <w:r>
        <w:rPr>
          <w:color w:val="323232"/>
        </w:rPr>
        <w:t xml:space="preserve">.035).</w:t>
      </w:r>
    </w:p>
    <w:p/>
    <w:p>
      <w:pPr>
        <w:pStyle w:val="Normal"/>
      </w:pPr>
      <w:r>
        <w:rPr>
          <w:color w:val="323232"/>
        </w:rPr>
        <w:t xml:space="preserve">CONCLUSIONS AND CLINICAL IMPORTANCE:Dogs infected with T. cruzi were identified in Texas in many breed groups including breeds affected by well-described heart diseases that mimic Chagas disease suggesting a need for increased awareness, including knowledge of when to consider testing.</w:t>
      </w:r>
    </w:p>
    <w:p/>
    <w:p>
      <w:pPr>
        <w:pStyle w:val="Normal"/>
      </w:pPr>
      <w:r>
        <w:rPr>
          <w:color w:val="323232"/>
        </w:rPr>
        <w:t xml:space="preserve">J Vet Intern Med, 2019 vol. 33 (4) pp. 1695-1706.</w:t>
      </w:r>
    </w:p>
    <w:p>
      <w:r>
        <w:rPr>
          <w:rStyle w:val="Hyperlink"/>
        </w:rPr>
        <w:fldChar w:fldCharType="begin"/>
      </w:r>
      <w:r>
        <w:rPr>
          <w:rStyle w:val="Hyperlink"/>
        </w:rPr>
        <w:instrText xml:space="preserve"> HYPERLINK "http://dx.doi.org/10.1111/jvim.15516" </w:instrText>
      </w:r>
      <w:r>
        <w:rPr>
          <w:rStyle w:val="Hyperlink"/>
        </w:rPr>
      </w:r>
      <w:r>
        <w:rPr>
          <w:rStyle w:val="Hyperlink"/>
        </w:rPr>
        <w:fldChar w:fldCharType="separate"/>
      </w:r>
      <w:pPr>
        <w:pStyle w:val="Normal"/>
      </w:pPr>
      <w:r>
        <w:rPr>
          <w:rStyle w:val="Hyperlink"/>
        </w:rPr>
        <w:t xml:space="preserve">http://dx.doi.org/10.1111/jvim.15516</w:t>
      </w:r>
      <w:r>
        <w:rPr>
          <w:rStyle w:val="Hyperlink"/>
        </w:rPr>
        <w:fldChar w:fldCharType="end"/>
      </w:r>
    </w:p>
    <w:p>
      <w:pPr>
        <w:pStyle w:val="Normal"/>
      </w:pPr>
      <w:r>
        <w:rPr>
          <w:color w:val="323232"/>
        </w:rPr>
        <w:t xml:space="preserve">————————</w:t>
      </w:r>
    </w:p>
    <w:p>
      <w:pPr>
        <w:pStyle w:val="Heading4"/>
      </w:pPr>
      <w:r>
        <w:t xml:space="preserve">Open-label clinical trial of rectally administered levetiracetam as supplemental treatment in dogs with cluster seizures.</w:t>
      </w:r>
    </w:p>
    <w:p/>
    <w:p>
      <w:pPr>
        <w:pStyle w:val="Normal"/>
      </w:pPr>
      <w:r>
        <w:rPr>
          <w:color w:val="323232"/>
        </w:rPr>
        <w:t xml:space="preserve">Giulia Cagnotti, Rosangela Odore, Iride Bertone, Cristiano Corona, Elena Dappiano, Giulia Gardini, Barbara Iulini, Claudio Bellino, and Antonio D'Angelo.</w:t>
      </w:r>
    </w:p>
    <w:p/>
    <w:p>
      <w:pPr>
        <w:pStyle w:val="Normal"/>
      </w:pPr>
      <w:r>
        <w:rPr>
          <w:color w:val="323232"/>
        </w:rPr>
        <w:t xml:space="preserve">BACKGROUND:Treatment options for at-home management of cluster seizures (CS) and status epilepticus (SE) are limited. The pharmacokinetics of levetiracetam (LEV) after rectal administration in both healthy and epileptic dogs has been investigated recently.</w:t>
      </w:r>
    </w:p>
    <w:p/>
    <w:p>
      <w:pPr>
        <w:pStyle w:val="Normal"/>
      </w:pPr>
      <w:r>
        <w:rPr>
          <w:color w:val="323232"/>
        </w:rPr>
        <w:t xml:space="preserve">HYPOTHESIS/OBJECTIVES:To investigate the clinical efficacy of rectally administered LEV in preventing additional seizures in dogs presented for CS and SE. We hypothesized that rectal administration of LEV in addition to a standard treatment protocol would provide better control of seizure activity as compared with the standard treatment protocol alone.</w:t>
      </w:r>
    </w:p>
    <w:p/>
    <w:p>
      <w:pPr>
        <w:pStyle w:val="Normal"/>
      </w:pPr>
      <w:r>
        <w:rPr>
          <w:color w:val="323232"/>
        </w:rPr>
        <w:t xml:space="preserve">ANIMALS:Fifty-seven client-owned dogs with CS or SE.</w:t>
      </w:r>
    </w:p>
    <w:p/>
    <w:p>
      <w:pPr>
        <w:pStyle w:val="Normal"/>
      </w:pPr>
      <w:r>
        <w:rPr>
          <w:color w:val="323232"/>
        </w:rPr>
        <w:t xml:space="preserve">METHODS:Prospective open-label clinical trial. Patients included in the study were assigned to receive either a standard treatment protocol comprising IV</w:t>
      </w:r>
      <w:r>
        <w:rPr>
          <w:i w:val="1"/>
          <w:color w:val="323232"/>
        </w:rPr>
        <w:t xml:space="preserve">rectal diazepam and IV phenobarbital q8h (control group) or a standard treatment protocol in association with a single dose of 40</w:t>
      </w:r>
      <w:r>
        <w:rPr>
          <w:color w:val="323232"/>
        </w:rPr>
        <w:t xml:space="preserve"> </w:t>
      </w:r>
      <w:r>
        <w:rPr>
          <w:i w:val="1"/>
          <w:color w:val="323232"/>
        </w:rPr>
        <w:t xml:space="preserve">mg</w:t>
      </w:r>
      <w:r>
        <w:rPr>
          <w:color w:val="323232"/>
        </w:rPr>
        <w:t xml:space="preserve">kg LEV rectally (rectal LEV group). Dogs that experienced no additional seizures were defined as responders, whereas those that showed additional seizure activity were classified as nonresponders.</w:t>
      </w:r>
    </w:p>
    <w:p/>
    <w:p>
      <w:pPr>
        <w:pStyle w:val="Normal"/>
      </w:pPr>
      <w:r>
        <w:rPr>
          <w:color w:val="323232"/>
        </w:rPr>
        <w:t xml:space="preserve">RESULTS:Twenty-one dogs were assigned to the rectal LEV group, and 36 to control group. Given the small number of cases of SE, statistical analysis was performed only on patients with CS. The response rate was 94% in the rectal LEV group and 48% in the control group (P</w:t>
      </w:r>
      <w:r>
        <w:rPr>
          <w:color w:val="323232"/>
        </w:rPr>
        <w:t xml:space="preserve"> </w:t>
      </w:r>
      <w:r>
        <w:rPr>
          <w:color w:val="323232"/>
        </w:rPr>
        <w:t xml:space="preserve">&lt;</w:t>
      </w:r>
      <w:r>
        <w:rPr>
          <w:color w:val="323232"/>
        </w:rPr>
        <w:t xml:space="preserve"> </w:t>
      </w:r>
      <w:r>
        <w:rPr>
          <w:color w:val="323232"/>
        </w:rPr>
        <w:t xml:space="preserve">.001).</w:t>
      </w:r>
    </w:p>
    <w:p/>
    <w:p>
      <w:pPr>
        <w:pStyle w:val="Normal"/>
      </w:pPr>
      <w:r>
        <w:rPr>
          <w:color w:val="323232"/>
        </w:rPr>
        <w:t xml:space="preserve">CONCLUSIONS AND CLINICAL IMPORTANCE:Rectally administered LEV combined with a standard treatment protocol provided good control of seizure activity in patients with CS. The validity of these results should be confirmed in a double-blinded, placebo-controlled clinical trial.</w:t>
      </w:r>
    </w:p>
    <w:p/>
    <w:p>
      <w:pPr>
        <w:pStyle w:val="Normal"/>
      </w:pPr>
      <w:r>
        <w:rPr>
          <w:color w:val="323232"/>
        </w:rPr>
        <w:t xml:space="preserve">J Vet Intern Med, 2019 vol. 33 (4) pp. 1714-1718.</w:t>
      </w:r>
    </w:p>
    <w:p>
      <w:r>
        <w:rPr>
          <w:rStyle w:val="Hyperlink"/>
        </w:rPr>
        <w:fldChar w:fldCharType="begin"/>
      </w:r>
      <w:r>
        <w:rPr>
          <w:rStyle w:val="Hyperlink"/>
        </w:rPr>
        <w:instrText xml:space="preserve"> HYPERLINK "http://eutils.ncbi.nlm.nih.gov/entrez/eutils/elink.fcgi?dbfrom=pubmed&amp;id=31218767&amp;retmode=ref&amp;cmd=prlinks"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http://eutils.ncbi.nlm.nih.gov/entrez/eutils/elink.fcgi?dbfrom=pubmed&amp;id=31218767&amp;retmode=ref&amp;cmd=prlinks</w:t>
      </w:r>
      <w:r>
        <w:rPr>
          <w:rStyle w:val="Hyperlink"/>
        </w:rPr>
        <w:fldChar w:fldCharType="end"/>
      </w:r>
    </w:p>
    <w:p>
      <w:pPr>
        <w:pStyle w:val="Normal"/>
      </w:pPr>
      <w:r>
        <w:rPr>
          <w:color w:val="323232"/>
        </w:rPr>
        <w:t xml:space="preserve">————————</w:t>
      </w:r>
    </w:p>
    <w:p>
      <w:pPr>
        <w:pStyle w:val="Heading4"/>
      </w:pPr>
      <w:r>
        <w:t xml:space="preserve">Clinical characteristics, breed differences, and quality of life in North American dogs with acute steroid-responsive meningitis-arteritis.</w:t>
      </w:r>
    </w:p>
    <w:p/>
    <w:p>
      <w:pPr>
        <w:pStyle w:val="Normal"/>
      </w:pPr>
      <w:r>
        <w:rPr>
          <w:color w:val="323232"/>
        </w:rPr>
        <w:t xml:space="preserve">Jeanie Lau, Julie A Nettifee, Peter J Early, Christopher L Mariani, Natasha J Olby, and Karen R Munana.</w:t>
      </w:r>
    </w:p>
    <w:p/>
    <w:p>
      <w:pPr>
        <w:pStyle w:val="Normal"/>
      </w:pPr>
      <w:r>
        <w:rPr>
          <w:color w:val="323232"/>
        </w:rPr>
        <w:t xml:space="preserve">BACKGROUND:Steroid-responsive meningitis-arteritis (SRMA) is a common inflammatory neurologic disorder of dogs for which certain breeds are predisposed.</w:t>
      </w:r>
    </w:p>
    <w:p/>
    <w:p>
      <w:pPr>
        <w:pStyle w:val="Normal"/>
      </w:pPr>
      <w:r>
        <w:rPr>
          <w:color w:val="323232"/>
        </w:rPr>
        <w:t xml:space="preserve">OBJECTIVES:To determine whether breed differences exist in clinical features, treatment response, and relapse in a population of North American dogs with SRMA, and to evaluate the effect of disease on dogs' quality of life (QoL).</w:t>
      </w:r>
    </w:p>
    <w:p/>
    <w:p>
      <w:pPr>
        <w:pStyle w:val="Normal"/>
      </w:pPr>
      <w:r>
        <w:rPr>
          <w:color w:val="323232"/>
        </w:rPr>
        <w:t xml:space="preserve">ANIMALS:Sixty-one client-owned dogs with SRMA: 29 dogs identified through an American Kennel Club-Canine Health Foundation survey and 32 dogs from North Carolina (NC) State Veterinary Hospital.</w:t>
      </w:r>
    </w:p>
    <w:p/>
    <w:p>
      <w:pPr>
        <w:pStyle w:val="Normal"/>
      </w:pPr>
      <w:r>
        <w:rPr>
          <w:color w:val="323232"/>
        </w:rPr>
        <w:t xml:space="preserve">METHODS:Retrospective case series. Caregivers completed an online survey to assess QoL.</w:t>
      </w:r>
    </w:p>
    <w:p/>
    <w:p>
      <w:pPr>
        <w:pStyle w:val="Normal"/>
      </w:pPr>
      <w:r>
        <w:rPr>
          <w:color w:val="323232"/>
        </w:rPr>
        <w:t xml:space="preserve">RESULTS:Breeds represented most often included the Golden Retriever (n = 12), Bernese Mountain Dog (10), Wirehaired Pointing Griffon (9), Boxer (9), and Beagle (6). No breed differences were identified with respect to clinical severity, diagnostic findings, or outcome. Twenty-nine dogs (48%) had ≥1 disease relapse. There was a significant effect of cerebrospinal fluid nucleated cell count on the frequency of disease relapse (P =</w:t>
      </w:r>
      <w:r>
        <w:rPr>
          <w:color w:val="323232"/>
        </w:rPr>
        <w:t xml:space="preserve"> </w:t>
      </w:r>
      <w:r>
        <w:rPr>
          <w:color w:val="323232"/>
        </w:rPr>
        <w:t xml:space="preserve">.003), but no relationship was identified between treatment protocol and relapse. Dogs' QoL was associated with the severity of corticosteroid-related adverse effects (P =</w:t>
      </w:r>
      <w:r>
        <w:rPr>
          <w:color w:val="323232"/>
        </w:rPr>
        <w:t xml:space="preserve"> </w:t>
      </w:r>
      <w:r>
        <w:rPr>
          <w:color w:val="323232"/>
        </w:rPr>
        <w:t xml:space="preserve">.03), which were dose-related (r =</w:t>
      </w:r>
      <w:r>
        <w:rPr>
          <w:color w:val="323232"/>
        </w:rPr>
        <w:t xml:space="preserve"> </w:t>
      </w:r>
      <w:r>
        <w:rPr>
          <w:color w:val="323232"/>
        </w:rPr>
        <w:t xml:space="preserve">.24, P =</w:t>
      </w:r>
      <w:r>
        <w:rPr>
          <w:color w:val="323232"/>
        </w:rPr>
        <w:t xml:space="preserve"> </w:t>
      </w:r>
      <w:r>
        <w:rPr>
          <w:color w:val="323232"/>
        </w:rPr>
        <w:t xml:space="preserve">.02) and more prevalent in Wirehaired Pointing Griffons than in other breeds (P =</w:t>
      </w:r>
      <w:r>
        <w:rPr>
          <w:color w:val="323232"/>
        </w:rPr>
        <w:t xml:space="preserve"> </w:t>
      </w:r>
      <w:r>
        <w:rPr>
          <w:color w:val="323232"/>
        </w:rPr>
        <w:t xml:space="preserve">.04).</w:t>
      </w:r>
    </w:p>
    <w:p/>
    <w:p>
      <w:pPr>
        <w:pStyle w:val="Normal"/>
      </w:pPr>
      <w:r>
        <w:rPr>
          <w:color w:val="323232"/>
        </w:rPr>
        <w:t xml:space="preserve">CONCLUSION AND CLINICAL IMPORTANCE:Golden Retrievers and Wirehaired Pointing Griffons should be considered among the breeds recognized to develop SRMA. Treatment with higher corticosteroid dosages is correlated with more severe adverse effects and worse QoL, but it may not improve clinical outcome.</w:t>
      </w:r>
    </w:p>
    <w:p/>
    <w:p>
      <w:pPr>
        <w:pStyle w:val="Normal"/>
      </w:pPr>
      <w:r>
        <w:rPr>
          <w:color w:val="323232"/>
        </w:rPr>
        <w:t xml:space="preserve">J Vet Intern Med, 2019 vol. 33 (4) pp. 1719-1727.</w:t>
      </w:r>
    </w:p>
    <w:p>
      <w:r>
        <w:rPr>
          <w:rStyle w:val="Hyperlink"/>
        </w:rPr>
        <w:fldChar w:fldCharType="begin"/>
      </w:r>
      <w:r>
        <w:rPr>
          <w:rStyle w:val="Hyperlink"/>
        </w:rPr>
        <w:instrText xml:space="preserve"> HYPERLINK "http://dx.doi.org/10.1111/jvim.15543" </w:instrText>
      </w:r>
      <w:r>
        <w:rPr>
          <w:rStyle w:val="Hyperlink"/>
        </w:rPr>
      </w:r>
      <w:r>
        <w:rPr>
          <w:rStyle w:val="Hyperlink"/>
        </w:rPr>
        <w:fldChar w:fldCharType="separate"/>
      </w:r>
      <w:pPr>
        <w:pStyle w:val="Normal"/>
      </w:pPr>
      <w:r>
        <w:rPr>
          <w:rStyle w:val="Hyperlink"/>
        </w:rPr>
        <w:t xml:space="preserve">http://dx.doi.org/10.1111/jvim.15543</w:t>
      </w:r>
      <w:r>
        <w:rPr>
          <w:rStyle w:val="Hyperlink"/>
        </w:rPr>
        <w:fldChar w:fldCharType="end"/>
      </w:r>
    </w:p>
    <w:p>
      <w:pPr>
        <w:pStyle w:val="Normal"/>
      </w:pPr>
      <w:r>
        <w:rPr>
          <w:color w:val="323232"/>
        </w:rPr>
        <w:t xml:space="preserve">————————</w:t>
      </w:r>
    </w:p>
    <w:p>
      <w:pPr>
        <w:pStyle w:val="Heading4"/>
      </w:pPr>
      <w:r>
        <w:t xml:space="preserve">Retrospective analysis of esophageal imaging features in brachycephalic versus non-brachycephalic dogs based on videofluoroscopic swallowing studies.</w:t>
      </w:r>
    </w:p>
    <w:p/>
    <w:p>
      <w:pPr>
        <w:pStyle w:val="Normal"/>
      </w:pPr>
      <w:r>
        <w:rPr>
          <w:color w:val="323232"/>
        </w:rPr>
        <w:t xml:space="preserve">Caroline Eivers, Rocio Chicon Rueda, Tiziana Liuti, and Silke Salavati Schmitz.</w:t>
      </w:r>
    </w:p>
    <w:p/>
    <w:p>
      <w:pPr>
        <w:pStyle w:val="Normal"/>
      </w:pPr>
      <w:r>
        <w:rPr>
          <w:color w:val="323232"/>
        </w:rPr>
        <w:t xml:space="preserve">BACKGROUND:Idiopathic esophageal dysmotility (ED) is increasingly recognized in young dogs of brachycephalic breeds. Few studies have objectively associated specific videofluoroscopic swallowing study (VFSS) features with brachycephaly, leading to under-recognition of ED in brachycephalic breeds.</w:t>
      </w:r>
    </w:p>
    <w:p/>
    <w:p>
      <w:pPr>
        <w:pStyle w:val="Normal"/>
      </w:pPr>
      <w:r>
        <w:rPr>
          <w:color w:val="323232"/>
        </w:rPr>
        <w:t xml:space="preserve">HYPOTHESIS/OBJECTIVES:To describe and compare VFSS in brachycephalic dogs versus non-brachycephalic dogs presented for dysphagia or regurgitation, and to investigate associations between these imaging findings and patient signalment.</w:t>
      </w:r>
    </w:p>
    <w:p/>
    <w:p>
      <w:pPr>
        <w:pStyle w:val="Normal"/>
      </w:pPr>
      <w:r>
        <w:rPr>
          <w:color w:val="323232"/>
        </w:rPr>
        <w:t xml:space="preserve">METHODS:Retrospective analysis of VFSS of dogs presented for dysphagia or regurgitation (not megaesophagus) from 2006 to 2017. Cases were divided into brachycephalic and mesaticephalic breeds. The VFSS were reviewed using a standardized protocol by 2 examiners. Esophageal motility was assessed using specific criteria, and particular imaging features were noted and graded. Fisher's exact test was used to determine associations among signalment (including brachycephaly), final diagnosis, outcomes, and ED features.</w:t>
      </w:r>
    </w:p>
    <w:p/>
    <w:p>
      <w:pPr>
        <w:pStyle w:val="Normal"/>
      </w:pPr>
      <w:r>
        <w:rPr>
          <w:color w:val="323232"/>
        </w:rPr>
        <w:t xml:space="preserve">RESULTS:Thirty-six dogs were included (n = 10 normal, n = 26 presumed ED). Twenty dogs (77%) with presumed ED were brachycephalic with a median age of 1 year (range, 0.2-10.5 years). Most common were prolonged esophageal transit time (ETT; n = 21/26), decreased propagation of secondary peristaltic waves (n = 20/26), and gastroesophageal reflux (GER; n = 18/28). Eight dogs (all brachycephalic) had hiatal herniation (HH). Morphological esophageal variations were only observed in brachycephalic dogs. Brachycephaly was significantly associated with ED (P = .005), prolonged ETT (P = .41), GER (P = .02), and HH (P = .03).</w:t>
      </w:r>
    </w:p>
    <w:p/>
    <w:p>
      <w:pPr>
        <w:pStyle w:val="Normal"/>
      </w:pPr>
      <w:r>
        <w:rPr>
          <w:color w:val="323232"/>
        </w:rPr>
        <w:t xml:space="preserve">CONCLUSIONS AND CLINICAL IMPORTANCE:The majority of dogs with presumed ED was young and brachycephalic and had specific abnormalities that were less frequent in mesaticephalic dogs with regurgitation or dysphagia.</w:t>
      </w:r>
    </w:p>
    <w:p/>
    <w:p>
      <w:pPr>
        <w:pStyle w:val="Normal"/>
      </w:pPr>
      <w:r>
        <w:rPr>
          <w:color w:val="323232"/>
        </w:rPr>
        <w:t xml:space="preserve">J Vet Intern Med, 2019 vol. 33 (4) pp. 1740-1746.</w:t>
      </w:r>
    </w:p>
    <w:p>
      <w:r>
        <w:rPr>
          <w:rStyle w:val="Hyperlink"/>
        </w:rPr>
        <w:fldChar w:fldCharType="begin"/>
      </w:r>
      <w:r>
        <w:rPr>
          <w:rStyle w:val="Hyperlink"/>
        </w:rPr>
        <w:instrText xml:space="preserve"> HYPERLINK "http://dx.doi.org/10.1111/jvim.15547" </w:instrText>
      </w:r>
      <w:r>
        <w:rPr>
          <w:rStyle w:val="Hyperlink"/>
        </w:rPr>
      </w:r>
      <w:r>
        <w:rPr>
          <w:rStyle w:val="Hyperlink"/>
        </w:rPr>
        <w:fldChar w:fldCharType="separate"/>
      </w:r>
      <w:pPr>
        <w:pStyle w:val="Normal"/>
      </w:pPr>
      <w:r>
        <w:rPr>
          <w:rStyle w:val="Hyperlink"/>
        </w:rPr>
        <w:t xml:space="preserve">http://dx.doi.org/10.1111/jvim.15547</w:t>
      </w:r>
      <w:r>
        <w:rPr>
          <w:rStyle w:val="Hyperlink"/>
        </w:rPr>
        <w:fldChar w:fldCharType="end"/>
      </w:r>
    </w:p>
    <w:p>
      <w:pPr>
        <w:pStyle w:val="Normal"/>
      </w:pPr>
      <w:r>
        <w:rPr>
          <w:color w:val="323232"/>
        </w:rPr>
        <w:t xml:space="preserve">————————</w:t>
      </w:r>
    </w:p>
    <w:p>
      <w:pPr>
        <w:pStyle w:val="Heading4"/>
      </w:pPr>
      <w:r>
        <w:t xml:space="preserve">The use of focused cardiac ultrasound to screen for occult heart disease in asymptomatic cats.</w:t>
      </w:r>
    </w:p>
    <w:p/>
    <w:p>
      <w:pPr>
        <w:pStyle w:val="Normal"/>
      </w:pPr>
      <w:r>
        <w:rPr>
          <w:color w:val="323232"/>
        </w:rPr>
        <w:t xml:space="preserve">Kerry A Loughran, John E Rush, Elizabeth A Rozanski, Mark A Oyama, Éva Larouche-Lebel, and Marc S Kraus.</w:t>
      </w:r>
    </w:p>
    <w:p/>
    <w:p>
      <w:pPr>
        <w:pStyle w:val="Normal"/>
      </w:pPr>
      <w:r>
        <w:rPr>
          <w:color w:val="323232"/>
        </w:rPr>
        <w:t xml:space="preserve">BACKGROUND:Focused cardiac ultrasound (FCU) helps detect occult heart disease in human patients.</w:t>
      </w:r>
    </w:p>
    <w:p/>
    <w:p>
      <w:pPr>
        <w:pStyle w:val="Normal"/>
      </w:pPr>
      <w:r>
        <w:rPr>
          <w:color w:val="323232"/>
        </w:rPr>
        <w:t xml:space="preserve">HYPOTHESIS:Focused cardiac ultrasound by a nonspecialist practitioner (NSP) will increase the detection of occult heart disease in asymptomatic cats compared with physical examination and ECG.</w:t>
      </w:r>
    </w:p>
    <w:p/>
    <w:p>
      <w:pPr>
        <w:pStyle w:val="Normal"/>
      </w:pPr>
      <w:r>
        <w:rPr>
          <w:color w:val="323232"/>
        </w:rPr>
        <w:t xml:space="preserve">ANIMALS:Three hundred forty-three client-owned cats: 54 excluded and 289 analyzed.</w:t>
      </w:r>
    </w:p>
    <w:p/>
    <w:p>
      <w:pPr>
        <w:pStyle w:val="Normal"/>
      </w:pPr>
      <w:r>
        <w:rPr>
          <w:color w:val="323232"/>
        </w:rPr>
        <w:t xml:space="preserve">METHODS:Multicenter prospective cohort study. Twenty-two NSPs were trained to perform FCU. Cats without clinical signs of heart disease were recruited, and NSPs performed the following in sequential order: physical examination, ECG, FCU, and point-of-care N-terminal pro-B-type natriuretic peptide assay (POC-BNP). After each step, NSPs indicated yes, no, or equivocal as to whether they believed heart disease was present. The level of agreement between the NSP diagnosis and a blinded cardiologist's diagnosis after echocardiogram was evaluated using Cohen's kappa test.</w:t>
      </w:r>
    </w:p>
    <w:p/>
    <w:p>
      <w:pPr>
        <w:pStyle w:val="Normal"/>
      </w:pPr>
      <w:r>
        <w:rPr>
          <w:color w:val="323232"/>
        </w:rPr>
        <w:t xml:space="preserve">RESULTS:Cardiologist diagnoses included 148 normal cats, 102 with heart disease, and 39 equivocal ones. Agreement between NSP and cardiologist was slight after physical examination (kappa 0.253 [95% CI, 0.172-0.340]), did not increase after ECG (0.256 [0.161-0.345]; P = .96), increased after FCU (0.468 [0.376-0.558]; P = .002), and the level of agreement was similar after POC-BNP (0.498 [0.419-0.580]; P = .67). In cats with mild, moderate, and marked occult heart disease, the proportion of cats having a NSP diagnosis of heart disease after FCU was 45.6%, 93.1%, and 100%, respectively.</w:t>
      </w:r>
    </w:p>
    <w:p/>
    <w:p>
      <w:pPr>
        <w:pStyle w:val="Normal"/>
      </w:pPr>
      <w:r>
        <w:rPr>
          <w:color w:val="323232"/>
        </w:rPr>
        <w:t xml:space="preserve">CONCLUSIONS AND CLINICAL IMPORTANCE:Focused cardiac ultrasound performed by NSPs increased the detection of occult heart disease, especially in cats with moderate to marked disease. Focused cardiac ultrasound appears to be a feasible and useful tool to assist NSPs in the detection of heart disease in cats.</w:t>
      </w:r>
    </w:p>
    <w:p/>
    <w:p>
      <w:pPr>
        <w:pStyle w:val="Normal"/>
      </w:pPr>
      <w:r>
        <w:rPr>
          <w:color w:val="323232"/>
        </w:rPr>
        <w:t xml:space="preserve">J Vet Intern Med, 2019 vol. 33 (5) pp. 1892-1901.</w:t>
      </w:r>
    </w:p>
    <w:p>
      <w:r>
        <w:rPr>
          <w:rStyle w:val="Hyperlink"/>
        </w:rPr>
        <w:fldChar w:fldCharType="begin"/>
      </w:r>
      <w:r>
        <w:rPr>
          <w:rStyle w:val="Hyperlink"/>
        </w:rPr>
        <w:instrText xml:space="preserve"> HYPERLINK "http://dx.doi.org/10.1111/jvim.15549" </w:instrText>
      </w:r>
      <w:r>
        <w:rPr>
          <w:rStyle w:val="Hyperlink"/>
        </w:rPr>
      </w:r>
      <w:r>
        <w:rPr>
          <w:rStyle w:val="Hyperlink"/>
        </w:rPr>
        <w:fldChar w:fldCharType="separate"/>
      </w:r>
      <w:pPr>
        <w:pStyle w:val="Normal"/>
      </w:pPr>
      <w:r>
        <w:rPr>
          <w:rStyle w:val="Hyperlink"/>
        </w:rPr>
        <w:t xml:space="preserve">http://dx.doi.org/10.1111/jvim.15549</w:t>
      </w:r>
      <w:r>
        <w:rPr>
          <w:rStyle w:val="Hyperlink"/>
        </w:rPr>
        <w:fldChar w:fldCharType="end"/>
      </w:r>
    </w:p>
    <w:p>
      <w:pPr>
        <w:pStyle w:val="Normal"/>
      </w:pPr>
      <w:r>
        <w:rPr>
          <w:color w:val="323232"/>
        </w:rPr>
        <w:t xml:space="preserve">————————</w:t>
      </w:r>
    </w:p>
    <w:p>
      <w:pPr>
        <w:pStyle w:val="Heading4"/>
      </w:pPr>
      <w:r>
        <w:t xml:space="preserve">Clinical and laboratory findings and survival time associated with cardiac cachexia in dogs with congestive heart failure.</w:t>
      </w:r>
    </w:p>
    <w:p/>
    <w:p>
      <w:pPr>
        <w:pStyle w:val="Normal"/>
      </w:pPr>
      <w:r>
        <w:rPr>
          <w:color w:val="323232"/>
        </w:rPr>
        <w:t xml:space="preserve">Deanna L Ineson, Lisa M Freeman, and John E Rush.</w:t>
      </w:r>
    </w:p>
    <w:p/>
    <w:p>
      <w:pPr>
        <w:pStyle w:val="Normal"/>
      </w:pPr>
      <w:r>
        <w:rPr>
          <w:color w:val="323232"/>
        </w:rPr>
        <w:t xml:space="preserve">BACKGROUND:Cardiac cachexia, loss of muscle mass associated with congestive heart failure (CHF), is associated with increased morbidity and shorter survival times in people, but an association between cardiac cachexia and survival has not been reported in dogs.</w:t>
      </w:r>
    </w:p>
    <w:p/>
    <w:p>
      <w:pPr>
        <w:pStyle w:val="Normal"/>
      </w:pPr>
      <w:r>
        <w:rPr>
          <w:color w:val="323232"/>
        </w:rPr>
        <w:t xml:space="preserve">OBJECTIVES:To determine the prevalence of cachexia and its associations with clinical, laboratory, and survival data in dogs with CHF.</w:t>
      </w:r>
    </w:p>
    <w:p/>
    <w:p>
      <w:pPr>
        <w:pStyle w:val="Normal"/>
      </w:pPr>
      <w:r>
        <w:rPr>
          <w:color w:val="323232"/>
        </w:rPr>
        <w:t xml:space="preserve">ANIMALS:Two hundred sixty-nine dogs with CHF.</w:t>
      </w:r>
    </w:p>
    <w:p/>
    <w:p>
      <w:pPr>
        <w:pStyle w:val="Normal"/>
      </w:pPr>
      <w:r>
        <w:rPr>
          <w:color w:val="323232"/>
        </w:rPr>
        <w:t xml:space="preserve">METHODS:Retrospective cohort study. Cachexia was defined by 1 of 2 definitions: (1) mild, moderate, or severe muscle loss or (2) weight loss of ≥5% in 12</w:t>
      </w:r>
      <w:r>
        <w:rPr>
          <w:color w:val="323232"/>
        </w:rPr>
        <w:t xml:space="preserve"> </w:t>
      </w:r>
      <w:r>
        <w:rPr>
          <w:color w:val="323232"/>
        </w:rPr>
        <w:t xml:space="preserve">months or less. Variables were compared between dogs with and without cachexia.</w:t>
      </w:r>
    </w:p>
    <w:p/>
    <w:p>
      <w:pPr>
        <w:pStyle w:val="Normal"/>
      </w:pPr>
      <w:r>
        <w:rPr>
          <w:color w:val="323232"/>
        </w:rPr>
        <w:t xml:space="preserve">RESULTS:One hundred thirty of 269 dogs (48.3%) had cardiac cachexia based on muscle loss, whereas 67 of 159 dogs (42.1%) with pre-evaluation body weights had cachexia based on weight loss. Dogs with cachexia (based on muscle loss) were significantly older (P = .05), more likely to have a cardiac arrhythmia (P = .02), had higher chloride concentrations (P = .04), and had a lower body condition score (P</w:t>
      </w:r>
      <w:r>
        <w:rPr>
          <w:color w:val="323232"/>
        </w:rPr>
        <w:t xml:space="preserve"> </w:t>
      </w:r>
      <w:r>
        <w:rPr>
          <w:color w:val="323232"/>
        </w:rPr>
        <w:t xml:space="preserve">&lt;</w:t>
      </w:r>
      <w:r>
        <w:rPr>
          <w:color w:val="323232"/>
        </w:rPr>
        <w:t xml:space="preserve"> </w:t>
      </w:r>
      <w:r>
        <w:rPr>
          <w:color w:val="323232"/>
        </w:rPr>
        <w:t xml:space="preserve">.001), hematocrit (P = .006), hemoglobin (P = .006), and albumin (P = .004) concentrations. On multivariable analysis, cachexia (P = .05), clinically important tachyarrhythmias (P</w:t>
      </w:r>
      <w:r>
        <w:rPr>
          <w:color w:val="323232"/>
        </w:rPr>
        <w:t xml:space="preserve"> </w:t>
      </w:r>
      <w:r>
        <w:rPr>
          <w:color w:val="323232"/>
        </w:rPr>
        <w:t xml:space="preserve">&lt;</w:t>
      </w:r>
      <w:r>
        <w:rPr>
          <w:color w:val="323232"/>
        </w:rPr>
        <w:t xml:space="preserve"> </w:t>
      </w:r>
      <w:r>
        <w:rPr>
          <w:color w:val="323232"/>
        </w:rPr>
        <w:t xml:space="preserve">.001), azotemia (P</w:t>
      </w:r>
      <w:r>
        <w:rPr>
          <w:color w:val="323232"/>
        </w:rPr>
        <w:t xml:space="preserve"> </w:t>
      </w:r>
      <w:r>
        <w:rPr>
          <w:color w:val="323232"/>
        </w:rPr>
        <w:t xml:space="preserve">&lt;</w:t>
      </w:r>
      <w:r>
        <w:rPr>
          <w:color w:val="323232"/>
        </w:rPr>
        <w:t xml:space="preserve"> </w:t>
      </w:r>
      <w:r>
        <w:rPr>
          <w:color w:val="323232"/>
        </w:rPr>
        <w:t xml:space="preserve">.001), and being under- or overweight (both P = .003) were associated with shorter survival times.</w:t>
      </w:r>
    </w:p>
    <w:p/>
    <w:p>
      <w:pPr>
        <w:pStyle w:val="Normal"/>
      </w:pPr>
      <w:r>
        <w:rPr>
          <w:color w:val="323232"/>
        </w:rPr>
        <w:t xml:space="preserve">CONCLUSIONS AND CLINICAL IMPORTANCE:Cardiac cachexia in common in dogs with CHF and is associated with significantly shorter survival. This emphasizes the importance of preventing, diagnosing, and treating muscle loss in dogs with CHF.</w:t>
      </w:r>
    </w:p>
    <w:p/>
    <w:p>
      <w:pPr>
        <w:pStyle w:val="Normal"/>
      </w:pPr>
      <w:r>
        <w:rPr>
          <w:color w:val="323232"/>
        </w:rPr>
        <w:t xml:space="preserve">J Vet Intern Med, 2019 vol. 33 (5) pp. 1902-1908.</w:t>
      </w:r>
    </w:p>
    <w:p>
      <w:r>
        <w:rPr>
          <w:rStyle w:val="Hyperlink"/>
        </w:rPr>
        <w:fldChar w:fldCharType="begin"/>
      </w:r>
      <w:r>
        <w:rPr>
          <w:rStyle w:val="Hyperlink"/>
        </w:rPr>
        <w:instrText xml:space="preserve"> HYPERLINK "http://dx.doi.org/10.1111/jvim.15566" </w:instrText>
      </w:r>
      <w:r>
        <w:rPr>
          <w:rStyle w:val="Hyperlink"/>
        </w:rPr>
      </w:r>
      <w:r>
        <w:rPr>
          <w:rStyle w:val="Hyperlink"/>
        </w:rPr>
        <w:fldChar w:fldCharType="separate"/>
      </w:r>
      <w:pPr>
        <w:pStyle w:val="Normal"/>
      </w:pPr>
      <w:r>
        <w:rPr>
          <w:rStyle w:val="Hyperlink"/>
        </w:rPr>
        <w:t xml:space="preserve">http://dx.doi.org/10.1111/jvim.15566</w:t>
      </w:r>
      <w:r>
        <w:rPr>
          <w:rStyle w:val="Hyperlink"/>
        </w:rPr>
        <w:fldChar w:fldCharType="end"/>
      </w:r>
    </w:p>
    <w:p>
      <w:pPr>
        <w:pStyle w:val="Normal"/>
      </w:pPr>
      <w:r>
        <w:rPr>
          <w:color w:val="323232"/>
        </w:rPr>
        <w:t xml:space="preserve">————————</w:t>
      </w:r>
    </w:p>
    <w:p>
      <w:pPr>
        <w:pStyle w:val="Heading4"/>
      </w:pPr>
      <w:r>
        <w:t xml:space="preserve">Echocardiographic quantitation of left heart size and function in 122 healthy dogs: A prospective study proposing reference intervals and assessing repeatability.</w:t>
      </w:r>
    </w:p>
    <w:p/>
    <w:p>
      <w:pPr>
        <w:pStyle w:val="Normal"/>
      </w:pPr>
      <w:r>
        <w:rPr>
          <w:color w:val="323232"/>
        </w:rPr>
        <w:t xml:space="preserve">Lance C Visser, Marisa M Ciccozzi, Daniel J Sintov, and Ashley N Sharpe.</w:t>
      </w:r>
    </w:p>
    <w:p/>
    <w:p>
      <w:pPr>
        <w:pStyle w:val="Normal"/>
      </w:pPr>
      <w:r>
        <w:rPr>
          <w:color w:val="323232"/>
        </w:rPr>
        <w:t xml:space="preserve">BACKGROUND:Broadly applicable reference intervals (RIs) for measurements of left atrial (LA) and left ventricular (LV) size and function generated prospectively using statistically appropriate methods are limited.</w:t>
      </w:r>
    </w:p>
    <w:p/>
    <w:p>
      <w:pPr>
        <w:pStyle w:val="Normal"/>
      </w:pPr>
      <w:r>
        <w:rPr>
          <w:color w:val="323232"/>
        </w:rPr>
        <w:t xml:space="preserve">OBJECTIVES:To generate body size-independent RIs for linear, area, and volume measurements of LA size and LV size and function.</w:t>
      </w:r>
    </w:p>
    <w:p/>
    <w:p>
      <w:pPr>
        <w:pStyle w:val="Normal"/>
      </w:pPr>
      <w:r>
        <w:rPr>
          <w:color w:val="323232"/>
        </w:rPr>
        <w:t xml:space="preserve">ANIMALS:Healthy adult dogs (n = 122) of variable size and somatotype.</w:t>
      </w:r>
    </w:p>
    <w:p/>
    <w:p>
      <w:pPr>
        <w:pStyle w:val="Normal"/>
      </w:pPr>
      <w:r>
        <w:rPr>
          <w:color w:val="323232"/>
        </w:rPr>
        <w:t xml:space="preserve">METHODS:Prospective study. All dogs underwent an echocardiogram performed by the same examiner. Effects of body weight, sex, age, and heart rate were evaluated by regression and correlation analyses. Scaling exponents and prediction intervals were generated for linear measurements using the allometric equation. After normalization to body weight, 95% RIs were determined using nonparametric methods with 2.5 and 97.5 percentiles serving as the lower and upper limits (each with 90% confidence intervals), respectively.</w:t>
      </w:r>
    </w:p>
    <w:p/>
    <w:p>
      <w:pPr>
        <w:pStyle w:val="Normal"/>
      </w:pPr>
      <w:r>
        <w:rPr>
          <w:color w:val="323232"/>
        </w:rPr>
        <w:t xml:space="preserve">RESULTS:Linear LA and LV measurements were strongly correlated (R2 </w:t>
      </w:r>
      <w:r>
        <w:rPr>
          <w:color w:val="323232"/>
        </w:rPr>
        <w:t xml:space="preserve"> </w:t>
      </w:r>
      <w:r>
        <w:rPr>
          <w:color w:val="323232"/>
        </w:rPr>
        <w:t xml:space="preserve">≥</w:t>
      </w:r>
      <w:r>
        <w:rPr>
          <w:color w:val="323232"/>
        </w:rPr>
        <w:t xml:space="preserve"> </w:t>
      </w:r>
      <w:r>
        <w:rPr>
          <w:color w:val="323232"/>
        </w:rPr>
        <w:t xml:space="preserve">0.79) with body weight. Scaling exponents were close to the expected 1/3 (0.299-0.392). Prediction intervals for linear measurements of LV chamber size were considerably narrower than previously reported. Weak correlations (r = -0.42 to -0.50) among LV fractional shortening, fractional area change, and ejection fraction and body weight were identified. No other meaningful relationships were identified between the measurements and sex, age, and heart rate.</w:t>
      </w:r>
    </w:p>
    <w:p/>
    <w:p>
      <w:pPr>
        <w:pStyle w:val="Normal"/>
      </w:pPr>
      <w:r>
        <w:rPr>
          <w:color w:val="323232"/>
        </w:rPr>
        <w:t xml:space="preserve">CONCLUSIONS AND CLINICAL IMPORTANCE:Body size-independent RIs for several linear, area, and volume measurements of LA and LV size and function were generated prospectively from a large and diverse reference population and are available for clinical use.</w:t>
      </w:r>
    </w:p>
    <w:p/>
    <w:p>
      <w:pPr>
        <w:pStyle w:val="Normal"/>
      </w:pPr>
      <w:r>
        <w:rPr>
          <w:color w:val="323232"/>
        </w:rPr>
        <w:t xml:space="preserve">J Vet Intern Med, 2019 vol. 33 (5) pp. 1909-1920.</w:t>
      </w:r>
    </w:p>
    <w:p>
      <w:r>
        <w:rPr>
          <w:rStyle w:val="Hyperlink"/>
        </w:rPr>
        <w:fldChar w:fldCharType="begin"/>
      </w:r>
      <w:r>
        <w:rPr>
          <w:rStyle w:val="Hyperlink"/>
        </w:rPr>
        <w:instrText xml:space="preserve"> HYPERLINK "http://dx.doi.org/10.1111/jvim.15562" </w:instrText>
      </w:r>
      <w:r>
        <w:rPr>
          <w:rStyle w:val="Hyperlink"/>
        </w:rPr>
      </w:r>
      <w:r>
        <w:rPr>
          <w:rStyle w:val="Hyperlink"/>
        </w:rPr>
        <w:fldChar w:fldCharType="separate"/>
      </w:r>
      <w:pPr>
        <w:pStyle w:val="Normal"/>
      </w:pPr>
      <w:r>
        <w:rPr>
          <w:rStyle w:val="Hyperlink"/>
        </w:rPr>
        <w:t xml:space="preserve">http://dx.doi.org/10.1111/jvim.15562</w:t>
      </w:r>
      <w:r>
        <w:rPr>
          <w:rStyle w:val="Hyperlink"/>
        </w:rPr>
        <w:fldChar w:fldCharType="end"/>
      </w:r>
    </w:p>
    <w:p>
      <w:pPr>
        <w:pStyle w:val="Normal"/>
      </w:pPr>
      <w:r>
        <w:rPr>
          <w:color w:val="323232"/>
        </w:rPr>
        <w:t xml:space="preserve">————————</w:t>
      </w:r>
    </w:p>
    <w:p>
      <w:pPr>
        <w:pStyle w:val="Heading4"/>
      </w:pPr>
      <w:r>
        <w:t xml:space="preserve">Assessment of the association between diabetes mellitus and chronic kidney disease in adult cats.</w:t>
      </w:r>
    </w:p>
    <w:p/>
    <w:p>
      <w:pPr>
        <w:pStyle w:val="Normal"/>
      </w:pPr>
      <w:r>
        <w:rPr>
          <w:color w:val="323232"/>
        </w:rPr>
        <w:t xml:space="preserve">Laura Pérez-López, Mauro Boronat, Carlos Melián, Pedro Saavedra, Yeray Brito-Casillas, and Ana M Wägner.</w:t>
      </w:r>
    </w:p>
    <w:p/>
    <w:p>
      <w:pPr>
        <w:pStyle w:val="Normal"/>
      </w:pPr>
      <w:r>
        <w:rPr>
          <w:color w:val="323232"/>
        </w:rPr>
        <w:t xml:space="preserve">BACKGROUND:Diabetes mellitus is the main cause of chronic kidney disease (CKD) in humans. The relationship between the 2 diseases in cats is unclear.</w:t>
      </w:r>
    </w:p>
    <w:p/>
    <w:p>
      <w:pPr>
        <w:pStyle w:val="Normal"/>
      </w:pPr>
      <w:r>
        <w:rPr>
          <w:color w:val="323232"/>
        </w:rPr>
        <w:t xml:space="preserve">OBJECTIVE:To assess the association between diabetes and CKD in a population of adult cats.</w:t>
      </w:r>
    </w:p>
    <w:p/>
    <w:p>
      <w:pPr>
        <w:pStyle w:val="Normal"/>
      </w:pPr>
      <w:r>
        <w:rPr>
          <w:color w:val="323232"/>
        </w:rPr>
        <w:t xml:space="preserve">ANIMALS:Five hundred sixty-one cats that attended 2 veterinary centers in Gran Canaria, Spain, between 2014 and 2016.</w:t>
      </w:r>
    </w:p>
    <w:p/>
    <w:p>
      <w:pPr>
        <w:pStyle w:val="Normal"/>
      </w:pPr>
      <w:r>
        <w:rPr>
          <w:color w:val="323232"/>
        </w:rPr>
        <w:t xml:space="preserve">METHODS:Medical records were retrospectively reviewed. Cats aged 3</w:t>
      </w:r>
      <w:r>
        <w:rPr>
          <w:color w:val="323232"/>
        </w:rPr>
        <w:t xml:space="preserve"> </w:t>
      </w:r>
      <w:r>
        <w:rPr>
          <w:color w:val="323232"/>
        </w:rPr>
        <w:t xml:space="preserve">years or older, with sufficient data to define whether or not they had diabetes and CKD, were selected. Cats in critical condition, with dehydration or potential causes of prerenal azotemia and those treated with nephrotoxic drugs were excluded. Diagnosis of CKD was established when creatinine concentrations were &gt;2</w:t>
      </w:r>
      <w:r>
        <w:rPr>
          <w:color w:val="323232"/>
        </w:rPr>
        <w:t xml:space="preserve"> </w:t>
      </w:r>
      <w:r>
        <w:rPr>
          <w:color w:val="323232"/>
        </w:rPr>
        <w:t xml:space="preserve">mg</w:t>
      </w:r>
      <w:r>
        <w:rPr>
          <w:i w:val="1"/>
          <w:color w:val="323232"/>
        </w:rPr>
        <w:t xml:space="preserve">dL, or serum creatinine 1.6-2</w:t>
      </w:r>
      <w:r>
        <w:rPr>
          <w:color w:val="323232"/>
        </w:rPr>
        <w:t xml:space="preserve"> </w:t>
      </w:r>
      <w:r>
        <w:rPr>
          <w:i w:val="1"/>
          <w:color w:val="323232"/>
        </w:rPr>
        <w:t xml:space="preserve">mg</w:t>
      </w:r>
      <w:r>
        <w:rPr>
          <w:color w:val="323232"/>
        </w:rPr>
        <w:t xml:space="preserve">dL and urine specific gravity &lt;1.035, or serum creatinine 1.6-2</w:t>
      </w:r>
      <w:r>
        <w:rPr>
          <w:color w:val="323232"/>
        </w:rPr>
        <w:t xml:space="preserve"> </w:t>
      </w:r>
      <w:r>
        <w:rPr>
          <w:color w:val="323232"/>
        </w:rPr>
        <w:t xml:space="preserve">mg</w:t>
      </w:r>
      <w:r>
        <w:rPr>
          <w:i w:val="1"/>
          <w:color w:val="323232"/>
        </w:rPr>
        <w:t xml:space="preserve">dL and urine protein</w:t>
      </w:r>
      <w:r>
        <w:rPr>
          <w:color w:val="323232"/>
        </w:rPr>
        <w:t xml:space="preserve">creatinine ratio &gt;0.4. Factors associated with CKD were identified through multivariate logistic regression analyses.</w:t>
      </w:r>
    </w:p>
    <w:p/>
    <w:p>
      <w:pPr>
        <w:pStyle w:val="Normal"/>
      </w:pPr>
      <w:r>
        <w:rPr>
          <w:color w:val="323232"/>
        </w:rPr>
        <w:t xml:space="preserve">RESULTS:Sixty-seven (11.9%) cats had CKD and 16 (2.9%) cats had diabetes. Sixty cats without diabetes (11%) and 7 with diabetes (44%) had CKD. Among the latter, both conditions were diagnosed simultaneously in 6 cases, whereas diabetes preceded CKD in the other. Multivariate analysis showed that diabetes was significantly associated with CKD (odds ratio = 4.47; 95% confidence interval, 1.51-13.28; P = .007). Other variables associated with CKD were age and mixed breed.</w:t>
      </w:r>
    </w:p>
    <w:p/>
    <w:p>
      <w:pPr>
        <w:pStyle w:val="Normal"/>
      </w:pPr>
      <w:r>
        <w:rPr>
          <w:color w:val="323232"/>
        </w:rPr>
        <w:t xml:space="preserve">CONCLUSIONS AND CLINICAL IMPORTANCE:After adjusting for age, this study showed an association between diabetes and CKD in adult cats.</w:t>
      </w:r>
    </w:p>
    <w:p/>
    <w:p>
      <w:pPr>
        <w:pStyle w:val="Normal"/>
      </w:pPr>
      <w:r>
        <w:rPr>
          <w:color w:val="323232"/>
        </w:rPr>
        <w:t xml:space="preserve">J Vet Intern Med, 2019 vol. 33 (5) pp. 1921-1925.</w:t>
      </w:r>
    </w:p>
    <w:p>
      <w:r>
        <w:rPr>
          <w:rStyle w:val="Hyperlink"/>
        </w:rPr>
        <w:fldChar w:fldCharType="begin"/>
      </w:r>
      <w:r>
        <w:rPr>
          <w:rStyle w:val="Hyperlink"/>
        </w:rPr>
        <w:instrText xml:space="preserve"> HYPERLINK "http://dx.doi.org/10.1111/jvim.15559" </w:instrText>
      </w:r>
      <w:r>
        <w:rPr>
          <w:rStyle w:val="Hyperlink"/>
        </w:rPr>
      </w:r>
      <w:r>
        <w:rPr>
          <w:rStyle w:val="Hyperlink"/>
        </w:rPr>
        <w:fldChar w:fldCharType="separate"/>
      </w:r>
      <w:pPr>
        <w:pStyle w:val="Normal"/>
      </w:pPr>
      <w:r>
        <w:rPr>
          <w:rStyle w:val="Hyperlink"/>
        </w:rPr>
        <w:t xml:space="preserve">http://dx.doi.org/10.1111/jvim.15559</w:t>
      </w:r>
      <w:r>
        <w:rPr>
          <w:rStyle w:val="Hyperlink"/>
        </w:rPr>
        <w:fldChar w:fldCharType="end"/>
      </w:r>
    </w:p>
    <w:p>
      <w:pPr>
        <w:pStyle w:val="Normal"/>
      </w:pPr>
      <w:r>
        <w:rPr>
          <w:color w:val="323232"/>
        </w:rPr>
        <w:t xml:space="preserve">————————</w:t>
      </w:r>
    </w:p>
    <w:p>
      <w:pPr>
        <w:pStyle w:val="Heading4"/>
      </w:pPr>
      <w:r>
        <w:t xml:space="preserve">Electrocardiographic and echocardiographic evaluation in dogs with hypothyroidism before and after levothyroxine supplementation: A prospective controlled study.</w:t>
      </w:r>
    </w:p>
    <w:p/>
    <w:p>
      <w:pPr>
        <w:pStyle w:val="Normal"/>
      </w:pPr>
      <w:r>
        <w:rPr>
          <w:color w:val="323232"/>
        </w:rPr>
        <w:t xml:space="preserve">Carlo Guglielmini, Michele Berlanda, Federico Fracassi, Helen Poser, Shani Koren, and Marco Baron Toaldo.</w:t>
      </w:r>
    </w:p>
    <w:p/>
    <w:p>
      <w:pPr>
        <w:pStyle w:val="Normal"/>
      </w:pPr>
      <w:r>
        <w:rPr>
          <w:color w:val="323232"/>
        </w:rPr>
        <w:t xml:space="preserve">BACKGROUND:Improvement in cardiac function has been demonstrated after thyroxine treatment in humans with hypothyroidism using the myocardial performance index (MPI). Cardiac changes after thyroxine supplementation are poorly documented in dogs with spontaneous hypothyroidism and comparison with clinically healthy dogs is lacking.</w:t>
      </w:r>
    </w:p>
    <w:p/>
    <w:p>
      <w:pPr>
        <w:pStyle w:val="Normal"/>
      </w:pPr>
      <w:r>
        <w:rPr>
          <w:color w:val="323232"/>
        </w:rPr>
        <w:t xml:space="preserve">OBJECTIVES:To evaluate the electrical activity and mechanical function of the heart in dogs with primary hypothyroidism at baseline (T0) and after thyroxine supplementation (T60).</w:t>
      </w:r>
    </w:p>
    <w:p/>
    <w:p>
      <w:pPr>
        <w:pStyle w:val="Normal"/>
      </w:pPr>
      <w:r>
        <w:rPr>
          <w:color w:val="323232"/>
        </w:rPr>
        <w:t xml:space="preserve">ANIMALS:Forty client-owned dogs with hypothyroidism and 20 clinically healthy dogs.</w:t>
      </w:r>
    </w:p>
    <w:p/>
    <w:p>
      <w:pPr>
        <w:pStyle w:val="Normal"/>
      </w:pPr>
      <w:r>
        <w:rPr>
          <w:color w:val="323232"/>
        </w:rPr>
        <w:t xml:space="preserve">METHODS:Prospective cohort study. Selected electrocardiographic and echocardiographic variables, including the MPI, were measured in all dogs at T0 and in 30 hypothyroid dogs at T60.</w:t>
      </w:r>
    </w:p>
    <w:p/>
    <w:p>
      <w:pPr>
        <w:pStyle w:val="Normal"/>
      </w:pPr>
      <w:r>
        <w:rPr>
          <w:color w:val="323232"/>
        </w:rPr>
        <w:t xml:space="preserve">RESULTS:Hypothyroid dogs had significantly decreased median or mean heart rate (HR), P wave amplitude, and R wave amplitude (P = .04, P = .002, and P = .003, respectively) and E-point-to-septal separation normalized to body weight (EPSSn) and trans-mitral E wave velocity (E max; P</w:t>
      </w:r>
      <w:r>
        <w:rPr>
          <w:color w:val="323232"/>
        </w:rPr>
        <w:t xml:space="preserve"> </w:t>
      </w:r>
      <w:r>
        <w:rPr>
          <w:color w:val="323232"/>
        </w:rPr>
        <w:t xml:space="preserve">&lt;</w:t>
      </w:r>
      <w:r>
        <w:rPr>
          <w:color w:val="323232"/>
        </w:rPr>
        <w:t xml:space="preserve"> </w:t>
      </w:r>
      <w:r>
        <w:rPr>
          <w:color w:val="323232"/>
        </w:rPr>
        <w:t xml:space="preserve">.001 and P = .025, respectively) at T0 compared to control dogs. At T60, significantly increased median or mean HR, P wave amplitude, fractional shortening, and E max (P</w:t>
      </w:r>
      <w:r>
        <w:rPr>
          <w:color w:val="323232"/>
        </w:rPr>
        <w:t xml:space="preserve"> </w:t>
      </w:r>
      <w:r>
        <w:rPr>
          <w:color w:val="323232"/>
        </w:rPr>
        <w:t xml:space="preserve">&lt;</w:t>
      </w:r>
      <w:r>
        <w:rPr>
          <w:color w:val="323232"/>
        </w:rPr>
        <w:t xml:space="preserve"> </w:t>
      </w:r>
      <w:r>
        <w:rPr>
          <w:color w:val="323232"/>
        </w:rPr>
        <w:t xml:space="preserve">.001, P = .004, P = .002, and P = .009, respectively) and significantly decreased left ventricular end-diastolic volume index, and normalized systolic diameter and EPSSn (P = .03, P = .03, and P = .001, respectively) were found.</w:t>
      </w:r>
    </w:p>
    <w:p/>
    <w:p>
      <w:pPr>
        <w:pStyle w:val="Normal"/>
      </w:pPr>
      <w:r>
        <w:rPr>
          <w:color w:val="323232"/>
        </w:rPr>
        <w:t xml:space="preserve">CONCLUSIONS AND CLINICAL IMPORTANCE:Hypothyroidism in dogs induces mild and reversible changes of electromechanical cardiac function. The MPI does not have clinical importance in identifying cardiac dysfunction in affected dogs.</w:t>
      </w:r>
    </w:p>
    <w:p/>
    <w:p>
      <w:pPr>
        <w:pStyle w:val="Normal"/>
      </w:pPr>
      <w:r>
        <w:rPr>
          <w:color w:val="323232"/>
        </w:rPr>
        <w:t xml:space="preserve">J Vet Intern Med, 2019 vol. 33 (5) pp. 1935-1942.</w:t>
      </w:r>
    </w:p>
    <w:p>
      <w:r>
        <w:rPr>
          <w:rStyle w:val="Hyperlink"/>
        </w:rPr>
        <w:fldChar w:fldCharType="begin"/>
      </w:r>
      <w:r>
        <w:rPr>
          <w:rStyle w:val="Hyperlink"/>
        </w:rPr>
        <w:instrText xml:space="preserve"> HYPERLINK "http://dx.doi.org/10.1111/jvim.15600" </w:instrText>
      </w:r>
      <w:r>
        <w:rPr>
          <w:rStyle w:val="Hyperlink"/>
        </w:rPr>
      </w:r>
      <w:r>
        <w:rPr>
          <w:rStyle w:val="Hyperlink"/>
        </w:rPr>
        <w:fldChar w:fldCharType="separate"/>
      </w:r>
      <w:pPr>
        <w:pStyle w:val="Normal"/>
      </w:pPr>
      <w:r>
        <w:rPr>
          <w:rStyle w:val="Hyperlink"/>
        </w:rPr>
        <w:t xml:space="preserve">http://dx.doi.org/10.1111/jvim.15600</w:t>
      </w:r>
      <w:r>
        <w:rPr>
          <w:rStyle w:val="Hyperlink"/>
        </w:rPr>
        <w:fldChar w:fldCharType="end"/>
      </w:r>
    </w:p>
    <w:p>
      <w:pPr>
        <w:pStyle w:val="Normal"/>
      </w:pPr>
      <w:r>
        <w:rPr>
          <w:color w:val="323232"/>
        </w:rPr>
        <w:t xml:space="preserve">————————</w:t>
      </w:r>
    </w:p>
    <w:p>
      <w:pPr>
        <w:pStyle w:val="Heading4"/>
      </w:pPr>
      <w:r>
        <w:t xml:space="preserve">Development and validation of a multivariate predictive model to estimate serum ionized calcium concentration from serum biochemical profile results in cats.</w:t>
      </w:r>
    </w:p>
    <w:p/>
    <w:p>
      <w:pPr>
        <w:pStyle w:val="Normal"/>
      </w:pPr>
      <w:r>
        <w:rPr>
          <w:color w:val="323232"/>
        </w:rPr>
        <w:t xml:space="preserve">Natasha Hodgson, Maureen A McMichael, Rosanne E Jepson, and Kevin Le Boedec.</w:t>
      </w:r>
    </w:p>
    <w:p/>
    <w:p>
      <w:pPr>
        <w:pStyle w:val="Normal"/>
      </w:pPr>
      <w:r>
        <w:rPr>
          <w:color w:val="323232"/>
        </w:rPr>
        <w:t xml:space="preserve">BACKGROUND:Measurement of serum ionized calcium is not always available in practice. Total calcium (tCa) might not be reliable for determination of calcium status in cats.</w:t>
      </w:r>
    </w:p>
    <w:p/>
    <w:p>
      <w:pPr>
        <w:pStyle w:val="Normal"/>
      </w:pPr>
      <w:r>
        <w:rPr>
          <w:color w:val="323232"/>
        </w:rPr>
        <w:t xml:space="preserve">OBJECTIVES:To predict serum ionized calcium concentration from signalment, biochemistry profile and T4, and compare predicted ionized calcium (piCa) to tCa.</w:t>
      </w:r>
    </w:p>
    <w:p/>
    <w:p>
      <w:pPr>
        <w:pStyle w:val="Normal"/>
      </w:pPr>
      <w:r>
        <w:rPr>
          <w:color w:val="323232"/>
        </w:rPr>
        <w:t xml:space="preserve">ANIMALS:A total of 1701 cats from two hospitals.</w:t>
      </w:r>
    </w:p>
    <w:p/>
    <w:p>
      <w:pPr>
        <w:pStyle w:val="Normal"/>
      </w:pPr>
      <w:r>
        <w:rPr>
          <w:color w:val="323232"/>
        </w:rPr>
        <w:t xml:space="preserve">METHODS:Cross-sectional study. Cats with serum ionized calcium, biochemistry profile and T4 available were screened over 6</w:t>
      </w:r>
      <w:r>
        <w:rPr>
          <w:color w:val="323232"/>
        </w:rPr>
        <w:t xml:space="preserve"> </w:t>
      </w:r>
      <w:r>
        <w:rPr>
          <w:color w:val="323232"/>
        </w:rPr>
        <w:t xml:space="preserve">years and included in the training set (569 cats) to create a multivariate adaptive regression splines model to calculate piCa. Diagnostic performances of tCa and piCa and its prediction interval (PI) were compared in 652 cats from the same institution (test set) and 480 cats from a different hospital (external set).</w:t>
      </w:r>
    </w:p>
    <w:p/>
    <w:p>
      <w:pPr>
        <w:pStyle w:val="Normal"/>
      </w:pPr>
      <w:r>
        <w:rPr>
          <w:color w:val="323232"/>
        </w:rPr>
        <w:t xml:space="preserve">RESULTS:The final model included tCa, chloride, albumin, cholesterol, creatinine, BUN, body condition score, GGT, age, and potassium. For hypercalcemia, piCa was highly specific (test set: 99.8%; confidence interval [CI]: 99.5-100; external set: 97%; CI: 95.3-98.7) but poorly sensitive (test set: 30.4%; CI: 18.3-42.4; external set: 42.5%; CI: 31.7-53.3). For hypocalcemia, piCa was also highly specific (test set: 81.6%; CI: 78-85; external set: 99.6%; CI: 99-100) but poorly sensitive (test set: 57.6%; CI: 50.6-64.6; external set: 0%). These diagnostic performances were comparable to those of tCa. The upper and lower limits of piCa PI had high sensitivity for detecting ionized hypercalcemia and hypocalcemia, respectively.</w:t>
      </w:r>
    </w:p>
    <w:p/>
    <w:p>
      <w:pPr>
        <w:pStyle w:val="Normal"/>
      </w:pPr>
      <w:r>
        <w:rPr>
          <w:color w:val="323232"/>
        </w:rPr>
        <w:t xml:space="preserve">CONCLUSIONS AND CLINICAL IMPORTANCE:Predicted ionized calcium is useful to confirm suspected hypercalcemia in cats and screen for hypercalcemia and hypocalcemia.</w:t>
      </w:r>
    </w:p>
    <w:p/>
    <w:p>
      <w:pPr>
        <w:pStyle w:val="Normal"/>
      </w:pPr>
      <w:r>
        <w:rPr>
          <w:color w:val="323232"/>
        </w:rPr>
        <w:t xml:space="preserve">J Vet Intern Med, 2019 vol. 33 (5) pp. 1943-1953.</w:t>
      </w:r>
    </w:p>
    <w:p>
      <w:r>
        <w:rPr>
          <w:rStyle w:val="Hyperlink"/>
        </w:rPr>
        <w:fldChar w:fldCharType="begin"/>
      </w:r>
      <w:r>
        <w:rPr>
          <w:rStyle w:val="Hyperlink"/>
        </w:rPr>
        <w:instrText xml:space="preserve"> HYPERLINK "http://dx.doi.org/10.1111/jvim.15622" </w:instrText>
      </w:r>
      <w:r>
        <w:rPr>
          <w:rStyle w:val="Hyperlink"/>
        </w:rPr>
      </w:r>
      <w:r>
        <w:rPr>
          <w:rStyle w:val="Hyperlink"/>
        </w:rPr>
        <w:fldChar w:fldCharType="separate"/>
      </w:r>
      <w:pPr>
        <w:pStyle w:val="Normal"/>
      </w:pPr>
      <w:r>
        <w:rPr>
          <w:rStyle w:val="Hyperlink"/>
        </w:rPr>
        <w:t xml:space="preserve">http://dx.doi.org/10.1111/jvim.15622</w:t>
      </w:r>
      <w:r>
        <w:rPr>
          <w:rStyle w:val="Hyperlink"/>
        </w:rPr>
        <w:fldChar w:fldCharType="end"/>
      </w:r>
    </w:p>
    <w:p>
      <w:pPr>
        <w:pStyle w:val="Normal"/>
      </w:pPr>
      <w:r>
        <w:rPr>
          <w:color w:val="323232"/>
        </w:rPr>
        <w:t xml:space="preserve">————————</w:t>
      </w:r>
    </w:p>
    <w:p>
      <w:pPr>
        <w:pStyle w:val="Heading4"/>
      </w:pPr>
      <w:r>
        <w:t xml:space="preserve">Use of video capsule endoscopy to identify gastrointestinal lesions in dogs with microcytosis or gastrointestinal hemorrhage.</w:t>
      </w:r>
    </w:p>
    <w:p/>
    <w:p>
      <w:pPr>
        <w:pStyle w:val="Normal"/>
      </w:pPr>
      <w:r>
        <w:rPr>
          <w:color w:val="323232"/>
        </w:rPr>
        <w:t xml:space="preserve">Kasey Mabry, Tracy Hill, Stanley L Marks, and Brian T Hardy.</w:t>
      </w:r>
    </w:p>
    <w:p/>
    <w:p>
      <w:pPr>
        <w:pStyle w:val="Normal"/>
      </w:pPr>
      <w:r>
        <w:rPr>
          <w:color w:val="323232"/>
        </w:rPr>
        <w:t xml:space="preserve">BACKGROUND:Video capsule endoscopy (VCE) is a noninvasive imaging modality that can identify mucosal lesions not detected with traditional endoscopy or abdominal sonography. In people, VCE is used in diagnostic and management protocols of various gastrointestinal (GI) disorders, particularly in GI bleeding of obscure origin or unexplained iron deficiency anemia (IDA).</w:t>
      </w:r>
    </w:p>
    <w:p/>
    <w:p>
      <w:pPr>
        <w:pStyle w:val="Normal"/>
      </w:pPr>
      <w:r>
        <w:rPr>
          <w:color w:val="323232"/>
        </w:rPr>
        <w:t xml:space="preserve">OBJECTIVE:To evaluate the utility of VCE in the identification of mucosal lesions in dogs with evidence of GI hemorrhage.</w:t>
      </w:r>
    </w:p>
    <w:p/>
    <w:p>
      <w:pPr>
        <w:pStyle w:val="Normal"/>
      </w:pPr>
      <w:r>
        <w:rPr>
          <w:color w:val="323232"/>
        </w:rPr>
        <w:t xml:space="preserve">ANIMALS:Sixteen client-owned dogs that underwent VCE.</w:t>
      </w:r>
    </w:p>
    <w:p/>
    <w:p>
      <w:pPr>
        <w:pStyle w:val="Normal"/>
      </w:pPr>
      <w:r>
        <w:rPr>
          <w:color w:val="323232"/>
        </w:rPr>
        <w:t xml:space="preserve">METHODS:Retrospective case-control study. Medical records were reviewed to include dogs with microcytosis, low normal mean corpuscular volume, or clinical GI bleeding that received VCE.</w:t>
      </w:r>
    </w:p>
    <w:p/>
    <w:p>
      <w:pPr>
        <w:pStyle w:val="Normal"/>
      </w:pPr>
      <w:r>
        <w:rPr>
          <w:color w:val="323232"/>
        </w:rPr>
        <w:t xml:space="preserve">RESULTS:Median age of dogs was 8.7</w:t>
      </w:r>
      <w:r>
        <w:rPr>
          <w:color w:val="323232"/>
        </w:rPr>
        <w:t xml:space="preserve"> </w:t>
      </w:r>
      <w:r>
        <w:rPr>
          <w:color w:val="323232"/>
        </w:rPr>
        <w:t xml:space="preserve">years (range, 8</w:t>
      </w:r>
      <w:r>
        <w:rPr>
          <w:color w:val="323232"/>
        </w:rPr>
        <w:t xml:space="preserve"> </w:t>
      </w:r>
      <w:r>
        <w:rPr>
          <w:color w:val="323232"/>
        </w:rPr>
        <w:t xml:space="preserve">months to 15</w:t>
      </w:r>
      <w:r>
        <w:rPr>
          <w:color w:val="323232"/>
        </w:rPr>
        <w:t xml:space="preserve"> </w:t>
      </w:r>
      <w:r>
        <w:rPr>
          <w:color w:val="323232"/>
        </w:rPr>
        <w:t xml:space="preserve">years) with a median weight of 21.7</w:t>
      </w:r>
      <w:r>
        <w:rPr>
          <w:color w:val="323232"/>
        </w:rPr>
        <w:t xml:space="preserve"> </w:t>
      </w:r>
      <w:r>
        <w:rPr>
          <w:color w:val="323232"/>
        </w:rPr>
        <w:t xml:space="preserve">kg (range, 6.9-62.5</w:t>
      </w:r>
      <w:r>
        <w:rPr>
          <w:color w:val="323232"/>
        </w:rPr>
        <w:t xml:space="preserve"> </w:t>
      </w:r>
      <w:r>
        <w:rPr>
          <w:color w:val="323232"/>
        </w:rPr>
        <w:t xml:space="preserve">kg). Abdominal ultrasound (16), abdominal radiography (4), and abdominal CT (1) did not identify a cause for GI blood loss. Gastric mucosal lesions were identified by VCE in 15 of 16 dogs and small intestinal lesions in 12 of 14 dogs, with 2 capsules remaining in the stomach. Endoscopy was performed in 2 dogs before VCE; 1 dog had additional small intestinal lesions identified through the use of VCE.</w:t>
      </w:r>
    </w:p>
    <w:p/>
    <w:p>
      <w:pPr>
        <w:pStyle w:val="Normal"/>
      </w:pPr>
      <w:r>
        <w:rPr>
          <w:color w:val="323232"/>
        </w:rPr>
        <w:t xml:space="preserve">CONCLUSIONS AND CLINICAL IMPORTANCE:Video capsule endoscopy is a minimally invasive diagnostic tool that can identify GI lesions in dogs presenting with microcytosis with or without GI hemorrhage when ultrasonography is inconclusive; however, the majority of lesions identified would have been apparent with conventional endoscopy.</w:t>
      </w:r>
    </w:p>
    <w:p/>
    <w:p>
      <w:pPr>
        <w:pStyle w:val="Normal"/>
      </w:pPr>
      <w:r>
        <w:rPr>
          <w:color w:val="323232"/>
        </w:rPr>
        <w:t xml:space="preserve">J Vet Intern Med, 2019 vol. 33 (5) pp. 1964-1969.</w:t>
      </w:r>
    </w:p>
    <w:p>
      <w:r>
        <w:rPr>
          <w:rStyle w:val="Hyperlink"/>
        </w:rPr>
        <w:fldChar w:fldCharType="begin"/>
      </w:r>
      <w:r>
        <w:rPr>
          <w:rStyle w:val="Hyperlink"/>
        </w:rPr>
        <w:instrText xml:space="preserve"> HYPERLINK "http://dx.doi.org/10.1111/jvim.15584" </w:instrText>
      </w:r>
      <w:r>
        <w:rPr>
          <w:rStyle w:val="Hyperlink"/>
        </w:rPr>
      </w:r>
      <w:r>
        <w:rPr>
          <w:rStyle w:val="Hyperlink"/>
        </w:rPr>
        <w:fldChar w:fldCharType="separate"/>
      </w:r>
      <w:pPr>
        <w:pStyle w:val="Normal"/>
      </w:pPr>
      <w:r>
        <w:rPr>
          <w:rStyle w:val="Hyperlink"/>
        </w:rPr>
        <w:t xml:space="preserve">http://dx.doi.org/10.1111/jvim.15584</w:t>
      </w:r>
      <w:r>
        <w:rPr>
          <w:rStyle w:val="Hyperlink"/>
        </w:rPr>
        <w:fldChar w:fldCharType="end"/>
      </w:r>
    </w:p>
    <w:p>
      <w:pPr>
        <w:pStyle w:val="Normal"/>
      </w:pPr>
      <w:r>
        <w:rPr>
          <w:color w:val="323232"/>
        </w:rPr>
        <w:t xml:space="preserve">————————</w:t>
      </w:r>
    </w:p>
    <w:p>
      <w:pPr>
        <w:pStyle w:val="Heading4"/>
      </w:pPr>
      <w:r>
        <w:t xml:space="preserve">Clinical findings, diagnostic test results, and treatment outcome in cats with hiatal hernia: 31 cases (1995-2018).</w:t>
      </w:r>
    </w:p>
    <w:p/>
    <w:p>
      <w:pPr>
        <w:pStyle w:val="Normal"/>
      </w:pPr>
      <w:r>
        <w:rPr>
          <w:color w:val="323232"/>
        </w:rPr>
        <w:t xml:space="preserve">Heidi Phillips, Jessica Corrie, Danielle M Engel, Daniel J Duffy, David E Holt, Allison R Kendall, Chad W Schmiedt, Autumn Vetter, Ilyssa L Meren, Christelle Follette, David J Schaeffer, Philipp D Mayhew, and Stanley L Marks.</w:t>
      </w:r>
    </w:p>
    <w:p/>
    <w:p>
      <w:pPr>
        <w:pStyle w:val="Normal"/>
      </w:pPr>
      <w:r>
        <w:rPr>
          <w:color w:val="323232"/>
        </w:rPr>
        <w:t xml:space="preserve">BACKGROUND:Information regarding clinical signs, assessment, treatment, and outcome in cats with hiatal hernia (HH) is limited.</w:t>
      </w:r>
    </w:p>
    <w:p/>
    <w:p>
      <w:pPr>
        <w:pStyle w:val="Normal"/>
      </w:pPr>
      <w:r>
        <w:rPr>
          <w:color w:val="323232"/>
        </w:rPr>
        <w:t xml:space="preserve">OBJECTIVES:To characterize the clinical presentation of HH and medical and surgical outcomes in a cohort of affected cats.</w:t>
      </w:r>
    </w:p>
    <w:p/>
    <w:p>
      <w:pPr>
        <w:pStyle w:val="Normal"/>
      </w:pPr>
      <w:r>
        <w:rPr>
          <w:color w:val="323232"/>
        </w:rPr>
        <w:t xml:space="preserve">ANIMALS:Thirty-one client-owned cats with HH.</w:t>
      </w:r>
    </w:p>
    <w:p/>
    <w:p>
      <w:pPr>
        <w:pStyle w:val="Normal"/>
      </w:pPr>
      <w:r>
        <w:rPr>
          <w:color w:val="323232"/>
        </w:rPr>
        <w:t xml:space="preserve">METHODS:Medical records of cats with HH were retrospectively reviewed for signalment, history, results of diagnostic tests, details of surgical and medical treatments, complications, and outcome. Long-term follow-up data were obtained by telephone communication. Relationships between clinical variables and outcome were evaluated by regression analysis.</w:t>
      </w:r>
    </w:p>
    <w:p/>
    <w:p>
      <w:pPr>
        <w:pStyle w:val="Normal"/>
      </w:pPr>
      <w:r>
        <w:rPr>
          <w:color w:val="323232"/>
        </w:rPr>
        <w:t xml:space="preserve">RESULTS:Type I HH was present in 85.7% (24/28) of cats, and 64.5% (20/31) were &gt;3</w:t>
      </w:r>
      <w:r>
        <w:rPr>
          <w:color w:val="323232"/>
        </w:rPr>
        <w:t xml:space="preserve"> </w:t>
      </w:r>
      <w:r>
        <w:rPr>
          <w:color w:val="323232"/>
        </w:rPr>
        <w:t xml:space="preserve">years of age at diagnosis. Twenty-one of 31 (67.7%) cats underwent surgical repair including phrenoplasty, esophagopexy, and left-sided gastropexy, and 10 of 31 cats were treated medically without surgery. Concurrent illness was common, and 77.4% cats had comorbidities. All cats survived to discharge, and median time to death or follow-up was 959</w:t>
      </w:r>
      <w:r>
        <w:rPr>
          <w:color w:val="323232"/>
        </w:rPr>
        <w:t xml:space="preserve"> </w:t>
      </w:r>
      <w:r>
        <w:rPr>
          <w:color w:val="323232"/>
        </w:rPr>
        <w:t xml:space="preserve">days (range, 3-4015</w:t>
      </w:r>
      <w:r>
        <w:rPr>
          <w:color w:val="323232"/>
        </w:rPr>
        <w:t xml:space="preserve"> </w:t>
      </w:r>
      <w:r>
        <w:rPr>
          <w:color w:val="323232"/>
        </w:rPr>
        <w:t xml:space="preserve">days). Cats treated medically survived longer than cats treated surgically, with median time to death or follow-up of 2559 and 771</w:t>
      </w:r>
      <w:r>
        <w:rPr>
          <w:color w:val="323232"/>
        </w:rPr>
        <w:t xml:space="preserve"> </w:t>
      </w:r>
      <w:r>
        <w:rPr>
          <w:color w:val="323232"/>
        </w:rPr>
        <w:t xml:space="preserve">days, respectively.</w:t>
      </w:r>
    </w:p>
    <w:p/>
    <w:p>
      <w:pPr>
        <w:pStyle w:val="Normal"/>
      </w:pPr>
      <w:r>
        <w:rPr>
          <w:color w:val="323232"/>
        </w:rPr>
        <w:t xml:space="preserve">CONCLUSIONS AND CLINICAL IMPORTANCE:Type I HH is the most common type of HH in cats. A congenital etiology is possible, but many cats with HH were &gt;3</w:t>
      </w:r>
      <w:r>
        <w:rPr>
          <w:color w:val="323232"/>
        </w:rPr>
        <w:t xml:space="preserve"> </w:t>
      </w:r>
      <w:r>
        <w:rPr>
          <w:color w:val="323232"/>
        </w:rPr>
        <w:t xml:space="preserve">years of age at diagnosis and suffered from comorbidities, including upper airway obstruction. Case selection and the presence of comorbidities likely influenced the outcome. Cats with HH may not be diagnosed until disease is advanced or concurrent illness draws attention to clinical signs.</w:t>
      </w:r>
    </w:p>
    <w:p/>
    <w:p>
      <w:pPr>
        <w:pStyle w:val="Normal"/>
      </w:pPr>
      <w:r>
        <w:rPr>
          <w:color w:val="323232"/>
        </w:rPr>
        <w:t xml:space="preserve">J Vet Intern Med, 2019 vol. 33 (5) pp. 1970-1976.</w:t>
      </w:r>
    </w:p>
    <w:p>
      <w:r>
        <w:rPr>
          <w:rStyle w:val="Hyperlink"/>
        </w:rPr>
        <w:fldChar w:fldCharType="begin"/>
      </w:r>
      <w:r>
        <w:rPr>
          <w:rStyle w:val="Hyperlink"/>
        </w:rPr>
        <w:instrText xml:space="preserve"> HYPERLINK "http://dx.doi.org/10.1111/jvim.15583" </w:instrText>
      </w:r>
      <w:r>
        <w:rPr>
          <w:rStyle w:val="Hyperlink"/>
        </w:rPr>
      </w:r>
      <w:r>
        <w:rPr>
          <w:rStyle w:val="Hyperlink"/>
        </w:rPr>
        <w:fldChar w:fldCharType="separate"/>
      </w:r>
      <w:pPr>
        <w:pStyle w:val="Normal"/>
      </w:pPr>
      <w:r>
        <w:rPr>
          <w:rStyle w:val="Hyperlink"/>
        </w:rPr>
        <w:t xml:space="preserve">http://dx.doi.org/10.1111/jvim.15583</w:t>
      </w:r>
      <w:r>
        <w:rPr>
          <w:rStyle w:val="Hyperlink"/>
        </w:rPr>
        <w:fldChar w:fldCharType="end"/>
      </w:r>
    </w:p>
    <w:p>
      <w:pPr>
        <w:pStyle w:val="Normal"/>
      </w:pPr>
      <w:r>
        <w:rPr>
          <w:color w:val="323232"/>
        </w:rPr>
        <w:t xml:space="preserve">————————</w:t>
      </w:r>
    </w:p>
    <w:p>
      <w:pPr>
        <w:pStyle w:val="Heading4"/>
      </w:pPr>
      <w:r>
        <w:t xml:space="preserve">Clinical, clinicopathologic, and gastrointestinal changes from aspirin, prednisone, or combination treatment in healthy research dogs: A double-blind randomized trial.</w:t>
      </w:r>
    </w:p>
    <w:p/>
    <w:p>
      <w:pPr>
        <w:pStyle w:val="Normal"/>
      </w:pPr>
      <w:r>
        <w:rPr>
          <w:color w:val="323232"/>
        </w:rPr>
        <w:t xml:space="preserve">Jacqueline C Whittemore, Allison P Mooney, Joshua M Price, and John Thomason.</w:t>
      </w:r>
    </w:p>
    <w:p/>
    <w:p>
      <w:pPr>
        <w:pStyle w:val="Normal"/>
      </w:pPr>
      <w:r>
        <w:rPr>
          <w:color w:val="323232"/>
        </w:rPr>
        <w:t xml:space="preserve">BACKGROUND:Dogs with immune-mediated disease are often coadministered glucocorticoids and aspirin, but ulcerogenic effects of current protocols are unknown.</w:t>
      </w:r>
    </w:p>
    <w:p/>
    <w:p>
      <w:pPr>
        <w:pStyle w:val="Normal"/>
      </w:pPr>
      <w:r>
        <w:rPr>
          <w:color w:val="323232"/>
        </w:rPr>
        <w:t xml:space="preserve">OBJECTIVES:To compare gastrointestinal changes among dogs administered aspirin, prednisone, and combination treatment.</w:t>
      </w:r>
    </w:p>
    <w:p/>
    <w:p>
      <w:pPr>
        <w:pStyle w:val="Normal"/>
      </w:pPr>
      <w:r>
        <w:rPr>
          <w:color w:val="323232"/>
        </w:rPr>
        <w:t xml:space="preserve">ANIMALS:Twenty-four healthy research dogs.</w:t>
      </w:r>
    </w:p>
    <w:p/>
    <w:p>
      <w:pPr>
        <w:pStyle w:val="Normal"/>
      </w:pPr>
      <w:r>
        <w:rPr>
          <w:color w:val="323232"/>
        </w:rPr>
        <w:t xml:space="preserve">METHODS:Double-blinded, placebo-controlled randomized trial of dogs administered placebo, aspirin (2 mg</w:t>
      </w:r>
      <w:r>
        <w:rPr>
          <w:i w:val="1"/>
          <w:color w:val="323232"/>
        </w:rPr>
        <w:t xml:space="preserve">kg q24h), prednisone (2 mg</w:t>
      </w:r>
      <w:r>
        <w:rPr>
          <w:color w:val="323232"/>
        </w:rPr>
        <w:t xml:space="preserve">kg q24h), or combination treatment PO for 28</w:t>
      </w:r>
      <w:r>
        <w:rPr>
          <w:color w:val="323232"/>
        </w:rPr>
        <w:t xml:space="preserve"> </w:t>
      </w:r>
      <w:r>
        <w:rPr>
          <w:color w:val="323232"/>
        </w:rPr>
        <w:t xml:space="preserve">days. Clinical signs were recorded daily, with laboratory work performed at baseline and day 28. Gastrointestinal mucosal hemorrhages, erosions, and ulcers were numerated for endoscopic studies performed on days 0, 14, and 28; endoscopic mucosal lesion scores were calculated. Results were compared using mixed model repeated-measures analyses of variance and generalized estimating equation proportional odds models. P &lt; .05 was considered significant.</w:t>
      </w:r>
    </w:p>
    <w:p/>
    <w:p>
      <w:pPr>
        <w:pStyle w:val="Normal"/>
      </w:pPr>
      <w:r>
        <w:rPr>
          <w:color w:val="323232"/>
        </w:rPr>
        <w:t xml:space="preserve">RESULTS:Gastric mucosal lesion scores differed by treatment-by-time (F[6, 40] =</w:t>
      </w:r>
      <w:r>
        <w:rPr>
          <w:color w:val="323232"/>
        </w:rPr>
        <w:t xml:space="preserve"> </w:t>
      </w:r>
      <w:r>
        <w:rPr>
          <w:color w:val="323232"/>
        </w:rPr>
        <w:t xml:space="preserve">4.4, P</w:t>
      </w:r>
      <w:r>
        <w:rPr>
          <w:color w:val="323232"/>
        </w:rPr>
        <w:t xml:space="preserve"> </w:t>
      </w:r>
      <w:r>
        <w:rPr>
          <w:color w:val="323232"/>
        </w:rPr>
        <w:t xml:space="preserve">=</w:t>
      </w:r>
      <w:r>
        <w:rPr>
          <w:color w:val="323232"/>
        </w:rPr>
        <w:t xml:space="preserve"> </w:t>
      </w:r>
      <w:r>
        <w:rPr>
          <w:color w:val="323232"/>
        </w:rPr>
        <w:t xml:space="preserve">.002), treatment (F[3, 20] =</w:t>
      </w:r>
      <w:r>
        <w:rPr>
          <w:color w:val="323232"/>
        </w:rPr>
        <w:t xml:space="preserve"> </w:t>
      </w:r>
      <w:r>
        <w:rPr>
          <w:color w:val="323232"/>
        </w:rPr>
        <w:t xml:space="preserve">7.1, P = .002), and time (F[2, 40] =</w:t>
      </w:r>
      <w:r>
        <w:rPr>
          <w:color w:val="323232"/>
        </w:rPr>
        <w:t xml:space="preserve"> </w:t>
      </w:r>
      <w:r>
        <w:rPr>
          <w:color w:val="323232"/>
        </w:rPr>
        <w:t xml:space="preserve">18.9, P &lt; .001). Post hoc analysis revealed increased scores in the aspirin (day 14 only), prednisone, and prednisone</w:t>
      </w:r>
      <w:r>
        <w:rPr>
          <w:i w:val="1"/>
          <w:color w:val="323232"/>
        </w:rPr>
        <w:t xml:space="preserve">aspirin groups during treatment. Ulcers were identified on 14 studies, representing 10 dogs. Dogs receiving prednisone and prednisone</w:t>
      </w:r>
      <w:r>
        <w:rPr>
          <w:color w:val="323232"/>
        </w:rPr>
        <w:t xml:space="preserve">aspirin had 11.1 times (95% CI, 1.7-73.6) and 31.5 times (95% CI, 3.5-288.0) higher odds, respectively, of having endoscopic mucosal lesion scores ≥4 than dogs receiving placebo (P ≤ .01).</w:t>
      </w:r>
    </w:p>
    <w:p/>
    <w:p>
      <w:pPr>
        <w:pStyle w:val="Normal"/>
      </w:pPr>
      <w:r>
        <w:rPr>
          <w:color w:val="323232"/>
        </w:rPr>
        <w:t xml:space="preserve">CONCLUSIONS AND CLINICAL IMPORTANCE:Gastrointestinal bleeding occurs commonly in dogs administered aspirin, prednisone, or prednisone/aspirin treatment, with higher lesion scores for dogs receiving combination treatment. Even severe lesions are not accompanied by clinical signs.</w:t>
      </w:r>
    </w:p>
    <w:p/>
    <w:p>
      <w:pPr>
        <w:pStyle w:val="Normal"/>
      </w:pPr>
      <w:r>
        <w:rPr>
          <w:color w:val="323232"/>
        </w:rPr>
        <w:t xml:space="preserve">J Vet Intern Med, 2019 vol. 33 (5) pp. 1977-1987.</w:t>
      </w:r>
    </w:p>
    <w:p>
      <w:r>
        <w:rPr>
          <w:rStyle w:val="Hyperlink"/>
        </w:rPr>
        <w:fldChar w:fldCharType="begin"/>
      </w:r>
      <w:r>
        <w:rPr>
          <w:rStyle w:val="Hyperlink"/>
        </w:rPr>
        <w:instrText xml:space="preserve"> HYPERLINK "http://dx.doi.org/10.1111/jvim.15577" </w:instrText>
      </w:r>
      <w:r>
        <w:rPr>
          <w:rStyle w:val="Hyperlink"/>
        </w:rPr>
      </w:r>
      <w:r>
        <w:rPr>
          <w:rStyle w:val="Hyperlink"/>
        </w:rPr>
        <w:fldChar w:fldCharType="separate"/>
      </w:r>
      <w:pPr>
        <w:pStyle w:val="Normal"/>
      </w:pPr>
      <w:r>
        <w:rPr>
          <w:rStyle w:val="Hyperlink"/>
        </w:rPr>
        <w:t xml:space="preserve">http://dx.doi.org/10.1111/jvim.15577</w:t>
      </w:r>
      <w:r>
        <w:rPr>
          <w:rStyle w:val="Hyperlink"/>
        </w:rPr>
        <w:fldChar w:fldCharType="end"/>
      </w:r>
    </w:p>
    <w:p>
      <w:pPr>
        <w:pStyle w:val="Normal"/>
      </w:pPr>
      <w:r>
        <w:rPr>
          <w:color w:val="323232"/>
        </w:rPr>
        <w:t xml:space="preserve">————————</w:t>
      </w:r>
    </w:p>
    <w:p>
      <w:pPr>
        <w:pStyle w:val="Heading4"/>
      </w:pPr>
      <w:r>
        <w:t xml:space="preserve">Evaluation of the effect of a famotidine continuous rate infusion on intragastric pH in healthy dogs.</w:t>
      </w:r>
    </w:p>
    <w:p/>
    <w:p>
      <w:pPr>
        <w:pStyle w:val="Normal"/>
      </w:pPr>
      <w:r>
        <w:rPr>
          <w:color w:val="323232"/>
        </w:rPr>
        <w:t xml:space="preserve">Katherine Hedges, Adesola Odunayo, Josh M Price, Silke Hecht, and M Katherine Tolbert.</w:t>
      </w:r>
    </w:p>
    <w:p/>
    <w:p>
      <w:pPr>
        <w:pStyle w:val="Normal"/>
      </w:pPr>
      <w:r>
        <w:rPr>
          <w:color w:val="323232"/>
        </w:rPr>
        <w:t xml:space="preserve">BACKGROUND:Famotidine is sometimes administered as a continuous rate infusion (CRI) to treat gastrointestinal ulceration in critically ill dogs. However, clinical studies have not evaluated the efficacy of a famotidine CRI in dogs.</w:t>
      </w:r>
    </w:p>
    <w:p/>
    <w:p>
      <w:pPr>
        <w:pStyle w:val="Normal"/>
      </w:pPr>
      <w:r>
        <w:rPr>
          <w:color w:val="323232"/>
        </w:rPr>
        <w:t xml:space="preserve">HYPOTHESIS/OBJECTIVES:To evaluate the efficacy of famotidine at raising intragastric pH when it is administered as a CRI in dogs. We hypothesized that CRI treatment with famotidine would meet clinical goals for raising intragastric pH ≥3 and 4.</w:t>
      </w:r>
    </w:p>
    <w:p/>
    <w:p>
      <w:pPr>
        <w:pStyle w:val="Normal"/>
      </w:pPr>
      <w:r>
        <w:rPr>
          <w:color w:val="323232"/>
        </w:rPr>
        <w:t xml:space="preserve">ANIMALS:Nine healthy Beagle dogs.</w:t>
      </w:r>
    </w:p>
    <w:p/>
    <w:p>
      <w:pPr>
        <w:pStyle w:val="Normal"/>
      </w:pPr>
      <w:r>
        <w:rPr>
          <w:color w:val="323232"/>
        </w:rPr>
        <w:t xml:space="preserve">METHODS:Randomized 2-way crossover. All dogs received 1.0 mg</w:t>
      </w:r>
      <w:r>
        <w:rPr>
          <w:i w:val="1"/>
          <w:color w:val="323232"/>
        </w:rPr>
        <w:t xml:space="preserve">kg IV q12h famotidine or CRI famotidine at 1.0 mg</w:t>
      </w:r>
      <w:r>
        <w:rPr>
          <w:color w:val="323232"/>
        </w:rPr>
        <w:t xml:space="preserve">kg IV loading dose and 8.0 mg</w:t>
      </w:r>
      <w:r>
        <w:rPr>
          <w:i w:val="1"/>
          <w:color w:val="323232"/>
        </w:rPr>
        <w:t xml:space="preserve">kg</w:t>
      </w:r>
      <w:r>
        <w:rPr>
          <w:color w:val="323232"/>
        </w:rPr>
        <w:t xml:space="preserve">d for 3 consecutive days. Beginning on day 0 of treatment, intragastric pH monitoring was used to continuously record intragastric pH. Mean percentage times (MPTs) for which intragastric pH was ≥3 and ≥4 were compared between groups using analysis of variance.</w:t>
      </w:r>
    </w:p>
    <w:p/>
    <w:p>
      <w:pPr>
        <w:pStyle w:val="Normal"/>
      </w:pPr>
      <w:r>
        <w:rPr>
          <w:color w:val="323232"/>
        </w:rPr>
        <w:t xml:space="preserve">RESULTS:There was a statistically significant difference (P</w:t>
      </w:r>
      <w:r>
        <w:rPr>
          <w:color w:val="323232"/>
        </w:rPr>
        <w:t xml:space="preserve"> </w:t>
      </w:r>
      <w:r>
        <w:rPr>
          <w:color w:val="323232"/>
        </w:rPr>
        <w:t xml:space="preserve">&lt;</w:t>
      </w:r>
      <w:r>
        <w:rPr>
          <w:color w:val="323232"/>
        </w:rPr>
        <w:t xml:space="preserve"> </w:t>
      </w:r>
      <w:r>
        <w:rPr>
          <w:color w:val="323232"/>
        </w:rPr>
        <w:t xml:space="preserve">.05) in MPT ≥3 and ≥4 between the CRI and IV q12h groups on all treatment days. On days 1, 2, and 3, the MPTs</w:t>
      </w:r>
      <w:r>
        <w:rPr>
          <w:color w:val="323232"/>
        </w:rPr>
        <w:t xml:space="preserve"> </w:t>
      </w:r>
      <w:r>
        <w:rPr>
          <w:color w:val="323232"/>
        </w:rPr>
        <w:t xml:space="preserve">±</w:t>
      </w:r>
      <w:r>
        <w:rPr>
          <w:color w:val="323232"/>
        </w:rPr>
        <w:t xml:space="preserve"> </w:t>
      </w:r>
      <w:r>
        <w:rPr>
          <w:color w:val="323232"/>
        </w:rPr>
        <w:t xml:space="preserve">SD for which pH was ≥3 were 92.1</w:t>
      </w:r>
      <w:r>
        <w:rPr>
          <w:color w:val="323232"/>
        </w:rPr>
        <w:t xml:space="preserve"> </w:t>
      </w:r>
      <w:r>
        <w:rPr>
          <w:color w:val="323232"/>
        </w:rPr>
        <w:t xml:space="preserve">±</w:t>
      </w:r>
      <w:r>
        <w:rPr>
          <w:color w:val="323232"/>
        </w:rPr>
        <w:t xml:space="preserve"> </w:t>
      </w:r>
      <w:r>
        <w:rPr>
          <w:color w:val="323232"/>
        </w:rPr>
        <w:t xml:space="preserve">8.5, 96.3</w:t>
      </w:r>
      <w:r>
        <w:rPr>
          <w:color w:val="323232"/>
        </w:rPr>
        <w:t xml:space="preserve"> </w:t>
      </w:r>
      <w:r>
        <w:rPr>
          <w:color w:val="323232"/>
        </w:rPr>
        <w:t xml:space="preserve">±</w:t>
      </w:r>
      <w:r>
        <w:rPr>
          <w:color w:val="323232"/>
        </w:rPr>
        <w:t xml:space="preserve"> </w:t>
      </w:r>
      <w:r>
        <w:rPr>
          <w:color w:val="323232"/>
        </w:rPr>
        <w:t xml:space="preserve">6.2, and 90.0</w:t>
      </w:r>
      <w:r>
        <w:rPr>
          <w:color w:val="323232"/>
        </w:rPr>
        <w:t xml:space="preserve"> </w:t>
      </w:r>
      <w:r>
        <w:rPr>
          <w:color w:val="323232"/>
        </w:rPr>
        <w:t xml:space="preserve">±</w:t>
      </w:r>
      <w:r>
        <w:rPr>
          <w:color w:val="323232"/>
        </w:rPr>
        <w:t xml:space="preserve"> </w:t>
      </w:r>
      <w:r>
        <w:rPr>
          <w:color w:val="323232"/>
        </w:rPr>
        <w:t xml:space="preserve">15.7 for the CRI treatment group and 49.3</w:t>
      </w:r>
      <w:r>
        <w:rPr>
          <w:color w:val="323232"/>
        </w:rPr>
        <w:t xml:space="preserve"> </w:t>
      </w:r>
      <w:r>
        <w:rPr>
          <w:color w:val="323232"/>
        </w:rPr>
        <w:t xml:space="preserve">±</w:t>
      </w:r>
      <w:r>
        <w:rPr>
          <w:color w:val="323232"/>
        </w:rPr>
        <w:t xml:space="preserve"> </w:t>
      </w:r>
      <w:r>
        <w:rPr>
          <w:color w:val="323232"/>
        </w:rPr>
        <w:t xml:space="preserve">27.3, 42.2</w:t>
      </w:r>
      <w:r>
        <w:rPr>
          <w:color w:val="323232"/>
        </w:rPr>
        <w:t xml:space="preserve"> </w:t>
      </w:r>
      <w:r>
        <w:rPr>
          <w:color w:val="323232"/>
        </w:rPr>
        <w:t xml:space="preserve">±</w:t>
      </w:r>
      <w:r>
        <w:rPr>
          <w:color w:val="323232"/>
        </w:rPr>
        <w:t xml:space="preserve"> </w:t>
      </w:r>
      <w:r>
        <w:rPr>
          <w:color w:val="323232"/>
        </w:rPr>
        <w:t xml:space="preserve">19.6, and 45.8</w:t>
      </w:r>
      <w:r>
        <w:rPr>
          <w:color w:val="323232"/>
        </w:rPr>
        <w:t xml:space="preserve"> </w:t>
      </w:r>
      <w:r>
        <w:rPr>
          <w:color w:val="323232"/>
        </w:rPr>
        <w:t xml:space="preserve">±</w:t>
      </w:r>
      <w:r>
        <w:rPr>
          <w:color w:val="323232"/>
        </w:rPr>
        <w:t xml:space="preserve"> </w:t>
      </w:r>
      <w:r>
        <w:rPr>
          <w:color w:val="323232"/>
        </w:rPr>
        <w:t xml:space="preserve">10.1, respectively, for the twice-daily group.</w:t>
      </w:r>
    </w:p>
    <w:p/>
    <w:p>
      <w:pPr>
        <w:pStyle w:val="Normal"/>
      </w:pPr>
      <w:r>
        <w:rPr>
          <w:color w:val="323232"/>
        </w:rPr>
        <w:t xml:space="preserve">CONCLUSIONS AND CLINICAL IMPORTANCE:These results suggest that a famotidine CRI, but not standard doses of famotidine, achieves the clinical goals established in people to promote healing of gastric tissue injury and offers an alternative to intravenous treatment with proton pump inhibitors in dogs.</w:t>
      </w:r>
    </w:p>
    <w:p/>
    <w:p>
      <w:pPr>
        <w:pStyle w:val="Normal"/>
      </w:pPr>
      <w:r>
        <w:rPr>
          <w:color w:val="323232"/>
        </w:rPr>
        <w:t xml:space="preserve">J Vet Intern Med, 2019 vol. 33 (5) pp. 1988-1994.</w:t>
      </w:r>
    </w:p>
    <w:p>
      <w:r>
        <w:rPr>
          <w:rStyle w:val="Hyperlink"/>
        </w:rPr>
        <w:fldChar w:fldCharType="begin"/>
      </w:r>
      <w:r>
        <w:rPr>
          <w:rStyle w:val="Hyperlink"/>
        </w:rPr>
        <w:instrText xml:space="preserve"> HYPERLINK "http://dx.doi.org/10.1111/jvim.15558" </w:instrText>
      </w:r>
      <w:r>
        <w:rPr>
          <w:rStyle w:val="Hyperlink"/>
        </w:rPr>
      </w:r>
      <w:r>
        <w:rPr>
          <w:rStyle w:val="Hyperlink"/>
        </w:rPr>
        <w:fldChar w:fldCharType="separate"/>
      </w:r>
      <w:pPr>
        <w:pStyle w:val="Normal"/>
      </w:pPr>
      <w:r>
        <w:rPr>
          <w:rStyle w:val="Hyperlink"/>
        </w:rPr>
        <w:t xml:space="preserve">http://dx.doi.org/10.1111/jvim.15558</w:t>
      </w:r>
      <w:r>
        <w:rPr>
          <w:rStyle w:val="Hyperlink"/>
        </w:rPr>
        <w:fldChar w:fldCharType="end"/>
      </w:r>
    </w:p>
    <w:p>
      <w:pPr>
        <w:pStyle w:val="Normal"/>
      </w:pPr>
      <w:r>
        <w:rPr>
          <w:color w:val="323232"/>
        </w:rPr>
        <w:t xml:space="preserve">————————</w:t>
      </w:r>
    </w:p>
    <w:p>
      <w:pPr>
        <w:pStyle w:val="Heading4"/>
      </w:pPr>
      <w:r>
        <w:t xml:space="preserve">Comparison of clinical, clinicopathologic, and histologic variables in dogs with chronic inflammatory enteropathy and low or normal serum 25-hydroxycholecalciferol concentrations.</w:t>
      </w:r>
    </w:p>
    <w:p/>
    <w:p>
      <w:pPr>
        <w:pStyle w:val="Normal"/>
      </w:pPr>
      <w:r>
        <w:rPr>
          <w:color w:val="323232"/>
        </w:rPr>
        <w:t xml:space="preserve">Sara A Wennogle, Simon L Priestnall, Alejandro Suárez-Bonnet, and Craig B Webb.</w:t>
      </w:r>
    </w:p>
    <w:p/>
    <w:p>
      <w:pPr>
        <w:pStyle w:val="Normal"/>
      </w:pPr>
      <w:r>
        <w:rPr>
          <w:color w:val="323232"/>
        </w:rPr>
        <w:t xml:space="preserve">BACKGROUND:The cause of low serum vitamin D concentrations in dogs with chronic inflammatory enteropathy (CIE) is not well understood.</w:t>
      </w:r>
    </w:p>
    <w:p/>
    <w:p>
      <w:pPr>
        <w:pStyle w:val="Normal"/>
      </w:pPr>
      <w:r>
        <w:rPr>
          <w:color w:val="323232"/>
        </w:rPr>
        <w:t xml:space="preserve">OBJECTIVE:Improve understanding of pathogenesis of low serum vitamin D concentrations in dogs with CIE by comparing several clinical, clinicopathologic, and histologic variables between CIE dogs with low and normal serum 25-hydroxyvitamin D concentrations (25[OH]D).</w:t>
      </w:r>
    </w:p>
    <w:p/>
    <w:p>
      <w:pPr>
        <w:pStyle w:val="Normal"/>
      </w:pPr>
      <w:r>
        <w:rPr>
          <w:color w:val="323232"/>
        </w:rPr>
        <w:t xml:space="preserve">ANIMALS:Fifteen dogs with CIE and low serum 25[OH]D concentrations; 15 dogs with CIE and normal serum 25(OH)D concentrations.</w:t>
      </w:r>
    </w:p>
    <w:p/>
    <w:p>
      <w:pPr>
        <w:pStyle w:val="Normal"/>
      </w:pPr>
      <w:r>
        <w:rPr>
          <w:color w:val="323232"/>
        </w:rPr>
        <w:t xml:space="preserve">METHODS:Prospective cohort study. Clinical and clinicopathologic variables were compared between groups. Correlations between serum 25(OH)D concentration and histopathologic variables were assessed.</w:t>
      </w:r>
    </w:p>
    <w:p/>
    <w:p>
      <w:pPr>
        <w:pStyle w:val="Normal"/>
      </w:pPr>
      <w:r>
        <w:rPr>
          <w:color w:val="323232"/>
        </w:rPr>
        <w:t xml:space="preserve">RESULTS:Dogs with CIE and low serum 25(OH)D concentrations had higher canine chronic enteropathy clinical activity index scores (P</w:t>
      </w:r>
      <w:r>
        <w:rPr>
          <w:color w:val="323232"/>
        </w:rPr>
        <w:t xml:space="preserve"> </w:t>
      </w:r>
      <w:r>
        <w:rPr>
          <w:color w:val="323232"/>
        </w:rPr>
        <w:t xml:space="preserve">=</w:t>
      </w:r>
      <w:r>
        <w:rPr>
          <w:color w:val="323232"/>
        </w:rPr>
        <w:t xml:space="preserve"> </w:t>
      </w:r>
      <w:r>
        <w:rPr>
          <w:color w:val="323232"/>
        </w:rPr>
        <w:t xml:space="preserve">.003), lower serum α-tocopherol (P</w:t>
      </w:r>
      <w:r>
        <w:rPr>
          <w:color w:val="323232"/>
        </w:rPr>
        <w:t xml:space="preserve"> </w:t>
      </w:r>
      <w:r>
        <w:rPr>
          <w:color w:val="323232"/>
        </w:rPr>
        <w:t xml:space="preserve">&lt;</w:t>
      </w:r>
      <w:r>
        <w:rPr>
          <w:color w:val="323232"/>
        </w:rPr>
        <w:t xml:space="preserve"> </w:t>
      </w:r>
      <w:r>
        <w:rPr>
          <w:color w:val="323232"/>
        </w:rPr>
        <w:t xml:space="preserve">.001), cholesterol (P</w:t>
      </w:r>
      <w:r>
        <w:rPr>
          <w:color w:val="323232"/>
        </w:rPr>
        <w:t xml:space="preserve"> </w:t>
      </w:r>
      <w:r>
        <w:rPr>
          <w:color w:val="323232"/>
        </w:rPr>
        <w:t xml:space="preserve">&lt;</w:t>
      </w:r>
      <w:r>
        <w:rPr>
          <w:color w:val="323232"/>
        </w:rPr>
        <w:t xml:space="preserve"> </w:t>
      </w:r>
      <w:r>
        <w:rPr>
          <w:color w:val="323232"/>
        </w:rPr>
        <w:t xml:space="preserve">.001), and albumin (P</w:t>
      </w:r>
      <w:r>
        <w:rPr>
          <w:color w:val="323232"/>
        </w:rPr>
        <w:t xml:space="preserve"> </w:t>
      </w:r>
      <w:r>
        <w:rPr>
          <w:color w:val="323232"/>
        </w:rPr>
        <w:t xml:space="preserve">&lt;</w:t>
      </w:r>
      <w:r>
        <w:rPr>
          <w:color w:val="323232"/>
        </w:rPr>
        <w:t xml:space="preserve"> </w:t>
      </w:r>
      <w:r>
        <w:rPr>
          <w:color w:val="323232"/>
        </w:rPr>
        <w:t xml:space="preserve">.001) concentrations and higher serum C-reactive protein (P = .004) concentrations compared to CIE dogs with normal serum 25(OH)D concentrations. Serum concentrations of vitamin D-binding protein (VDBP) were not different between groups (P = .91). Duodenal morphologic and inflammatory histopathological scores (P = .002 and P = .004, respectively) and total histopathological scores in duodenum and combined duodenum and ileum negatively correlated with serum 25(OH)D concentration.</w:t>
      </w:r>
    </w:p>
    <w:p/>
    <w:p>
      <w:pPr>
        <w:pStyle w:val="Normal"/>
      </w:pPr>
      <w:r>
        <w:rPr>
          <w:color w:val="323232"/>
        </w:rPr>
        <w:t xml:space="preserve">CONCLUSIONS AND CLINICAL IMPORTANCE:The pathogenesis of low serum vitamin D concentrations in dogs with CIE is likely multifactorial. Fat malabsorption deserves further study in dogs with low serum vitamin D concentration and CIE. Loss of VDBP does not appear to be an important cause of low serum vitamin D concentration in dogs with CIE.</w:t>
      </w:r>
    </w:p>
    <w:p/>
    <w:p>
      <w:pPr>
        <w:pStyle w:val="Normal"/>
      </w:pPr>
      <w:r>
        <w:rPr>
          <w:color w:val="323232"/>
        </w:rPr>
        <w:t xml:space="preserve">J Vet Intern Med, 2019 vol. 33 (5) pp. 1995-2004.</w:t>
      </w:r>
    </w:p>
    <w:p>
      <w:r>
        <w:rPr>
          <w:rStyle w:val="Hyperlink"/>
        </w:rPr>
        <w:fldChar w:fldCharType="begin"/>
      </w:r>
      <w:r>
        <w:rPr>
          <w:rStyle w:val="Hyperlink"/>
        </w:rPr>
        <w:instrText xml:space="preserve"> HYPERLINK "http://dx.doi.org/10.1111/jvim.15614" </w:instrText>
      </w:r>
      <w:r>
        <w:rPr>
          <w:rStyle w:val="Hyperlink"/>
        </w:rPr>
      </w:r>
      <w:r>
        <w:rPr>
          <w:rStyle w:val="Hyperlink"/>
        </w:rPr>
        <w:fldChar w:fldCharType="separate"/>
      </w:r>
      <w:pPr>
        <w:pStyle w:val="Normal"/>
      </w:pPr>
      <w:r>
        <w:rPr>
          <w:rStyle w:val="Hyperlink"/>
        </w:rPr>
        <w:t xml:space="preserve">http://dx.doi.org/10.1111/jvim.15614</w:t>
      </w:r>
      <w:r>
        <w:rPr>
          <w:rStyle w:val="Hyperlink"/>
        </w:rPr>
        <w:fldChar w:fldCharType="end"/>
      </w:r>
    </w:p>
    <w:p>
      <w:pPr>
        <w:pStyle w:val="Normal"/>
      </w:pPr>
      <w:r>
        <w:rPr>
          <w:color w:val="323232"/>
        </w:rPr>
        <w:t xml:space="preserve">————————</w:t>
      </w:r>
    </w:p>
    <w:p>
      <w:pPr>
        <w:pStyle w:val="Heading4"/>
      </w:pPr>
      <w:r>
        <w:t xml:space="preserve">Diagnostic features, treatment, and outcome of dogs with inflammatory protein-losing enteropathy.</w:t>
      </w:r>
    </w:p>
    <w:p/>
    <w:p>
      <w:pPr>
        <w:pStyle w:val="Normal"/>
      </w:pPr>
      <w:r>
        <w:rPr>
          <w:color w:val="323232"/>
        </w:rPr>
        <w:t xml:space="preserve">Silke Salavati Schmitz, Adam Gow, Nick Bommer, Linda Morrison, and Richard Mellanby.</w:t>
      </w:r>
    </w:p>
    <w:p/>
    <w:p>
      <w:pPr>
        <w:pStyle w:val="Normal"/>
      </w:pPr>
      <w:r>
        <w:rPr>
          <w:color w:val="323232"/>
        </w:rPr>
        <w:t xml:space="preserve">BACKGROUND:Protein-losing enteropathy (PLE) because of chronic inflammatory enteropathy (CIE) in dogs is often treated with a combination of glucocorticoids and second-line immunosuppressant (SLI). This combined approach might not be necessary in all dogs.</w:t>
      </w:r>
    </w:p>
    <w:p/>
    <w:p>
      <w:pPr>
        <w:pStyle w:val="Normal"/>
      </w:pPr>
      <w:r>
        <w:rPr>
          <w:color w:val="323232"/>
        </w:rPr>
        <w:t xml:space="preserve">HYPOTHESIS/OBJECTIVES:To describe diagnostic features and outcomes of dogs with PLE treated with glucocorticoids alone (group P) or with glucocorticoids and SLI (group S).</w:t>
      </w:r>
    </w:p>
    <w:p/>
    <w:p>
      <w:pPr>
        <w:pStyle w:val="Normal"/>
      </w:pPr>
      <w:r>
        <w:rPr>
          <w:color w:val="323232"/>
        </w:rPr>
        <w:t xml:space="preserve">ANIMALS:Thirty-one dogs with PLE.</w:t>
      </w:r>
    </w:p>
    <w:p/>
    <w:p>
      <w:pPr>
        <w:pStyle w:val="Normal"/>
      </w:pPr>
      <w:r>
        <w:rPr>
          <w:color w:val="323232"/>
        </w:rPr>
        <w:t xml:space="preserve">MATERIAL AND METHODS:Retrospective analysis of signalment data from diagnostic procedures, treatment, and outcome of dogs with CIE</w:t>
      </w:r>
      <w:r>
        <w:rPr>
          <w:i w:val="1"/>
          <w:color w:val="323232"/>
        </w:rPr>
        <w:t xml:space="preserve">PLE (from 2015 to 2017), using the hospital's digital case database. Dogs with hypoalbuminemia and CIE were included. Because of a stepwise treatment algorithm, dogs were allocated to group P or S. Time to serum albumin concentrations ≥20</w:t>
      </w:r>
      <w:r>
        <w:rPr>
          <w:color w:val="323232"/>
        </w:rPr>
        <w:t xml:space="preserve"> </w:t>
      </w:r>
      <w:r>
        <w:rPr>
          <w:i w:val="1"/>
          <w:color w:val="323232"/>
        </w:rPr>
        <w:t xml:space="preserve">g</w:t>
      </w:r>
      <w:r>
        <w:rPr>
          <w:color w:val="323232"/>
        </w:rPr>
        <w:t xml:space="preserve">L and survival data were collected. Dogs were additionally categorized by their albumin and cobalamin serum concentrations. Multivariate and univariate analysis as well as Pearson's correlation and Kaplan-Maier survival analysis were performed.</w:t>
      </w:r>
    </w:p>
    <w:p/>
    <w:p>
      <w:pPr>
        <w:pStyle w:val="Normal"/>
      </w:pPr>
      <w:r>
        <w:rPr>
          <w:color w:val="323232"/>
        </w:rPr>
        <w:t xml:space="preserve">RESULTS:Seventeen dogs were included in group P and 14 in group S. World Small Animal Veterinary Association score of the duodenum was different between groups (P = .05), but none of the other examined data. Median time until serum albumin reached &gt;20</w:t>
      </w:r>
      <w:r>
        <w:rPr>
          <w:color w:val="323232"/>
        </w:rPr>
        <w:t xml:space="preserve"> </w:t>
      </w:r>
      <w:r>
        <w:rPr>
          <w:color w:val="323232"/>
        </w:rPr>
        <w:t xml:space="preserve">g/L was 13</w:t>
      </w:r>
      <w:r>
        <w:rPr>
          <w:color w:val="323232"/>
        </w:rPr>
        <w:t xml:space="preserve"> </w:t>
      </w:r>
      <w:r>
        <w:rPr>
          <w:color w:val="323232"/>
        </w:rPr>
        <w:t xml:space="preserve">days. Median survival time after start of treatment was 85</w:t>
      </w:r>
      <w:r>
        <w:rPr>
          <w:color w:val="323232"/>
        </w:rPr>
        <w:t xml:space="preserve"> </w:t>
      </w:r>
      <w:r>
        <w:rPr>
          <w:color w:val="323232"/>
        </w:rPr>
        <w:t xml:space="preserve">days (range, 13-463</w:t>
      </w:r>
      <w:r>
        <w:rPr>
          <w:color w:val="323232"/>
        </w:rPr>
        <w:t xml:space="preserve"> </w:t>
      </w:r>
      <w:r>
        <w:rPr>
          <w:color w:val="323232"/>
        </w:rPr>
        <w:t xml:space="preserve">days) in group P and 166</w:t>
      </w:r>
      <w:r>
        <w:rPr>
          <w:color w:val="323232"/>
        </w:rPr>
        <w:t xml:space="preserve"> </w:t>
      </w:r>
      <w:r>
        <w:rPr>
          <w:color w:val="323232"/>
        </w:rPr>
        <w:t xml:space="preserve">days (range, 8-390</w:t>
      </w:r>
      <w:r>
        <w:rPr>
          <w:color w:val="323232"/>
        </w:rPr>
        <w:t xml:space="preserve"> </w:t>
      </w:r>
      <w:r>
        <w:rPr>
          <w:color w:val="323232"/>
        </w:rPr>
        <w:t xml:space="preserve">days) in group S.</w:t>
      </w:r>
    </w:p>
    <w:p/>
    <w:p>
      <w:pPr>
        <w:pStyle w:val="Normal"/>
      </w:pPr>
      <w:r>
        <w:rPr>
          <w:color w:val="323232"/>
        </w:rPr>
        <w:t xml:space="preserve">CONCLUSION AND CLINICAL IMPORTANCE:No routine diagnostic test was predictive of clinical response, treatment group, or outcome. Glucocorticoid treatment alone can be appropriate in dogs with PLE.</w:t>
      </w:r>
    </w:p>
    <w:p/>
    <w:p>
      <w:pPr>
        <w:pStyle w:val="Normal"/>
      </w:pPr>
      <w:r>
        <w:rPr>
          <w:color w:val="323232"/>
        </w:rPr>
        <w:t xml:space="preserve">J Vet Intern Med, 2019 vol. 33 (5) pp. 2005-2013.</w:t>
      </w:r>
    </w:p>
    <w:p>
      <w:r>
        <w:rPr>
          <w:rStyle w:val="Hyperlink"/>
        </w:rPr>
        <w:fldChar w:fldCharType="begin"/>
      </w:r>
      <w:r>
        <w:rPr>
          <w:rStyle w:val="Hyperlink"/>
        </w:rPr>
        <w:instrText xml:space="preserve"> HYPERLINK "http://dx.doi.org/10.1111/jvim.15571" </w:instrText>
      </w:r>
      <w:r>
        <w:rPr>
          <w:rStyle w:val="Hyperlink"/>
        </w:rPr>
      </w:r>
      <w:r>
        <w:rPr>
          <w:rStyle w:val="Hyperlink"/>
        </w:rPr>
        <w:fldChar w:fldCharType="separate"/>
      </w:r>
      <w:pPr>
        <w:pStyle w:val="Normal"/>
      </w:pPr>
      <w:r>
        <w:rPr>
          <w:rStyle w:val="Hyperlink"/>
        </w:rPr>
        <w:t xml:space="preserve">http://dx.doi.org/10.1111/jvim.15571</w:t>
      </w:r>
      <w:r>
        <w:rPr>
          <w:rStyle w:val="Hyperlink"/>
        </w:rPr>
        <w:fldChar w:fldCharType="end"/>
      </w:r>
    </w:p>
    <w:p>
      <w:pPr>
        <w:pStyle w:val="Normal"/>
      </w:pPr>
      <w:r>
        <w:rPr>
          <w:color w:val="323232"/>
        </w:rPr>
        <w:t xml:space="preserve">————————</w:t>
      </w:r>
    </w:p>
    <w:p>
      <w:pPr>
        <w:pStyle w:val="Heading4"/>
      </w:pPr>
      <w:r>
        <w:t xml:space="preserve">Esophagostomy tube complications in dogs and cats: Retrospective review of 225 cases.</w:t>
      </w:r>
    </w:p>
    <w:p/>
    <w:p>
      <w:pPr>
        <w:pStyle w:val="Normal"/>
      </w:pPr>
      <w:r>
        <w:rPr>
          <w:color w:val="323232"/>
        </w:rPr>
        <w:t xml:space="preserve">Olivia Nathanson, Kathryn McGonigle, Kathryn Michel, Darko Stefanovski, and Dana Clarke.</w:t>
      </w:r>
    </w:p>
    <w:p/>
    <w:p>
      <w:pPr>
        <w:pStyle w:val="Normal"/>
      </w:pPr>
      <w:r>
        <w:rPr>
          <w:color w:val="323232"/>
        </w:rPr>
        <w:t xml:space="preserve">BACKGROUND:Esophagostomy feeding tubes (E-tubes) are an essential tool for management of hyporexic patients' acute and chronic nutritional requirements. Despite their routine use, limited information is available regarding E-tube complications, especially in the recent veterinary literature.</w:t>
      </w:r>
    </w:p>
    <w:p/>
    <w:p>
      <w:pPr>
        <w:pStyle w:val="Normal"/>
      </w:pPr>
      <w:r>
        <w:rPr>
          <w:color w:val="323232"/>
        </w:rPr>
        <w:t xml:space="preserve">OBJECTIVE:To provide an updated descriptive account of E-tube complications in cats and dogs, and to evaluate potential prognostic factors to determine if certain patients are at increased risk for complications.</w:t>
      </w:r>
    </w:p>
    <w:p/>
    <w:p>
      <w:pPr>
        <w:pStyle w:val="Normal"/>
      </w:pPr>
      <w:r>
        <w:rPr>
          <w:color w:val="323232"/>
        </w:rPr>
        <w:t xml:space="preserve">ANIMALS:One hundred two dogs and 123 cats.</w:t>
      </w:r>
    </w:p>
    <w:p/>
    <w:p>
      <w:pPr>
        <w:pStyle w:val="Normal"/>
      </w:pPr>
      <w:r>
        <w:rPr>
          <w:color w:val="323232"/>
        </w:rPr>
        <w:t xml:space="preserve">METHODS:Retrospective study evaluating patients that had E-tubes placed between March 2014 and March 2017.</w:t>
      </w:r>
    </w:p>
    <w:p/>
    <w:p>
      <w:pPr>
        <w:pStyle w:val="Normal"/>
      </w:pPr>
      <w:r>
        <w:rPr>
          <w:color w:val="323232"/>
        </w:rPr>
        <w:t xml:space="preserve">RESULTS:One hundred patients (44.4%) experienced a complication related to tube placement, with a similar complication rate among dogs (43.1%) and cats (45.5%). Twenty-two cats (17.8%) and 14 dogs (13.7%) developed signs of infection at the E-tube site, with 5 cats (22.7%) and 5 dogs (35.7%) requiring surgical debridement. Regurgitation of food through the E-tube stoma was noted in 7 dogs and 1 cat. Three patients were euthanized as a result of tube-related complications.</w:t>
      </w:r>
    </w:p>
    <w:p/>
    <w:p>
      <w:pPr>
        <w:pStyle w:val="Normal"/>
      </w:pPr>
      <w:r>
        <w:rPr>
          <w:color w:val="323232"/>
        </w:rPr>
        <w:t xml:space="preserve">CONCLUSIONS AND CLINICAL IMPORTANCE:We have provided an updated descriptive review of complications associated with E-tube placement in a large population of dogs and cats at a tertiary referral center. Although E-tubes are essential tools that generally are safe and well tolerated, several complications can occur. We did not identify any specific factors that increase patient risk for these complications, and therefore it is important that all patients are closely monitored and clients are educated to pursue prompt veterinary assessment when such complications arise.</w:t>
      </w:r>
    </w:p>
    <w:p/>
    <w:p>
      <w:pPr>
        <w:pStyle w:val="Normal"/>
      </w:pPr>
      <w:r>
        <w:rPr>
          <w:color w:val="323232"/>
        </w:rPr>
        <w:t xml:space="preserve">J Vet Intern Med, 2019 vol. 33 (5) pp. 2014-2019.</w:t>
      </w:r>
    </w:p>
    <w:p>
      <w:r>
        <w:rPr>
          <w:rStyle w:val="Hyperlink"/>
        </w:rPr>
        <w:fldChar w:fldCharType="begin"/>
      </w:r>
      <w:r>
        <w:rPr>
          <w:rStyle w:val="Hyperlink"/>
        </w:rPr>
        <w:instrText xml:space="preserve"> HYPERLINK "http://dx.doi.org/10.1111/jvim.15563" </w:instrText>
      </w:r>
      <w:r>
        <w:rPr>
          <w:rStyle w:val="Hyperlink"/>
        </w:rPr>
      </w:r>
      <w:r>
        <w:rPr>
          <w:rStyle w:val="Hyperlink"/>
        </w:rPr>
        <w:fldChar w:fldCharType="separate"/>
      </w:r>
      <w:pPr>
        <w:pStyle w:val="Normal"/>
      </w:pPr>
      <w:r>
        <w:rPr>
          <w:rStyle w:val="Hyperlink"/>
        </w:rPr>
        <w:t xml:space="preserve">http://dx.doi.org/10.1111/jvim.15563</w:t>
      </w:r>
      <w:r>
        <w:rPr>
          <w:rStyle w:val="Hyperlink"/>
        </w:rPr>
        <w:fldChar w:fldCharType="end"/>
      </w:r>
    </w:p>
    <w:p>
      <w:pPr>
        <w:pStyle w:val="Normal"/>
      </w:pPr>
      <w:r>
        <w:rPr>
          <w:color w:val="323232"/>
        </w:rPr>
        <w:t xml:space="preserve">————————</w:t>
      </w:r>
    </w:p>
    <w:p>
      <w:pPr>
        <w:pStyle w:val="Heading4"/>
      </w:pPr>
      <w:r>
        <w:t xml:space="preserve">Primary hemostatic function in dogs with acute kidney injury.</w:t>
      </w:r>
    </w:p>
    <w:p/>
    <w:p>
      <w:pPr>
        <w:pStyle w:val="Normal"/>
      </w:pPr>
      <w:r>
        <w:rPr>
          <w:color w:val="323232"/>
        </w:rPr>
        <w:t xml:space="preserve">Duana McBride, Rosanne E Jepson, Stefano Cortellini, and Daniel L Chan.</w:t>
      </w:r>
    </w:p>
    <w:p/>
    <w:p>
      <w:pPr>
        <w:pStyle w:val="Normal"/>
      </w:pPr>
      <w:r>
        <w:rPr>
          <w:color w:val="323232"/>
        </w:rPr>
        <w:t xml:space="preserve">BACKGROUND:Bleeding tendencies can occur with uremia.</w:t>
      </w:r>
    </w:p>
    <w:p/>
    <w:p>
      <w:pPr>
        <w:pStyle w:val="Normal"/>
      </w:pPr>
      <w:r>
        <w:rPr>
          <w:color w:val="323232"/>
        </w:rPr>
        <w:t xml:space="preserve">OBJECTIVES:To characterize primary hemostatic function in dogs with acute kidney injury (AKI).</w:t>
      </w:r>
    </w:p>
    <w:p/>
    <w:p>
      <w:pPr>
        <w:pStyle w:val="Normal"/>
      </w:pPr>
      <w:r>
        <w:rPr>
          <w:color w:val="323232"/>
        </w:rPr>
        <w:t xml:space="preserve">ANIMALS:Ten dogs with International Renal Interest Society AKI grade III or above and 10 healthy controls.</w:t>
      </w:r>
    </w:p>
    <w:p/>
    <w:p>
      <w:pPr>
        <w:pStyle w:val="Normal"/>
      </w:pPr>
      <w:r>
        <w:rPr>
          <w:color w:val="323232"/>
        </w:rPr>
        <w:t xml:space="preserve">METHODS:Prospective study comparing PCV, platelet count, platelet aggregometry (Multiplate), and von Willebrand factor antigen to collagen binding activity ratio (vWF:Ag:vWF:CBA) in 2 groups of dogs (AKI group versus controls). Buccal mucosal bleeding time was measured in the AKI group only. Data are presented as median [25th, 75th percentile] unless otherwise stated. Significance was set at P</w:t>
      </w:r>
      <w:r>
        <w:rPr>
          <w:color w:val="323232"/>
        </w:rPr>
        <w:t xml:space="preserve"> </w:t>
      </w:r>
      <w:r>
        <w:rPr>
          <w:color w:val="323232"/>
        </w:rPr>
        <w:t xml:space="preserve">&lt;</w:t>
      </w:r>
      <w:r>
        <w:rPr>
          <w:color w:val="323232"/>
        </w:rPr>
        <w:t xml:space="preserve"> </w:t>
      </w:r>
      <w:r>
        <w:rPr>
          <w:color w:val="323232"/>
        </w:rPr>
        <w:t xml:space="preserve">.05.</w:t>
      </w:r>
    </w:p>
    <w:p/>
    <w:p>
      <w:pPr>
        <w:pStyle w:val="Normal"/>
      </w:pPr>
      <w:r>
        <w:rPr>
          <w:color w:val="323232"/>
        </w:rPr>
        <w:t xml:space="preserve">RESULTS:Mean PCV was significantly lower in the AKI (34.7%; ±SD, 8.8) than in the control (46.1%; ±SD, 3.6; P</w:t>
      </w:r>
      <w:r>
        <w:rPr>
          <w:color w:val="323232"/>
        </w:rPr>
        <w:t xml:space="preserve"> </w:t>
      </w:r>
      <w:r>
        <w:rPr>
          <w:color w:val="323232"/>
        </w:rPr>
        <w:t xml:space="preserve">&lt;</w:t>
      </w:r>
      <w:r>
        <w:rPr>
          <w:color w:val="323232"/>
        </w:rPr>
        <w:t xml:space="preserve"> </w:t>
      </w:r>
      <w:r>
        <w:rPr>
          <w:color w:val="323232"/>
        </w:rPr>
        <w:t xml:space="preserve">.001) group. Platelet count was significantly higher in the AKI (350.5</w:t>
      </w:r>
      <w:r>
        <w:rPr>
          <w:color w:val="323232"/>
        </w:rPr>
        <w:t xml:space="preserve"> </w:t>
      </w:r>
      <w:r>
        <w:rPr>
          <w:color w:val="323232"/>
        </w:rPr>
        <w:t xml:space="preserve">×</w:t>
      </w:r>
      <w:r>
        <w:rPr>
          <w:color w:val="323232"/>
        </w:rPr>
        <w:t xml:space="preserve"> </w:t>
      </w:r>
      <w:r>
        <w:rPr>
          <w:color w:val="323232"/>
        </w:rPr>
        <w:t xml:space="preserve">103 /μL [301, 516]) than in the control (241</w:t>
      </w:r>
      <w:r>
        <w:rPr>
          <w:color w:val="323232"/>
        </w:rPr>
        <w:t xml:space="preserve"> </w:t>
      </w:r>
      <w:r>
        <w:rPr>
          <w:color w:val="323232"/>
        </w:rPr>
        <w:t xml:space="preserve">×</w:t>
      </w:r>
      <w:r>
        <w:rPr>
          <w:color w:val="323232"/>
        </w:rPr>
        <w:t xml:space="preserve"> </w:t>
      </w:r>
      <w:r>
        <w:rPr>
          <w:color w:val="323232"/>
        </w:rPr>
        <w:t xml:space="preserve">103 /μL [227, 251]; P = .01) group. Collagen-activated platelet aggregometry measured as area under the curve was significantly lower in the AKI (36.9</w:t>
      </w:r>
      <w:r>
        <w:rPr>
          <w:color w:val="323232"/>
        </w:rPr>
        <w:t xml:space="preserve"> </w:t>
      </w:r>
      <w:r>
        <w:rPr>
          <w:color w:val="323232"/>
        </w:rPr>
        <w:t xml:space="preserve">±</w:t>
      </w:r>
      <w:r>
        <w:rPr>
          <w:color w:val="323232"/>
        </w:rPr>
        <w:t xml:space="preserve"> </w:t>
      </w:r>
      <w:r>
        <w:rPr>
          <w:color w:val="323232"/>
        </w:rPr>
        <w:t xml:space="preserve">17.7) than in the control (54.9</w:t>
      </w:r>
      <w:r>
        <w:rPr>
          <w:color w:val="323232"/>
        </w:rPr>
        <w:t xml:space="preserve"> </w:t>
      </w:r>
      <w:r>
        <w:rPr>
          <w:color w:val="323232"/>
        </w:rPr>
        <w:t xml:space="preserve">±</w:t>
      </w:r>
      <w:r>
        <w:rPr>
          <w:color w:val="323232"/>
        </w:rPr>
        <w:t xml:space="preserve"> </w:t>
      </w:r>
      <w:r>
        <w:rPr>
          <w:color w:val="323232"/>
        </w:rPr>
        <w:t xml:space="preserve">11.2; P = .05) group. vWF:Ag:vWF:CBA was significantly higher in the AKI (2.2 [1.9, 2.6]) than in the control (1.1 [1.1, 1.2]; P = .01) group. There was a strong correlation between vWF:Ag:vWF:CBA and creatinine (r = 0.859; P</w:t>
      </w:r>
      <w:r>
        <w:rPr>
          <w:color w:val="323232"/>
        </w:rPr>
        <w:t xml:space="preserve"> </w:t>
      </w:r>
      <w:r>
        <w:rPr>
          <w:color w:val="323232"/>
        </w:rPr>
        <w:t xml:space="preserve">&lt;</w:t>
      </w:r>
      <w:r>
        <w:rPr>
          <w:color w:val="323232"/>
        </w:rPr>
        <w:t xml:space="preserve"> </w:t>
      </w:r>
      <w:r>
        <w:rPr>
          <w:color w:val="323232"/>
        </w:rPr>
        <w:t xml:space="preserve">.001), but no other variables.</w:t>
      </w:r>
    </w:p>
    <w:p/>
    <w:p>
      <w:pPr>
        <w:pStyle w:val="Normal"/>
      </w:pPr>
      <w:r>
        <w:rPr>
          <w:color w:val="323232"/>
        </w:rPr>
        <w:t xml:space="preserve">CONCLUSIONS AND CLINICAL IMPORTANCE:Dogs with AKI had decreased collagen-activated platelet aggregation and appear to have a type II von Willebrand disease-like phenotype as indicated by the high vWF:Ag:vWF:CBA.</w:t>
      </w:r>
    </w:p>
    <w:p/>
    <w:p>
      <w:pPr>
        <w:pStyle w:val="Normal"/>
      </w:pPr>
      <w:r>
        <w:rPr>
          <w:color w:val="323232"/>
        </w:rPr>
        <w:t xml:space="preserve">J Vet Intern Med, 2019 vol. 33 (5) pp. 2029-2036.</w:t>
      </w:r>
    </w:p>
    <w:p>
      <w:r>
        <w:rPr>
          <w:rStyle w:val="Hyperlink"/>
        </w:rPr>
        <w:fldChar w:fldCharType="begin"/>
      </w:r>
      <w:r>
        <w:rPr>
          <w:rStyle w:val="Hyperlink"/>
        </w:rPr>
        <w:instrText xml:space="preserve"> HYPERLINK "http://dx.doi.org/10.1111/jvim.15588" </w:instrText>
      </w:r>
      <w:r>
        <w:rPr>
          <w:rStyle w:val="Hyperlink"/>
        </w:rPr>
      </w:r>
      <w:r>
        <w:rPr>
          <w:rStyle w:val="Hyperlink"/>
        </w:rPr>
        <w:fldChar w:fldCharType="separate"/>
      </w:r>
      <w:pPr>
        <w:pStyle w:val="Normal"/>
      </w:pPr>
      <w:r>
        <w:rPr>
          <w:rStyle w:val="Hyperlink"/>
        </w:rPr>
        <w:t xml:space="preserve">http://dx.doi.org/10.1111/jvim.15588</w:t>
      </w:r>
      <w:r>
        <w:rPr>
          <w:rStyle w:val="Hyperlink"/>
        </w:rPr>
        <w:fldChar w:fldCharType="end"/>
      </w:r>
    </w:p>
    <w:p>
      <w:pPr>
        <w:pStyle w:val="Normal"/>
      </w:pPr>
      <w:r>
        <w:rPr>
          <w:color w:val="323232"/>
        </w:rPr>
        <w:t xml:space="preserve">————————</w:t>
      </w:r>
    </w:p>
    <w:p>
      <w:pPr>
        <w:pStyle w:val="Heading4"/>
      </w:pPr>
      <w:r>
        <w:t xml:space="preserve">Alloimmunization of a dog erythrocyte antigen 1- dog transfused with weakly dog erythrocyte antigen 1+ blood.</w:t>
      </w:r>
    </w:p>
    <w:p/>
    <w:p>
      <w:pPr>
        <w:pStyle w:val="Normal"/>
      </w:pPr>
      <w:r>
        <w:rPr>
          <w:color w:val="323232"/>
        </w:rPr>
        <w:t xml:space="preserve">Maryline Guidetti, Isabelle Goy-Thollot, Catherine Boisvineau, and Urs Giger.</w:t>
      </w:r>
    </w:p>
    <w:p/>
    <w:p>
      <w:pPr>
        <w:pStyle w:val="Normal"/>
      </w:pPr>
      <w:r>
        <w:rPr>
          <w:color w:val="323232"/>
        </w:rPr>
        <w:t xml:space="preserve">BACKGROUND:Acute hemolytic transfusion reactions because of dog erythrocyte antigen (DEA) 1 sensitization after mismatched transfusions are serious complications. Dog erythrocyte antigen 1 expression varies from negative to weakly to strongly positive.</w:t>
      </w:r>
    </w:p>
    <w:p/>
    <w:p>
      <w:pPr>
        <w:pStyle w:val="Normal"/>
      </w:pPr>
      <w:r>
        <w:rPr>
          <w:color w:val="323232"/>
        </w:rPr>
        <w:t xml:space="preserve">OBJECTIVES:To assess alloimmunization after transfusion of weakly DEA 1+ blood to a DEA 1- dog.</w:t>
      </w:r>
    </w:p>
    <w:p/>
    <w:p>
      <w:pPr>
        <w:pStyle w:val="Normal"/>
      </w:pPr>
      <w:r>
        <w:rPr>
          <w:color w:val="323232"/>
        </w:rPr>
        <w:t xml:space="preserve">ANIMALS:One DEA 1- recipient and 1 weakly DEA 1+ donor, and 106 control dogs.</w:t>
      </w:r>
    </w:p>
    <w:p/>
    <w:p>
      <w:pPr>
        <w:pStyle w:val="Normal"/>
      </w:pPr>
      <w:r>
        <w:rPr>
          <w:color w:val="323232"/>
        </w:rPr>
        <w:t xml:space="preserve">METHODS:Long-term follow-up study. Matched for DEA 3, 4, 5, and 7, Dal, and Kai 1 and 2, weakly DEA 1+ donor packed red blood cells (RBCs) were transfused 3 times (0.45</w:t>
      </w:r>
      <w:r>
        <w:rPr>
          <w:color w:val="323232"/>
        </w:rPr>
        <w:t xml:space="preserve"> </w:t>
      </w:r>
      <w:r>
        <w:rPr>
          <w:color w:val="323232"/>
        </w:rPr>
        <w:t xml:space="preserve">mL/kg at Day 0, 16, and 37) to a DEA 1- recipient. Alloantibodies against RBCs from donor and 106 controls were determined in recipient's plasma samples using a commercial antiglobulin-enhanced immunochromatographic strip and gel tube crossmatches. Alloantibody titers were determined.</w:t>
      </w:r>
    </w:p>
    <w:p/>
    <w:p>
      <w:pPr>
        <w:pStyle w:val="Normal"/>
      </w:pPr>
      <w:r>
        <w:rPr>
          <w:color w:val="323232"/>
        </w:rPr>
        <w:t xml:space="preserve">RESULTS:The DEA 1- recipient was sensitized after 16</w:t>
      </w:r>
      <w:r>
        <w:rPr>
          <w:color w:val="323232"/>
        </w:rPr>
        <w:t xml:space="preserve"> </w:t>
      </w:r>
      <w:r>
        <w:rPr>
          <w:color w:val="323232"/>
        </w:rPr>
        <w:t xml:space="preserve">days to ≥1657</w:t>
      </w:r>
      <w:r>
        <w:rPr>
          <w:color w:val="323232"/>
        </w:rPr>
        <w:t xml:space="preserve"> </w:t>
      </w:r>
      <w:r>
        <w:rPr>
          <w:color w:val="323232"/>
        </w:rPr>
        <w:t xml:space="preserve">days after transfusion to weakly DEA 1+ and otherwise matched RBCs. Strong to moderate crossmatch incompatibilities were observed between recipient's plasma and all 61 DEA 1+ crossmatched controls. Moderate to weak incompatibilities were also observed to DEA 1- controls. Anti-DEA 1 and other alloantibodies were detected over the 4.5 year observation period.</w:t>
      </w:r>
    </w:p>
    <w:p/>
    <w:p>
      <w:pPr>
        <w:pStyle w:val="Normal"/>
      </w:pPr>
      <w:r>
        <w:rPr>
          <w:color w:val="323232"/>
        </w:rPr>
        <w:t xml:space="preserve">CONCLUSIONS AND CLINICAL IMPORTANCE:Blood from a weakly DEA 1+ donor induces a strong and durable alloimmunization in a DEA 1- recipient dog. Additional alloantibodies developed against yet to be defined RBC antigens. Those results support the recommendation of typing dogs against DEA 1, considering weakly DEA 1+ as immunogenic, and crossmatching all previously transfused dogs.</w:t>
      </w:r>
    </w:p>
    <w:p/>
    <w:p>
      <w:pPr>
        <w:pStyle w:val="Normal"/>
      </w:pPr>
      <w:r>
        <w:rPr>
          <w:color w:val="323232"/>
        </w:rPr>
        <w:t xml:space="preserve">J Vet Intern Med, 2019 vol. 33 (5) pp. 2037-2045.</w:t>
      </w:r>
    </w:p>
    <w:p>
      <w:r>
        <w:rPr>
          <w:rStyle w:val="Hyperlink"/>
        </w:rPr>
        <w:fldChar w:fldCharType="begin"/>
      </w:r>
      <w:r>
        <w:rPr>
          <w:rStyle w:val="Hyperlink"/>
        </w:rPr>
        <w:instrText xml:space="preserve"> HYPERLINK "http://dx.doi.org/10.1111/jvim.15565" </w:instrText>
      </w:r>
      <w:r>
        <w:rPr>
          <w:rStyle w:val="Hyperlink"/>
        </w:rPr>
      </w:r>
      <w:r>
        <w:rPr>
          <w:rStyle w:val="Hyperlink"/>
        </w:rPr>
        <w:fldChar w:fldCharType="separate"/>
      </w:r>
      <w:pPr>
        <w:pStyle w:val="Normal"/>
      </w:pPr>
      <w:r>
        <w:rPr>
          <w:rStyle w:val="Hyperlink"/>
        </w:rPr>
        <w:t xml:space="preserve">http://dx.doi.org/10.1111/jvim.15565</w:t>
      </w:r>
      <w:r>
        <w:rPr>
          <w:rStyle w:val="Hyperlink"/>
        </w:rPr>
        <w:fldChar w:fldCharType="end"/>
      </w:r>
    </w:p>
    <w:p>
      <w:pPr>
        <w:pStyle w:val="Normal"/>
      </w:pPr>
      <w:r>
        <w:rPr>
          <w:color w:val="323232"/>
        </w:rPr>
        <w:t xml:space="preserve">————————</w:t>
      </w:r>
    </w:p>
    <w:p>
      <w:pPr>
        <w:pStyle w:val="Heading4"/>
      </w:pPr>
      <w:r>
        <w:t xml:space="preserve">Retrospective evaluation of cyclosporine in the treatment of presumed idiopathic chronic hepatitis in dogs.</w:t>
      </w:r>
    </w:p>
    <w:p/>
    <w:p>
      <w:pPr>
        <w:pStyle w:val="Normal"/>
      </w:pPr>
      <w:r>
        <w:rPr>
          <w:color w:val="323232"/>
        </w:rPr>
        <w:t xml:space="preserve">Tarini Ullal, Yoko Ambrosini, Sangeeta Rao, Cynthia R L Webster, and David Twedt.</w:t>
      </w:r>
    </w:p>
    <w:p/>
    <w:p>
      <w:pPr>
        <w:pStyle w:val="Normal"/>
      </w:pPr>
      <w:r>
        <w:rPr>
          <w:color w:val="323232"/>
        </w:rPr>
        <w:t xml:space="preserve">BACKGROUND:The etiology of idiopathic chronic hepatitis (ICH) in dogs is poorly understood, but evidence supports an immune-mediated pathogenesis in some dogs.</w:t>
      </w:r>
    </w:p>
    <w:p/>
    <w:p>
      <w:pPr>
        <w:pStyle w:val="Normal"/>
      </w:pPr>
      <w:r>
        <w:rPr>
          <w:color w:val="323232"/>
        </w:rPr>
        <w:t xml:space="preserve">OBJECTIVES:To describe a case series of dogs with presumed ICH treated with cyclosporine (CsA) with or without concurrent medications and to document the incidence of biochemical remission and factors associated with failure to attain remission.</w:t>
      </w:r>
    </w:p>
    <w:p/>
    <w:p>
      <w:pPr>
        <w:pStyle w:val="Normal"/>
      </w:pPr>
      <w:r>
        <w:rPr>
          <w:color w:val="323232"/>
        </w:rPr>
        <w:t xml:space="preserve">ANIMALS:Forty-eight client-owned dogs diagnosed with presumed ICH, treatment of which included CsA.</w:t>
      </w:r>
    </w:p>
    <w:p/>
    <w:p>
      <w:pPr>
        <w:pStyle w:val="Normal"/>
      </w:pPr>
      <w:r>
        <w:rPr>
          <w:color w:val="323232"/>
        </w:rPr>
        <w:t xml:space="preserve">METHODS:Two-institution, retrospective case series of dogs between 2010 and 2017. All dogs were treated with CsA with or without concurrent medications for ≥2 weeks. Data were collected from medical records.</w:t>
      </w:r>
    </w:p>
    <w:p/>
    <w:p>
      <w:pPr>
        <w:pStyle w:val="Normal"/>
      </w:pPr>
      <w:r>
        <w:rPr>
          <w:color w:val="323232"/>
        </w:rPr>
        <w:t xml:space="preserve">RESULTS:Biochemical remission (&lt;1.1 times the upper limit of normal for alanine aminotransferase activity) was attained in 79% of dogs (38/48). Median dose of CsA at remission was 7.9 mg</w:t>
      </w:r>
      <w:r>
        <w:rPr>
          <w:i w:val="1"/>
          <w:color w:val="323232"/>
        </w:rPr>
        <w:t xml:space="preserve">kg</w:t>
      </w:r>
      <w:r>
        <w:rPr>
          <w:color w:val="323232"/>
        </w:rPr>
        <w:t xml:space="preserve">d (range, 2.5-12.7 mg</w:t>
      </w:r>
      <w:r>
        <w:rPr>
          <w:i w:val="1"/>
          <w:color w:val="323232"/>
        </w:rPr>
        <w:t xml:space="preserve">kg</w:t>
      </w:r>
      <w:r>
        <w:rPr>
          <w:color w:val="323232"/>
        </w:rPr>
        <w:t xml:space="preserve">d) and median time to remission was 2.5 months (range, 0.75-18</w:t>
      </w:r>
      <w:r>
        <w:rPr>
          <w:color w:val="323232"/>
        </w:rPr>
        <w:t xml:space="preserve"> </w:t>
      </w:r>
      <w:r>
        <w:rPr>
          <w:color w:val="323232"/>
        </w:rPr>
        <w:t xml:space="preserve">months). Concurrent hepatoprotectant treatment was not associated with likelihood of remission. Clinical score, ascites, hypoalbuminemia, hyperbilirubinemia, prolonged coagulation times, dose, and duration of treatment were not associated with the probability of remission or time to remission. Common adverse effects of CsA were gastrointestinal signs in 38% (18/48) and gingival hyperplasia in 25% (12/48) of treated dogs.</w:t>
      </w:r>
    </w:p>
    <w:p/>
    <w:p>
      <w:pPr>
        <w:pStyle w:val="Normal"/>
      </w:pPr>
      <w:r>
        <w:rPr>
          <w:color w:val="323232"/>
        </w:rPr>
        <w:t xml:space="preserve">CONCLUSION AND CLINICAL IMPORTANCE:A treatment regimen including CsA and frequent hepatoprotectant use resulted in biochemical remission of ICH in most dogs. None of the evaluated factors, including hepatoprotectant use, were significantly associated with likelihood of remission. Future prospective studies are indicated to evaluate CsA monotherapy in ICH dogs.</w:t>
      </w:r>
    </w:p>
    <w:p/>
    <w:p>
      <w:pPr>
        <w:pStyle w:val="Normal"/>
      </w:pPr>
      <w:r>
        <w:rPr>
          <w:color w:val="323232"/>
        </w:rPr>
        <w:t xml:space="preserve">J Vet Intern Med, 2019 vol. 33 (5) pp. 2046-2056.</w:t>
      </w:r>
    </w:p>
    <w:p>
      <w:r>
        <w:rPr>
          <w:rStyle w:val="Hyperlink"/>
        </w:rPr>
        <w:fldChar w:fldCharType="begin"/>
      </w:r>
      <w:r>
        <w:rPr>
          <w:rStyle w:val="Hyperlink"/>
        </w:rPr>
        <w:instrText xml:space="preserve"> HYPERLINK "http://dx.doi.org/10.1111/jvim.15591" </w:instrText>
      </w:r>
      <w:r>
        <w:rPr>
          <w:rStyle w:val="Hyperlink"/>
        </w:rPr>
      </w:r>
      <w:r>
        <w:rPr>
          <w:rStyle w:val="Hyperlink"/>
        </w:rPr>
        <w:fldChar w:fldCharType="separate"/>
      </w:r>
      <w:pPr>
        <w:pStyle w:val="Normal"/>
      </w:pPr>
      <w:r>
        <w:rPr>
          <w:rStyle w:val="Hyperlink"/>
        </w:rPr>
        <w:t xml:space="preserve">http://dx.doi.org/10.1111/jvim.15591</w:t>
      </w:r>
      <w:r>
        <w:rPr>
          <w:rStyle w:val="Hyperlink"/>
        </w:rPr>
        <w:fldChar w:fldCharType="end"/>
      </w:r>
    </w:p>
    <w:p>
      <w:pPr>
        <w:pStyle w:val="Normal"/>
      </w:pPr>
      <w:r>
        <w:rPr>
          <w:color w:val="323232"/>
        </w:rPr>
        <w:t xml:space="preserve">————————</w:t>
      </w:r>
    </w:p>
    <w:p>
      <w:pPr>
        <w:pStyle w:val="Heading4"/>
      </w:pPr>
      <w:r>
        <w:t xml:space="preserve">Long-term survival of dogs treated for gallbladder mucocele by cholecystectomy, medical management, or both.</w:t>
      </w:r>
    </w:p>
    <w:p/>
    <w:p>
      <w:pPr>
        <w:pStyle w:val="Normal"/>
      </w:pPr>
      <w:r>
        <w:rPr>
          <w:color w:val="323232"/>
        </w:rPr>
        <w:t xml:space="preserve">Max Parkanzky, Janet Grimes, Chad Schmiedt, Scott Secrest, and Andrew Bugbee.</w:t>
      </w:r>
    </w:p>
    <w:p/>
    <w:p>
      <w:pPr>
        <w:pStyle w:val="Normal"/>
      </w:pPr>
      <w:r>
        <w:rPr>
          <w:color w:val="323232"/>
        </w:rPr>
        <w:t xml:space="preserve">BACKGROUND:Gallbladder mucoceles (GBM) typically are treated by cholecystectomy. Medical management rarely has been reported and medical and surgical management have not been compared.</w:t>
      </w:r>
    </w:p>
    <w:p/>
    <w:p>
      <w:pPr>
        <w:pStyle w:val="Normal"/>
      </w:pPr>
      <w:r>
        <w:rPr>
          <w:color w:val="323232"/>
        </w:rPr>
        <w:t xml:space="preserve">HYPOTHESIS/OBJECTIVES:To compare survival of dogs treated for GBM by medical management or cholecystectomy or both.</w:t>
      </w:r>
    </w:p>
    <w:p/>
    <w:p>
      <w:pPr>
        <w:pStyle w:val="Normal"/>
      </w:pPr>
      <w:r>
        <w:rPr>
          <w:color w:val="323232"/>
        </w:rPr>
        <w:t xml:space="preserve">ANIMALS:Eighty-nine client-owned dogs diagnosed with GBM that received cholecystectomy or medical treatment or both from 2011 to 2017.</w:t>
      </w:r>
    </w:p>
    <w:p/>
    <w:p>
      <w:pPr>
        <w:pStyle w:val="Normal"/>
      </w:pPr>
      <w:r>
        <w:rPr>
          <w:color w:val="323232"/>
        </w:rPr>
        <w:t xml:space="preserve">METHODS:Potential cases were identified by searching the medical records database. Data collected included signalment, clinicopathologic results, treatments, and ultrasonographic images and reports. Dogs were grouped according to the treatment received (medical management, surgical treatment, or both) that was chosen at the discretion of the attending veterinarian. Survival analysis was performed and prognostic variables identified and compared between treatment groups.</w:t>
      </w:r>
    </w:p>
    <w:p/>
    <w:p>
      <w:pPr>
        <w:pStyle w:val="Normal"/>
      </w:pPr>
      <w:r>
        <w:rPr>
          <w:color w:val="323232"/>
        </w:rPr>
        <w:t xml:space="preserve">RESULTS:Of dogs surviving at least 14</w:t>
      </w:r>
      <w:r>
        <w:rPr>
          <w:color w:val="323232"/>
        </w:rPr>
        <w:t xml:space="preserve"> </w:t>
      </w:r>
      <w:r>
        <w:rPr>
          <w:color w:val="323232"/>
        </w:rPr>
        <w:t xml:space="preserve">days after diagnosis, median survival times were 1802 (95% confidence interval [CI], 855-not reached) days, 1340 (95% CI, 444-1340) days, and 203 (95% CI, 18-525) days, for the surgical, medical, and medical then surgical treatment groups, respectively, and differed significantly (P &lt;</w:t>
      </w:r>
      <w:r>
        <w:rPr>
          <w:color w:val="323232"/>
        </w:rPr>
        <w:t xml:space="preserve"> </w:t>
      </w:r>
      <w:r>
        <w:rPr>
          <w:color w:val="323232"/>
        </w:rPr>
        <w:t xml:space="preserve">.0001). Gallbladder mucocele type (P =</w:t>
      </w:r>
      <w:r>
        <w:rPr>
          <w:color w:val="323232"/>
        </w:rPr>
        <w:t xml:space="preserve"> </w:t>
      </w:r>
      <w:r>
        <w:rPr>
          <w:color w:val="323232"/>
        </w:rPr>
        <w:t xml:space="preserve">.05), serum alkaline phosphatase activity (P =</w:t>
      </w:r>
      <w:r>
        <w:rPr>
          <w:color w:val="323232"/>
        </w:rPr>
        <w:t xml:space="preserve"> </w:t>
      </w:r>
      <w:r>
        <w:rPr>
          <w:color w:val="323232"/>
        </w:rPr>
        <w:t xml:space="preserve">.0001), and serum creatinine (P =</w:t>
      </w:r>
      <w:r>
        <w:rPr>
          <w:color w:val="323232"/>
        </w:rPr>
        <w:t xml:space="preserve"> </w:t>
      </w:r>
      <w:r>
        <w:rPr>
          <w:color w:val="323232"/>
        </w:rPr>
        <w:t xml:space="preserve">.002) and phosphorus (P =</w:t>
      </w:r>
      <w:r>
        <w:rPr>
          <w:color w:val="323232"/>
        </w:rPr>
        <w:t xml:space="preserve"> </w:t>
      </w:r>
      <w:r>
        <w:rPr>
          <w:color w:val="323232"/>
        </w:rPr>
        <w:t xml:space="preserve">.04) concentrations were associated with decreased survival across groups. Suspicion of biliary rupture on abdominal ultrasound (AUS) examination was correlated with increased survival in the surgical group (P =</w:t>
      </w:r>
      <w:r>
        <w:rPr>
          <w:color w:val="323232"/>
        </w:rPr>
        <w:t xml:space="preserve"> </w:t>
      </w:r>
      <w:r>
        <w:rPr>
          <w:color w:val="323232"/>
        </w:rPr>
        <w:t xml:space="preserve">.02).</w:t>
      </w:r>
    </w:p>
    <w:p/>
    <w:p>
      <w:pPr>
        <w:pStyle w:val="Normal"/>
      </w:pPr>
      <w:r>
        <w:rPr>
          <w:color w:val="323232"/>
        </w:rPr>
        <w:t xml:space="preserve">CONCLUSIONS AND CLINICAL IMPORTANCE:Cholecystectomy for the treatment of GBM results in the best long-term survival in dogs surviving the immediate postoperative period (14</w:t>
      </w:r>
      <w:r>
        <w:rPr>
          <w:color w:val="323232"/>
        </w:rPr>
        <w:t xml:space="preserve"> </w:t>
      </w:r>
      <w:r>
        <w:rPr>
          <w:color w:val="323232"/>
        </w:rPr>
        <w:t xml:space="preserve">days) compared to medical management. Although medical management is associated with shorter survival compared to surgical treatment, it is a reasonable alternative when surgery cannot be pursued.</w:t>
      </w:r>
    </w:p>
    <w:p/>
    <w:p>
      <w:pPr>
        <w:pStyle w:val="Normal"/>
      </w:pPr>
      <w:r>
        <w:rPr>
          <w:color w:val="323232"/>
        </w:rPr>
        <w:t xml:space="preserve">J Vet Intern Med, 2019 vol. 33 (5) pp. 2057-2066.</w:t>
      </w:r>
    </w:p>
    <w:p>
      <w:r>
        <w:rPr>
          <w:rStyle w:val="Hyperlink"/>
        </w:rPr>
        <w:fldChar w:fldCharType="begin"/>
      </w:r>
      <w:r>
        <w:rPr>
          <w:rStyle w:val="Hyperlink"/>
        </w:rPr>
        <w:instrText xml:space="preserve"> HYPERLINK "http://dx.doi.org/10.1111/jvim.15611" </w:instrText>
      </w:r>
      <w:r>
        <w:rPr>
          <w:rStyle w:val="Hyperlink"/>
        </w:rPr>
      </w:r>
      <w:r>
        <w:rPr>
          <w:rStyle w:val="Hyperlink"/>
        </w:rPr>
        <w:fldChar w:fldCharType="separate"/>
      </w:r>
      <w:pPr>
        <w:pStyle w:val="Normal"/>
      </w:pPr>
      <w:r>
        <w:rPr>
          <w:rStyle w:val="Hyperlink"/>
        </w:rPr>
        <w:t xml:space="preserve">http://dx.doi.org/10.1111/jvim.15611</w:t>
      </w:r>
      <w:r>
        <w:rPr>
          <w:rStyle w:val="Hyperlink"/>
        </w:rPr>
        <w:fldChar w:fldCharType="end"/>
      </w:r>
    </w:p>
    <w:p>
      <w:pPr>
        <w:pStyle w:val="Normal"/>
      </w:pPr>
      <w:r>
        <w:rPr>
          <w:color w:val="323232"/>
        </w:rPr>
        <w:t xml:space="preserve">————————</w:t>
      </w:r>
    </w:p>
    <w:p>
      <w:pPr>
        <w:pStyle w:val="Heading4"/>
      </w:pPr>
      <w:r>
        <w:t xml:space="preserve">Prevalence of Babesia spp. and clinical characteristics of Babesia vulpes infections in North American dogs.</w:t>
      </w:r>
    </w:p>
    <w:p/>
    <w:p>
      <w:pPr>
        <w:pStyle w:val="Normal"/>
      </w:pPr>
      <w:r>
        <w:rPr>
          <w:color w:val="323232"/>
        </w:rPr>
        <w:t xml:space="preserve">Nanelle R Barash, Brittany Thomas, Adam J Birkenheuer, Edward B Breitschwerdt, Erica Lemler, and Barbara A Qurollo.</w:t>
      </w:r>
    </w:p>
    <w:p/>
    <w:p>
      <w:pPr>
        <w:pStyle w:val="Normal"/>
      </w:pPr>
      <w:r>
        <w:rPr>
          <w:color w:val="323232"/>
        </w:rPr>
        <w:t xml:space="preserve">BACKGROUND:Babesiosis is an important cause of thrombocytopenia and hemolytic anemia in dogs. Babesia vulpes, reported in European dogs and North American foxes, rarely has been reported in domestic North American dogs. Newly optimized polymerase chain reaction (PCR) primers facilitate more sensitive amplification of B. vulpes DNA.</w:t>
      </w:r>
    </w:p>
    <w:p/>
    <w:p>
      <w:pPr>
        <w:pStyle w:val="Normal"/>
      </w:pPr>
      <w:r>
        <w:rPr>
          <w:color w:val="323232"/>
        </w:rPr>
        <w:t xml:space="preserve">OBJECTIVES:To determine the prevalence of Babesia sp. infections in dogs being tested for Babesia infection, and to describe co-infections and clinicopathologic abnormalities in B. vulpes positive dogs.</w:t>
      </w:r>
    </w:p>
    <w:p/>
    <w:p>
      <w:pPr>
        <w:pStyle w:val="Normal"/>
      </w:pPr>
      <w:r>
        <w:rPr>
          <w:color w:val="323232"/>
        </w:rPr>
        <w:t xml:space="preserve">ANIMALS:Dog blood or tissue samples (n = 9367) submitted to a diagnostic laboratory between June 2015 and June 2018 were tested using an optimized Babesia PCR assay.</w:t>
      </w:r>
    </w:p>
    <w:p/>
    <w:p>
      <w:pPr>
        <w:pStyle w:val="Normal"/>
      </w:pPr>
      <w:r>
        <w:rPr>
          <w:color w:val="323232"/>
        </w:rPr>
        <w:t xml:space="preserve">METHODS:Comprehensive canine vector-borne disease diagnostic testing was performed on convenience samples.</w:t>
      </w:r>
    </w:p>
    <w:p/>
    <w:p>
      <w:pPr>
        <w:pStyle w:val="Normal"/>
      </w:pPr>
      <w:r>
        <w:rPr>
          <w:color w:val="323232"/>
        </w:rPr>
        <w:t xml:space="preserve">RESULTS:Babesia sp. DNA was amplified from 269/9367 (2.9%) North American dogs. Babesia sp. infections included B. gibsoni monoinfection (157; 1.7%), B. vulpes monoinfection (19; 0.20%), and B. gibsoni and B. vulpes coinfection (29; 0.31%). Forty-three of the 48 total B. vulpes-infected dogs were American Pit Bull Terrier-type breeds, of which 36 historically were involved with dog fights. Coinfections with Mycoplasma, Dirofilaria immitis, or Wolbachia and coexposures to Bartonella, Ehrlichia, and Rickettsia spp. were documented in B. vulpes-infected dogs. Clinicopathologic data in B. vulpes-infected dogs both with and without coinfections included anemia, thrombocytopenia, hyperglobulinemia, hypoalbuminemia, and proteinuria.</w:t>
      </w:r>
    </w:p>
    <w:p/>
    <w:p>
      <w:pPr>
        <w:pStyle w:val="Normal"/>
      </w:pPr>
      <w:r>
        <w:rPr>
          <w:color w:val="323232"/>
        </w:rPr>
        <w:t xml:space="preserve">CONCLUSIONS AND CLINICAL IMPORTANCE:Babesia vulpes infection in domestic North American dogs is commonly found in conjunction with other coinfections, including B. gibsoni and hemotropic Mycoplasma. Similar to B. gibsoni, dog-to-dog transmission of B. vulpes may be a frequent mode of transmission.</w:t>
      </w:r>
    </w:p>
    <w:p/>
    <w:p>
      <w:pPr>
        <w:pStyle w:val="Normal"/>
      </w:pPr>
      <w:r>
        <w:rPr>
          <w:color w:val="323232"/>
        </w:rPr>
        <w:t xml:space="preserve">J Vet Intern Med, 2019 vol. 33 (5) pp. 2075-2081.</w:t>
      </w:r>
    </w:p>
    <w:p>
      <w:r>
        <w:rPr>
          <w:rStyle w:val="Hyperlink"/>
        </w:rPr>
        <w:fldChar w:fldCharType="begin"/>
      </w:r>
      <w:r>
        <w:rPr>
          <w:rStyle w:val="Hyperlink"/>
        </w:rPr>
        <w:instrText xml:space="preserve"> HYPERLINK "http://dx.doi.org/10.1111/jvim.15560" </w:instrText>
      </w:r>
      <w:r>
        <w:rPr>
          <w:rStyle w:val="Hyperlink"/>
        </w:rPr>
      </w:r>
      <w:r>
        <w:rPr>
          <w:rStyle w:val="Hyperlink"/>
        </w:rPr>
        <w:fldChar w:fldCharType="separate"/>
      </w:r>
      <w:pPr>
        <w:pStyle w:val="Normal"/>
      </w:pPr>
      <w:r>
        <w:rPr>
          <w:rStyle w:val="Hyperlink"/>
        </w:rPr>
        <w:t xml:space="preserve">http://dx.doi.org/10.1111/jvim.15560</w:t>
      </w:r>
      <w:r>
        <w:rPr>
          <w:rStyle w:val="Hyperlink"/>
        </w:rPr>
        <w:fldChar w:fldCharType="end"/>
      </w:r>
    </w:p>
    <w:p>
      <w:pPr>
        <w:pStyle w:val="Normal"/>
      </w:pPr>
      <w:r>
        <w:rPr>
          <w:color w:val="323232"/>
        </w:rPr>
        <w:t xml:space="preserve">————————</w:t>
      </w:r>
    </w:p>
    <w:p>
      <w:pPr>
        <w:pStyle w:val="Heading4"/>
      </w:pPr>
      <w:r>
        <w:t xml:space="preserve">Evaluation of the clinical performance of 2 point-of-care cryptococcal antigen tests in dogs and cats.</w:t>
      </w:r>
    </w:p>
    <w:p/>
    <w:p>
      <w:pPr>
        <w:pStyle w:val="Normal"/>
      </w:pPr>
      <w:r>
        <w:rPr>
          <w:color w:val="323232"/>
        </w:rPr>
        <w:t xml:space="preserve">Krystle L Reagan, Ian McHardy, George R Thompson, and Jane E Sykes.</w:t>
      </w:r>
    </w:p>
    <w:p/>
    <w:p>
      <w:pPr>
        <w:pStyle w:val="Normal"/>
      </w:pPr>
      <w:r>
        <w:rPr>
          <w:color w:val="323232"/>
        </w:rPr>
        <w:t xml:space="preserve">BACKGROUND:Point-of-care (POC) Cryptococcus antigen assays may provide veterinarians with a more rapid, patient-side diagnosis when compared with traditional laboratory-based latex agglutination tests.</w:t>
      </w:r>
    </w:p>
    <w:p/>
    <w:p>
      <w:pPr>
        <w:pStyle w:val="Normal"/>
      </w:pPr>
      <w:r>
        <w:rPr>
          <w:color w:val="323232"/>
        </w:rPr>
        <w:t xml:space="preserve">OBJECTIVE:To determine the sensitivity and specificity of 2 POC lateral flow cryptococcal serum antigen tests, CrAg LFA (Immy, Norman, OK) and the CryptoPS (Biosynex, Strasbourg, France) for diagnosis of cryptococcosis in dogs and cats, using the cryptococcal antigen latex agglutination system (CALAS) as the reference standard.</w:t>
      </w:r>
    </w:p>
    <w:p/>
    <w:p>
      <w:pPr>
        <w:pStyle w:val="Normal"/>
      </w:pPr>
      <w:r>
        <w:rPr>
          <w:color w:val="323232"/>
        </w:rPr>
        <w:t xml:space="preserve">ANIMALS:102 serum samples from 51 dogs and 40 cats.</w:t>
      </w:r>
    </w:p>
    <w:p/>
    <w:p>
      <w:pPr>
        <w:pStyle w:val="Normal"/>
      </w:pPr>
      <w:r>
        <w:rPr>
          <w:color w:val="323232"/>
        </w:rPr>
        <w:t xml:space="preserve">METHODS:Specimens were classified as CALAS-positive (n = 25) or CALAS-negative (n = 77). The sensitivity and specificity of each POC assay was calculated by comparing the results to the serologic reference standard results.</w:t>
      </w:r>
    </w:p>
    <w:p/>
    <w:p>
      <w:pPr>
        <w:pStyle w:val="Normal"/>
      </w:pPr>
      <w:r>
        <w:rPr>
          <w:color w:val="323232"/>
        </w:rPr>
        <w:t xml:space="preserve">RESULTS:The CrAg LFA assay correctly classified 23/25 CALAS-positive specimens and 69/74 CALAS-negative specimens resulting in a sensitivity of 92.0% (confidence interval [CI], 75.0%-98.6%) and specificity of 93.2% (CI, 85.1%-97.1%). The CryptoPS assay correctly classified 8/10 tested CALAS-positive specimens and 56/59 tested CALAS-negative specimens resulting in a sensitivity of 80.0% (CI, 49.0%-96.5%) and specificity of 94.9% (CI, 86.1%-98.6%).</w:t>
      </w:r>
    </w:p>
    <w:p/>
    <w:p>
      <w:pPr>
        <w:pStyle w:val="Normal"/>
      </w:pPr>
      <w:r>
        <w:rPr>
          <w:color w:val="323232"/>
        </w:rPr>
        <w:t xml:space="preserve">CONCLUSION AND CLINICAL IMPORTANCE:The POC assays appear to be a sensitive and specific alternative to the traditional CALAS assay with more rapid turnaround times, which may result in earlier diagnosis and treatment.</w:t>
      </w:r>
    </w:p>
    <w:p/>
    <w:p>
      <w:pPr>
        <w:pStyle w:val="Normal"/>
      </w:pPr>
      <w:r>
        <w:rPr>
          <w:color w:val="323232"/>
        </w:rPr>
        <w:t xml:space="preserve">J Vet Intern Med, 2019 vol. 33 (5) pp. 2082-2089.</w:t>
      </w:r>
    </w:p>
    <w:p>
      <w:r>
        <w:rPr>
          <w:rStyle w:val="Hyperlink"/>
        </w:rPr>
        <w:fldChar w:fldCharType="begin"/>
      </w:r>
      <w:r>
        <w:rPr>
          <w:rStyle w:val="Hyperlink"/>
        </w:rPr>
        <w:instrText xml:space="preserve"> HYPERLINK "http://dx.doi.org/10.1111/jvim.15599" </w:instrText>
      </w:r>
      <w:r>
        <w:rPr>
          <w:rStyle w:val="Hyperlink"/>
        </w:rPr>
      </w:r>
      <w:r>
        <w:rPr>
          <w:rStyle w:val="Hyperlink"/>
        </w:rPr>
        <w:fldChar w:fldCharType="separate"/>
      </w:r>
      <w:pPr>
        <w:pStyle w:val="Normal"/>
      </w:pPr>
      <w:r>
        <w:rPr>
          <w:rStyle w:val="Hyperlink"/>
        </w:rPr>
        <w:t xml:space="preserve">http://dx.doi.org/10.1111/jvim.15599</w:t>
      </w:r>
      <w:r>
        <w:rPr>
          <w:rStyle w:val="Hyperlink"/>
        </w:rPr>
        <w:fldChar w:fldCharType="end"/>
      </w:r>
    </w:p>
    <w:p>
      <w:pPr>
        <w:pStyle w:val="Normal"/>
      </w:pPr>
      <w:r>
        <w:rPr>
          <w:color w:val="323232"/>
        </w:rPr>
        <w:t xml:space="preserve">————————</w:t>
      </w:r>
    </w:p>
    <w:p>
      <w:pPr>
        <w:pStyle w:val="Heading4"/>
      </w:pPr>
      <w:r>
        <w:t xml:space="preserve">Epidemiologic evaluation of calcium oxalate urolithiasis in dogs in the United States: 2010-2015.</w:t>
      </w:r>
    </w:p>
    <w:p/>
    <w:p>
      <w:pPr>
        <w:pStyle w:val="Normal"/>
      </w:pPr>
      <w:r>
        <w:rPr>
          <w:color w:val="323232"/>
        </w:rPr>
        <w:t xml:space="preserve">Vachira Hunprasit, Pamela J Schreiner, Jeffrey B Bender, and Jody P Lulich.</w:t>
      </w:r>
    </w:p>
    <w:p/>
    <w:p>
      <w:pPr>
        <w:pStyle w:val="Normal"/>
      </w:pPr>
      <w:r>
        <w:rPr>
          <w:color w:val="323232"/>
        </w:rPr>
        <w:t xml:space="preserve">BACKGROUND:Positive health implications of early recognition of calcium oxalate (CaOx) urolithiasis include increased opportunity for nonsurgical removal, early dietary modification to minimize urolith growth, early removal to avoid urinary obstruction, and early recognition of genetic and metabolic diseases before they contribute to additional morbidity.</w:t>
      </w:r>
    </w:p>
    <w:p/>
    <w:p>
      <w:pPr>
        <w:pStyle w:val="Normal"/>
      </w:pPr>
      <w:r>
        <w:rPr>
          <w:color w:val="323232"/>
        </w:rPr>
        <w:t xml:space="preserve">OBJECTIVES:To identify high- and low-risk dog breeds for CaOx uroliths and to determine the relationship of age and sex to the development of CaOx uroliths.</w:t>
      </w:r>
    </w:p>
    <w:p/>
    <w:p>
      <w:pPr>
        <w:pStyle w:val="Normal"/>
      </w:pPr>
      <w:r>
        <w:rPr>
          <w:color w:val="323232"/>
        </w:rPr>
        <w:t xml:space="preserve">ANIMALS:Calcium oxalate urolith submissions between 2010 and 2015.</w:t>
      </w:r>
    </w:p>
    <w:p/>
    <w:p>
      <w:pPr>
        <w:pStyle w:val="Normal"/>
      </w:pPr>
      <w:r>
        <w:rPr>
          <w:color w:val="323232"/>
        </w:rPr>
        <w:t xml:space="preserve">METHODS:A comparative cross-sectional study was conducted to identify high- and low-risk breeds for CaOx uroliths by comparing cases to multiple comparison groups. At-risk breeds were identified if odds ratios were significant (P value &lt;.05) across all comparison groups.</w:t>
      </w:r>
    </w:p>
    <w:p/>
    <w:p>
      <w:pPr>
        <w:pStyle w:val="Normal"/>
      </w:pPr>
      <w:r>
        <w:rPr>
          <w:color w:val="323232"/>
        </w:rPr>
        <w:t xml:space="preserve">RESULTS:Of 258</w:t>
      </w:r>
      <w:r>
        <w:rPr>
          <w:color w:val="323232"/>
        </w:rPr>
        <w:t xml:space="preserve"> </w:t>
      </w:r>
      <w:r>
        <w:rPr>
          <w:color w:val="323232"/>
        </w:rPr>
        <w:t xml:space="preserve">898 urolith submissions, 124</w:t>
      </w:r>
      <w:r>
        <w:rPr>
          <w:color w:val="323232"/>
        </w:rPr>
        <w:t xml:space="preserve"> </w:t>
      </w:r>
      <w:r>
        <w:rPr>
          <w:color w:val="323232"/>
        </w:rPr>
        <w:t xml:space="preserve">285 were CaOx. Calcium oxalate was identified in 212 breeds. Twelve breeds were identified as high-risk breeds, and 14 breeds were identified as low-risk breeds. All high-risk breeds were small dog breeds, and all low-risk breeds were medium to large dog breeds. Overall, the mean age</w:t>
      </w:r>
      <w:r>
        <w:rPr>
          <w:color w:val="323232"/>
        </w:rPr>
        <w:t xml:space="preserve"> </w:t>
      </w:r>
      <w:r>
        <w:rPr>
          <w:color w:val="323232"/>
        </w:rPr>
        <w:t xml:space="preserve">±</w:t>
      </w:r>
      <w:r>
        <w:rPr>
          <w:color w:val="323232"/>
        </w:rPr>
        <w:t xml:space="preserve"> </w:t>
      </w:r>
      <w:r>
        <w:rPr>
          <w:color w:val="323232"/>
        </w:rPr>
        <w:t xml:space="preserve">standard deviation of the first CaOx urolith was 8.4</w:t>
      </w:r>
      <w:r>
        <w:rPr>
          <w:color w:val="323232"/>
        </w:rPr>
        <w:t xml:space="preserve"> </w:t>
      </w:r>
      <w:r>
        <w:rPr>
          <w:color w:val="323232"/>
        </w:rPr>
        <w:t xml:space="preserve">±</w:t>
      </w:r>
      <w:r>
        <w:rPr>
          <w:color w:val="323232"/>
        </w:rPr>
        <w:t xml:space="preserve"> </w:t>
      </w:r>
      <w:r>
        <w:rPr>
          <w:color w:val="323232"/>
        </w:rPr>
        <w:t xml:space="preserve">2.8</w:t>
      </w:r>
      <w:r>
        <w:rPr>
          <w:color w:val="323232"/>
        </w:rPr>
        <w:t xml:space="preserve"> </w:t>
      </w:r>
      <w:r>
        <w:rPr>
          <w:color w:val="323232"/>
        </w:rPr>
        <w:t xml:space="preserve">years.</w:t>
      </w:r>
    </w:p>
    <w:p/>
    <w:p>
      <w:pPr>
        <w:pStyle w:val="Normal"/>
      </w:pPr>
      <w:r>
        <w:rPr>
          <w:color w:val="323232"/>
        </w:rPr>
        <w:t xml:space="preserve">CONCLUSIONS AND CLINICAL IMPORTANCE:To achieve the health benefits of preclinical evaluation, breeds at high risk for CaOx urolithiasis should be screened at 5 to 6</w:t>
      </w:r>
      <w:r>
        <w:rPr>
          <w:color w:val="323232"/>
        </w:rPr>
        <w:t xml:space="preserve"> </w:t>
      </w:r>
      <w:r>
        <w:rPr>
          <w:color w:val="323232"/>
        </w:rPr>
        <w:t xml:space="preserve">years of age, which is 2 to 3</w:t>
      </w:r>
      <w:r>
        <w:rPr>
          <w:color w:val="323232"/>
        </w:rPr>
        <w:t xml:space="preserve"> </w:t>
      </w:r>
      <w:r>
        <w:rPr>
          <w:color w:val="323232"/>
        </w:rPr>
        <w:t xml:space="preserve">years before likely development of clinical urolithiasis.</w:t>
      </w:r>
    </w:p>
    <w:p/>
    <w:p>
      <w:pPr>
        <w:pStyle w:val="Normal"/>
      </w:pPr>
      <w:r>
        <w:rPr>
          <w:color w:val="323232"/>
        </w:rPr>
        <w:t xml:space="preserve">J Vet Intern Med, 2019 vol. 33 (5) pp. 2090-2095.</w:t>
      </w:r>
    </w:p>
    <w:p>
      <w:r>
        <w:rPr>
          <w:rStyle w:val="Hyperlink"/>
        </w:rPr>
        <w:fldChar w:fldCharType="begin"/>
      </w:r>
      <w:r>
        <w:rPr>
          <w:rStyle w:val="Hyperlink"/>
        </w:rPr>
        <w:instrText xml:space="preserve"> HYPERLINK "http://dx.doi.org/10.1111/jvim.15613" </w:instrText>
      </w:r>
      <w:r>
        <w:rPr>
          <w:rStyle w:val="Hyperlink"/>
        </w:rPr>
      </w:r>
      <w:r>
        <w:rPr>
          <w:rStyle w:val="Hyperlink"/>
        </w:rPr>
        <w:fldChar w:fldCharType="separate"/>
      </w:r>
      <w:pPr>
        <w:pStyle w:val="Normal"/>
      </w:pPr>
      <w:r>
        <w:rPr>
          <w:rStyle w:val="Hyperlink"/>
        </w:rPr>
        <w:t xml:space="preserve">http://dx.doi.org/10.1111/jvim.15613</w:t>
      </w:r>
      <w:r>
        <w:rPr>
          <w:rStyle w:val="Hyperlink"/>
        </w:rPr>
        <w:fldChar w:fldCharType="end"/>
      </w:r>
    </w:p>
    <w:p>
      <w:pPr>
        <w:pStyle w:val="Normal"/>
      </w:pPr>
      <w:r>
        <w:rPr>
          <w:color w:val="323232"/>
        </w:rPr>
        <w:t xml:space="preserve">————————</w:t>
      </w:r>
    </w:p>
    <w:p>
      <w:pPr>
        <w:pStyle w:val="Heading4"/>
      </w:pPr>
      <w:r>
        <w:t xml:space="preserve">Differences in clinicopathologic variables between Borrelia C6 antigen seroreactive and Borrelia C6 seronegative glomerulopathy in dogs.</w:t>
      </w:r>
    </w:p>
    <w:p/>
    <w:p>
      <w:pPr>
        <w:pStyle w:val="Normal"/>
      </w:pPr>
      <w:r>
        <w:rPr>
          <w:color w:val="323232"/>
        </w:rPr>
        <w:t xml:space="preserve">Moria A Borys, PHILIP H KASS, Frederick C Mohr, and Jane E Sykes.</w:t>
      </w:r>
    </w:p>
    <w:p/>
    <w:p>
      <w:pPr>
        <w:pStyle w:val="Normal"/>
      </w:pPr>
      <w:r>
        <w:rPr>
          <w:color w:val="323232"/>
        </w:rPr>
        <w:t xml:space="preserve">BACKGROUND:Rapidly progressive glomerulonephritis has been described in dogs that seroreact to Borrelia burgdorferi, but no studies have compared clinicopathologic differences in Lyme-seroreactive dogs with protein-losing nephropathy (PLN) versus dogs with Borrelia-seronegative PLN.</w:t>
      </w:r>
    </w:p>
    <w:p/>
    <w:p>
      <w:pPr>
        <w:pStyle w:val="Normal"/>
      </w:pPr>
      <w:r>
        <w:rPr>
          <w:color w:val="323232"/>
        </w:rPr>
        <w:t xml:space="preserve">HYPOTHESIS/OBJECTIVES:Dogs with Borrelia C6 antigen-seroreactive PLN have distinct clinicopathologic findings when compared to dogs with Borrelia seronegative PLN.</w:t>
      </w:r>
    </w:p>
    <w:p/>
    <w:p>
      <w:pPr>
        <w:pStyle w:val="Normal"/>
      </w:pPr>
      <w:r>
        <w:rPr>
          <w:color w:val="323232"/>
        </w:rPr>
        <w:t xml:space="preserve">ANIMALS:Forty dogs with PLN and Borrelia C6 antigen seroreactivity and 78 C6-seronegative temporally matched dogs with PLN.</w:t>
      </w:r>
    </w:p>
    <w:p/>
    <w:p>
      <w:pPr>
        <w:pStyle w:val="Normal"/>
      </w:pPr>
      <w:r>
        <w:rPr>
          <w:color w:val="323232"/>
        </w:rPr>
        <w:t xml:space="preserve">METHODS:Retrospective prevalence case-control study. Clinical information was retrieved from records of dogs examined at the University of California, Davis, Veterinary Medical Teaching Hospital. Histopathologic findings in renal tissue procured by biopsy or necropsy of dogs with PLN were reviewed.</w:t>
      </w:r>
    </w:p>
    <w:p/>
    <w:p>
      <w:pPr>
        <w:pStyle w:val="Normal"/>
      </w:pPr>
      <w:r>
        <w:rPr>
          <w:color w:val="323232"/>
        </w:rPr>
        <w:t xml:space="preserve">RESULTS:Retrievers and retriever mixes were overrepresented in seroreactive dogs (P</w:t>
      </w:r>
      <w:r>
        <w:rPr>
          <w:color w:val="323232"/>
        </w:rPr>
        <w:t xml:space="preserve"> </w:t>
      </w:r>
      <w:r>
        <w:rPr>
          <w:color w:val="323232"/>
        </w:rPr>
        <w:t xml:space="preserve">&lt;</w:t>
      </w:r>
      <w:r>
        <w:rPr>
          <w:color w:val="323232"/>
        </w:rPr>
        <w:t xml:space="preserve"> </w:t>
      </w:r>
      <w:r>
        <w:rPr>
          <w:color w:val="323232"/>
        </w:rPr>
        <w:t xml:space="preserve">.001). Seroreactive dogs were more likely to have thrombocytopenia (P</w:t>
      </w:r>
      <w:r>
        <w:rPr>
          <w:color w:val="323232"/>
        </w:rPr>
        <w:t xml:space="preserve"> </w:t>
      </w:r>
      <w:r>
        <w:rPr>
          <w:color w:val="323232"/>
        </w:rPr>
        <w:t xml:space="preserve">&lt;</w:t>
      </w:r>
      <w:r>
        <w:rPr>
          <w:color w:val="323232"/>
        </w:rPr>
        <w:t xml:space="preserve"> </w:t>
      </w:r>
      <w:r>
        <w:rPr>
          <w:color w:val="323232"/>
        </w:rPr>
        <w:t xml:space="preserve">.001), azotemia (P = .002), hyperphosphatemia (P</w:t>
      </w:r>
      <w:r>
        <w:rPr>
          <w:color w:val="323232"/>
        </w:rPr>
        <w:t xml:space="preserve"> </w:t>
      </w:r>
      <w:r>
        <w:rPr>
          <w:color w:val="323232"/>
        </w:rPr>
        <w:t xml:space="preserve">&lt;</w:t>
      </w:r>
      <w:r>
        <w:rPr>
          <w:color w:val="323232"/>
        </w:rPr>
        <w:t xml:space="preserve"> </w:t>
      </w:r>
      <w:r>
        <w:rPr>
          <w:color w:val="323232"/>
        </w:rPr>
        <w:t xml:space="preserve">.001), anemia (P</w:t>
      </w:r>
      <w:r>
        <w:rPr>
          <w:color w:val="323232"/>
        </w:rPr>
        <w:t xml:space="preserve"> </w:t>
      </w:r>
      <w:r>
        <w:rPr>
          <w:color w:val="323232"/>
        </w:rPr>
        <w:t xml:space="preserve">&lt;</w:t>
      </w:r>
      <w:r>
        <w:rPr>
          <w:color w:val="323232"/>
        </w:rPr>
        <w:t xml:space="preserve"> </w:t>
      </w:r>
      <w:r>
        <w:rPr>
          <w:color w:val="323232"/>
        </w:rPr>
        <w:t xml:space="preserve">.001), and neutrophilia (P = .003). Hematuria, glucosuria, and pyuria despite negative urine culture were more likely in seroreactive dogs (all P</w:t>
      </w:r>
      <w:r>
        <w:rPr>
          <w:color w:val="323232"/>
        </w:rPr>
        <w:t xml:space="preserve"> </w:t>
      </w:r>
      <w:r>
        <w:rPr>
          <w:color w:val="323232"/>
        </w:rPr>
        <w:t xml:space="preserve">≤</w:t>
      </w:r>
      <w:r>
        <w:rPr>
          <w:color w:val="323232"/>
        </w:rPr>
        <w:t xml:space="preserve"> </w:t>
      </w:r>
      <w:r>
        <w:rPr>
          <w:color w:val="323232"/>
        </w:rPr>
        <w:t xml:space="preserve">.002). Histopathologic findings were consistent with immune-complex glomerulonephritis in 16 of 16 case dogs and 7 of 23 control dogs (P = 006). Prevalence of polyarthritis was not different between groups (P = .17).</w:t>
      </w:r>
    </w:p>
    <w:p/>
    <w:p>
      <w:pPr>
        <w:pStyle w:val="Normal"/>
      </w:pPr>
      <w:r>
        <w:rPr>
          <w:color w:val="323232"/>
        </w:rPr>
        <w:t xml:space="preserve">CONCLUSIONS AND CLINICAL IMPORTANCE:C6 seroreactivity in dogs with PLN is associated with a clinicopathologically distinct syndrome when compared with other types of PLN. Early recognition of this syndrome has the potential to improve outcomes through specific aggressive and early treatment.</w:t>
      </w:r>
    </w:p>
    <w:p/>
    <w:p>
      <w:pPr>
        <w:pStyle w:val="Normal"/>
      </w:pPr>
      <w:r>
        <w:rPr>
          <w:color w:val="323232"/>
        </w:rPr>
        <w:t xml:space="preserve">J Vet Intern Med, 2019 vol. 33 (5) pp. 2096-2104.</w:t>
      </w:r>
    </w:p>
    <w:p>
      <w:r>
        <w:rPr>
          <w:rStyle w:val="Hyperlink"/>
        </w:rPr>
        <w:fldChar w:fldCharType="begin"/>
      </w:r>
      <w:r>
        <w:rPr>
          <w:rStyle w:val="Hyperlink"/>
        </w:rPr>
        <w:instrText xml:space="preserve"> HYPERLINK "http://dx.doi.org/10.1111/jvim.15586" </w:instrText>
      </w:r>
      <w:r>
        <w:rPr>
          <w:rStyle w:val="Hyperlink"/>
        </w:rPr>
      </w:r>
      <w:r>
        <w:rPr>
          <w:rStyle w:val="Hyperlink"/>
        </w:rPr>
        <w:fldChar w:fldCharType="separate"/>
      </w:r>
      <w:pPr>
        <w:pStyle w:val="Normal"/>
      </w:pPr>
      <w:r>
        <w:rPr>
          <w:rStyle w:val="Hyperlink"/>
        </w:rPr>
        <w:t xml:space="preserve">http://dx.doi.org/10.1111/jvim.15586</w:t>
      </w:r>
      <w:r>
        <w:rPr>
          <w:rStyle w:val="Hyperlink"/>
        </w:rPr>
        <w:fldChar w:fldCharType="end"/>
      </w:r>
    </w:p>
    <w:p>
      <w:pPr>
        <w:pStyle w:val="Normal"/>
      </w:pPr>
      <w:r>
        <w:rPr>
          <w:color w:val="323232"/>
        </w:rPr>
        <w:t xml:space="preserve">————————</w:t>
      </w:r>
    </w:p>
    <w:p>
      <w:pPr>
        <w:pStyle w:val="Heading4"/>
      </w:pPr>
      <w:r>
        <w:t xml:space="preserve">Diagnostic potential of simplified methods for measuring glomerular filtration rate to detect chronic kidney disease in dogs.</w:t>
      </w:r>
    </w:p>
    <w:p/>
    <w:p>
      <w:pPr>
        <w:pStyle w:val="Normal"/>
      </w:pPr>
      <w:r>
        <w:rPr>
          <w:color w:val="323232"/>
        </w:rPr>
        <w:t xml:space="preserve">Paola Pocar, Paola Scarpa, Anna Berrini, Petra Cagnardi, Rita Rizzi, and Vitaliano Borromeo.</w:t>
      </w:r>
    </w:p>
    <w:p/>
    <w:p>
      <w:pPr>
        <w:pStyle w:val="Normal"/>
      </w:pPr>
      <w:r>
        <w:rPr>
          <w:color w:val="323232"/>
        </w:rPr>
        <w:t xml:space="preserve">BACKGROUND:Glomerular filtration rate (GFR) is the most sensitive indicator of initial renal function decline during chronic kidney disease (CKD), but conventional protocols for measuring GFR are labor-intensive and stressful for the dog.</w:t>
      </w:r>
    </w:p>
    <w:p/>
    <w:p>
      <w:pPr>
        <w:pStyle w:val="Normal"/>
      </w:pPr>
      <w:r>
        <w:rPr>
          <w:color w:val="323232"/>
        </w:rPr>
        <w:t xml:space="preserve">OBJECTIVES:To assess the diagnostic potential for detecting CKD with simplified GFR protocols based on iohexol plasma clearance.</w:t>
      </w:r>
    </w:p>
    <w:p/>
    <w:p>
      <w:pPr>
        <w:pStyle w:val="Normal"/>
      </w:pPr>
      <w:r>
        <w:rPr>
          <w:color w:val="323232"/>
        </w:rPr>
        <w:t xml:space="preserve">ANIMALS:Seventeen CKD-positive and 23 CKD-negative dogs of different breeds and sex.</w:t>
      </w:r>
    </w:p>
    <w:p/>
    <w:p>
      <w:pPr>
        <w:pStyle w:val="Normal"/>
      </w:pPr>
      <w:r>
        <w:rPr>
          <w:color w:val="323232"/>
        </w:rPr>
        <w:t xml:space="preserve">METHODS:Prospective nonrandomized study. Plasma iohexol was measured 5, 15, 60, 90, and 180</w:t>
      </w:r>
      <w:r>
        <w:rPr>
          <w:color w:val="323232"/>
        </w:rPr>
        <w:t xml:space="preserve"> </w:t>
      </w:r>
      <w:r>
        <w:rPr>
          <w:color w:val="323232"/>
        </w:rPr>
        <w:t xml:space="preserve">minutes after injection. Glomerular filtration rate was calculated using 5 samples (GFR5 ) or simplified protocols based on 1, 2, or 3 samples. The GFR5 and simplified GFR were compared by Bland-Altmann and concordance correlation coefficient (CCC) analysis, and diagnostic accuracy for CKD by receiver operating characteristic curves. A gray zone for each protocol was bounded by the fourth quartile of the CKD-positive population (lower cutoff) and the first quartile of the CKD-negative population (upper cutoff).</w:t>
      </w:r>
    </w:p>
    <w:p/>
    <w:p>
      <w:pPr>
        <w:pStyle w:val="Normal"/>
      </w:pPr>
      <w:r>
        <w:rPr>
          <w:color w:val="323232"/>
        </w:rPr>
        <w:t xml:space="preserve">RESULTS:All simplified protocols gave reliable GFR measurements, comparable to reference GFR5 (CCC</w:t>
      </w:r>
      <w:r>
        <w:rPr>
          <w:color w:val="323232"/>
        </w:rPr>
        <w:t xml:space="preserve"> </w:t>
      </w:r>
      <w:r>
        <w:rPr>
          <w:color w:val="323232"/>
        </w:rPr>
        <w:t xml:space="preserve">&gt;0.92). Simplified protocols which included the 180-minutes sampling granted the best GFR measure (CCC: 0.98), with strong diagnostic potential for CKD (area under the receiver operating characteristic curve ± SE: 0.98</w:t>
      </w:r>
      <w:r>
        <w:rPr>
          <w:color w:val="323232"/>
        </w:rPr>
        <w:t xml:space="preserve"> </w:t>
      </w:r>
      <w:r>
        <w:rPr>
          <w:color w:val="323232"/>
        </w:rPr>
        <w:t xml:space="preserve">±</w:t>
      </w:r>
      <w:r>
        <w:rPr>
          <w:color w:val="323232"/>
        </w:rPr>
        <w:t xml:space="preserve"> </w:t>
      </w:r>
      <w:r>
        <w:rPr>
          <w:color w:val="323232"/>
        </w:rPr>
        <w:t xml:space="preserve">0.01). A double cutoff including a zone of CKD uncertainty guaranteed reliable diagnosis outside the gray area and identified borderline dogs inside it.</w:t>
      </w:r>
    </w:p>
    <w:p/>
    <w:p>
      <w:pPr>
        <w:pStyle w:val="Normal"/>
      </w:pPr>
      <w:r>
        <w:rPr>
          <w:color w:val="323232"/>
        </w:rPr>
        <w:t xml:space="preserve">CONCLUSIONS:The simplified GFR protocols offer an accurate, hands-on tool for CKD diagnosis in dogs. The gray zone might help decision-making in the management of early kidney dysfunction.</w:t>
      </w:r>
    </w:p>
    <w:p/>
    <w:p>
      <w:pPr>
        <w:pStyle w:val="Normal"/>
      </w:pPr>
      <w:r>
        <w:rPr>
          <w:color w:val="323232"/>
        </w:rPr>
        <w:t xml:space="preserve">J Vet Intern Med, 2019 vol. 33 (5) pp. 2105-2116.</w:t>
      </w:r>
    </w:p>
    <w:p>
      <w:r>
        <w:rPr>
          <w:rStyle w:val="Hyperlink"/>
        </w:rPr>
        <w:fldChar w:fldCharType="begin"/>
      </w:r>
      <w:r>
        <w:rPr>
          <w:rStyle w:val="Hyperlink"/>
        </w:rPr>
        <w:instrText xml:space="preserve"> HYPERLINK "http://dx.doi.org/10.1111/jvim.15573" </w:instrText>
      </w:r>
      <w:r>
        <w:rPr>
          <w:rStyle w:val="Hyperlink"/>
        </w:rPr>
      </w:r>
      <w:r>
        <w:rPr>
          <w:rStyle w:val="Hyperlink"/>
        </w:rPr>
        <w:fldChar w:fldCharType="separate"/>
      </w:r>
      <w:pPr>
        <w:pStyle w:val="Normal"/>
      </w:pPr>
      <w:r>
        <w:rPr>
          <w:rStyle w:val="Hyperlink"/>
        </w:rPr>
        <w:t xml:space="preserve">http://dx.doi.org/10.1111/jvim.15573</w:t>
      </w:r>
      <w:r>
        <w:rPr>
          <w:rStyle w:val="Hyperlink"/>
        </w:rPr>
        <w:fldChar w:fldCharType="end"/>
      </w:r>
    </w:p>
    <w:p>
      <w:pPr>
        <w:pStyle w:val="Normal"/>
      </w:pPr>
      <w:r>
        <w:rPr>
          <w:color w:val="323232"/>
        </w:rPr>
        <w:t xml:space="preserve">————————</w:t>
      </w:r>
    </w:p>
    <w:p>
      <w:pPr>
        <w:pStyle w:val="Heading4"/>
      </w:pPr>
      <w:r>
        <w:t xml:space="preserve">A prospective randomized study of efficacy of 2 treatment protocols in preventing recurrence of clinical signs in 51 male cats with obstructive idiopathic cystitis.</w:t>
      </w:r>
    </w:p>
    <w:p/>
    <w:p>
      <w:pPr>
        <w:pStyle w:val="Normal"/>
      </w:pPr>
      <w:r>
        <w:rPr>
          <w:color w:val="323232"/>
        </w:rPr>
        <w:t xml:space="preserve">Ran Nivy, Gilad Segev, Dar Rimer, Yaron Bruchim, Itamar Aroch, and Michal Mazaki-Tovi.</w:t>
      </w:r>
    </w:p>
    <w:p/>
    <w:p>
      <w:pPr>
        <w:pStyle w:val="Normal"/>
      </w:pPr>
      <w:r>
        <w:rPr>
          <w:color w:val="323232"/>
        </w:rPr>
        <w:t xml:space="preserve">BACKGROUND:Urethral obstruction (UO) is a common complication of feline idiopathic cystitis (FIC). Robust treatment recommendations to prevent its recurrence are scarce.</w:t>
      </w:r>
    </w:p>
    <w:p/>
    <w:p>
      <w:pPr>
        <w:pStyle w:val="Normal"/>
      </w:pPr>
      <w:r>
        <w:rPr>
          <w:color w:val="323232"/>
        </w:rPr>
        <w:t xml:space="preserve">OBJECTIVES:To evaluate meloxicam treatment for prevention of clinical recrudescence in male cats with obstructive FIC.</w:t>
      </w:r>
    </w:p>
    <w:p/>
    <w:p>
      <w:pPr>
        <w:pStyle w:val="Normal"/>
      </w:pPr>
      <w:r>
        <w:rPr>
          <w:color w:val="323232"/>
        </w:rPr>
        <w:t xml:space="preserve">ANIMALS:Fifty-one client-owned cats.</w:t>
      </w:r>
    </w:p>
    <w:p/>
    <w:p>
      <w:pPr>
        <w:pStyle w:val="Normal"/>
      </w:pPr>
      <w:r>
        <w:rPr>
          <w:color w:val="323232"/>
        </w:rPr>
        <w:t xml:space="preserve">METHODS:Prospective, randomized clinical trial. Every male cat with FIC-associated UO was deemed eligible for the study and was recruited during hospitalization. After discharge, cats were treated with phenoxybenzamine and alprazolam for 2</w:t>
      </w:r>
      <w:r>
        <w:rPr>
          <w:color w:val="323232"/>
        </w:rPr>
        <w:t xml:space="preserve"> </w:t>
      </w:r>
      <w:r>
        <w:rPr>
          <w:color w:val="323232"/>
        </w:rPr>
        <w:t xml:space="preserve">weeks, with (24 cats) or without (27 cats) low-dose meloxicam (0.025</w:t>
      </w:r>
      <w:r>
        <w:rPr>
          <w:color w:val="323232"/>
        </w:rPr>
        <w:t xml:space="preserve"> </w:t>
      </w:r>
      <w:r>
        <w:rPr>
          <w:color w:val="323232"/>
        </w:rPr>
        <w:t xml:space="preserve">mg</w:t>
      </w:r>
      <w:r>
        <w:rPr>
          <w:i w:val="1"/>
          <w:color w:val="323232"/>
        </w:rPr>
        <w:t xml:space="preserve">kg</w:t>
      </w:r>
      <w:r>
        <w:rPr>
          <w:color w:val="323232"/>
        </w:rPr>
        <w:t xml:space="preserve">day PO) and monitored for 6</w:t>
      </w:r>
      <w:r>
        <w:rPr>
          <w:color w:val="323232"/>
        </w:rPr>
        <w:t xml:space="preserve"> </w:t>
      </w:r>
      <w:r>
        <w:rPr>
          <w:color w:val="323232"/>
        </w:rPr>
        <w:t xml:space="preserve">months.</w:t>
      </w:r>
    </w:p>
    <w:p/>
    <w:p>
      <w:pPr>
        <w:pStyle w:val="Normal"/>
      </w:pPr>
      <w:r>
        <w:rPr>
          <w:color w:val="323232"/>
        </w:rPr>
        <w:t xml:space="preserve">RESULTS:Cumulative number (%) of cats with recurrent UO at 10</w:t>
      </w:r>
      <w:r>
        <w:rPr>
          <w:color w:val="323232"/>
        </w:rPr>
        <w:t xml:space="preserve"> </w:t>
      </w:r>
      <w:r>
        <w:rPr>
          <w:color w:val="323232"/>
        </w:rPr>
        <w:t xml:space="preserve">days, 1-, 2-, and 6-months after discharge was 1 (2%), 2 (4%), 4 (8%), and 8 (16%), respectively. Overall, 12 (24%) cats experienced signs of recurrent FIC within 6</w:t>
      </w:r>
      <w:r>
        <w:rPr>
          <w:color w:val="323232"/>
        </w:rPr>
        <w:t xml:space="preserve"> </w:t>
      </w:r>
      <w:r>
        <w:rPr>
          <w:color w:val="323232"/>
        </w:rPr>
        <w:t xml:space="preserve">months, with (8 cats) or without (4 cats) concurrent UO. No difference in the cumulative incidence of UO within 6</w:t>
      </w:r>
      <w:r>
        <w:rPr>
          <w:color w:val="323232"/>
        </w:rPr>
        <w:t xml:space="preserve"> </w:t>
      </w:r>
      <w:r>
        <w:rPr>
          <w:color w:val="323232"/>
        </w:rPr>
        <w:t xml:space="preserve">months was detected with addition of meloxicam (odds ratio [95% confidence interval], 0.63 [0.13-2.97]; P =</w:t>
      </w:r>
      <w:r>
        <w:rPr>
          <w:color w:val="323232"/>
        </w:rPr>
        <w:t xml:space="preserve"> </w:t>
      </w:r>
      <w:r>
        <w:rPr>
          <w:color w:val="323232"/>
        </w:rPr>
        <w:t xml:space="preserve">.70). All cats were alive at 6</w:t>
      </w:r>
      <w:r>
        <w:rPr>
          <w:color w:val="323232"/>
        </w:rPr>
        <w:t xml:space="preserve"> </w:t>
      </w:r>
      <w:r>
        <w:rPr>
          <w:color w:val="323232"/>
        </w:rPr>
        <w:t xml:space="preserve">months.</w:t>
      </w:r>
    </w:p>
    <w:p/>
    <w:p>
      <w:pPr>
        <w:pStyle w:val="Normal"/>
      </w:pPr>
      <w:r>
        <w:rPr>
          <w:color w:val="323232"/>
        </w:rPr>
        <w:t xml:space="preserve">CONCLUSIONS AND CLINICAL IMPORTANCE:No clinical benefit was detected with the addition of low-dose meloxicam to phenoxybenzamine and alprazolam treatment for 2</w:t>
      </w:r>
      <w:r>
        <w:rPr>
          <w:color w:val="323232"/>
        </w:rPr>
        <w:t xml:space="preserve"> </w:t>
      </w:r>
      <w:r>
        <w:rPr>
          <w:color w:val="323232"/>
        </w:rPr>
        <w:t xml:space="preserve">weeks after discharge. Nevertheless, this study was underpowered to identify potential differences, and its findings must be corroborated in larger studies.</w:t>
      </w:r>
    </w:p>
    <w:p/>
    <w:p>
      <w:pPr>
        <w:pStyle w:val="Normal"/>
      </w:pPr>
      <w:r>
        <w:rPr>
          <w:color w:val="323232"/>
        </w:rPr>
        <w:t xml:space="preserve">J Vet Intern Med, 2019 vol. 33 (5) pp. 2117-2123.</w:t>
      </w:r>
    </w:p>
    <w:p>
      <w:r>
        <w:rPr>
          <w:rStyle w:val="Hyperlink"/>
        </w:rPr>
        <w:fldChar w:fldCharType="begin"/>
      </w:r>
      <w:r>
        <w:rPr>
          <w:rStyle w:val="Hyperlink"/>
        </w:rPr>
        <w:instrText xml:space="preserve"> HYPERLINK "http://dx.doi.org/10.1111/jvim.15594" </w:instrText>
      </w:r>
      <w:r>
        <w:rPr>
          <w:rStyle w:val="Hyperlink"/>
        </w:rPr>
      </w:r>
      <w:r>
        <w:rPr>
          <w:rStyle w:val="Hyperlink"/>
        </w:rPr>
        <w:fldChar w:fldCharType="separate"/>
      </w:r>
      <w:pPr>
        <w:pStyle w:val="Normal"/>
      </w:pPr>
      <w:r>
        <w:rPr>
          <w:rStyle w:val="Hyperlink"/>
        </w:rPr>
        <w:t xml:space="preserve">http://dx.doi.org/10.1111/jvim.15594</w:t>
      </w:r>
      <w:r>
        <w:rPr>
          <w:rStyle w:val="Hyperlink"/>
        </w:rPr>
        <w:fldChar w:fldCharType="end"/>
      </w:r>
    </w:p>
    <w:p>
      <w:pPr>
        <w:pStyle w:val="Normal"/>
      </w:pPr>
      <w:r>
        <w:rPr>
          <w:color w:val="323232"/>
        </w:rPr>
        <w:t xml:space="preserve">————————</w:t>
      </w:r>
    </w:p>
    <w:p>
      <w:pPr>
        <w:pStyle w:val="Heading4"/>
      </w:pPr>
      <w:r>
        <w:t xml:space="preserve">Therapeutic use of tetrasodium ethylenediaminetetraacetic acid solution for treatment of subcutaneous ureteral bypass device mineralization in cats.</w:t>
      </w:r>
    </w:p>
    <w:p/>
    <w:p>
      <w:pPr>
        <w:pStyle w:val="Normal"/>
      </w:pPr>
      <w:r>
        <w:rPr>
          <w:color w:val="323232"/>
        </w:rPr>
        <w:t xml:space="preserve">Colin Chik, Allyson C Berent, Chick W Weisse, and Marcia Ryder.</w:t>
      </w:r>
    </w:p>
    <w:p/>
    <w:p>
      <w:pPr>
        <w:pStyle w:val="Normal"/>
      </w:pPr>
      <w:r>
        <w:rPr>
          <w:color w:val="323232"/>
        </w:rPr>
        <w:t xml:space="preserve">BACKGROUND:Subcutaneous ureteral bypass (SUB) device placement is an increasingly popular treatment option for decompression of ureteral obstruction in cats. Mineralization occlusion of the device occurs in a minority of cases but is the most common complication.</w:t>
      </w:r>
    </w:p>
    <w:p/>
    <w:p>
      <w:pPr>
        <w:pStyle w:val="Normal"/>
      </w:pPr>
      <w:r>
        <w:rPr>
          <w:color w:val="323232"/>
        </w:rPr>
        <w:t xml:space="preserve">OBJECTIVE:To evaluate a 2% tetrasodium ethylenediaminetetraacetic acid (tEDTA) solution for treatment of mineralization occlusion in cats with SUBs.</w:t>
      </w:r>
    </w:p>
    <w:p/>
    <w:p>
      <w:pPr>
        <w:pStyle w:val="Normal"/>
      </w:pPr>
      <w:r>
        <w:rPr>
          <w:color w:val="323232"/>
        </w:rPr>
        <w:t xml:space="preserve">ANIMALS:Six client-owned cats (8 obstructed devices).</w:t>
      </w:r>
    </w:p>
    <w:p/>
    <w:p>
      <w:pPr>
        <w:pStyle w:val="Normal"/>
      </w:pPr>
      <w:r>
        <w:rPr>
          <w:color w:val="323232"/>
        </w:rPr>
        <w:t xml:space="preserve">METHODS:Case series. Each cat was found to have device occlusion based on a combination of ultrasound examination, SUB irrigation, and failure to identify another cause of device obstruction. Each SUB was drained, irrigated using sterile saline, and infused with 1-2</w:t>
      </w:r>
      <w:r>
        <w:rPr>
          <w:color w:val="323232"/>
        </w:rPr>
        <w:t xml:space="preserve"> </w:t>
      </w:r>
      <w:r>
        <w:rPr>
          <w:color w:val="323232"/>
        </w:rPr>
        <w:t xml:space="preserve">mL of 2% tEDTA solution. Success was defined as normalization of flow during subsequent ultrasound visualization while irrigating. The volume and frequency of tEDTA instillations, time to achieve device patency, follow-up biochemical and ultrasound findings, and future reobstruction events were recorded.</w:t>
      </w:r>
    </w:p>
    <w:p/>
    <w:p>
      <w:pPr>
        <w:pStyle w:val="Normal"/>
      </w:pPr>
      <w:r>
        <w:rPr>
          <w:color w:val="323232"/>
        </w:rPr>
        <w:t xml:space="preserve">RESULTS:Resolution of mineralization was documented in all 8 SUBs. Reobstruction events occurred in 2 cats, all of which resolved after additional tEDTA infusions, but 1 cat ultimately required device exchange at 356</w:t>
      </w:r>
      <w:r>
        <w:rPr>
          <w:color w:val="323232"/>
        </w:rPr>
        <w:t xml:space="preserve"> </w:t>
      </w:r>
      <w:r>
        <w:rPr>
          <w:color w:val="323232"/>
        </w:rPr>
        <w:t xml:space="preserve">days from the first tEDTA infusion. In 1 cat, a single infusion was prematurely discontinued because of persistent pelvic dilatation after 1.25</w:t>
      </w:r>
      <w:r>
        <w:rPr>
          <w:color w:val="323232"/>
        </w:rPr>
        <w:t xml:space="preserve"> </w:t>
      </w:r>
      <w:r>
        <w:rPr>
          <w:color w:val="323232"/>
        </w:rPr>
        <w:t xml:space="preserve">mL of tEDTA had been instilled. No complications were observed.</w:t>
      </w:r>
    </w:p>
    <w:p/>
    <w:p>
      <w:pPr>
        <w:pStyle w:val="Normal"/>
      </w:pPr>
      <w:r>
        <w:rPr>
          <w:color w:val="323232"/>
        </w:rPr>
        <w:t xml:space="preserve">CONCLUSIONS AND CLINICAL IMPORTANCE:Tetrasodium EDTA infusions can be safely considered as a treatment option for mineralized SUB devices in cats. This solution was easily infused, well tolerated, and avoided the need for SUB device exchange in the majority of cats in which it was used.</w:t>
      </w:r>
    </w:p>
    <w:p/>
    <w:p>
      <w:pPr>
        <w:pStyle w:val="Normal"/>
      </w:pPr>
      <w:r>
        <w:rPr>
          <w:color w:val="323232"/>
        </w:rPr>
        <w:t xml:space="preserve">J Vet Intern Med, 2019 vol. 33 (5) pp. 2124-2132.</w:t>
      </w:r>
    </w:p>
    <w:p>
      <w:r>
        <w:rPr>
          <w:rStyle w:val="Hyperlink"/>
        </w:rPr>
        <w:fldChar w:fldCharType="begin"/>
      </w:r>
      <w:r>
        <w:rPr>
          <w:rStyle w:val="Hyperlink"/>
        </w:rPr>
        <w:instrText xml:space="preserve"> HYPERLINK "http://dx.doi.org/10.1111/jvim.15582" </w:instrText>
      </w:r>
      <w:r>
        <w:rPr>
          <w:rStyle w:val="Hyperlink"/>
        </w:rPr>
      </w:r>
      <w:r>
        <w:rPr>
          <w:rStyle w:val="Hyperlink"/>
        </w:rPr>
        <w:fldChar w:fldCharType="separate"/>
      </w:r>
      <w:pPr>
        <w:pStyle w:val="Normal"/>
      </w:pPr>
      <w:r>
        <w:rPr>
          <w:rStyle w:val="Hyperlink"/>
        </w:rPr>
        <w:t xml:space="preserve">http://dx.doi.org/10.1111/jvim.15582</w:t>
      </w:r>
      <w:r>
        <w:rPr>
          <w:rStyle w:val="Hyperlink"/>
        </w:rPr>
        <w:fldChar w:fldCharType="end"/>
      </w:r>
    </w:p>
    <w:p>
      <w:pPr>
        <w:pStyle w:val="Normal"/>
      </w:pPr>
      <w:r>
        <w:rPr>
          <w:color w:val="323232"/>
        </w:rPr>
        <w:t xml:space="preserve">————————</w:t>
      </w:r>
    </w:p>
    <w:p>
      <w:pPr>
        <w:pStyle w:val="Heading4"/>
      </w:pPr>
      <w:r>
        <w:t xml:space="preserve">Variability of first morning urine specific gravity in 103 healthy dogs.</w:t>
      </w:r>
    </w:p>
    <w:p/>
    <w:p>
      <w:pPr>
        <w:pStyle w:val="Normal"/>
      </w:pPr>
      <w:r>
        <w:rPr>
          <w:color w:val="323232"/>
        </w:rPr>
        <w:t xml:space="preserve">Adam Rudinsky, Catherine Cortright, Sally Purcell, Amy Cordner, Linda Lord, Maxey Wellman, Stephen DiBartola, and Dennis Chew.</w:t>
      </w:r>
    </w:p>
    <w:p/>
    <w:p>
      <w:pPr>
        <w:pStyle w:val="Normal"/>
      </w:pPr>
      <w:r>
        <w:rPr>
          <w:color w:val="323232"/>
        </w:rPr>
        <w:t xml:space="preserve">BACKGROUND:Urine specific gravity (USG) is an integral part of the urinalysis and a key component of many clinical decisions, and fluctuations in USG have the potential to impact case management.</w:t>
      </w:r>
    </w:p>
    <w:p/>
    <w:p>
      <w:pPr>
        <w:pStyle w:val="Normal"/>
      </w:pPr>
      <w:r>
        <w:rPr>
          <w:color w:val="323232"/>
        </w:rPr>
        <w:t xml:space="preserve">OBJECTIVES:To determine the intraindividual variability of first morning USG results in healthy dogs.</w:t>
      </w:r>
    </w:p>
    <w:p/>
    <w:p>
      <w:pPr>
        <w:pStyle w:val="Normal"/>
      </w:pPr>
      <w:r>
        <w:rPr>
          <w:color w:val="323232"/>
        </w:rPr>
        <w:t xml:space="preserve">ANIMALS:One hundred three healthy client-owned dogs.</w:t>
      </w:r>
    </w:p>
    <w:p/>
    <w:p>
      <w:pPr>
        <w:pStyle w:val="Normal"/>
      </w:pPr>
      <w:r>
        <w:rPr>
          <w:color w:val="323232"/>
        </w:rPr>
        <w:t xml:space="preserve">METHODS:Dogs were deemed healthy based on clinical history and physical examination findings. Repeated USG measurements were performed over the course of 2</w:t>
      </w:r>
      <w:r>
        <w:rPr>
          <w:color w:val="323232"/>
        </w:rPr>
        <w:t xml:space="preserve"> </w:t>
      </w:r>
      <w:r>
        <w:rPr>
          <w:color w:val="323232"/>
        </w:rPr>
        <w:t xml:space="preserve">weeks. Three urine samples were collected each week for a total of 6 samples per dog. Sample collection was distributed evenly throughout the week. Urine samples were acquired immediately upon waking and before any ingestion of liquids, food, or exertion of physical activity in the dogs. All measurements were made using the same Misco digital refractometer.</w:t>
      </w:r>
    </w:p>
    <w:p/>
    <w:p>
      <w:pPr>
        <w:pStyle w:val="Normal"/>
      </w:pPr>
      <w:r>
        <w:rPr>
          <w:color w:val="323232"/>
        </w:rPr>
        <w:t xml:space="preserve">RESULTS:Intraindividual USG was variable over the course of the study. The mean difference between the minimum and maximum USG for each dog was 0.015 (SD, 0.007). The within-week difference between the minimum and maximum USG was less than over the complete 2-week study (0.009 [SD 0.006] for week 1 and 0.010 [SD 0.007] for week 2). The mean coefficient of variance across all 6 time points was 15.4% (SD 8.97%).</w:t>
      </w:r>
    </w:p>
    <w:p/>
    <w:p>
      <w:pPr>
        <w:pStyle w:val="Normal"/>
      </w:pPr>
      <w:r>
        <w:rPr>
          <w:color w:val="323232"/>
        </w:rPr>
        <w:t xml:space="preserve">CONCLUSIONS AND CLINICAL IMPORTANCE:Clinically important variation occurs in USG in healthy animals and might impact clinical decision-making when diagnostic cutoff points are utilized. Clinicians should be aware of inherent variability in this clinical variable when analyzing results.</w:t>
      </w:r>
    </w:p>
    <w:p/>
    <w:p>
      <w:pPr>
        <w:pStyle w:val="Normal"/>
      </w:pPr>
      <w:r>
        <w:rPr>
          <w:color w:val="323232"/>
        </w:rPr>
        <w:t xml:space="preserve">J Vet Intern Med, 2019 vol. 33 (5) pp. 2133-2137.</w:t>
      </w:r>
    </w:p>
    <w:p>
      <w:r>
        <w:rPr>
          <w:rStyle w:val="Hyperlink"/>
        </w:rPr>
        <w:fldChar w:fldCharType="begin"/>
      </w:r>
      <w:r>
        <w:rPr>
          <w:rStyle w:val="Hyperlink"/>
        </w:rPr>
        <w:instrText xml:space="preserve"> HYPERLINK "http://dx.doi.org/10.1111/jvim.15592" </w:instrText>
      </w:r>
      <w:r>
        <w:rPr>
          <w:rStyle w:val="Hyperlink"/>
        </w:rPr>
      </w:r>
      <w:r>
        <w:rPr>
          <w:rStyle w:val="Hyperlink"/>
        </w:rPr>
        <w:fldChar w:fldCharType="separate"/>
      </w:r>
      <w:pPr>
        <w:pStyle w:val="Normal"/>
      </w:pPr>
      <w:r>
        <w:rPr>
          <w:rStyle w:val="Hyperlink"/>
        </w:rPr>
        <w:t xml:space="preserve">http://dx.doi.org/10.1111/jvim.15592</w:t>
      </w:r>
      <w:r>
        <w:rPr>
          <w:rStyle w:val="Hyperlink"/>
        </w:rPr>
        <w:fldChar w:fldCharType="end"/>
      </w:r>
    </w:p>
    <w:p>
      <w:pPr>
        <w:pStyle w:val="Normal"/>
      </w:pPr>
      <w:r>
        <w:rPr>
          <w:color w:val="323232"/>
        </w:rPr>
        <w:t xml:space="preserve">————————</w:t>
      </w:r>
    </w:p>
    <w:p>
      <w:pPr>
        <w:pStyle w:val="Heading4"/>
      </w:pPr>
      <w:r>
        <w:t xml:space="preserve">Behavioral and clinical signs of Chiari-like malformation-associated pain and syringomyelia in Cavalier King Charles spaniels.</w:t>
      </w:r>
    </w:p>
    <w:p/>
    <w:p>
      <w:pPr>
        <w:pStyle w:val="Normal"/>
      </w:pPr>
      <w:r>
        <w:rPr>
          <w:color w:val="323232"/>
        </w:rPr>
        <w:t xml:space="preserve">Clare Rusbridge, Angus K McFadyen, and Susan P Knower.</w:t>
      </w:r>
    </w:p>
    <w:p/>
    <w:p>
      <w:pPr>
        <w:pStyle w:val="Normal"/>
      </w:pPr>
      <w:r>
        <w:rPr>
          <w:color w:val="323232"/>
        </w:rPr>
        <w:t xml:space="preserve">BACKGROUND:Diagnosis of Chiari-like malformation-associated pain (CM-P) or clinically relevant syringomyelia (SM) is challenging. We sought to determine common signs.</w:t>
      </w:r>
    </w:p>
    <w:p/>
    <w:p>
      <w:pPr>
        <w:pStyle w:val="Normal"/>
      </w:pPr>
      <w:r>
        <w:rPr>
          <w:color w:val="323232"/>
        </w:rPr>
        <w:t xml:space="preserve">ANIMALS:One hundred thirty client-owned Cavalier King Charles spaniels with neuroaxis magnetic resonance imaging (MRI) and diagnosis of CM-P/SM. Dogs with comorbidities causing similar signs were excluded with exception of otitis media with effusion (OME).</w:t>
      </w:r>
    </w:p>
    <w:p/>
    <w:p>
      <w:pPr>
        <w:pStyle w:val="Normal"/>
      </w:pPr>
      <w:r>
        <w:rPr>
          <w:color w:val="323232"/>
        </w:rPr>
        <w:t xml:space="preserve">METHODS:Retrospective study of medical records relating signalment, signs, and MRI findings. Dogs were grouped by SM maximum transverse diameter (1 = no SM; 2 = 0.5-1.99</w:t>
      </w:r>
      <w:r>
        <w:rPr>
          <w:color w:val="323232"/>
        </w:rPr>
        <w:t xml:space="preserve"> </w:t>
      </w:r>
      <w:r>
        <w:rPr>
          <w:color w:val="323232"/>
        </w:rPr>
        <w:t xml:space="preserve">mm; 3 = 2-3.9</w:t>
      </w:r>
      <w:r>
        <w:rPr>
          <w:color w:val="323232"/>
        </w:rPr>
        <w:t xml:space="preserve"> </w:t>
      </w:r>
      <w:r>
        <w:rPr>
          <w:color w:val="323232"/>
        </w:rPr>
        <w:t xml:space="preserve">mm: 4 = ≥4</w:t>
      </w:r>
      <w:r>
        <w:rPr>
          <w:color w:val="323232"/>
        </w:rPr>
        <w:t xml:space="preserve"> </w:t>
      </w:r>
      <w:r>
        <w:rPr>
          <w:color w:val="323232"/>
        </w:rPr>
        <w:t xml:space="preserve">mm). Differences between all groups-groups 1 versus 2-4 and groups 1-3 versus 4-were investigated. Continuous variables were analyzed using 2-sample t-tests and analysis of variance. Associations between categorical variables were analyzed using Fisher's exact or chi-square tests.</w:t>
      </w:r>
    </w:p>
    <w:p/>
    <w:p>
      <w:pPr>
        <w:pStyle w:val="Normal"/>
      </w:pPr>
      <w:r>
        <w:rPr>
          <w:color w:val="323232"/>
        </w:rPr>
        <w:t xml:space="preserve">RESULTS:Common signs were vocalization (65.4%), spinal pain (54.6%), reduced activity (37.7%), reduced stairs</w:t>
      </w:r>
      <w:r>
        <w:rPr>
          <w:i w:val="1"/>
          <w:color w:val="323232"/>
        </w:rPr>
        <w:t xml:space="preserve">jumping ability (35.4%), touch aversion (30.0%), altered emotional state (28.5%), and sleep disturbance (22%). Head scratching</w:t>
      </w:r>
      <w:r>
        <w:rPr>
          <w:color w:val="323232"/>
        </w:rPr>
        <w:t xml:space="preserve">rubbing (28.5%) was inversely associated with syrinx size (P = .005), less common in group 4 (P = .003), and not associated with OME (P = .977). Phantom scratching, scoliosis, weakness, and postural deficits were only seen in group 4 (SM</w:t>
      </w:r>
      <w:r>
        <w:rPr>
          <w:color w:val="323232"/>
        </w:rPr>
        <w:t xml:space="preserve"> </w:t>
      </w:r>
      <w:r>
        <w:rPr>
          <w:color w:val="323232"/>
        </w:rPr>
        <w:t xml:space="preserve">≥4</w:t>
      </w:r>
      <w:r>
        <w:rPr>
          <w:color w:val="323232"/>
        </w:rPr>
        <w:t xml:space="preserve"> </w:t>
      </w:r>
      <w:r>
        <w:rPr>
          <w:color w:val="323232"/>
        </w:rPr>
        <w:t xml:space="preserve">mm; P = .004).</w:t>
      </w:r>
    </w:p>
    <w:p/>
    <w:p>
      <w:pPr>
        <w:pStyle w:val="Normal"/>
      </w:pPr>
      <w:r>
        <w:rPr>
          <w:color w:val="323232"/>
        </w:rPr>
        <w:t xml:space="preserve">CONCLUSIONS AND CLINICAL IMPORTANCE:Signs of pain are common in CM/SM but are not SM-dependent, suggesting (not proving) CM-P causality. Wide (≥4</w:t>
      </w:r>
      <w:r>
        <w:rPr>
          <w:color w:val="323232"/>
        </w:rPr>
        <w:t xml:space="preserve"> </w:t>
      </w:r>
      <w:r>
        <w:rPr>
          <w:color w:val="323232"/>
        </w:rPr>
        <w:t xml:space="preserve">mm) SM is associated with signs of myelopathy and, if the dorsal horn is involved, phantom scratching (ipsilateral) and torticollis (shoulder deviated ipsilateral; head tilt contralateral).</w:t>
      </w:r>
    </w:p>
    <w:p/>
    <w:p>
      <w:pPr>
        <w:pStyle w:val="Normal"/>
      </w:pPr>
      <w:r>
        <w:rPr>
          <w:color w:val="323232"/>
        </w:rPr>
        <w:t xml:space="preserve">J Vet Intern Med, 2019 vol. 33 (5) pp. 2138-2150.</w:t>
      </w:r>
    </w:p>
    <w:p>
      <w:r>
        <w:rPr>
          <w:rStyle w:val="Hyperlink"/>
        </w:rPr>
        <w:fldChar w:fldCharType="begin"/>
      </w:r>
      <w:r>
        <w:rPr>
          <w:rStyle w:val="Hyperlink"/>
        </w:rPr>
        <w:instrText xml:space="preserve"> HYPERLINK "http://dx.doi.org/10.1111/jvim.15552" </w:instrText>
      </w:r>
      <w:r>
        <w:rPr>
          <w:rStyle w:val="Hyperlink"/>
        </w:rPr>
      </w:r>
      <w:r>
        <w:rPr>
          <w:rStyle w:val="Hyperlink"/>
        </w:rPr>
        <w:fldChar w:fldCharType="separate"/>
      </w:r>
      <w:pPr>
        <w:pStyle w:val="Normal"/>
      </w:pPr>
      <w:r>
        <w:rPr>
          <w:rStyle w:val="Hyperlink"/>
        </w:rPr>
        <w:t xml:space="preserve">http://dx.doi.org/10.1111/jvim.15552</w:t>
      </w:r>
      <w:r>
        <w:rPr>
          <w:rStyle w:val="Hyperlink"/>
        </w:rPr>
        <w:fldChar w:fldCharType="end"/>
      </w:r>
    </w:p>
    <w:p>
      <w:pPr>
        <w:pStyle w:val="Normal"/>
      </w:pPr>
      <w:r>
        <w:rPr>
          <w:color w:val="323232"/>
        </w:rPr>
        <w:t xml:space="preserve">————————</w:t>
      </w:r>
    </w:p>
    <w:p>
      <w:pPr>
        <w:pStyle w:val="Heading4"/>
      </w:pPr>
      <w:r>
        <w:t xml:space="preserve">Comparison of signalment and computed tomography findings in French Bulldogs, Pugs, and English Bulldogs with and without clinical signs associated with thoracic hemivertebra.</w:t>
      </w:r>
    </w:p>
    <w:p/>
    <w:p>
      <w:pPr>
        <w:pStyle w:val="Normal"/>
      </w:pPr>
      <w:r>
        <w:rPr>
          <w:color w:val="323232"/>
        </w:rPr>
        <w:t xml:space="preserve">Steven De Decker, Rowena M A Packer, Rodolfo Cappello, Tom R Harcourt-Brown, Cecilia Rohdin, Sergio A Gomes, Niklas Bergknut, Tom A Shaw, Mark Lowrie, and Rodrigo Gutierrez-Quintana.</w:t>
      </w:r>
    </w:p>
    <w:p/>
    <w:p>
      <w:pPr>
        <w:pStyle w:val="Normal"/>
      </w:pPr>
      <w:r>
        <w:rPr>
          <w:color w:val="323232"/>
        </w:rPr>
        <w:t xml:space="preserve">BACKGROUND:Although thoracic hemivertebra can cause neurological signs, they occur commonly in neurologically normal dogs.</w:t>
      </w:r>
    </w:p>
    <w:p/>
    <w:p>
      <w:pPr>
        <w:pStyle w:val="Normal"/>
      </w:pPr>
      <w:r>
        <w:rPr>
          <w:color w:val="323232"/>
        </w:rPr>
        <w:t xml:space="preserve">OBJECTIVES:To evaluate whether computed tomography (CT) findings and factors associated with signalment can be used to differentiate between dogs with and without neurological signs associated with hemivertebra.</w:t>
      </w:r>
    </w:p>
    <w:p/>
    <w:p>
      <w:pPr>
        <w:pStyle w:val="Normal"/>
      </w:pPr>
      <w:r>
        <w:rPr>
          <w:color w:val="323232"/>
        </w:rPr>
        <w:t xml:space="preserve">ANIMALS:One hundred sixty dogs with ≥1 hemivertebrae were retrospectively studied. This group consisted of 40 dogs with clinical signs caused by hemivertebra and 40 French Bulldogs, 40 Pugs, and 40 English Bulldogs that underwent CT for reasons unrelated to neurological disease.</w:t>
      </w:r>
    </w:p>
    <w:p/>
    <w:p>
      <w:pPr>
        <w:pStyle w:val="Normal"/>
      </w:pPr>
      <w:r>
        <w:rPr>
          <w:color w:val="323232"/>
        </w:rPr>
        <w:t xml:space="preserve">METHODS:All dogs underwent CT and affected dogs also underwent magnetic resonance imaging. All CT studies were randomly evaluated by an observer blinded to signalment and clinical status. The following variables were evaluated: presence, number, location, and subtype of hemivertebra; presence of vertebral subluxation; severity of vertebral canal stenosis; presence, location, and severity of kyphosis, and number of vertebrae involved in the kyphotic segment. Statistical modeling was performed to identify factors associated with clinical status.</w:t>
      </w:r>
    </w:p>
    <w:p/>
    <w:p>
      <w:pPr>
        <w:pStyle w:val="Normal"/>
      </w:pPr>
      <w:r>
        <w:rPr>
          <w:color w:val="323232"/>
        </w:rPr>
        <w:t xml:space="preserve">RESULTS:Pug breed (odds ration [OR], 10.8; P = .01), more severe kyphosis (OR, 1.1 per grade increase; P</w:t>
      </w:r>
      <w:r>
        <w:rPr>
          <w:color w:val="323232"/>
        </w:rPr>
        <w:t xml:space="preserve"> </w:t>
      </w:r>
      <w:r>
        <w:rPr>
          <w:color w:val="323232"/>
        </w:rPr>
        <w:t xml:space="preserve">&lt;</w:t>
      </w:r>
      <w:r>
        <w:rPr>
          <w:color w:val="323232"/>
        </w:rPr>
        <w:t xml:space="preserve"> </w:t>
      </w:r>
      <w:r>
        <w:rPr>
          <w:color w:val="323232"/>
        </w:rPr>
        <w:t xml:space="preserve">.001), fewer instead of more observed hemivertebrae (OR, 0.8; P = 0.03), and ventrolateral hypoplasia hemivertebra subtype (OR, 4.0; P = .011) were associated with higher likelihood of neurological disease. A Cobb angle of 34.5 degrees corresponded with the highest combined sensitivity and specificity to differentiate between clinically affected and unaffected dogs.</w:t>
      </w:r>
    </w:p>
    <w:p/>
    <w:p>
      <w:pPr>
        <w:pStyle w:val="Normal"/>
      </w:pPr>
      <w:r>
        <w:rPr>
          <w:color w:val="323232"/>
        </w:rPr>
        <w:t xml:space="preserve">CONCLUSIONS AND CLINICAL IMPORTANCE:The variables identified could aid in differentiating between clinically relevant and irrelevant hemivertebra in small breed brachycephalic dogs.</w:t>
      </w:r>
    </w:p>
    <w:p/>
    <w:p>
      <w:pPr>
        <w:pStyle w:val="Normal"/>
      </w:pPr>
      <w:r>
        <w:rPr>
          <w:color w:val="323232"/>
        </w:rPr>
        <w:t xml:space="preserve">J Vet Intern Med, 2019 vol. 33 (5) pp. 2151-2159.</w:t>
      </w:r>
    </w:p>
    <w:p>
      <w:r>
        <w:rPr>
          <w:rStyle w:val="Hyperlink"/>
        </w:rPr>
        <w:fldChar w:fldCharType="begin"/>
      </w:r>
      <w:r>
        <w:rPr>
          <w:rStyle w:val="Hyperlink"/>
        </w:rPr>
        <w:instrText xml:space="preserve"> HYPERLINK "http://dx.doi.org/10.1111/jvim.15556" </w:instrText>
      </w:r>
      <w:r>
        <w:rPr>
          <w:rStyle w:val="Hyperlink"/>
        </w:rPr>
      </w:r>
      <w:r>
        <w:rPr>
          <w:rStyle w:val="Hyperlink"/>
        </w:rPr>
        <w:fldChar w:fldCharType="separate"/>
      </w:r>
      <w:pPr>
        <w:pStyle w:val="Normal"/>
      </w:pPr>
      <w:r>
        <w:rPr>
          <w:rStyle w:val="Hyperlink"/>
        </w:rPr>
        <w:t xml:space="preserve">http://dx.doi.org/10.1111/jvim.15556</w:t>
      </w:r>
      <w:r>
        <w:rPr>
          <w:rStyle w:val="Hyperlink"/>
        </w:rPr>
        <w:fldChar w:fldCharType="end"/>
      </w:r>
    </w:p>
    <w:p>
      <w:pPr>
        <w:pStyle w:val="Normal"/>
      </w:pPr>
      <w:r>
        <w:rPr>
          <w:color w:val="323232"/>
        </w:rPr>
        <w:t xml:space="preserve">————————</w:t>
      </w:r>
    </w:p>
    <w:p>
      <w:pPr>
        <w:pStyle w:val="Heading4"/>
      </w:pPr>
      <w:r>
        <w:t xml:space="preserve">Clinical and magnetic resonance imaging characterization of cervical spondylomyelopathy in juvenile dogs.</w:t>
      </w:r>
    </w:p>
    <w:p/>
    <w:p>
      <w:pPr>
        <w:pStyle w:val="Normal"/>
      </w:pPr>
      <w:r>
        <w:rPr>
          <w:color w:val="323232"/>
        </w:rPr>
        <w:t xml:space="preserve">Marília de Albuquerque Bonelli and Ronaldo C da Costa.</w:t>
      </w:r>
    </w:p>
    <w:p/>
    <w:p>
      <w:pPr>
        <w:pStyle w:val="Normal"/>
      </w:pPr>
      <w:r>
        <w:rPr>
          <w:color w:val="323232"/>
        </w:rPr>
        <w:t xml:space="preserve">BACKGROUND:Cervical spondylomyelopathy (CSM) occurs because of compression of the cervical spinal cord, nerve roots, or both, usually affecting young adult to older large and giant breed dogs. Juvenile dogs are affected infrequently.</w:t>
      </w:r>
    </w:p>
    <w:p/>
    <w:p>
      <w:pPr>
        <w:pStyle w:val="Normal"/>
      </w:pPr>
      <w:r>
        <w:rPr>
          <w:color w:val="323232"/>
        </w:rPr>
        <w:t xml:space="preserve">OBJECTIVE:To describe clinical and magnetic resonance imaging (MRI) findings in juvenile dogs (≤</w:t>
      </w:r>
      <w:r>
        <w:rPr>
          <w:color w:val="323232"/>
        </w:rPr>
        <w:t xml:space="preserve"> </w:t>
      </w:r>
      <w:r>
        <w:rPr>
          <w:color w:val="323232"/>
        </w:rPr>
        <w:t xml:space="preserve">12</w:t>
      </w:r>
      <w:r>
        <w:rPr>
          <w:color w:val="323232"/>
        </w:rPr>
        <w:t xml:space="preserve"> </w:t>
      </w:r>
      <w:r>
        <w:rPr>
          <w:color w:val="323232"/>
        </w:rPr>
        <w:t xml:space="preserve">months) with cervical spondylomyelopathy.</w:t>
      </w:r>
    </w:p>
    <w:p/>
    <w:p>
      <w:pPr>
        <w:pStyle w:val="Normal"/>
      </w:pPr>
      <w:r>
        <w:rPr>
          <w:color w:val="323232"/>
        </w:rPr>
        <w:t xml:space="preserve">ANIMALS:Twenty CSM-affected juvenile dogs.</w:t>
      </w:r>
    </w:p>
    <w:p/>
    <w:p>
      <w:pPr>
        <w:pStyle w:val="Normal"/>
      </w:pPr>
      <w:r>
        <w:rPr>
          <w:color w:val="323232"/>
        </w:rPr>
        <w:t xml:space="preserve">METHODS:Medical and imaging records for juvenile dogs with CSM were reviewed. History and neurologic examination findings were obtained, including follow-up data. The MRI studies were reviewed for cause and site of spinal cord compression, intervertebral disk protrusion or degeneration, articular process degenerative changes, intervertebral foraminal stenosis, and spinal cord signal changes.</w:t>
      </w:r>
    </w:p>
    <w:p/>
    <w:p>
      <w:pPr>
        <w:pStyle w:val="Normal"/>
      </w:pPr>
      <w:r>
        <w:rPr>
          <w:color w:val="323232"/>
        </w:rPr>
        <w:t xml:space="preserve">RESULTS:Mean (median) age at the time of diagnosis was 9.4 (10) months. There were 16 giant breed dogs. Eighteen dogs had a chronic presentation, 18/20 had proprioceptive ataxia, and 9/20 had cervical pain. On MRI, the principal spinal cord compression occurred at C5-C6, C6-C7, or both in most dogs; 12/20 dogs had ≥2 sites of spinal cord compression. The cause of compression was articular process proliferation in 8/20 dogs and disk protrusion in 2/20 dogs. Intervertebral disk degeneration was seen in 9/20 dogs. Follow-up was obtained for 12/20 dogs: 10/12 were managed medically and 2/12 surgically.</w:t>
      </w:r>
    </w:p>
    <w:p/>
    <w:p>
      <w:pPr>
        <w:pStyle w:val="Normal"/>
      </w:pPr>
      <w:r>
        <w:rPr>
          <w:color w:val="323232"/>
        </w:rPr>
        <w:t xml:space="preserve">CONCLUSIONS AND CLINICAL IMPORTANCE:Cervical spondylomyelopathy in juvenile dogs was characterized mostly by osseous-associated spinal cord compression and multiple compressive sites. Almost half of the dogs had intervertebral disk degeneration. Intervertebral disk protrusion was seen in both giant and large breed dogs.</w:t>
      </w:r>
    </w:p>
    <w:p/>
    <w:p>
      <w:pPr>
        <w:pStyle w:val="Normal"/>
      </w:pPr>
      <w:r>
        <w:rPr>
          <w:color w:val="323232"/>
        </w:rPr>
        <w:t xml:space="preserve">J Vet Intern Med, 2019 vol. 33 (5) pp. 2160-2166.</w:t>
      </w:r>
    </w:p>
    <w:p>
      <w:r>
        <w:rPr>
          <w:rStyle w:val="Hyperlink"/>
        </w:rPr>
        <w:fldChar w:fldCharType="begin"/>
      </w:r>
      <w:r>
        <w:rPr>
          <w:rStyle w:val="Hyperlink"/>
        </w:rPr>
        <w:instrText xml:space="preserve"> HYPERLINK "http://dx.doi.org/10.1111/jvim.15602" </w:instrText>
      </w:r>
      <w:r>
        <w:rPr>
          <w:rStyle w:val="Hyperlink"/>
        </w:rPr>
      </w:r>
      <w:r>
        <w:rPr>
          <w:rStyle w:val="Hyperlink"/>
        </w:rPr>
        <w:fldChar w:fldCharType="separate"/>
      </w:r>
      <w:pPr>
        <w:pStyle w:val="Normal"/>
      </w:pPr>
      <w:r>
        <w:rPr>
          <w:rStyle w:val="Hyperlink"/>
        </w:rPr>
        <w:t xml:space="preserve">http://dx.doi.org/10.1111/jvim.15602</w:t>
      </w:r>
      <w:r>
        <w:rPr>
          <w:rStyle w:val="Hyperlink"/>
        </w:rPr>
        <w:fldChar w:fldCharType="end"/>
      </w:r>
    </w:p>
    <w:p>
      <w:pPr>
        <w:pStyle w:val="Normal"/>
      </w:pPr>
      <w:r>
        <w:rPr>
          <w:color w:val="323232"/>
        </w:rPr>
        <w:t xml:space="preserve">————————</w:t>
      </w:r>
    </w:p>
    <w:p>
      <w:pPr>
        <w:pStyle w:val="Heading4"/>
      </w:pPr>
      <w:r>
        <w:t xml:space="preserve">Presence of cerebrospinal fluid antibodies associated with autoimmune encephalitis of humans in dogs with neurologic disease.</w:t>
      </w:r>
    </w:p>
    <w:p/>
    <w:p>
      <w:pPr>
        <w:pStyle w:val="Normal"/>
      </w:pPr>
      <w:r>
        <w:rPr>
          <w:color w:val="323232"/>
        </w:rPr>
        <w:t xml:space="preserve">Emma G Stafford, Amanda Kortum, Aude Castel, Lauren Green, Jeanie Lau, Peter J Early, Karen R Munana, Christopher L Mariani, Jeffrey A Yoder, and Natasha J Olby.</w:t>
      </w:r>
    </w:p>
    <w:p/>
    <w:p>
      <w:pPr>
        <w:pStyle w:val="Normal"/>
      </w:pPr>
      <w:r>
        <w:rPr>
          <w:color w:val="323232"/>
        </w:rPr>
        <w:t xml:space="preserve">BACKGROUND:Presumed autoimmune diseases affecting the central nervous system (CNS) of dogs are common. In people, antibodies against neuronal cell surface antigens that are associated with a wide variety of neurological syndromes have been identified. The presence of cerebrospinal fluid (CSF) autoantibodies that target neuronal cell surface proteins has not been reported in dogs with neurologic disorders.</w:t>
      </w:r>
    </w:p>
    <w:p/>
    <w:p>
      <w:pPr>
        <w:pStyle w:val="Normal"/>
      </w:pPr>
      <w:r>
        <w:rPr>
          <w:color w:val="323232"/>
        </w:rPr>
        <w:t xml:space="preserve">OBJECTIVES:Autoantibodies to neuronal cell surface antigens can be found in the CSF of dogs with inflammatory CNS disease. Our aim was to determine whether 6 neuronal cell surface autoantibodies were present in the CSF of dogs diagnosed with inflammatory and noninflammatory CNS disease.</w:t>
      </w:r>
    </w:p>
    <w:p/>
    <w:p>
      <w:pPr>
        <w:pStyle w:val="Normal"/>
      </w:pPr>
      <w:r>
        <w:rPr>
          <w:color w:val="323232"/>
        </w:rPr>
        <w:t xml:space="preserve">ANIMALS:Client-owned dogs with CNS disease and complete diagnostic evaluation including magnetic resonance imaging and CSF analysis were included. One healthy dog was included as a negative control.</w:t>
      </w:r>
    </w:p>
    <w:p/>
    <w:p>
      <w:pPr>
        <w:pStyle w:val="Normal"/>
      </w:pPr>
      <w:r>
        <w:rPr>
          <w:color w:val="323232"/>
        </w:rPr>
        <w:t xml:space="preserve">METHODS:Cerebrospinal fluid was tested for 6 antigenic targets with a commercially available indirect immunofluorescence assay test kit.</w:t>
      </w:r>
    </w:p>
    <w:p/>
    <w:p>
      <w:pPr>
        <w:pStyle w:val="Normal"/>
      </w:pPr>
      <w:r>
        <w:rPr>
          <w:color w:val="323232"/>
        </w:rPr>
        <w:t xml:space="preserve">RESULTS:There were 32 dogs with neurological disease, 19 diagnosed with inflammatory disease (encephalitis and meningitis), 10 with noninflammatory disease (neoplasia, intervertebral disk disease, degenerative myelopathy, and epilepsy), 2 with no diagnosis, and 1 with neoplasia and meningoencephalitis. Anti-N-methyl-d-aspartate receptor 1 (NMDAR1) antibodies were detected in 3 dogs (3/32; 9.38%). All 3 dogs responded to treatment of meningoencephalomyelitis of unknown etiology (MUE).</w:t>
      </w:r>
    </w:p>
    <w:p/>
    <w:p>
      <w:pPr>
        <w:pStyle w:val="Normal"/>
      </w:pPr>
      <w:r>
        <w:rPr>
          <w:color w:val="323232"/>
        </w:rPr>
        <w:t xml:space="preserve">CONCLUSIONS AND CLINICAL IMPORTANCE:Further evaluation of the prevalence and clinical relevance of CSF and serum antibodies to neuronal cell surface antigens is warranted. Defining antigenic targets associated with encephalitis in dogs might allow diagnostic categorization of MUE antemortem.</w:t>
      </w:r>
    </w:p>
    <w:p/>
    <w:p>
      <w:pPr>
        <w:pStyle w:val="Normal"/>
      </w:pPr>
      <w:r>
        <w:rPr>
          <w:color w:val="323232"/>
        </w:rPr>
        <w:t xml:space="preserve">J Vet Intern Med, 2019 vol. 33 (5) pp. 2175-2182.</w:t>
      </w:r>
    </w:p>
    <w:p>
      <w:r>
        <w:rPr>
          <w:rStyle w:val="Hyperlink"/>
        </w:rPr>
        <w:fldChar w:fldCharType="begin"/>
      </w:r>
      <w:r>
        <w:rPr>
          <w:rStyle w:val="Hyperlink"/>
        </w:rPr>
        <w:instrText xml:space="preserve"> HYPERLINK "http://dx.doi.org/10.1111/jvim.15616" </w:instrText>
      </w:r>
      <w:r>
        <w:rPr>
          <w:rStyle w:val="Hyperlink"/>
        </w:rPr>
      </w:r>
      <w:r>
        <w:rPr>
          <w:rStyle w:val="Hyperlink"/>
        </w:rPr>
        <w:fldChar w:fldCharType="separate"/>
      </w:r>
      <w:pPr>
        <w:pStyle w:val="Normal"/>
      </w:pPr>
      <w:r>
        <w:rPr>
          <w:rStyle w:val="Hyperlink"/>
        </w:rPr>
        <w:t xml:space="preserve">http://dx.doi.org/10.1111/jvim.15616</w:t>
      </w:r>
      <w:r>
        <w:rPr>
          <w:rStyle w:val="Hyperlink"/>
        </w:rPr>
        <w:fldChar w:fldCharType="end"/>
      </w:r>
    </w:p>
    <w:p>
      <w:pPr>
        <w:pStyle w:val="Normal"/>
      </w:pPr>
      <w:r>
        <w:rPr>
          <w:color w:val="323232"/>
        </w:rPr>
        <w:t xml:space="preserve">————————</w:t>
      </w:r>
    </w:p>
    <w:p>
      <w:pPr>
        <w:pStyle w:val="Heading4"/>
      </w:pPr>
      <w:r>
        <w:t xml:space="preserve">Evaluation of metabolic profile and C-reactive protein concentrations in brachycephalic dogs with upper airway obstructive syndrome.</w:t>
      </w:r>
    </w:p>
    <w:p/>
    <w:p>
      <w:pPr>
        <w:pStyle w:val="Normal"/>
      </w:pPr>
      <w:r>
        <w:rPr>
          <w:color w:val="323232"/>
        </w:rPr>
        <w:t xml:space="preserve">Paola Gianella, Roberta Caccamo, Claudio Bellino, Enrico Bottero, Federica Fietta, Silvia Roncone, Fabio Ostanello, Marco Pietra, and Paolo Buracco.</w:t>
      </w:r>
    </w:p>
    <w:p/>
    <w:p>
      <w:pPr>
        <w:pStyle w:val="Normal"/>
      </w:pPr>
      <w:r>
        <w:rPr>
          <w:color w:val="323232"/>
        </w:rPr>
        <w:t xml:space="preserve">BACKGROUND:Brachycephalic dogs have abnormal breathing patterns similar to those in humans with obstructive sleep apnea syndrome. Obstructive sleep apnea syndrome is associated with dyslipidemia, hyperglycemia, and insulin resistance. Despite the fact that anatomic and functional alterations are well described in brachycephalic dogs, little is known about the consequences of upper airway obstruction on systemic inflammatory response and metabolic profile.</w:t>
      </w:r>
    </w:p>
    <w:p/>
    <w:p>
      <w:pPr>
        <w:pStyle w:val="Normal"/>
      </w:pPr>
      <w:r>
        <w:rPr>
          <w:color w:val="323232"/>
        </w:rPr>
        <w:t xml:space="preserve">OBJECTIVES:To describe history, clinical presentation, and anatomic abnormalities; to evaluate systemic inflammatory response and metabolic profile; and to identify possible associations among clinical signs, anatomic abnormalities, inflammatory response, and metabolic profile in brachycephalic dogs with airway obstruction.</w:t>
      </w:r>
    </w:p>
    <w:p/>
    <w:p>
      <w:pPr>
        <w:pStyle w:val="Normal"/>
      </w:pPr>
      <w:r>
        <w:rPr>
          <w:color w:val="323232"/>
        </w:rPr>
        <w:t xml:space="preserve">ANIMALS:Thirty purebred brachycephalic dogs with brachycephalic airway obstructive syndrome (BAOS).</w:t>
      </w:r>
    </w:p>
    <w:p/>
    <w:p>
      <w:pPr>
        <w:pStyle w:val="Normal"/>
      </w:pPr>
      <w:r>
        <w:rPr>
          <w:color w:val="323232"/>
        </w:rPr>
        <w:t xml:space="preserve">METHODS:Prospective study. The following information was recorded and studied: respiratory and digestive signs, airway and digestive endoscopic anomalies, presence or absence of tracheal hypoplasia, histologic evaluation of gastrointestinal tract biopsy specimens, serum concentrations of C-reactive protein (CRP), fructosamine, insulin, glucose, triglyceride, cholesterol, and plasma concentrations of lipoprotein classes.</w:t>
      </w:r>
    </w:p>
    <w:p/>
    <w:p>
      <w:pPr>
        <w:pStyle w:val="Normal"/>
      </w:pPr>
      <w:r>
        <w:rPr>
          <w:color w:val="323232"/>
        </w:rPr>
        <w:t xml:space="preserve">RESULTS:A high proportion of dogs (76.7%) had gastrointestinal signs. Esophageal deviation, atony of the cardia of the stomach, and distal esophagitis were the most common endoscopic anomalies detected. Twenty-six (86.6%) dogs had different degrees of laryngeal collapse. Gastrointestinal histologic evaluation identified mostly chronic inflammation. Glucose, fructosamine, triglycerides, cholesterol, CRP, pre-beta, beta lipoproteins, and chylomicrons were increased to a variable extent. Significant associations among clinical signs, anatomic abnormalities, CRP, and metabolic profile were not found.</w:t>
      </w:r>
    </w:p>
    <w:p/>
    <w:p>
      <w:pPr>
        <w:pStyle w:val="Normal"/>
      </w:pPr>
      <w:r>
        <w:rPr>
          <w:color w:val="323232"/>
        </w:rPr>
        <w:t xml:space="preserve">CONCLUSION AND CLINICAL IMPORTANCE:Despite the presence of inflammation and some mild metabolic derangements, the clinicopathological variables evaluated did not offer valuable information in dogs with BAOS.</w:t>
      </w:r>
    </w:p>
    <w:p/>
    <w:p>
      <w:pPr>
        <w:pStyle w:val="Normal"/>
      </w:pPr>
      <w:r>
        <w:rPr>
          <w:color w:val="323232"/>
        </w:rPr>
        <w:t xml:space="preserve">J Vet Intern Med, 2019 vol. 33 (5) pp. 2183-2192.</w:t>
      </w:r>
    </w:p>
    <w:p>
      <w:r>
        <w:rPr>
          <w:rStyle w:val="Hyperlink"/>
        </w:rPr>
        <w:fldChar w:fldCharType="begin"/>
      </w:r>
      <w:r>
        <w:rPr>
          <w:rStyle w:val="Hyperlink"/>
        </w:rPr>
        <w:instrText xml:space="preserve"> HYPERLINK "http://dx.doi.org/10.1111/jvim.15575" </w:instrText>
      </w:r>
      <w:r>
        <w:rPr>
          <w:rStyle w:val="Hyperlink"/>
        </w:rPr>
      </w:r>
      <w:r>
        <w:rPr>
          <w:rStyle w:val="Hyperlink"/>
        </w:rPr>
        <w:fldChar w:fldCharType="separate"/>
      </w:r>
      <w:pPr>
        <w:pStyle w:val="Normal"/>
      </w:pPr>
      <w:r>
        <w:rPr>
          <w:rStyle w:val="Hyperlink"/>
        </w:rPr>
        <w:t xml:space="preserve">http://dx.doi.org/10.1111/jvim.15575</w:t>
      </w:r>
      <w:r>
        <w:rPr>
          <w:rStyle w:val="Hyperlink"/>
        </w:rPr>
        <w:fldChar w:fldCharType="end"/>
      </w:r>
    </w:p>
    <w:p>
      <w:pPr>
        <w:pStyle w:val="Normal"/>
      </w:pPr>
      <w:r>
        <w:rPr>
          <w:color w:val="323232"/>
        </w:rPr>
        <w:t xml:space="preserve">————————</w:t>
      </w:r>
    </w:p>
    <w:p>
      <w:pPr>
        <w:pStyle w:val="Heading4"/>
      </w:pPr>
      <w:r>
        <w:t xml:space="preserve">Hepatic copper and other trace mineral concentrations in dogs with hepatocellular carcinoma.</w:t>
      </w:r>
    </w:p>
    <w:p/>
    <w:p>
      <w:pPr>
        <w:pStyle w:val="Normal"/>
      </w:pPr>
      <w:r>
        <w:rPr>
          <w:color w:val="323232"/>
        </w:rPr>
        <w:t xml:space="preserve">Cailin C Harro, Rebecca C Smedley, John P Buchweitz, and Daniel K Langlois.</w:t>
      </w:r>
    </w:p>
    <w:p/>
    <w:p>
      <w:pPr>
        <w:pStyle w:val="Normal"/>
      </w:pPr>
      <w:r>
        <w:rPr>
          <w:color w:val="323232"/>
        </w:rPr>
        <w:t xml:space="preserve">BACKGROUND:Hepatocellular carcinoma (HCC) is the most common primary liver tumor in dogs. Abnormalities in hepatic copper, iron, zinc, and selenium concentrations increase risk for HCC development in other species, but trace mineral concentrations have not been evaluated in dogs with HCC.</w:t>
      </w:r>
    </w:p>
    <w:p/>
    <w:p>
      <w:pPr>
        <w:pStyle w:val="Normal"/>
      </w:pPr>
      <w:r>
        <w:rPr>
          <w:color w:val="323232"/>
        </w:rPr>
        <w:t xml:space="preserve">OBJECTIVES:To investigate hepatic trace mineral concentrations in dogs with HCC.</w:t>
      </w:r>
    </w:p>
    <w:p/>
    <w:p>
      <w:pPr>
        <w:pStyle w:val="Normal"/>
      </w:pPr>
      <w:r>
        <w:rPr>
          <w:color w:val="323232"/>
        </w:rPr>
        <w:t xml:space="preserve">ANIMALS:Archived liver specimens from 85 dogs with HCC and 85 control dogs.</w:t>
      </w:r>
    </w:p>
    <w:p/>
    <w:p>
      <w:pPr>
        <w:pStyle w:val="Normal"/>
      </w:pPr>
      <w:r>
        <w:rPr>
          <w:color w:val="323232"/>
        </w:rPr>
        <w:t xml:space="preserve">METHODS:Retrospective case-control study. A histopathology database was searched to identify dogs with HCC (test population) and an age-matched control population. Demographic information was retrieved, and H&amp;E and rhodanine stained slides were reviewed for all cases. Copper, iron, zinc, and selenium concentrations were determined in noncancerous liver tissues (test and control population) and in HCC tissues (test population) using inductively coupled plasma mass spectrometry.</w:t>
      </w:r>
    </w:p>
    <w:p/>
    <w:p>
      <w:pPr>
        <w:pStyle w:val="Normal"/>
      </w:pPr>
      <w:r>
        <w:rPr>
          <w:color w:val="323232"/>
        </w:rPr>
        <w:t xml:space="preserve">RESULTS:Hepatic copper concentrations (non-neoplastic hepatic tissue) were greater in test population dogs (median, IQR; 294.9 μg</w:t>
      </w:r>
      <w:r>
        <w:rPr>
          <w:i w:val="1"/>
          <w:color w:val="323232"/>
        </w:rPr>
        <w:t xml:space="preserve">g, 233.5-475.9 μg</w:t>
      </w:r>
      <w:r>
        <w:rPr>
          <w:color w:val="323232"/>
        </w:rPr>
        <w:t xml:space="preserve">g) than in control dogs (202.8 μg</w:t>
      </w:r>
      <w:r>
        <w:rPr>
          <w:i w:val="1"/>
          <w:color w:val="323232"/>
        </w:rPr>
        <w:t xml:space="preserve">g, 135.0-295.3 μg</w:t>
      </w:r>
      <w:r>
        <w:rPr>
          <w:color w:val="323232"/>
        </w:rPr>
        <w:t xml:space="preserve">g; P</w:t>
      </w:r>
      <w:r>
        <w:rPr>
          <w:color w:val="323232"/>
        </w:rPr>
        <w:t xml:space="preserve"> </w:t>
      </w:r>
      <w:r>
        <w:rPr>
          <w:color w:val="323232"/>
        </w:rPr>
        <w:t xml:space="preserve">&lt;</w:t>
      </w:r>
      <w:r>
        <w:rPr>
          <w:color w:val="323232"/>
        </w:rPr>
        <w:t xml:space="preserve"> </w:t>
      </w:r>
      <w:r>
        <w:rPr>
          <w:color w:val="323232"/>
        </w:rPr>
        <w:t xml:space="preserve">.001). Hepatic zinc concentrations in test (132.1 μg</w:t>
      </w:r>
      <w:r>
        <w:rPr>
          <w:i w:val="1"/>
          <w:color w:val="323232"/>
        </w:rPr>
        <w:t xml:space="preserve">g,108.6-163.2 μg</w:t>
      </w:r>
      <w:r>
        <w:rPr>
          <w:color w:val="323232"/>
        </w:rPr>
        <w:t xml:space="preserve">g) and control dogs (151.5 μg</w:t>
      </w:r>
      <w:r>
        <w:rPr>
          <w:i w:val="1"/>
          <w:color w:val="323232"/>
        </w:rPr>
        <w:t xml:space="preserve">g, 117.1-184.5 μg</w:t>
      </w:r>
      <w:r>
        <w:rPr>
          <w:color w:val="323232"/>
        </w:rPr>
        <w:t xml:space="preserve">g) also were different (P = .03). Within test population dogs, all trace mineral concentrations were decreased in the HCC tissue as compared to the non-neoplastic hepatic tissue (all P</w:t>
      </w:r>
      <w:r>
        <w:rPr>
          <w:color w:val="323232"/>
        </w:rPr>
        <w:t xml:space="preserve"> </w:t>
      </w:r>
      <w:r>
        <w:rPr>
          <w:color w:val="323232"/>
        </w:rPr>
        <w:t xml:space="preserve">&lt;</w:t>
      </w:r>
      <w:r>
        <w:rPr>
          <w:color w:val="323232"/>
        </w:rPr>
        <w:t xml:space="preserve"> </w:t>
      </w:r>
      <w:r>
        <w:rPr>
          <w:color w:val="323232"/>
        </w:rPr>
        <w:t xml:space="preserve">.001).</w:t>
      </w:r>
    </w:p>
    <w:p/>
    <w:p>
      <w:pPr>
        <w:pStyle w:val="Normal"/>
      </w:pPr>
      <w:r>
        <w:rPr>
          <w:color w:val="323232"/>
        </w:rPr>
        <w:t xml:space="preserve">CONCLUSIONS AND CLINICAL IMPORTANCE:Hepatic copper accumulation and other abnormalities in hepatic trace mineral concentrations could be involved in the pathogenesis of HCC in some dogs.</w:t>
      </w:r>
    </w:p>
    <w:p/>
    <w:p>
      <w:pPr>
        <w:pStyle w:val="Normal"/>
      </w:pPr>
      <w:r>
        <w:rPr>
          <w:color w:val="323232"/>
        </w:rPr>
        <w:t xml:space="preserve">J Vet Intern Med, 2019 vol. 33 (5) pp. 2193-2199.</w:t>
      </w:r>
    </w:p>
    <w:p>
      <w:r>
        <w:rPr>
          <w:rStyle w:val="Hyperlink"/>
        </w:rPr>
        <w:fldChar w:fldCharType="begin"/>
      </w:r>
      <w:r>
        <w:rPr>
          <w:rStyle w:val="Hyperlink"/>
        </w:rPr>
        <w:instrText xml:space="preserve"> HYPERLINK "http://dx.doi.org/10.1111/jvim.15619" </w:instrText>
      </w:r>
      <w:r>
        <w:rPr>
          <w:rStyle w:val="Hyperlink"/>
        </w:rPr>
      </w:r>
      <w:r>
        <w:rPr>
          <w:rStyle w:val="Hyperlink"/>
        </w:rPr>
        <w:fldChar w:fldCharType="separate"/>
      </w:r>
      <w:pPr>
        <w:pStyle w:val="Normal"/>
      </w:pPr>
      <w:r>
        <w:rPr>
          <w:rStyle w:val="Hyperlink"/>
        </w:rPr>
        <w:t xml:space="preserve">http://dx.doi.org/10.1111/jvim.15619</w:t>
      </w:r>
      <w:r>
        <w:rPr>
          <w:rStyle w:val="Hyperlink"/>
        </w:rPr>
        <w:fldChar w:fldCharType="end"/>
      </w:r>
    </w:p>
    <w:p>
      <w:pPr>
        <w:pStyle w:val="Normal"/>
      </w:pPr>
      <w:r>
        <w:rPr>
          <w:color w:val="323232"/>
        </w:rPr>
        <w:t xml:space="preserve">————————</w:t>
      </w:r>
    </w:p>
    <w:p>
      <w:pPr>
        <w:pStyle w:val="Heading4"/>
      </w:pPr>
      <w:r>
        <w:t xml:space="preserve">Correlations among tracheal dimensions, tracheal stent dimensions, and major complications after endoluminal stenting of tracheal collapse syndrome in dogs.</w:t>
      </w:r>
    </w:p>
    <w:p/>
    <w:p>
      <w:pPr>
        <w:pStyle w:val="Normal"/>
      </w:pPr>
      <w:r>
        <w:rPr>
          <w:color w:val="323232"/>
        </w:rPr>
        <w:t xml:space="preserve">Nathaniel P Violette, Chick Weisse, Allyson C Berent, and Kenneth E Lamb.</w:t>
      </w:r>
    </w:p>
    <w:p/>
    <w:p>
      <w:pPr>
        <w:pStyle w:val="Normal"/>
      </w:pPr>
      <w:r>
        <w:rPr>
          <w:color w:val="323232"/>
        </w:rPr>
        <w:t xml:space="preserve">BACKGROUND:Endoluminal tracheal stenting can relieve signs associated with tracheal collapse syndrome (TCS) in dogs, but major complications can result.</w:t>
      </w:r>
    </w:p>
    <w:p/>
    <w:p>
      <w:pPr>
        <w:pStyle w:val="Normal"/>
      </w:pPr>
      <w:r>
        <w:rPr>
          <w:color w:val="323232"/>
        </w:rPr>
        <w:t xml:space="preserve">OBJECTIVE:To identify associations among tracheal dimensions, stent dimensions, and subsequent complications requiring additional stent placement after endoluminal stenting for TCS.</w:t>
      </w:r>
    </w:p>
    <w:p/>
    <w:p>
      <w:pPr>
        <w:pStyle w:val="Normal"/>
      </w:pPr>
      <w:r>
        <w:rPr>
          <w:color w:val="323232"/>
        </w:rPr>
        <w:t xml:space="preserve">ANIMALS:Fifty-two dogs from the hospital population.</w:t>
      </w:r>
    </w:p>
    <w:p/>
    <w:p>
      <w:pPr>
        <w:pStyle w:val="Normal"/>
      </w:pPr>
      <w:r>
        <w:rPr>
          <w:color w:val="323232"/>
        </w:rPr>
        <w:t xml:space="preserve">METHODS:Medical records of dogs that received an endoluminal self-expanding tracheal stent for TCS by the interventional radiology service between 2009 and 2014 were reviewed for relevant data. Signalment and clinical details, including tracheal collapse type, tracheal measurements, nominal stent dimensions, follow-up evaluation times, and stent complications, were recorded.</w:t>
      </w:r>
    </w:p>
    <w:p/>
    <w:p>
      <w:pPr>
        <w:pStyle w:val="Normal"/>
      </w:pPr>
      <w:r>
        <w:rPr>
          <w:color w:val="323232"/>
        </w:rPr>
        <w:t xml:space="preserve">RESULTS:Fifty-two dogs that received an endoluminal stent for TCS met the inclusion criteria. Major complications included stent fracture (13/52; 25%), obstructive tissue ingrowth (10/52; 19%), and progressive tracheal collapse (6/52; 12%). Natural tracheal taper (P = .04) and more stent diameter oversizing (P = .04) in the intrathoracic (IT) trachea were associated with caudodorsal stent fracture. Only stents with a 14-mm nominal diameter fractured. Progressive tracheal collapse was associated with smaller maximum tracheal diameters (P = .02). The majority of dogs with obstructive tissue ingrowth (7/10; 70%; P = .30) and all dogs with thoracic inlet fractures (3/3; 100%) had tracheal malformations.</w:t>
      </w:r>
    </w:p>
    <w:p/>
    <w:p>
      <w:pPr>
        <w:pStyle w:val="Normal"/>
      </w:pPr>
      <w:r>
        <w:rPr>
          <w:color w:val="323232"/>
        </w:rPr>
        <w:t xml:space="preserve">CONCLUSIONS AND CLINICAL IMPORTANCE:A higher taper in tracheal diameter may lead to increased risk of fracture in the IT location. Dogs with tracheal malformations may have higher risk for thoracic inlet fracture and development of obstructive tissue ingrowth. Clinicians should be aware of the possible risk factors for tracheal stent complications.</w:t>
      </w:r>
    </w:p>
    <w:p/>
    <w:p>
      <w:pPr>
        <w:pStyle w:val="Normal"/>
      </w:pPr>
      <w:r>
        <w:rPr>
          <w:color w:val="323232"/>
        </w:rPr>
        <w:t xml:space="preserve">J Vet Intern Med, 2019 vol. 33 (5) pp. 2209-2216.</w:t>
      </w:r>
    </w:p>
    <w:p>
      <w:r>
        <w:rPr>
          <w:rStyle w:val="Hyperlink"/>
        </w:rPr>
        <w:fldChar w:fldCharType="begin"/>
      </w:r>
      <w:r>
        <w:rPr>
          <w:rStyle w:val="Hyperlink"/>
        </w:rPr>
        <w:instrText xml:space="preserve"> HYPERLINK "http://dx.doi.org/10.1111/jvim.15555" </w:instrText>
      </w:r>
      <w:r>
        <w:rPr>
          <w:rStyle w:val="Hyperlink"/>
        </w:rPr>
      </w:r>
      <w:r>
        <w:rPr>
          <w:rStyle w:val="Hyperlink"/>
        </w:rPr>
        <w:fldChar w:fldCharType="separate"/>
      </w:r>
      <w:pPr>
        <w:pStyle w:val="Normal"/>
      </w:pPr>
      <w:r>
        <w:rPr>
          <w:rStyle w:val="Hyperlink"/>
        </w:rPr>
        <w:t xml:space="preserve">http://dx.doi.org/10.1111/jvim.15555</w:t>
      </w:r>
      <w:r>
        <w:rPr>
          <w:rStyle w:val="Hyperlink"/>
        </w:rPr>
        <w:fldChar w:fldCharType="end"/>
      </w:r>
    </w:p>
    <w:p>
      <w:pPr>
        <w:pStyle w:val="Normal"/>
      </w:pPr>
      <w:r>
        <w:rPr>
          <w:color w:val="323232"/>
        </w:rPr>
        <w:t xml:space="preserve">————————</w:t>
      </w:r>
    </w:p>
    <w:p>
      <w:pPr>
        <w:pStyle w:val="Heading4"/>
      </w:pPr>
      <w:r>
        <w:t xml:space="preserve">Eosinophilic bronchitis, eosinophilic granuloma, and eosinophilic bronchopneumopathy in 75 dogs (2006-2016).</w:t>
      </w:r>
    </w:p>
    <w:p/>
    <w:p>
      <w:pPr>
        <w:pStyle w:val="Normal"/>
      </w:pPr>
      <w:r>
        <w:rPr>
          <w:color w:val="323232"/>
        </w:rPr>
        <w:t xml:space="preserve">Lynelle R Johnson, Eric G Johnson, Sean E Hulsebosch, Jonathan D Dear, and William Vernau.</w:t>
      </w:r>
    </w:p>
    <w:p/>
    <w:p>
      <w:pPr>
        <w:pStyle w:val="Normal"/>
      </w:pPr>
      <w:r>
        <w:rPr>
          <w:color w:val="323232"/>
        </w:rPr>
        <w:t xml:space="preserve">BACKGROUND:Eosinophilic lung disease is a poorly understood inflammatory airway disease that results in substantial morbidity.</w:t>
      </w:r>
    </w:p>
    <w:p/>
    <w:p>
      <w:pPr>
        <w:pStyle w:val="Normal"/>
      </w:pPr>
      <w:r>
        <w:rPr>
          <w:color w:val="323232"/>
        </w:rPr>
        <w:t xml:space="preserve">OBJECTIVE:To describe clinical findings in dogs with eosinophilic lung disease defined on the basis of radiographic, bronchoscopic, and bronchoalveolar lavage fluid (BAL) analysis. Categories included eosinophilic bronchitis (EB), eosinophilic granuloma (EG), and eosinophilic bronchopneumopathy (EBP).</w:t>
      </w:r>
    </w:p>
    <w:p/>
    <w:p>
      <w:pPr>
        <w:pStyle w:val="Normal"/>
      </w:pPr>
      <w:r>
        <w:rPr>
          <w:color w:val="323232"/>
        </w:rPr>
        <w:t xml:space="preserve">ANIMALS:Seventy-five client owned dogs.</w:t>
      </w:r>
    </w:p>
    <w:p/>
    <w:p>
      <w:pPr>
        <w:pStyle w:val="Normal"/>
      </w:pPr>
      <w:r>
        <w:rPr>
          <w:color w:val="323232"/>
        </w:rPr>
        <w:t xml:space="preserve">METHODS:Medical records were retrospectively reviewed for dogs with idiopathic BAL fluid eosinophilia. Information abstracted included duration and nature of clinical signs, bronchoscopic findings, and laboratory data. Thoracic radiographs were evaluated for the pattern of infiltrate, bronchiectasis, and lymphadenomegaly.</w:t>
      </w:r>
    </w:p>
    <w:p/>
    <w:p>
      <w:pPr>
        <w:pStyle w:val="Normal"/>
      </w:pPr>
      <w:r>
        <w:rPr>
          <w:color w:val="323232"/>
        </w:rPr>
        <w:t xml:space="preserve">RESULTS:Thoracic radiographs were normal or demonstrated a bronchial pattern in 31 dogs assigned a diagnosis of EB. Nine dogs had intraluminal mass lesions and were bronchoscopically diagnosed with EG. The remaining 35 dogs were categorized as having EBP based on radiographic changes, yellow green mucus in the airways, mucosal changes, and airway collapse. Age and duration of cough did not differ among groups. Dogs with EB were less likely to have bronchiectasis or peripheral eosinophilia, had lower total nucleated cell count in BAL fluid, and lower percentage of eosinophils in BAL fluid compared to dogs in the other 2 groups. In contrast to previous reports, prolonged survival (&gt;55</w:t>
      </w:r>
      <w:r>
        <w:rPr>
          <w:color w:val="323232"/>
        </w:rPr>
        <w:t xml:space="preserve"> </w:t>
      </w:r>
      <w:r>
        <w:rPr>
          <w:color w:val="323232"/>
        </w:rPr>
        <w:t xml:space="preserve">months) was documented in dogs with EG.</w:t>
      </w:r>
    </w:p>
    <w:p/>
    <w:p>
      <w:pPr>
        <w:pStyle w:val="Normal"/>
      </w:pPr>
      <w:r>
        <w:rPr>
          <w:color w:val="323232"/>
        </w:rPr>
        <w:t xml:space="preserve">CONCLUSIONS AND CLINICAL IMPORTANCE:Dogs with eosinophilic lung disease can be categorized based on imaging, bronchoscopic and BAL fluid cytologic findings. Further studies are needed to establish response to treatment in these groups.</w:t>
      </w:r>
    </w:p>
    <w:p/>
    <w:p>
      <w:pPr>
        <w:pStyle w:val="Normal"/>
      </w:pPr>
      <w:r>
        <w:rPr>
          <w:color w:val="323232"/>
        </w:rPr>
        <w:t xml:space="preserve">J Vet Intern Med, 2019 vol. 33 (5) pp. 2217-2226.</w:t>
      </w:r>
    </w:p>
    <w:p>
      <w:r>
        <w:rPr>
          <w:rStyle w:val="Hyperlink"/>
        </w:rPr>
        <w:fldChar w:fldCharType="begin"/>
      </w:r>
      <w:r>
        <w:rPr>
          <w:rStyle w:val="Hyperlink"/>
        </w:rPr>
        <w:instrText xml:space="preserve"> HYPERLINK "http://dx.doi.org/10.1111/jvim.15605" </w:instrText>
      </w:r>
      <w:r>
        <w:rPr>
          <w:rStyle w:val="Hyperlink"/>
        </w:rPr>
      </w:r>
      <w:r>
        <w:rPr>
          <w:rStyle w:val="Hyperlink"/>
        </w:rPr>
        <w:fldChar w:fldCharType="separate"/>
      </w:r>
      <w:pPr>
        <w:pStyle w:val="Normal"/>
      </w:pPr>
      <w:r>
        <w:rPr>
          <w:rStyle w:val="Hyperlink"/>
        </w:rPr>
        <w:t xml:space="preserve">http://dx.doi.org/10.1111/jvim.15605</w:t>
      </w:r>
      <w:r>
        <w:rPr>
          <w:rStyle w:val="Hyperlink"/>
        </w:rPr>
        <w:fldChar w:fldCharType="end"/>
      </w:r>
    </w:p>
    <w:p>
      <w:pPr>
        <w:pStyle w:val="Normal"/>
      </w:pPr>
      <w:r>
        <w:rPr>
          <w:color w:val="323232"/>
        </w:rPr>
        <w:t xml:space="preserve">————————</w:t>
      </w:r>
    </w:p>
    <w:p>
      <w:pPr>
        <w:pStyle w:val="Heading4"/>
      </w:pPr>
      <w:r>
        <w:t xml:space="preserve">Cerebrospinal fluid lactate in dogs with inflammatory central nervous system disorders.</w:t>
      </w:r>
    </w:p>
    <w:p/>
    <w:p>
      <w:pPr>
        <w:pStyle w:val="Normal"/>
      </w:pPr>
      <w:r>
        <w:rPr>
          <w:color w:val="323232"/>
        </w:rPr>
        <w:t xml:space="preserve">Christopher L Mariani, Carolyn J Nye, Debra A Tokarz, Lauren Green, Jeanie Lau, Natalia Zidan, Peter J Early, Julien Guevar, Karen R Muñana, Natasha J Olby, and Sarita Miles.</w:t>
      </w:r>
    </w:p>
    <w:p/>
    <w:p>
      <w:pPr>
        <w:pStyle w:val="Normal"/>
      </w:pPr>
      <w:r>
        <w:rPr>
          <w:color w:val="323232"/>
        </w:rPr>
        <w:t xml:space="preserve">BACKGROUND:Cerebrospinal fluid (CSF) lactate is frequently used as a biomarker in humans with inflammatory central nervous system (CNS) disorders including bacterial meningitis and autoimmune disorders such as multiple sclerosis.</w:t>
      </w:r>
    </w:p>
    <w:p/>
    <w:p>
      <w:pPr>
        <w:pStyle w:val="Normal"/>
      </w:pPr>
      <w:r>
        <w:rPr>
          <w:color w:val="323232"/>
        </w:rPr>
        <w:t xml:space="preserve">HYPOTHESIS:Cerebrospinal fluid lactate concentrations are increased in a subset of dogs with inflammatory CNS disorders.</w:t>
      </w:r>
    </w:p>
    <w:p/>
    <w:p>
      <w:pPr>
        <w:pStyle w:val="Normal"/>
      </w:pPr>
      <w:r>
        <w:rPr>
          <w:color w:val="323232"/>
        </w:rPr>
        <w:t xml:space="preserve">ANIMALS:One hundred two client-owned dogs diagnosed with inflammatory CNS disease.</w:t>
      </w:r>
    </w:p>
    <w:p/>
    <w:p>
      <w:pPr>
        <w:pStyle w:val="Normal"/>
      </w:pPr>
      <w:r>
        <w:rPr>
          <w:color w:val="323232"/>
        </w:rPr>
        <w:t xml:space="preserve">METHODS:Case series. Cases were identified both prospectively at the time of diagnosis and retrospectively by review of a CSF biorepository. Cerebrospinal fluid lactate was analyzed with a commercially available, handheld lactate monitor. Subcategories of inflammatory disease were created for comparison (eg, steroid-responsive meningitis arteritis, meningoencephalitis of unknown etiology).</w:t>
      </w:r>
    </w:p>
    <w:p/>
    <w:p>
      <w:pPr>
        <w:pStyle w:val="Normal"/>
      </w:pPr>
      <w:r>
        <w:rPr>
          <w:color w:val="323232"/>
        </w:rPr>
        <w:t xml:space="preserve">RESULTS:Cerebrospinal fluid lactate concentrations were above reference range in 47% of dogs (median, 2.5</w:t>
      </w:r>
      <w:r>
        <w:rPr>
          <w:color w:val="323232"/>
        </w:rPr>
        <w:t xml:space="preserve"> </w:t>
      </w:r>
      <w:r>
        <w:rPr>
          <w:color w:val="323232"/>
        </w:rPr>
        <w:t xml:space="preserve">mmol</w:t>
      </w:r>
      <w:r>
        <w:rPr>
          <w:i w:val="1"/>
          <w:color w:val="323232"/>
        </w:rPr>
        <w:t xml:space="preserve">L; range, 1.0-11.7</w:t>
      </w:r>
      <w:r>
        <w:rPr>
          <w:color w:val="323232"/>
        </w:rPr>
        <w:t xml:space="preserve"> </w:t>
      </w:r>
      <w:r>
        <w:rPr>
          <w:i w:val="1"/>
          <w:color w:val="323232"/>
        </w:rPr>
        <w:t xml:space="preserve">mmol</w:t>
      </w:r>
      <w:r>
        <w:rPr>
          <w:color w:val="323232"/>
        </w:rPr>
        <w:t xml:space="preserve">L). There was no significant difference in lactate concentrations between disease subcategories (P = .48). Significant but weak correlations were noted between CSF lactate concentration and nucleated cell count (r = .33, P</w:t>
      </w:r>
      <w:r>
        <w:rPr>
          <w:color w:val="323232"/>
        </w:rPr>
        <w:t xml:space="preserve"> </w:t>
      </w:r>
      <w:r>
        <w:rPr>
          <w:color w:val="323232"/>
        </w:rPr>
        <w:t xml:space="preserve">&lt;</w:t>
      </w:r>
      <w:r>
        <w:rPr>
          <w:color w:val="323232"/>
        </w:rPr>
        <w:t xml:space="preserve"> </w:t>
      </w:r>
      <w:r>
        <w:rPr>
          <w:color w:val="323232"/>
        </w:rPr>
        <w:t xml:space="preserve">.001), absolute large mononuclear cell count (r = .44, P</w:t>
      </w:r>
      <w:r>
        <w:rPr>
          <w:color w:val="323232"/>
        </w:rPr>
        <w:t xml:space="preserve"> </w:t>
      </w:r>
      <w:r>
        <w:rPr>
          <w:color w:val="323232"/>
        </w:rPr>
        <w:t xml:space="preserve">&lt;</w:t>
      </w:r>
      <w:r>
        <w:rPr>
          <w:color w:val="323232"/>
        </w:rPr>
        <w:t xml:space="preserve"> </w:t>
      </w:r>
      <w:r>
        <w:rPr>
          <w:color w:val="323232"/>
        </w:rPr>
        <w:t xml:space="preserve">.001), absolute small mononuclear cell count (r = .39, P</w:t>
      </w:r>
      <w:r>
        <w:rPr>
          <w:color w:val="323232"/>
        </w:rPr>
        <w:t xml:space="preserve"> </w:t>
      </w:r>
      <w:r>
        <w:rPr>
          <w:color w:val="323232"/>
        </w:rPr>
        <w:t xml:space="preserve">&lt;</w:t>
      </w:r>
      <w:r>
        <w:rPr>
          <w:color w:val="323232"/>
        </w:rPr>
        <w:t xml:space="preserve"> </w:t>
      </w:r>
      <w:r>
        <w:rPr>
          <w:color w:val="323232"/>
        </w:rPr>
        <w:t xml:space="preserve">.001), absolute neutrophil cell count (r = .24, P = .01), and protein (r = .44, P</w:t>
      </w:r>
      <w:r>
        <w:rPr>
          <w:color w:val="323232"/>
        </w:rPr>
        <w:t xml:space="preserve"> </w:t>
      </w:r>
      <w:r>
        <w:rPr>
          <w:color w:val="323232"/>
        </w:rPr>
        <w:t xml:space="preserve">&lt;</w:t>
      </w:r>
      <w:r>
        <w:rPr>
          <w:color w:val="323232"/>
        </w:rPr>
        <w:t xml:space="preserve"> </w:t>
      </w:r>
      <w:r>
        <w:rPr>
          <w:color w:val="323232"/>
        </w:rPr>
        <w:t xml:space="preserve">.001). No correlation was found between CSF lactate concentration and CSF red blood cell count (P = .58). There was no significant association of CSF lactate concentration with survival (P = .27).</w:t>
      </w:r>
    </w:p>
    <w:p/>
    <w:p>
      <w:pPr>
        <w:pStyle w:val="Normal"/>
      </w:pPr>
      <w:r>
        <w:rPr>
          <w:color w:val="323232"/>
        </w:rPr>
        <w:t xml:space="preserve">CONCLUSIONS AND CLINICAL IMPORTANCE:Cerebrospinal fluid lactate concentrations could serve as a rapid biomarker of inflammatory CNS disease in dogs.</w:t>
      </w:r>
    </w:p>
    <w:p/>
    <w:p>
      <w:pPr>
        <w:pStyle w:val="Normal"/>
      </w:pPr>
      <w:r>
        <w:rPr>
          <w:color w:val="323232"/>
        </w:rPr>
        <w:t xml:space="preserve">J Vet Intern Med, 2019 vol. 33 (6) pp. 2701-2708.</w:t>
      </w:r>
    </w:p>
    <w:p>
      <w:r>
        <w:rPr>
          <w:rStyle w:val="Hyperlink"/>
        </w:rPr>
        <w:fldChar w:fldCharType="begin"/>
      </w:r>
      <w:r>
        <w:rPr>
          <w:rStyle w:val="Hyperlink"/>
        </w:rPr>
        <w:instrText xml:space="preserve"> HYPERLINK "http://eutils.ncbi.nlm.nih.gov/entrez/eutils/elink.fcgi?dbfrom=pubmed&amp;id=31549740&amp;retmode=ref&amp;cmd=prlinks"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http://eutils.ncbi.nlm.nih.gov/entrez/eutils/elink.fcgi?dbfrom=pubmed&amp;id=31549740&amp;retmode=ref&amp;cmd=prlinks</w:t>
      </w:r>
      <w:r>
        <w:rPr>
          <w:rStyle w:val="Hyperlink"/>
        </w:rPr>
        <w:fldChar w:fldCharType="end"/>
      </w:r>
    </w:p>
    <w:p>
      <w:pPr>
        <w:pStyle w:val="Normal"/>
      </w:pPr>
      <w:r>
        <w:rPr>
          <w:color w:val="323232"/>
        </w:rPr>
        <w:t xml:space="preserve">————————</w:t>
      </w:r>
    </w:p>
    <w:p>
      <w:pPr>
        <w:pStyle w:val="Heading4"/>
      </w:pPr>
      <w:r>
        <w:t xml:space="preserve">Clinical, clinicopathologic, and gastrointestinal changes from administration of clopidogrel, prednisone, or combination in healthy dogs: A double-blind randomized trial.</w:t>
      </w:r>
    </w:p>
    <w:p/>
    <w:p>
      <w:pPr>
        <w:pStyle w:val="Normal"/>
      </w:pPr>
      <w:r>
        <w:rPr>
          <w:color w:val="323232"/>
        </w:rPr>
        <w:t xml:space="preserve">Jacqueline C Whittemore, Allison P Mooney, Joshua M Price, and John Thomason.</w:t>
      </w:r>
    </w:p>
    <w:p/>
    <w:p>
      <w:pPr>
        <w:pStyle w:val="Normal"/>
      </w:pPr>
      <w:r>
        <w:rPr>
          <w:color w:val="323232"/>
        </w:rPr>
        <w:t xml:space="preserve">BACKGROUND:Dogs with immune-mediated disease often receive glucocorticoids with clopidogrel, but ulcerogenic effects of current protocols are unknown.</w:t>
      </w:r>
    </w:p>
    <w:p/>
    <w:p>
      <w:pPr>
        <w:pStyle w:val="Normal"/>
      </w:pPr>
      <w:r>
        <w:rPr>
          <w:color w:val="323232"/>
        </w:rPr>
        <w:t xml:space="preserve">HYPOTHESIS/OBJECTIVES:To compare gastrointestinal endoscopic findings among dogs administered clopidogrel, prednisone, and combination treatment.</w:t>
      </w:r>
    </w:p>
    <w:p/>
    <w:p>
      <w:pPr>
        <w:pStyle w:val="Normal"/>
      </w:pPr>
      <w:r>
        <w:rPr>
          <w:color w:val="323232"/>
        </w:rPr>
        <w:t xml:space="preserve">ANIMALS:Twenty-four healthy research dogs.</w:t>
      </w:r>
    </w:p>
    <w:p/>
    <w:p>
      <w:pPr>
        <w:pStyle w:val="Normal"/>
      </w:pPr>
      <w:r>
        <w:rPr>
          <w:color w:val="323232"/>
        </w:rPr>
        <w:t xml:space="preserve">METHODS:Double-blinded, placebo-controlled randomized trial. Dogs received placebo, clopidogrel (2-3 mg/ kg q24h), prednisone (2 mg/ kg q24h), or prednisone with clopidogrel PO for 28</w:t>
      </w:r>
      <w:r>
        <w:rPr>
          <w:color w:val="323232"/>
        </w:rPr>
        <w:t xml:space="preserve"> </w:t>
      </w:r>
      <w:r>
        <w:rPr>
          <w:color w:val="323232"/>
        </w:rPr>
        <w:t xml:space="preserve">days. Attitude, food intake, vomiting, and fecal score were determined daily. Clinicopathologic testing was performed at baseline and on day 28. Gastrointestinal hemorrhages, erosions, and ulcers were numerated by 2 blinded investigators for endoscopies performed on days 0, 14, and 28, and endoscopic mucosal lesion scores were calculated. Results were compared using mixed model, split-plot repeated measures ANOVAs and generalized estimating equation proportional odds models as appropriate. P</w:t>
      </w:r>
      <w:r>
        <w:rPr>
          <w:color w:val="323232"/>
        </w:rPr>
        <w:t xml:space="preserve"> </w:t>
      </w:r>
      <w:r>
        <w:rPr>
          <w:color w:val="323232"/>
        </w:rPr>
        <w:t xml:space="preserve">&lt;</w:t>
      </w:r>
      <w:r>
        <w:rPr>
          <w:color w:val="323232"/>
        </w:rPr>
        <w:t xml:space="preserve"> </w:t>
      </w:r>
      <w:r>
        <w:rPr>
          <w:color w:val="323232"/>
        </w:rPr>
        <w:t xml:space="preserve">.05 was considered significant.</w:t>
      </w:r>
    </w:p>
    <w:p/>
    <w:p>
      <w:pPr>
        <w:pStyle w:val="Normal"/>
      </w:pPr>
      <w:r>
        <w:rPr>
          <w:color w:val="323232"/>
        </w:rPr>
        <w:t xml:space="preserve">RESULTS:Clinical signs of gastrointestinal bleeding were not noted. Endoscopic mucosal lesion scores differed significantly by group (F[3, 20] = 12.8, P</w:t>
      </w:r>
      <w:r>
        <w:rPr>
          <w:color w:val="323232"/>
        </w:rPr>
        <w:t xml:space="preserve"> </w:t>
      </w:r>
      <w:r>
        <w:rPr>
          <w:color w:val="323232"/>
        </w:rPr>
        <w:t xml:space="preserve">&lt;</w:t>
      </w:r>
      <w:r>
        <w:rPr>
          <w:color w:val="323232"/>
        </w:rPr>
        <w:t xml:space="preserve"> </w:t>
      </w:r>
      <w:r>
        <w:rPr>
          <w:color w:val="323232"/>
        </w:rPr>
        <w:t xml:space="preserve">.001) and time (F[2, 40] = 8.3, P</w:t>
      </w:r>
      <w:r>
        <w:rPr>
          <w:color w:val="323232"/>
        </w:rPr>
        <w:t xml:space="preserve"> </w:t>
      </w:r>
      <w:r>
        <w:rPr>
          <w:color w:val="323232"/>
        </w:rPr>
        <w:t xml:space="preserve">&lt;</w:t>
      </w:r>
      <w:r>
        <w:rPr>
          <w:color w:val="323232"/>
        </w:rPr>
        <w:t xml:space="preserve"> </w:t>
      </w:r>
      <w:r>
        <w:rPr>
          <w:color w:val="323232"/>
        </w:rPr>
        <w:t xml:space="preserve">.001). Posthoc analysis revealed higher lesion scores in the prednisone-receiving groups (P</w:t>
      </w:r>
      <w:r>
        <w:rPr>
          <w:color w:val="323232"/>
        </w:rPr>
        <w:t xml:space="preserve"> </w:t>
      </w:r>
      <w:r>
        <w:rPr>
          <w:color w:val="323232"/>
        </w:rPr>
        <w:t xml:space="preserve">≤</w:t>
      </w:r>
      <w:r>
        <w:rPr>
          <w:color w:val="323232"/>
        </w:rPr>
        <w:t xml:space="preserve"> </w:t>
      </w:r>
      <w:r>
        <w:rPr>
          <w:color w:val="323232"/>
        </w:rPr>
        <w:t xml:space="preserve">.006 for each) and on day 14 (P</w:t>
      </w:r>
      <w:r>
        <w:rPr>
          <w:color w:val="323232"/>
        </w:rPr>
        <w:t xml:space="preserve"> </w:t>
      </w:r>
      <w:r>
        <w:rPr>
          <w:color w:val="323232"/>
        </w:rPr>
        <w:t xml:space="preserve">≤</w:t>
      </w:r>
      <w:r>
        <w:rPr>
          <w:color w:val="323232"/>
        </w:rPr>
        <w:t xml:space="preserve"> </w:t>
      </w:r>
      <w:r>
        <w:rPr>
          <w:color w:val="323232"/>
        </w:rPr>
        <w:t xml:space="preserve">.007 for each). Ulcers were identified in 4 dogs administered prednisone and 3 dogs administered prednisone/clopidogrel. Odds of having endoscopic mucosal lesion scores ≥4 were 7-times higher for dogs in prednisone (95%CI 1.1, 43.0; P = .037) and prednisone-clopidogrel (95%CI 1.1, 43.4; P = .037) groups than those in the placebo group.</w:t>
      </w:r>
    </w:p>
    <w:p/>
    <w:p>
      <w:pPr>
        <w:pStyle w:val="Normal"/>
      </w:pPr>
      <w:r>
        <w:rPr>
          <w:color w:val="323232"/>
        </w:rPr>
        <w:t xml:space="preserve">CONCLUSIONS AND CLINICAL IMPORTANCE:Gastrointestinal bleeding and ulceration occur commonly in healthy dogs administered prednisone or prednisone/clopidogrel treatment, but not clopidogrel monotherapy. Though lesions are severe in many cases, they are not accompanied by clinical signs.</w:t>
      </w:r>
    </w:p>
    <w:p/>
    <w:p>
      <w:pPr>
        <w:pStyle w:val="Normal"/>
      </w:pPr>
      <w:r>
        <w:rPr>
          <w:color w:val="323232"/>
        </w:rPr>
        <w:t xml:space="preserve">J Vet Intern Med, 2019 vol. 33 (6) pp. 2618-2627.</w:t>
      </w:r>
    </w:p>
    <w:p>
      <w:r>
        <w:rPr>
          <w:rStyle w:val="Hyperlink"/>
        </w:rPr>
        <w:fldChar w:fldCharType="begin"/>
      </w:r>
      <w:r>
        <w:rPr>
          <w:rStyle w:val="Hyperlink"/>
        </w:rPr>
        <w:instrText xml:space="preserve"> HYPERLINK "http://eutils.ncbi.nlm.nih.gov/entrez/eutils/elink.fcgi?dbfrom=pubmed&amp;id=31593364&amp;retmode=ref&amp;cmd=prlinks"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http://eutils.ncbi.nlm.nih.gov/entrez/eutils/elink.fcgi?dbfrom=pubmed&amp;id=31593364&amp;retmode=ref&amp;cmd=prlinks</w:t>
      </w:r>
      <w:r>
        <w:rPr>
          <w:rStyle w:val="Hyperlink"/>
        </w:rPr>
        <w:fldChar w:fldCharType="end"/>
      </w:r>
    </w:p>
    <w:p>
      <w:pPr>
        <w:pStyle w:val="Normal"/>
      </w:pPr>
      <w:r>
        <w:rPr>
          <w:color w:val="323232"/>
        </w:rPr>
        <w:t xml:space="preserve">————————</w:t>
      </w:r>
    </w:p>
    <w:p>
      <w:pPr>
        <w:pStyle w:val="Heading4"/>
      </w:pPr>
      <w:r>
        <w:t xml:space="preserve">Clinical, metabolic, and genetic characterization of hereditary methemoglobinemia caused by cytochrome b5 reductase deficiency in cats.</w:t>
      </w:r>
    </w:p>
    <w:p/>
    <w:p>
      <w:pPr>
        <w:pStyle w:val="Normal"/>
      </w:pPr>
      <w:r>
        <w:rPr>
          <w:color w:val="323232"/>
        </w:rPr>
        <w:t xml:space="preserve">Jared A Jaffey, N Scott Reading, Urs Giger, Osheiza Abdulmalik, Ruben M Buckley, Sophie Johnstone, Leslie A Lyons, and 99 Lives Cat Genome Consortium.</w:t>
      </w:r>
    </w:p>
    <w:p/>
    <w:p>
      <w:pPr>
        <w:pStyle w:val="Normal"/>
      </w:pPr>
      <w:r>
        <w:rPr>
          <w:color w:val="323232"/>
        </w:rPr>
        <w:t xml:space="preserve">Two non-pedigreed male castrated cats had persistent cyanosis over a 3-year observation period. Clinical cardiopulmonary evaluations did not reveal abnormalities, but the blood remained dark after exposure to air. Erythrocytic methemoglobin concentrations were high (~40% of hemoglobin) and cytochrome b5 reductase (CYB5R) activities in erythrocytes were low (≤15% of control). One cat remained intolerant of exertion, and the other cat developed anemia and died due to an unidentified comorbidity. Whole-genome sequencing revealed a homozygous c.625G&gt;A missense variant (B4:137967506) and a c.232-1G&gt;C splice acceptor variant (B4:137970815) in CYB5R3, respectively, which were absent in 193 unaffected additional cats. The p.Gly209Ser missense variant likely disrupts a nicotinamide adenine dinucleotide (NADH)-binding domain, while the splicing error occurs at the acceptor site for exon 4, which likely affects downstream translation of the protein. The 2 novel CYB5R3 variants were associated with methemoglobinemia using clinical, biochemical, genomics, and in silico protein studies. The variant prevalence is unknown in the cat population.</w:t>
      </w:r>
    </w:p>
    <w:p/>
    <w:p>
      <w:pPr>
        <w:pStyle w:val="Normal"/>
      </w:pPr>
      <w:r>
        <w:rPr>
          <w:color w:val="323232"/>
        </w:rPr>
        <w:t xml:space="preserve">J Vet Intern Med, 2019 vol. 33 (6) pp. 2725-2731.</w:t>
      </w:r>
    </w:p>
    <w:p>
      <w:r>
        <w:rPr>
          <w:rStyle w:val="Hyperlink"/>
        </w:rPr>
        <w:fldChar w:fldCharType="begin"/>
      </w:r>
      <w:r>
        <w:rPr>
          <w:rStyle w:val="Hyperlink"/>
        </w:rPr>
        <w:instrText xml:space="preserve"> HYPERLINK "http://eutils.ncbi.nlm.nih.gov/entrez/eutils/elink.fcgi?dbfrom=pubmed&amp;id=31650629&amp;retmode=ref&amp;cmd=prlinks"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http://eutils.ncbi.nlm.nih.gov/entrez/eutils/elink.fcgi?dbfrom=pubmed&amp;id=31650629&amp;retmode=ref&amp;cmd=prlinks</w:t>
      </w:r>
      <w:r>
        <w:rPr>
          <w:rStyle w:val="Hyperlink"/>
        </w:rPr>
        <w:fldChar w:fldCharType="end"/>
      </w:r>
    </w:p>
    <w:p>
      <w:pPr>
        <w:pStyle w:val="Normal"/>
      </w:pPr>
      <w:r>
        <w:rPr>
          <w:color w:val="323232"/>
        </w:rPr>
        <w:t xml:space="preserve">————————</w:t>
      </w:r>
    </w:p>
    <w:p>
      <w:pPr>
        <w:pStyle w:val="Heading4"/>
      </w:pPr>
      <w:r>
        <w:t xml:space="preserve">Comparison of intranasal versus intravenous midazolam for management of status epilepticus in dogs: A multi-center randomized parallel group clinical study.</w:t>
      </w:r>
    </w:p>
    <w:p/>
    <w:p>
      <w:pPr>
        <w:pStyle w:val="Normal"/>
      </w:pPr>
      <w:r>
        <w:rPr>
          <w:color w:val="323232"/>
        </w:rPr>
        <w:t xml:space="preserve">Marios Charalambous, Holger A Volk, Andrea Tipold, Johannes Erath, Enrice Huenerfauth, Antonella Gallucci, Gualtiero Gandini, Daisuke Hasegawa, Theresa Pancotto, John H Rossmeisl, Simon Platt, Luisa De Risio, Joan R Coates, Mihai Musteata, Federica Tirrito, Francesca Cozzi, Laura Porcarelli, Daniele Corlazzoli, Rodolfo Cappello, An Vanhaesebrouck, Bart J G Broeckx, Luc Van Ham, and Sofie F M Bhatti.</w:t>
      </w:r>
    </w:p>
    <w:p/>
    <w:p>
      <w:pPr>
        <w:pStyle w:val="Normal"/>
      </w:pPr>
      <w:r>
        <w:rPr>
          <w:color w:val="323232"/>
        </w:rPr>
        <w:t xml:space="preserve">BACKGROUND:The intranasal (IN) route for rapid drug administration in patients with brain disorders, including status epilepticus, has been investigated. Status epilepticus is an emergency, and the IN route offers a valuable alternative to other routes, especially when these fail.</w:t>
      </w:r>
    </w:p>
    <w:p/>
    <w:p>
      <w:pPr>
        <w:pStyle w:val="Normal"/>
      </w:pPr>
      <w:r>
        <w:rPr>
          <w:color w:val="323232"/>
        </w:rPr>
        <w:t xml:space="preserve">OBJECTIVES:To compare IN versus IV midazolam (MDZ) at the same dosage (0.2</w:t>
      </w:r>
      <w:r>
        <w:rPr>
          <w:color w:val="323232"/>
        </w:rPr>
        <w:t xml:space="preserve"> </w:t>
      </w:r>
      <w:r>
        <w:rPr>
          <w:color w:val="323232"/>
        </w:rPr>
        <w:t xml:space="preserve">mg/kg) for controlling status epilepticus in dogs.</w:t>
      </w:r>
    </w:p>
    <w:p/>
    <w:p>
      <w:pPr>
        <w:pStyle w:val="Normal"/>
      </w:pPr>
      <w:r>
        <w:rPr>
          <w:color w:val="323232"/>
        </w:rPr>
        <w:t xml:space="preserve">ANIMALS:Client-owned dogs (n = 44) with idiopathic epilepsy, structural epilepsy, or epilepsy of unknown origin manifesting as status epilepticus.</w:t>
      </w:r>
    </w:p>
    <w:p/>
    <w:p>
      <w:pPr>
        <w:pStyle w:val="Normal"/>
      </w:pPr>
      <w:r>
        <w:rPr>
          <w:color w:val="323232"/>
        </w:rPr>
        <w:t xml:space="preserve">METHODS:Randomized parallel group clinical trial. Patients were randomly allocated to the IN-MDZ (n = 21) or IV-MDZ (n = 23) group. Number of successfully treated cases (defined as seizure cessation within 5</w:t>
      </w:r>
      <w:r>
        <w:rPr>
          <w:color w:val="323232"/>
        </w:rPr>
        <w:t xml:space="preserve"> </w:t>
      </w:r>
      <w:r>
        <w:rPr>
          <w:color w:val="323232"/>
        </w:rPr>
        <w:t xml:space="preserve">minutes and lasting for ≥10</w:t>
      </w:r>
      <w:r>
        <w:rPr>
          <w:color w:val="323232"/>
        </w:rPr>
        <w:t xml:space="preserve"> </w:t>
      </w:r>
      <w:r>
        <w:rPr>
          <w:color w:val="323232"/>
        </w:rPr>
        <w:t xml:space="preserve">minutes), seizure cessation time, and adverse effects were recorded. Comparisons were performed using the Fisher's exact and Wilcoxon rank sum tests with statistical significance set at α</w:t>
      </w:r>
      <w:r>
        <w:rPr>
          <w:color w:val="323232"/>
        </w:rPr>
        <w:t xml:space="preserve"> </w:t>
      </w:r>
      <w:r>
        <w:rPr>
          <w:color w:val="323232"/>
        </w:rPr>
        <w:t xml:space="preserve">&lt;</w:t>
      </w:r>
      <w:r>
        <w:rPr>
          <w:color w:val="323232"/>
        </w:rPr>
        <w:t xml:space="preserve"> </w:t>
      </w:r>
      <w:r>
        <w:rPr>
          <w:color w:val="323232"/>
        </w:rPr>
        <w:t xml:space="preserve">.05.</w:t>
      </w:r>
    </w:p>
    <w:p/>
    <w:p>
      <w:pPr>
        <w:pStyle w:val="Normal"/>
      </w:pPr>
      <w:r>
        <w:rPr>
          <w:color w:val="323232"/>
        </w:rPr>
        <w:t xml:space="preserve">RESULTS:IN-MDZ and IV-MDZ successfully stopped status epilepticus in 76% and 61% of cases, respectively (P = .34). The median seizure cessation time was 33 and 64</w:t>
      </w:r>
      <w:r>
        <w:rPr>
          <w:color w:val="323232"/>
        </w:rPr>
        <w:t xml:space="preserve"> </w:t>
      </w:r>
      <w:r>
        <w:rPr>
          <w:color w:val="323232"/>
        </w:rPr>
        <w:t xml:space="preserve">seconds for IN-MDZ and IV-MDZ, respectively (P = .63). When the time to place an IV catheter was taken into account, IN-MDZ (100</w:t>
      </w:r>
      <w:r>
        <w:rPr>
          <w:color w:val="323232"/>
        </w:rPr>
        <w:t xml:space="preserve"> </w:t>
      </w:r>
      <w:r>
        <w:rPr>
          <w:color w:val="323232"/>
        </w:rPr>
        <w:t xml:space="preserve">seconds) was superior (P = .04) to IV-MDZ (270</w:t>
      </w:r>
      <w:r>
        <w:rPr>
          <w:color w:val="323232"/>
        </w:rPr>
        <w:t xml:space="preserve"> </w:t>
      </w:r>
      <w:r>
        <w:rPr>
          <w:color w:val="323232"/>
        </w:rPr>
        <w:t xml:space="preserve">seconds). Sedation and ataxia were seen in 88% and 79% of the dogs treated with IN-MDZ and IV-MDZ, respectively.</w:t>
      </w:r>
    </w:p>
    <w:p/>
    <w:p>
      <w:pPr>
        <w:pStyle w:val="Normal"/>
      </w:pPr>
      <w:r>
        <w:rPr>
          <w:color w:val="323232"/>
        </w:rPr>
        <w:t xml:space="preserve">CONCLUSIONS AND CLINICAL IMPORTANCE:Both routes are quick, safe, and effective for controlling status epilepticus. However, the IN route demonstrated superiority when the time needed to place an IV catheter was taken into account.</w:t>
      </w:r>
    </w:p>
    <w:p/>
    <w:p>
      <w:pPr>
        <w:pStyle w:val="Normal"/>
      </w:pPr>
      <w:r>
        <w:rPr>
          <w:color w:val="323232"/>
        </w:rPr>
        <w:t xml:space="preserve">J Vet Intern Med, 2019 vol. 33 (6) pp. 2709-2717.</w:t>
      </w:r>
    </w:p>
    <w:p>
      <w:r>
        <w:rPr>
          <w:rStyle w:val="Hyperlink"/>
        </w:rPr>
        <w:fldChar w:fldCharType="begin"/>
      </w:r>
      <w:r>
        <w:rPr>
          <w:rStyle w:val="Hyperlink"/>
        </w:rPr>
        <w:instrText xml:space="preserve"> HYPERLINK "http://eutils.ncbi.nlm.nih.gov/entrez/eutils/elink.fcgi?dbfrom=pubmed&amp;id=31580527&amp;retmode=ref&amp;cmd=prlinks"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http://eutils.ncbi.nlm.nih.gov/entrez/eutils/elink.fcgi?dbfrom=pubmed&amp;id=31580527&amp;retmode=ref&amp;cmd=prlinks</w:t>
      </w:r>
      <w:r>
        <w:rPr>
          <w:rStyle w:val="Hyperlink"/>
        </w:rPr>
        <w:fldChar w:fldCharType="end"/>
      </w:r>
    </w:p>
    <w:p>
      <w:pPr>
        <w:pStyle w:val="Normal"/>
      </w:pPr>
      <w:r>
        <w:rPr>
          <w:color w:val="323232"/>
        </w:rPr>
        <w:t xml:space="preserve">————————</w:t>
      </w:r>
    </w:p>
    <w:p>
      <w:pPr>
        <w:pStyle w:val="Heading4"/>
      </w:pPr>
      <w:r>
        <w:t xml:space="preserve">Effect of probiotic Enterococcus faecium SF68 on liver function in healthy dogs.</w:t>
      </w:r>
    </w:p>
    <w:p/>
    <w:p>
      <w:pPr>
        <w:pStyle w:val="Normal"/>
      </w:pPr>
      <w:r>
        <w:rPr>
          <w:color w:val="323232"/>
        </w:rPr>
        <w:t xml:space="preserve">Rosario Lucena, Manuel Novales, Beatriz Blanco, Eduardo Hernández, and Pedro José Ginel.</w:t>
      </w:r>
    </w:p>
    <w:p/>
    <w:p>
      <w:pPr>
        <w:pStyle w:val="Normal"/>
      </w:pPr>
      <w:r>
        <w:rPr>
          <w:color w:val="323232"/>
        </w:rPr>
        <w:t xml:space="preserve">BACKGROUND:Probiotics are widely used in dogs but can be associated with alterations in some serum biochemistry test results.</w:t>
      </w:r>
    </w:p>
    <w:p/>
    <w:p>
      <w:pPr>
        <w:pStyle w:val="Normal"/>
      </w:pPr>
      <w:r>
        <w:rPr>
          <w:color w:val="323232"/>
        </w:rPr>
        <w:t xml:space="preserve">OBJECTIVE:To assess the effect of Enterococcus faecium SF68 administration for 14</w:t>
      </w:r>
      <w:r>
        <w:rPr>
          <w:color w:val="323232"/>
        </w:rPr>
        <w:t xml:space="preserve"> </w:t>
      </w:r>
      <w:r>
        <w:rPr>
          <w:color w:val="323232"/>
        </w:rPr>
        <w:t xml:space="preserve">days on serum alanine transferase (ALT) and alkaline phosphatase (ALP) activity and total cholesterol and triglyceride concentrations in healthy dogs.</w:t>
      </w:r>
    </w:p>
    <w:p/>
    <w:p>
      <w:pPr>
        <w:pStyle w:val="Normal"/>
      </w:pPr>
      <w:r>
        <w:rPr>
          <w:color w:val="323232"/>
        </w:rPr>
        <w:t xml:space="preserve">ANIMALS:Thirty-six healthy privately owned neutered dogs were randomly allocated, stratified by sex, to control or probiotic groups. Dogs were clinically healthy, with normal physical examination findings, blood, urine, and fecal analyses and ultrasonographic examinations.</w:t>
      </w:r>
    </w:p>
    <w:p/>
    <w:p>
      <w:pPr>
        <w:pStyle w:val="Normal"/>
      </w:pPr>
      <w:r>
        <w:rPr>
          <w:color w:val="323232"/>
        </w:rPr>
        <w:t xml:space="preserve">METHOD:In this blinded, controlled study E. faecium SF68 was administered to the probiotic group for 14</w:t>
      </w:r>
      <w:r>
        <w:rPr>
          <w:color w:val="323232"/>
        </w:rPr>
        <w:t xml:space="preserve"> </w:t>
      </w:r>
      <w:r>
        <w:rPr>
          <w:color w:val="323232"/>
        </w:rPr>
        <w:t xml:space="preserve">days. Blood samples were taken from all dogs at days 0, 14, and 28. Serum ALT and ALP activity and total cholesterol and triglyceride concentrations were determined on these 3</w:t>
      </w:r>
      <w:r>
        <w:rPr>
          <w:color w:val="323232"/>
        </w:rPr>
        <w:t xml:space="preserve"> </w:t>
      </w:r>
      <w:r>
        <w:rPr>
          <w:color w:val="323232"/>
        </w:rPr>
        <w:t xml:space="preserve">days.</w:t>
      </w:r>
    </w:p>
    <w:p/>
    <w:p>
      <w:pPr>
        <w:pStyle w:val="Normal"/>
      </w:pPr>
      <w:r>
        <w:rPr>
          <w:color w:val="323232"/>
        </w:rPr>
        <w:t xml:space="preserve">RESULTS:The probiotic induced no significant changes in mean ALT and ALP activity. Mean cholesterol concentration did not change during probiotic administration but a significant decrease was seen on day 28 (P</w:t>
      </w:r>
      <w:r>
        <w:rPr>
          <w:color w:val="323232"/>
        </w:rPr>
        <w:t xml:space="preserve"> </w:t>
      </w:r>
      <w:r>
        <w:rPr>
          <w:color w:val="323232"/>
        </w:rPr>
        <w:t xml:space="preserve">&lt;</w:t>
      </w:r>
      <w:r>
        <w:rPr>
          <w:color w:val="323232"/>
        </w:rPr>
        <w:t xml:space="preserve"> </w:t>
      </w:r>
      <w:r>
        <w:rPr>
          <w:color w:val="323232"/>
        </w:rPr>
        <w:t xml:space="preserve">.01). Mean triglyceride concentration increased progressively, becoming significant at day 28 (P</w:t>
      </w:r>
      <w:r>
        <w:rPr>
          <w:color w:val="323232"/>
        </w:rPr>
        <w:t xml:space="preserve"> </w:t>
      </w:r>
      <w:r>
        <w:rPr>
          <w:color w:val="323232"/>
        </w:rPr>
        <w:t xml:space="preserve">&lt;</w:t>
      </w:r>
      <w:r>
        <w:rPr>
          <w:color w:val="323232"/>
        </w:rPr>
        <w:t xml:space="preserve"> </w:t>
      </w:r>
      <w:r>
        <w:rPr>
          <w:color w:val="323232"/>
        </w:rPr>
        <w:t xml:space="preserve">.05), with 1 dog developing hypertriglyceridemia.</w:t>
      </w:r>
    </w:p>
    <w:p/>
    <w:p>
      <w:pPr>
        <w:pStyle w:val="Normal"/>
      </w:pPr>
      <w:r>
        <w:rPr>
          <w:color w:val="323232"/>
        </w:rPr>
        <w:t xml:space="preserve">CONCLUSIONS AND CLINICAL IMPORTANCE:E. faecium SF68 would not create confusion when monitoring dogs with hepatobiliary disease because ALT and ALP activity did not change significantly. A significant decrease in cholesterol and significant increase in triglyceride concentrations were seen at day 28 but were not clinically relevant, with 1 dog showing hypertriglyceridemia. A longer trial is warranted to assess if the probiotic effects could be clinically relevant and to assess its potential use in hypertriglyceridemic dogs.</w:t>
      </w:r>
    </w:p>
    <w:p/>
    <w:p>
      <w:pPr>
        <w:pStyle w:val="Normal"/>
      </w:pPr>
      <w:r>
        <w:rPr>
          <w:color w:val="323232"/>
        </w:rPr>
        <w:t xml:space="preserve">J Vet Intern Med, 2019 vol. 33 (6) pp. 2628-2634.</w:t>
      </w:r>
    </w:p>
    <w:p>
      <w:r>
        <w:rPr>
          <w:rStyle w:val="Hyperlink"/>
        </w:rPr>
        <w:fldChar w:fldCharType="begin"/>
      </w:r>
      <w:r>
        <w:rPr>
          <w:rStyle w:val="Hyperlink"/>
        </w:rPr>
        <w:instrText xml:space="preserve"> HYPERLINK "http://eutils.ncbi.nlm.nih.gov/entrez/eutils/elink.fcgi?dbfrom=pubmed&amp;id=31578761&amp;retmode=ref&amp;cmd=prlinks"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http://eutils.ncbi.nlm.nih.gov/entrez/eutils/elink.fcgi?dbfrom=pubmed&amp;id=31578761&amp;retmode=ref&amp;cmd=prlinks</w:t>
      </w:r>
      <w:r>
        <w:rPr>
          <w:rStyle w:val="Hyperlink"/>
        </w:rPr>
        <w:fldChar w:fldCharType="end"/>
      </w:r>
    </w:p>
    <w:p>
      <w:pPr>
        <w:pStyle w:val="Normal"/>
      </w:pPr>
      <w:r>
        <w:rPr>
          <w:color w:val="323232"/>
        </w:rPr>
        <w:t xml:space="preserve">————————</w:t>
      </w:r>
    </w:p>
    <w:p>
      <w:pPr>
        <w:pStyle w:val="Heading4"/>
      </w:pPr>
      <w:r>
        <w:t xml:space="preserve">Evaluation of benazepril in cats with heart disease in a prospective, randomized, blinded, placebo-controlled clinical trial.</w:t>
      </w:r>
    </w:p>
    <w:p/>
    <w:p>
      <w:pPr>
        <w:pStyle w:val="Normal"/>
      </w:pPr>
      <w:r>
        <w:rPr>
          <w:color w:val="323232"/>
        </w:rPr>
        <w:t xml:space="preserve">Jonathan N King, Mike Martin, Valérie Chetboul, Luca Ferasin, Anne T French, Günther Strehlau, Wolfgang Seewald, Sarah G W Smith, Simon T Swift, Susan L Roberts, Andrea M Harvey, Christopher J L Little, Sarah M A Caney, Kerry E Simpson, Andrew H Sparkes, Eleanor J Mardell, Eric Bomassi, Claude Muller, John P Sauvage, Armelle Diquélou, Matthias A Schneider, Laurence J Brown, David D Clarke, and Jean-Francois Rousselot.</w:t>
      </w:r>
    </w:p>
    <w:p/>
    <w:p>
      <w:pPr>
        <w:pStyle w:val="Normal"/>
      </w:pPr>
      <w:r>
        <w:rPr>
          <w:color w:val="323232"/>
        </w:rPr>
        <w:t xml:space="preserve">BACKGROUND:Heart disease is an important cause of morbidity and mortality in cats, but there is limited evidence of the benefit of any medication.</w:t>
      </w:r>
    </w:p>
    <w:p/>
    <w:p>
      <w:pPr>
        <w:pStyle w:val="Normal"/>
      </w:pPr>
      <w:r>
        <w:rPr>
          <w:color w:val="323232"/>
        </w:rPr>
        <w:t xml:space="preserve">HYPOTHESIS:The angiotensin-converting enzyme inhibitor benazepril would delay the time to treatment failure in cats with heart disease of various etiologies.</w:t>
      </w:r>
    </w:p>
    <w:p/>
    <w:p>
      <w:pPr>
        <w:pStyle w:val="Normal"/>
      </w:pPr>
      <w:r>
        <w:rPr>
          <w:color w:val="323232"/>
        </w:rPr>
        <w:t xml:space="preserve">ANIMALS:One hundred fifty-one client-owned cats.</w:t>
      </w:r>
    </w:p>
    <w:p/>
    <w:p>
      <w:pPr>
        <w:pStyle w:val="Normal"/>
      </w:pPr>
      <w:r>
        <w:rPr>
          <w:color w:val="323232"/>
        </w:rPr>
        <w:t xml:space="preserve">METHODS:Cats with heart disease, confirmed by echocardiography, with or without clinical signs of congestive heart failure, were recruited between 2002 and 2005 and randomized to benazepril or placebo in a prospective, multicenter, parallel-group, blinded clinical trial. Benazepril (0.5-1.0 mg/kg) or placebo was administered PO once daily for up to 2 years. The primary endpoint was treatment failure. Analyses were conducted separately for all-cause treatment failure (main analysis) and heart disease-related treatment failure (supportive analysis).</w:t>
      </w:r>
    </w:p>
    <w:p/>
    <w:p>
      <w:pPr>
        <w:pStyle w:val="Normal"/>
      </w:pPr>
      <w:r>
        <w:rPr>
          <w:color w:val="323232"/>
        </w:rPr>
        <w:t xml:space="preserve">RESULTS:No benefit of benazepril versus placebo was detected for time to all-cause treatment failure (P = .42) or time to treatment failure related to heart disease (P = .21). Hazard ratios (95% confidence interval [CI]) from multivariate analysis for benazepril compared with placebo were 1.00 (0.57-1.74) for all-cause failure, and 0.99 (0.50-1.94) for forward selection and 0.93 (0.48-1.81) for bidirectional selection models for heart disease-related failure. There were no significant differences between groups over time after administration of the test articles in left atrium diameter, left ventricle wall thickness, quality of life scores, adverse events, or plasma biochemistry or hematology variables.</w:t>
      </w:r>
    </w:p>
    <w:p/>
    <w:p>
      <w:pPr>
        <w:pStyle w:val="Normal"/>
      </w:pPr>
      <w:r>
        <w:rPr>
          <w:color w:val="323232"/>
        </w:rPr>
        <w:t xml:space="preserve">CONCLUSIONS AND CLINICAL RELEVANCE:Benazepril was tolerated well in cats with heart disease, but no evidence of benefit was detected.</w:t>
      </w:r>
    </w:p>
    <w:p/>
    <w:p>
      <w:pPr>
        <w:pStyle w:val="Normal"/>
      </w:pPr>
      <w:r>
        <w:rPr>
          <w:color w:val="323232"/>
        </w:rPr>
        <w:t xml:space="preserve">J Vet Intern Med, 2019 vol. 33 (6) pp. 2559-2571.</w:t>
      </w:r>
    </w:p>
    <w:p>
      <w:r>
        <w:rPr>
          <w:rStyle w:val="Hyperlink"/>
        </w:rPr>
        <w:fldChar w:fldCharType="begin"/>
      </w:r>
      <w:r>
        <w:rPr>
          <w:rStyle w:val="Hyperlink"/>
        </w:rPr>
        <w:instrText xml:space="preserve"> HYPERLINK "http://eutils.ncbi.nlm.nih.gov/entrez/eutils/elink.fcgi?dbfrom=pubmed&amp;id=31560137&amp;retmode=ref&amp;cmd=prlinks"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http://eutils.ncbi.nlm.nih.gov/entrez/eutils/elink.fcgi?dbfrom=pubmed&amp;id=31560137&amp;retmode=ref&amp;cmd=prlinks</w:t>
      </w:r>
      <w:r>
        <w:rPr>
          <w:rStyle w:val="Hyperlink"/>
        </w:rPr>
        <w:fldChar w:fldCharType="end"/>
      </w:r>
    </w:p>
    <w:p>
      <w:pPr>
        <w:pStyle w:val="Normal"/>
      </w:pPr>
      <w:r>
        <w:rPr>
          <w:color w:val="323232"/>
        </w:rPr>
        <w:t xml:space="preserve">————————</w:t>
      </w:r>
    </w:p>
    <w:p>
      <w:pPr>
        <w:pStyle w:val="Heading4"/>
      </w:pPr>
      <w:r>
        <w:t xml:space="preserve">Long-term incidence and risk of noncardiovascular and all-cause mortality in apparently healthy cats and cats with preclinical hypertrophic cardiomyopathy.</w:t>
      </w:r>
    </w:p>
    <w:p/>
    <w:p>
      <w:pPr>
        <w:pStyle w:val="Normal"/>
      </w:pPr>
      <w:r>
        <w:rPr>
          <w:color w:val="323232"/>
        </w:rPr>
        <w:t xml:space="preserve">Philip R Fox, Bruce W Keene, Kenneth Lamb, Karsten E Schober, Valérie Chetboul, Virginia Luis Fuentes, Jessie Rose Payne, Gerhard Wess, Daniel F Hogan, Jonathan A Abbott, Jens Häggström, Geoffrey Culshaw, Deborah Fine-Ferreira, Etienne Cote, Emilie Trehiou-Sechi, Alison A Motsinger-Reif, Reid K Nakamura, Manreet Singh, Wendy A Ware, Sabine C Riesen, Michele Borgarelli, John E Rush, Andrea Vollmar, Michael B Lesser, Nicole Van Israel, Pamela Ming-Show Lee, Barret Bulmer, Roberto Santilli, Maribeth J Bossbaly, Nadine Quick, Claudio Bussadori, Janice Bright, Amara H Estrada, Dan G Ohad, Maria Josefa Fernández Del Palacio, Jennifer Lunney Brayley, Denise S Schwartz, Sonya G Gordon, SeungWoo Jung, Christina M Bove, Paola G Brambilla, N Sydney Moïse, Christopher Stauthammer, Cecilia Quintavalla, Ferenc Manczur, Rebecca L Stepien, Carmel Mooney, Yong-Wei Hung, Remo Lobetti, Alice Tamborini, Mark A Oyama, Andrey Komolov, Yoko Fujii, Romain Pariaut, Masami Uechi, and Victoria Yukie Tachika Ohara.</w:t>
      </w:r>
    </w:p>
    <w:p/>
    <w:p>
      <w:pPr>
        <w:pStyle w:val="Normal"/>
      </w:pPr>
      <w:r>
        <w:rPr>
          <w:color w:val="323232"/>
        </w:rPr>
        <w:t xml:space="preserve">BACKGROUND:Epidemiologic knowledge regarding noncardiovascular and all-cause mortality in apparently healthy cats (AH) and cats with preclinical hypertrophic cardiomyopathy (pHCM) is limited, hindering development of evidence-based healthcare guidelines.</w:t>
      </w:r>
    </w:p>
    <w:p/>
    <w:p>
      <w:pPr>
        <w:pStyle w:val="Normal"/>
      </w:pPr>
      <w:r>
        <w:rPr>
          <w:color w:val="323232"/>
        </w:rPr>
        <w:t xml:space="preserve">OBJECTIVES:To characterize/compare incidence rates, risk, and survival associated with noncardiovascular and all-cause mortality in AH and pHCM cats.</w:t>
      </w:r>
    </w:p>
    <w:p/>
    <w:p>
      <w:pPr>
        <w:pStyle w:val="Normal"/>
      </w:pPr>
      <w:r>
        <w:rPr>
          <w:color w:val="323232"/>
        </w:rPr>
        <w:t xml:space="preserve">ANIMALS:A total of 1730 client-owned cats (722 AH, 1008 pHCM) from 21 countries.</w:t>
      </w:r>
    </w:p>
    <w:p/>
    <w:p>
      <w:pPr>
        <w:pStyle w:val="Normal"/>
      </w:pPr>
      <w:r>
        <w:rPr>
          <w:color w:val="323232"/>
        </w:rPr>
        <w:t xml:space="preserve">METHODS:Retrospective, multicenter, longitudinal, cohort study. Long-term health data were extracted by medical record review and owner/referring veterinarian interviews.</w:t>
      </w:r>
    </w:p>
    <w:p/>
    <w:p>
      <w:pPr>
        <w:pStyle w:val="Normal"/>
      </w:pPr>
      <w:r>
        <w:rPr>
          <w:color w:val="323232"/>
        </w:rPr>
        <w:t xml:space="preserve">RESULTS:Noncardiovascular death occurred in 534 (30.9%) of 1730 cats observed up to 15.2</w:t>
      </w:r>
      <w:r>
        <w:rPr>
          <w:color w:val="323232"/>
        </w:rPr>
        <w:t xml:space="preserve"> </w:t>
      </w:r>
      <w:r>
        <w:rPr>
          <w:color w:val="323232"/>
        </w:rPr>
        <w:t xml:space="preserve">years. Proportion of noncardiovascular death did not differ significantly between cats that at study enrollment were AH or had pHCM (P =</w:t>
      </w:r>
      <w:r>
        <w:rPr>
          <w:color w:val="323232"/>
        </w:rPr>
        <w:t xml:space="preserve"> </w:t>
      </w:r>
      <w:r>
        <w:rPr>
          <w:color w:val="323232"/>
        </w:rPr>
        <w:t xml:space="preserve">.48). Cancer, chronic kidney disease, and conditions characterized by chronic weight-loss-vomiting-diarrhea-anorexia were the most frequently recorded noncardiovascular causes of death. Incidence rates/risk of noncardiac death increased with age in AH and pHCM. All-cause death proportions were greater in pHCM than AH (65% versus 40%, respectively; P &lt;</w:t>
      </w:r>
      <w:r>
        <w:rPr>
          <w:color w:val="323232"/>
        </w:rPr>
        <w:t xml:space="preserve"> </w:t>
      </w:r>
      <w:r>
        <w:rPr>
          <w:color w:val="323232"/>
        </w:rPr>
        <w:t xml:space="preserve">.001) because of higher cardiovascular mortality in pHCM cats. Comparing AH with pHCM, median survival (study entry to noncardiovascular death) did not differ (AH, 9.8</w:t>
      </w:r>
      <w:r>
        <w:rPr>
          <w:color w:val="323232"/>
        </w:rPr>
        <w:t xml:space="preserve"> </w:t>
      </w:r>
      <w:r>
        <w:rPr>
          <w:color w:val="323232"/>
        </w:rPr>
        <w:t xml:space="preserve">years; pHCM, 8.6</w:t>
      </w:r>
      <w:r>
        <w:rPr>
          <w:color w:val="323232"/>
        </w:rPr>
        <w:t xml:space="preserve"> </w:t>
      </w:r>
      <w:r>
        <w:rPr>
          <w:color w:val="323232"/>
        </w:rPr>
        <w:t xml:space="preserve">years; P =</w:t>
      </w:r>
      <w:r>
        <w:rPr>
          <w:color w:val="323232"/>
        </w:rPr>
        <w:t xml:space="preserve"> </w:t>
      </w:r>
      <w:r>
        <w:rPr>
          <w:color w:val="323232"/>
        </w:rPr>
        <w:t xml:space="preserve">.10), but all-cause survival was significantly shorter in pHCM (P</w:t>
      </w:r>
      <w:r>
        <w:rPr>
          <w:color w:val="323232"/>
        </w:rPr>
        <w:t xml:space="preserve"> </w:t>
      </w:r>
      <w:r>
        <w:rPr>
          <w:color w:val="323232"/>
        </w:rPr>
        <w:t xml:space="preserve">= .0001).</w:t>
      </w:r>
    </w:p>
    <w:p/>
    <w:p>
      <w:pPr>
        <w:pStyle w:val="Normal"/>
      </w:pPr>
      <w:r>
        <w:rPr>
          <w:color w:val="323232"/>
        </w:rPr>
        <w:t xml:space="preserve">CONCLUSIONS AND CLINICAL IMPORTANCE:All-cause mortality was significantly greater in pHCM cats due to disease burden contributed by increased cardiovascular death superimposed upon noncardiovascular death.</w:t>
      </w:r>
    </w:p>
    <w:p/>
    <w:p>
      <w:pPr>
        <w:pStyle w:val="Normal"/>
      </w:pPr>
      <w:r>
        <w:rPr>
          <w:color w:val="323232"/>
        </w:rPr>
        <w:t xml:space="preserve">J Vet Intern Med, 2019 vol. 33 (6) pp. 2572-2586.</w:t>
      </w:r>
    </w:p>
    <w:p>
      <w:r>
        <w:rPr>
          <w:rStyle w:val="Hyperlink"/>
        </w:rPr>
        <w:fldChar w:fldCharType="begin"/>
      </w:r>
      <w:r>
        <w:rPr>
          <w:rStyle w:val="Hyperlink"/>
        </w:rPr>
        <w:instrText xml:space="preserve"> HYPERLINK "http://eutils.ncbi.nlm.nih.gov/entrez/eutils/elink.fcgi?dbfrom=pubmed&amp;id=31605422&amp;retmode=ref&amp;cmd=prlinks"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http://eutils.ncbi.nlm.nih.gov/entrez/eutils/elink.fcgi?dbfrom=pubmed&amp;id=31605422&amp;retmode=ref&amp;cmd=prlinks</w:t>
      </w:r>
      <w:r>
        <w:rPr>
          <w:rStyle w:val="Hyperlink"/>
        </w:rPr>
        <w:fldChar w:fldCharType="end"/>
      </w:r>
    </w:p>
    <w:p>
      <w:pPr>
        <w:pStyle w:val="Normal"/>
      </w:pPr>
      <w:r>
        <w:rPr>
          <w:color w:val="323232"/>
        </w:rPr>
        <w:t xml:space="preserve">————————</w:t>
      </w:r>
    </w:p>
    <w:p>
      <w:pPr>
        <w:pStyle w:val="Heading4"/>
      </w:pPr>
      <w:r>
        <w:t xml:space="preserve">Predictors of urinary or fecal incontinence in dogs with thoracolumbar acute non-compressive nucleus pulposus extrusion.</w:t>
      </w:r>
    </w:p>
    <w:p/>
    <w:p>
      <w:pPr>
        <w:pStyle w:val="Normal"/>
      </w:pPr>
      <w:r>
        <w:rPr>
          <w:color w:val="323232"/>
        </w:rPr>
        <w:t xml:space="preserve">Lorenzo Mari, Sebastien Behr, Anita Shea, Elisabet Dominguez, Cristoforo Ricco, Emili Alcoverro, Abel Ekiri, Daniel Sanchez-Masian, and Luisa De Risio.</w:t>
      </w:r>
    </w:p>
    <w:p/>
    <w:p>
      <w:pPr>
        <w:pStyle w:val="Normal"/>
      </w:pPr>
      <w:r>
        <w:rPr>
          <w:color w:val="323232"/>
        </w:rPr>
        <w:t xml:space="preserve">BACKGROUND:Urinary (UI) and fecal (FI) incontinence occur in up to 7.5% and 32% of dogs, respectively, after thoracolumbar acute noncompressive nucleus pulposus extrusion (ANNPE).</w:t>
      </w:r>
    </w:p>
    <w:p/>
    <w:p>
      <w:pPr>
        <w:pStyle w:val="Normal"/>
      </w:pPr>
      <w:r>
        <w:rPr>
          <w:color w:val="323232"/>
        </w:rPr>
        <w:t xml:space="preserve">HYPOTHESES/OBJECTIVES:To investigate clinical, diagnostic, and therapeutic predictors of UI and FI in dogs with ANNPE affecting the T3-L3 spinal cord segments.</w:t>
      </w:r>
    </w:p>
    <w:p/>
    <w:p>
      <w:pPr>
        <w:pStyle w:val="Normal"/>
      </w:pPr>
      <w:r>
        <w:rPr>
          <w:color w:val="323232"/>
        </w:rPr>
        <w:t xml:space="preserve">ANIMALS:Hundred and eighty-seven dogs with T3-L3 ANNPE diagnosed based on clinical and MRI findings.</w:t>
      </w:r>
    </w:p>
    <w:p/>
    <w:p>
      <w:pPr>
        <w:pStyle w:val="Normal"/>
      </w:pPr>
      <w:r>
        <w:rPr>
          <w:color w:val="323232"/>
        </w:rPr>
        <w:t xml:space="preserve">METHODS:Multicenter retrospective study. Data were obtained from medical records and telephone questionnaires and analyzed by logistic regression.</w:t>
      </w:r>
    </w:p>
    <w:p/>
    <w:p>
      <w:pPr>
        <w:pStyle w:val="Normal"/>
      </w:pPr>
      <w:r>
        <w:rPr>
          <w:color w:val="323232"/>
        </w:rPr>
        <w:t xml:space="preserve">RESULTS:UI and FI were reported in 17 (9.1%) and 44 (23.5%) dogs, respectively. Paraplegic dogs were 3 times (95% CI = 1.25, 10.87) more likely to develop UI (P = .018) and 4 times (95% CI = 1.94, 12.56) more likely to develop FI (P = .001) compared to nonparaplegic dogs. Dogs with an intramedullary hyperintensity greater than 40% of the cross-sectional area of the spinal cord at the same level on transverse T2-weighted MRI images were 4 times more likely to develop UI (95% CI = 1.04, 21.72; P = .045) and FI (95% CI = 1.56, 10.39; P = .004) compared to dogs with smaller lesions. FI was 3 times (95% CI = 1.41, 7.93) more likely in dogs that were not treated with nonsteroidal anti-inflammatory drugs (NSAIDs) after diagnosis compared to dogs administered NSAIDs (P = .006) and 2 times (95% CI = 1.12, 5.98) more likely in dogs presented with clinical signs compatible with spinal shock compared to dogs without (P = .026).</w:t>
      </w:r>
    </w:p>
    <w:p/>
    <w:p>
      <w:pPr>
        <w:pStyle w:val="Normal"/>
      </w:pPr>
      <w:r>
        <w:rPr>
          <w:color w:val="323232"/>
        </w:rPr>
        <w:t xml:space="preserve">CONCLUSION AND CLINICAL IMPORTANCE:The identification of clinical, diagnostic, and therapeutic predictors of UI and FI in dogs with T3-L3 ANNPE can help to approach these autonomic dysfunctions occurring after spinal cord injury.</w:t>
      </w:r>
    </w:p>
    <w:p/>
    <w:p>
      <w:pPr>
        <w:pStyle w:val="Normal"/>
      </w:pPr>
      <w:r>
        <w:rPr>
          <w:color w:val="323232"/>
        </w:rPr>
        <w:t xml:space="preserve">J Vet Intern Med, 2019 vol. 33 (6) pp. 2693-2700.</w:t>
      </w:r>
    </w:p>
    <w:p>
      <w:r>
        <w:rPr>
          <w:rStyle w:val="Hyperlink"/>
        </w:rPr>
        <w:fldChar w:fldCharType="begin"/>
      </w:r>
      <w:r>
        <w:rPr>
          <w:rStyle w:val="Hyperlink"/>
        </w:rPr>
        <w:instrText xml:space="preserve"> HYPERLINK "http://eutils.ncbi.nlm.nih.gov/entrez/eutils/elink.fcgi?dbfrom=pubmed&amp;id=31674064&amp;retmode=ref&amp;cmd=prlinks"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http://eutils.ncbi.nlm.nih.gov/entrez/eutils/elink.fcgi?dbfrom=pubmed&amp;id=31674064&amp;retmode=ref&amp;cmd=prlinks</w:t>
      </w:r>
      <w:r>
        <w:rPr>
          <w:rStyle w:val="Hyperlink"/>
        </w:rPr>
        <w:fldChar w:fldCharType="end"/>
      </w:r>
    </w:p>
    <w:p>
      <w:pPr>
        <w:pStyle w:val="Normal"/>
      </w:pPr>
      <w:r>
        <w:rPr>
          <w:color w:val="323232"/>
        </w:rPr>
        <w:t xml:space="preserve">————————</w:t>
      </w:r>
    </w:p>
    <w:p>
      <w:pPr>
        <w:pStyle w:val="Heading4"/>
      </w:pPr>
      <w:r>
        <w:t xml:space="preserve">Symmetric dimethylarginine concentrations in dogs with International Renal Interest Society stage 4 chronic kidney disease undergoing intermittent hemodialysis.</w:t>
      </w:r>
    </w:p>
    <w:p/>
    <w:p>
      <w:pPr>
        <w:pStyle w:val="Normal"/>
      </w:pPr>
      <w:r>
        <w:rPr>
          <w:color w:val="323232"/>
        </w:rPr>
        <w:t xml:space="preserve">André Nanny Vieira Le Sueur, Silvano Salgueiro Geraldes, Alessandra Melchert, Regina Kiomi Takahira, Michael Coyne, Rachel Murphy, Donald Szlosek, and Priscylla Tatiana Chalfun Guimarães-Okamoto.</w:t>
      </w:r>
    </w:p>
    <w:p/>
    <w:p>
      <w:pPr>
        <w:pStyle w:val="Normal"/>
      </w:pPr>
      <w:r>
        <w:rPr>
          <w:color w:val="323232"/>
        </w:rPr>
        <w:t xml:space="preserve">BACKGROUND:Symmetric dimethylarginine (SDMA) is a methylated arginine derived from intranuclear methylation of l-arginine by protein-arginine methyltransferase and released into circulation after proteolysis. It is primarily eliminated by renal excretion, and its concentration is highly correlated with glomerular filtration rate (GFR) in animals and humans and is an earlier indicator of kidney dysfunction than serum creatinine concentration (sCr).</w:t>
      </w:r>
    </w:p>
    <w:p/>
    <w:p>
      <w:pPr>
        <w:pStyle w:val="Normal"/>
      </w:pPr>
      <w:r>
        <w:rPr>
          <w:color w:val="323232"/>
        </w:rPr>
        <w:t xml:space="preserve">OBJECTIVES:To evaluate and quantify the effects of IV fluid therapy (IF) or intermittent hemodialysis (IH) on renal function in a randomized group of dogs previously diagnosed with International Renal Interest Society (IRIS) stage 4 chronic kidney disease (CKD).</w:t>
      </w:r>
    </w:p>
    <w:p/>
    <w:p>
      <w:pPr>
        <w:pStyle w:val="Normal"/>
      </w:pPr>
      <w:r>
        <w:rPr>
          <w:color w:val="323232"/>
        </w:rPr>
        <w:t xml:space="preserve">ANIMALS:Twenty-four client-owned dogs with naturally occurring CKD.</w:t>
      </w:r>
    </w:p>
    <w:p/>
    <w:p>
      <w:pPr>
        <w:pStyle w:val="Normal"/>
      </w:pPr>
      <w:r>
        <w:rPr>
          <w:color w:val="323232"/>
        </w:rPr>
        <w:t xml:space="preserve">METHODS:Serum from 14 dogs treated by IH and 10 dogs treated with IF was submitted for measurement of sCr and SDMA. Dogs in each treatment group received up to 5 treatment sessions, administered 48</w:t>
      </w:r>
      <w:r>
        <w:rPr>
          <w:color w:val="323232"/>
        </w:rPr>
        <w:t xml:space="preserve"> </w:t>
      </w:r>
      <w:r>
        <w:rPr>
          <w:color w:val="323232"/>
        </w:rPr>
        <w:t xml:space="preserve">hours apart.</w:t>
      </w:r>
    </w:p>
    <w:p/>
    <w:p>
      <w:pPr>
        <w:pStyle w:val="Normal"/>
      </w:pPr>
      <w:r>
        <w:rPr>
          <w:color w:val="323232"/>
        </w:rPr>
        <w:t xml:space="preserve">RESULTS:Significant differences (P ≤ .05) were seen between treatment groups, but dogs from the IH group were the most affected based on SDMA (P</w:t>
      </w:r>
      <w:r>
        <w:rPr>
          <w:color w:val="323232"/>
        </w:rPr>
        <w:t xml:space="preserve"> </w:t>
      </w:r>
      <w:r>
        <w:rPr>
          <w:color w:val="323232"/>
        </w:rPr>
        <w:t xml:space="preserve">&lt;</w:t>
      </w:r>
      <w:r>
        <w:rPr>
          <w:color w:val="323232"/>
        </w:rPr>
        <w:t xml:space="preserve"> </w:t>
      </w:r>
      <w:r>
        <w:rPr>
          <w:color w:val="323232"/>
        </w:rPr>
        <w:t xml:space="preserve">.001), sCr (P</w:t>
      </w:r>
      <w:r>
        <w:rPr>
          <w:color w:val="323232"/>
        </w:rPr>
        <w:t xml:space="preserve"> </w:t>
      </w:r>
      <w:r>
        <w:rPr>
          <w:color w:val="323232"/>
        </w:rPr>
        <w:t xml:space="preserve">&lt;</w:t>
      </w:r>
      <w:r>
        <w:rPr>
          <w:color w:val="323232"/>
        </w:rPr>
        <w:t xml:space="preserve"> </w:t>
      </w:r>
      <w:r>
        <w:rPr>
          <w:color w:val="323232"/>
        </w:rPr>
        <w:t xml:space="preserve">.001), and blood urea (P</w:t>
      </w:r>
      <w:r>
        <w:rPr>
          <w:color w:val="323232"/>
        </w:rPr>
        <w:t xml:space="preserve"> </w:t>
      </w:r>
      <w:r>
        <w:rPr>
          <w:color w:val="323232"/>
        </w:rPr>
        <w:t xml:space="preserve">&lt;</w:t>
      </w:r>
      <w:r>
        <w:rPr>
          <w:color w:val="323232"/>
        </w:rPr>
        <w:t xml:space="preserve"> </w:t>
      </w:r>
      <w:r>
        <w:rPr>
          <w:color w:val="323232"/>
        </w:rPr>
        <w:t xml:space="preserve">.001) concentrations. Furthermore, for each 10% increase in urea reduction ratio, there was a 6.2</w:t>
      </w:r>
      <w:r>
        <w:rPr>
          <w:color w:val="323232"/>
        </w:rPr>
        <w:t xml:space="preserve"> </w:t>
      </w:r>
      <w:r>
        <w:rPr>
          <w:color w:val="323232"/>
        </w:rPr>
        <w:t xml:space="preserve">μg/dL decrease in SDMA (P = .002).</w:t>
      </w:r>
    </w:p>
    <w:p/>
    <w:p>
      <w:pPr>
        <w:pStyle w:val="Normal"/>
      </w:pPr>
      <w:r>
        <w:rPr>
          <w:color w:val="323232"/>
        </w:rPr>
        <w:t xml:space="preserve">CONCLUSIONS AND CLINICAL IMPORTANCE:Although SDMA is dialyzable biomarker and despite its removal by IH, SDMA correlates better with renal function than does sCr in dogs with CKD undergoing IF and IH.</w:t>
      </w:r>
    </w:p>
    <w:p/>
    <w:p>
      <w:pPr>
        <w:pStyle w:val="Normal"/>
      </w:pPr>
      <w:r>
        <w:rPr>
          <w:color w:val="323232"/>
        </w:rPr>
        <w:t xml:space="preserve">J Vet Intern Med, 2019 vol. 33 (6) pp. 2635-2643.</w:t>
      </w:r>
    </w:p>
    <w:p>
      <w:r>
        <w:rPr>
          <w:rStyle w:val="Hyperlink"/>
        </w:rPr>
        <w:fldChar w:fldCharType="begin"/>
      </w:r>
      <w:r>
        <w:rPr>
          <w:rStyle w:val="Hyperlink"/>
        </w:rPr>
        <w:instrText xml:space="preserve"> HYPERLINK "http://eutils.ncbi.nlm.nih.gov/entrez/eutils/elink.fcgi?dbfrom=pubmed&amp;id=31513317&amp;retmode=ref&amp;cmd=prlinks"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http://eutils.ncbi.nlm.nih.gov/entrez/eutils/elink.fcgi?dbfrom=pubmed&amp;id=31513317&amp;retmode=ref&amp;cmd=prlinks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