
<file path=[Content_Types].xml><?xml version="1.0" encoding="utf-8"?>
<Types xmlns="http://schemas.openxmlformats.org/package/2006/content-types">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Default Extension="xml" ContentType="application/xml"/>
  <Default Extension="jpg" ContentType="image/jpeg"/>
  <Default Extension="jpeg" ContentType="image/jpeg"/>
  <Default Extension="png" ContentType="image/png"/>
  <Default Extension="gif" ContentType="image/gif"/>
  <Default Extension="bmp" ContentType="image/bmp"/>
  <Default Extension="rels" ContentType="application/vnd.openxmlformats-package.relationship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0="urn:schemas-microsoft-com:office:word" xmlns:o="urn:schemas-microsoft-com:office:office" xmlns:r="http://schemas.openxmlformats.org/officeDocument/2006/relationships" xmlns:v="urn:schemas-microsoft-com:vml" xmlns:wp="http://schemas.openxmlformats.org/drawingml/2006/wordprocessingDrawing" xmlns:w="http://schemas.openxmlformats.org/wordprocessingml/2006/main">
  <w:body>
    <w:p>
      <w:pPr>
        <w:pStyle w:val="Heading2"/>
      </w:pPr>
      <w:r>
        <w:t xml:space="preserve">Journal of Veterinary Internal Medicine 2018</w:t>
      </w:r>
    </w:p>
    <w:p>
      <w:pPr>
        <w:pStyle w:val="Heading2"/>
      </w:pPr>
      <w:r>
        <w:t xml:space="preserve">JVIM 2018; Vol 32; Issue 1-6</w:t>
      </w:r>
    </w:p>
    <w:p/>
    <w:p>
      <w:pPr>
        <w:pStyle w:val="Normal"/>
      </w:pPr>
      <w:r>
        <w:rPr>
          <w:color w:val="323232"/>
        </w:rPr>
        <w:t xml:space="preserve">#</w:t>
      </w:r>
      <w:r>
        <w:rPr>
          <w:color w:val="323232"/>
        </w:rPr>
        <w:t xml:space="preserve">LitReview</w:t>
      </w:r>
    </w:p>
    <w:p>
      <w:pPr>
        <w:pStyle w:val="Normal"/>
      </w:pPr>
      <w:r>
        <w:rPr>
          <w:color w:val="323232"/>
        </w:rPr>
        <w:t xml:space="preserve">————————</w:t>
      </w:r>
    </w:p>
    <w:p>
      <w:pPr>
        <w:pStyle w:val="Heading4"/>
      </w:pPr>
      <w:r>
        <w:t xml:space="preserve">Echocardiographic Evaluation of the Right Atrial Area Index in Dogs with Pulmonary Hypertension.</w:t>
      </w:r>
    </w:p>
    <w:p/>
    <w:p>
      <w:pPr>
        <w:pStyle w:val="Normal"/>
      </w:pPr>
      <w:r>
        <w:rPr>
          <w:color w:val="323232"/>
        </w:rPr>
        <w:t xml:space="preserve">T Vezzosi, O Domenech, M Iacona, F Marchesotti, E Zini, L Venco, and R Tognetti.</w:t>
      </w:r>
    </w:p>
    <w:p/>
    <w:p>
      <w:pPr>
        <w:pStyle w:val="Normal"/>
      </w:pPr>
      <w:r>
        <w:rPr>
          <w:color w:val="323232"/>
        </w:rPr>
        <w:t xml:space="preserve">BACKGROUND:Right atrial area (RAA) is a prognostic factor in human patients with pulmonary arterial hypertension (PAH). Reference intervals for RAA have been described in healthy dogs.</w:t>
      </w:r>
    </w:p>
    <w:p/>
    <w:p>
      <w:pPr>
        <w:pStyle w:val="Normal"/>
      </w:pPr>
      <w:r>
        <w:rPr>
          <w:color w:val="323232"/>
        </w:rPr>
        <w:t xml:space="preserve">OBJECTIVES:To evaluate RAA indexed to the body surface area in dogs with PAH as an indicator of right atrial size, PAH severity and right-sided congestive heart failure (R-CHF).</w:t>
      </w:r>
    </w:p>
    <w:p/>
    <w:p>
      <w:pPr>
        <w:pStyle w:val="Normal"/>
      </w:pPr>
      <w:r>
        <w:rPr>
          <w:color w:val="323232"/>
        </w:rPr>
        <w:t xml:space="preserve">ANIMALS:A total of 119 client-owned dogs, 48 dogs with PAH and 71 control dogs.</w:t>
      </w:r>
    </w:p>
    <w:p/>
    <w:p>
      <w:pPr>
        <w:pStyle w:val="Normal"/>
      </w:pPr>
      <w:r>
        <w:rPr>
          <w:color w:val="323232"/>
        </w:rPr>
        <w:t xml:space="preserve">METHODS:Prospective observational study. Pulmonary arterial hypertension was classified according to the tricuspid regurgitation pressure gradient (TRPG) as mild (36-50</w:t>
      </w:r>
      <w:r>
        <w:rPr>
          <w:color w:val="323232"/>
        </w:rPr>
        <w:t xml:space="preserve"> </w:t>
      </w:r>
      <w:r>
        <w:rPr>
          <w:color w:val="323232"/>
        </w:rPr>
        <w:t xml:space="preserve">mmHg), moderate (51-75</w:t>
      </w:r>
      <w:r>
        <w:rPr>
          <w:color w:val="323232"/>
        </w:rPr>
        <w:t xml:space="preserve"> </w:t>
      </w:r>
      <w:r>
        <w:rPr>
          <w:color w:val="323232"/>
        </w:rPr>
        <w:t xml:space="preserve">mmHg), or severe (&gt;75</w:t>
      </w:r>
      <w:r>
        <w:rPr>
          <w:color w:val="323232"/>
        </w:rPr>
        <w:t xml:space="preserve"> </w:t>
      </w:r>
      <w:r>
        <w:rPr>
          <w:color w:val="323232"/>
        </w:rPr>
        <w:t xml:space="preserve">mmHg). The RAA index was calculated as the RAA divided by body surface area.</w:t>
      </w:r>
    </w:p>
    <w:p/>
    <w:p>
      <w:pPr>
        <w:pStyle w:val="Normal"/>
      </w:pPr>
      <w:r>
        <w:rPr>
          <w:color w:val="323232"/>
        </w:rPr>
        <w:t xml:space="preserve">RESULTS:The RAA index was higher in dogs with moderate PAH (13.3</w:t>
      </w:r>
      <w:r>
        <w:rPr>
          <w:color w:val="323232"/>
        </w:rPr>
        <w:t xml:space="preserve"> </w:t>
      </w:r>
      <w:r>
        <w:rPr>
          <w:color w:val="323232"/>
        </w:rPr>
        <w:t xml:space="preserve">cm2 /m2 ; range, 3.4-24.7</w:t>
      </w:r>
      <w:r>
        <w:rPr>
          <w:color w:val="323232"/>
        </w:rPr>
        <w:t xml:space="preserve"> </w:t>
      </w:r>
      <w:r>
        <w:rPr>
          <w:color w:val="323232"/>
        </w:rPr>
        <w:t xml:space="preserve">cm2 /m2 ) and severe PAH (12.1</w:t>
      </w:r>
      <w:r>
        <w:rPr>
          <w:color w:val="323232"/>
        </w:rPr>
        <w:t xml:space="preserve"> </w:t>
      </w:r>
      <w:r>
        <w:rPr>
          <w:color w:val="323232"/>
        </w:rPr>
        <w:t xml:space="preserve">cm2 /m2 ; range, 5.4-21.8</w:t>
      </w:r>
      <w:r>
        <w:rPr>
          <w:color w:val="323232"/>
        </w:rPr>
        <w:t xml:space="preserve"> </w:t>
      </w:r>
      <w:r>
        <w:rPr>
          <w:color w:val="323232"/>
        </w:rPr>
        <w:t xml:space="preserve">cm2 /m2 ) than in those with mild PAH (6.7</w:t>
      </w:r>
      <w:r>
        <w:rPr>
          <w:color w:val="323232"/>
        </w:rPr>
        <w:t xml:space="preserve"> </w:t>
      </w:r>
      <w:r>
        <w:rPr>
          <w:color w:val="323232"/>
        </w:rPr>
        <w:t xml:space="preserve">cm2 /m2 ; range, 4.8-10.7</w:t>
      </w:r>
      <w:r>
        <w:rPr>
          <w:color w:val="323232"/>
        </w:rPr>
        <w:t xml:space="preserve"> </w:t>
      </w:r>
      <w:r>
        <w:rPr>
          <w:color w:val="323232"/>
        </w:rPr>
        <w:t xml:space="preserve">cm2 /m2 ) or in controls (7.3</w:t>
      </w:r>
      <w:r>
        <w:rPr>
          <w:color w:val="323232"/>
        </w:rPr>
        <w:t xml:space="preserve"> </w:t>
      </w:r>
      <w:r>
        <w:rPr>
          <w:color w:val="323232"/>
        </w:rPr>
        <w:t xml:space="preserve">cm2 /m2 ; range, 4.2-10.2</w:t>
      </w:r>
      <w:r>
        <w:rPr>
          <w:color w:val="323232"/>
        </w:rPr>
        <w:t xml:space="preserve"> </w:t>
      </w:r>
      <w:r>
        <w:rPr>
          <w:color w:val="323232"/>
        </w:rPr>
        <w:t xml:space="preserve">cm2 /m2 ; P</w:t>
      </w:r>
      <w:r>
        <w:rPr>
          <w:color w:val="323232"/>
        </w:rPr>
        <w:t xml:space="preserve"> </w:t>
      </w:r>
      <w:r>
        <w:rPr>
          <w:color w:val="323232"/>
        </w:rPr>
        <w:t xml:space="preserve">&lt;</w:t>
      </w:r>
      <w:r>
        <w:rPr>
          <w:color w:val="323232"/>
        </w:rPr>
        <w:t xml:space="preserve"> </w:t>
      </w:r>
      <w:r>
        <w:rPr>
          <w:color w:val="323232"/>
        </w:rPr>
        <w:t xml:space="preserve">0.001). The RAA index was higher (P</w:t>
      </w:r>
      <w:r>
        <w:rPr>
          <w:color w:val="323232"/>
        </w:rPr>
        <w:t xml:space="preserve"> </w:t>
      </w:r>
      <w:r>
        <w:rPr>
          <w:color w:val="323232"/>
        </w:rPr>
        <w:t xml:space="preserve">&lt;</w:t>
      </w:r>
      <w:r>
        <w:rPr>
          <w:color w:val="323232"/>
        </w:rPr>
        <w:t xml:space="preserve"> </w:t>
      </w:r>
      <w:r>
        <w:rPr>
          <w:color w:val="323232"/>
        </w:rPr>
        <w:t xml:space="preserve">0.0001) in dogs with R-CHF (17.5</w:t>
      </w:r>
      <w:r>
        <w:rPr>
          <w:color w:val="323232"/>
        </w:rPr>
        <w:t xml:space="preserve"> </w:t>
      </w:r>
      <w:r>
        <w:rPr>
          <w:color w:val="323232"/>
        </w:rPr>
        <w:t xml:space="preserve">cm2 /m2 ; range, 12.7-24.7</w:t>
      </w:r>
      <w:r>
        <w:rPr>
          <w:color w:val="323232"/>
        </w:rPr>
        <w:t xml:space="preserve"> </w:t>
      </w:r>
      <w:r>
        <w:rPr>
          <w:color w:val="323232"/>
        </w:rPr>
        <w:t xml:space="preserve">cm2 /m2 ) compared to those without R-CHF (7.6</w:t>
      </w:r>
      <w:r>
        <w:rPr>
          <w:color w:val="323232"/>
        </w:rPr>
        <w:t xml:space="preserve"> </w:t>
      </w:r>
      <w:r>
        <w:rPr>
          <w:color w:val="323232"/>
        </w:rPr>
        <w:t xml:space="preserve">cm2 /m2 ; range, 4.4-19.4</w:t>
      </w:r>
      <w:r>
        <w:rPr>
          <w:color w:val="323232"/>
        </w:rPr>
        <w:t xml:space="preserve"> </w:t>
      </w:r>
      <w:r>
        <w:rPr>
          <w:color w:val="323232"/>
        </w:rPr>
        <w:t xml:space="preserve">cm2 /m2 ). The most accurate cutoff value of the RAA index to identify R-CHF was &gt;12.3</w:t>
      </w:r>
      <w:r>
        <w:rPr>
          <w:color w:val="323232"/>
        </w:rPr>
        <w:t xml:space="preserve"> </w:t>
      </w:r>
      <w:r>
        <w:rPr>
          <w:color w:val="323232"/>
        </w:rPr>
        <w:t xml:space="preserve">cm2 /m2 (sensitivity, 100%; specificity, 89.5%). In dogs with PAH, severity of tricuspid regurgitation (TR) was the only independent predictor of RAA index based on multivariate analysis (P</w:t>
      </w:r>
      <w:r>
        <w:rPr>
          <w:color w:val="323232"/>
        </w:rPr>
        <w:t xml:space="preserve"> </w:t>
      </w:r>
      <w:r>
        <w:rPr>
          <w:color w:val="323232"/>
        </w:rPr>
        <w:t xml:space="preserve">&lt;</w:t>
      </w:r>
      <w:r>
        <w:rPr>
          <w:color w:val="323232"/>
        </w:rPr>
        <w:t xml:space="preserve"> </w:t>
      </w:r>
      <w:r>
        <w:rPr>
          <w:color w:val="323232"/>
        </w:rPr>
        <w:t xml:space="preserve">0.02).</w:t>
      </w:r>
    </w:p>
    <w:p/>
    <w:p>
      <w:pPr>
        <w:pStyle w:val="Normal"/>
      </w:pPr>
      <w:r>
        <w:rPr>
          <w:color w:val="323232"/>
        </w:rPr>
        <w:t xml:space="preserve">CONCLUSIONS AND CLINICAL IMPORTANCE:The RAA index can be used to evaluate right atrial size in dogs and may be more effective than TRPG in predicting R-CHF in dogs with PAH. The severity of TR is the main determinant of the RAA index in dogs with PAH.</w:t>
      </w:r>
    </w:p>
    <w:p/>
    <w:p>
      <w:pPr>
        <w:pStyle w:val="Normal"/>
      </w:pPr>
      <w:r>
        <w:rPr>
          <w:color w:val="323232"/>
        </w:rPr>
        <w:t xml:space="preserve">J Vet Intern Med, 2018 vol. 32 (1), 4 pp. 42-47.</w:t>
      </w:r>
    </w:p>
    <w:p>
      <w:r>
        <w:rPr>
          <w:rStyle w:val="Hyperlink"/>
        </w:rPr>
        <w:fldChar w:fldCharType="begin"/>
      </w:r>
      <w:r>
        <w:rPr>
          <w:rStyle w:val="Hyperlink"/>
        </w:rPr>
        <w:instrText xml:space="preserve"> HYPERLINK "http://dx.doi.org/10.1111/jvim.15035" </w:instrText>
      </w:r>
      <w:r>
        <w:rPr>
          <w:rStyle w:val="Hyperlink"/>
        </w:rPr>
      </w:r>
      <w:r>
        <w:rPr>
          <w:rStyle w:val="Hyperlink"/>
        </w:rPr>
        <w:fldChar w:fldCharType="separate"/>
      </w:r>
      <w:pPr>
        <w:pStyle w:val="Normal"/>
      </w:pPr>
      <w:r>
        <w:rPr>
          <w:rStyle w:val="Hyperlink"/>
        </w:rPr>
        <w:t xml:space="preserve">http://dx.doi.org/10.1111/jvim.15035</w:t>
      </w:r>
      <w:r>
        <w:rPr>
          <w:rStyle w:val="Hyperlink"/>
        </w:rPr>
        <w:fldChar w:fldCharType="end"/>
      </w:r>
    </w:p>
    <w:p>
      <w:pPr>
        <w:pStyle w:val="Normal"/>
      </w:pPr>
      <w:r>
        <w:rPr>
          <w:color w:val="323232"/>
        </w:rPr>
        <w:t xml:space="preserve">————————</w:t>
      </w:r>
    </w:p>
    <w:p>
      <w:pPr>
        <w:pStyle w:val="Heading4"/>
      </w:pPr>
      <w:r>
        <w:t xml:space="preserve">Transient Myocardial Thickening in Cats Associated with Heart Failure.</w:t>
      </w:r>
    </w:p>
    <w:p/>
    <w:p>
      <w:pPr>
        <w:pStyle w:val="Normal"/>
      </w:pPr>
      <w:r>
        <w:rPr>
          <w:color w:val="323232"/>
        </w:rPr>
        <w:t xml:space="preserve">J Novo Matos, N Pereira, T Glaus, L Wilkie, K Borgeat, J Loureiro, J Silva, V Law, A Kranjc, D J Connolly, and V Luis Fuentes.</w:t>
      </w:r>
    </w:p>
    <w:p/>
    <w:p>
      <w:pPr>
        <w:pStyle w:val="Normal"/>
      </w:pPr>
      <w:r>
        <w:rPr>
          <w:color w:val="323232"/>
        </w:rPr>
        <w:t xml:space="preserve">BACKGROUND:Cats with hypertrophic cardiomyopathy (HCM) and congestive heart failure (CHF) can have resolution of both left ventricular hypertrophy and CHF.</w:t>
      </w:r>
    </w:p>
    <w:p/>
    <w:p>
      <w:pPr>
        <w:pStyle w:val="Normal"/>
      </w:pPr>
      <w:r>
        <w:rPr>
          <w:color w:val="323232"/>
        </w:rPr>
        <w:t xml:space="preserve">OBJECTIVES:To describe the clinical characteristics of cats with transient myocardial thickening (TMT) and CHF compared with a control population of cats without resolution of HCM.</w:t>
      </w:r>
    </w:p>
    <w:p/>
    <w:p>
      <w:pPr>
        <w:pStyle w:val="Normal"/>
      </w:pPr>
      <w:r>
        <w:rPr>
          <w:color w:val="323232"/>
        </w:rPr>
        <w:t xml:space="preserve">ANIMALS:A total of 21 cats with TMT, 21 cats with HCM.</w:t>
      </w:r>
    </w:p>
    <w:p/>
    <w:p>
      <w:pPr>
        <w:pStyle w:val="Normal"/>
      </w:pPr>
      <w:r>
        <w:rPr>
          <w:color w:val="323232"/>
        </w:rPr>
        <w:t xml:space="preserve">METHODS:Retrospective study. Clinical records at 4 veterinary centers were searched for TMT cases and a control group of cats with HCM and CHF. TMT was defined as initial maximal left ventricular wall thickness (LVWT) ≥6 mm with left-sided CHF, with subsequent resolution of CHF, reduction in left atrium</w:t>
      </w:r>
      <w:r>
        <w:rPr>
          <w:i w:val="1"/>
          <w:color w:val="323232"/>
        </w:rPr>
        <w:t xml:space="preserve">aorta (LA</w:t>
      </w:r>
      <w:r>
        <w:rPr>
          <w:color w:val="323232"/>
        </w:rPr>
        <w:t xml:space="preserve">Ao), and LVWT&lt;5.5 mm. HCM was defined as persistent LVWT ≥6 mm.</w:t>
      </w:r>
    </w:p>
    <w:p/>
    <w:p>
      <w:pPr>
        <w:pStyle w:val="Normal"/>
      </w:pPr>
      <w:r>
        <w:rPr>
          <w:color w:val="323232"/>
        </w:rPr>
        <w:t xml:space="preserve">RESULTS:Cats with TMT were younger (2 [0.4-11.4] years) than cats with HCM (8 [1.6-14] years) (P &lt; 0.0001), and antecedent events were more common (15/21 versus 6/21, respectively) (P = 0.01). In cats with TMT, LVWT normalized from 6.8 [6.0-9.7] mm to 4.8 [2.8-5.3] mm and LA/Ao decreased from 1.8 [1.6-2.3] to 1.45 [1.2-1.7] after a mean interval of 3.3 (95% CI: 1.8-4.7) months. CHF recurred in 1 of 21 TMT and 15 of 21 cats with HCM. Cardiac treatment was discontinued in 20 of 21 cats with TMT and 0 of 21 HCM cats. All cats with TMT survived, whereas 8 of 19 cats with HCM died during the study period.</w:t>
      </w:r>
    </w:p>
    <w:p/>
    <w:p>
      <w:pPr>
        <w:pStyle w:val="Normal"/>
      </w:pPr>
      <w:r>
        <w:rPr>
          <w:color w:val="323232"/>
        </w:rPr>
        <w:t xml:space="preserve">CONCLUSIONS AND CLINICAL IMPORTANCE:TMT occurs in younger cats, and antecedent events are common. The prognosis is better in cats with CHF associated with TMT than HCM.</w:t>
      </w:r>
    </w:p>
    <w:p/>
    <w:p>
      <w:pPr>
        <w:pStyle w:val="Normal"/>
      </w:pPr>
      <w:r>
        <w:rPr>
          <w:color w:val="323232"/>
        </w:rPr>
        <w:t xml:space="preserve">J Vet Intern Med, 2018 vol. 32 (1) pp. 48-56.</w:t>
      </w:r>
    </w:p>
    <w:p>
      <w:r>
        <w:rPr>
          <w:rStyle w:val="Hyperlink"/>
        </w:rPr>
        <w:fldChar w:fldCharType="begin"/>
      </w:r>
      <w:r>
        <w:rPr>
          <w:rStyle w:val="Hyperlink"/>
        </w:rPr>
        <w:instrText xml:space="preserve"> HYPERLINK "http://dx.doi.org/10.1111/jvim.14897" </w:instrText>
      </w:r>
      <w:r>
        <w:rPr>
          <w:rStyle w:val="Hyperlink"/>
        </w:rPr>
      </w:r>
      <w:r>
        <w:rPr>
          <w:rStyle w:val="Hyperlink"/>
        </w:rPr>
        <w:fldChar w:fldCharType="separate"/>
      </w:r>
      <w:pPr>
        <w:pStyle w:val="Normal"/>
      </w:pPr>
      <w:r>
        <w:rPr>
          <w:rStyle w:val="Hyperlink"/>
        </w:rPr>
        <w:t xml:space="preserve">http://dx.doi.org/10.1111/jvim.14897</w:t>
      </w:r>
      <w:r>
        <w:rPr>
          <w:rStyle w:val="Hyperlink"/>
        </w:rPr>
        <w:fldChar w:fldCharType="end"/>
      </w:r>
    </w:p>
    <w:p>
      <w:pPr>
        <w:pStyle w:val="Normal"/>
      </w:pPr>
      <w:r>
        <w:rPr>
          <w:color w:val="323232"/>
        </w:rPr>
        <w:t xml:space="preserve">————————</w:t>
      </w:r>
    </w:p>
    <w:p>
      <w:pPr>
        <w:pStyle w:val="Heading4"/>
      </w:pPr>
      <w:r>
        <w:t xml:space="preserve">Symmetric Dimethylarginine in Cats with Hypertrophic Cardiomyopathy and Diabetes Mellitus.</w:t>
      </w:r>
    </w:p>
    <w:p/>
    <w:p>
      <w:pPr>
        <w:pStyle w:val="Normal"/>
      </w:pPr>
      <w:r>
        <w:rPr>
          <w:color w:val="323232"/>
        </w:rPr>
        <w:t xml:space="preserve">R Langhorn, I N Kieler, J Koch, L B Christiansen, and L R Jessen.</w:t>
      </w:r>
    </w:p>
    <w:p/>
    <w:p>
      <w:pPr>
        <w:pStyle w:val="Normal"/>
      </w:pPr>
      <w:r>
        <w:rPr>
          <w:color w:val="323232"/>
        </w:rPr>
        <w:t xml:space="preserve">BACKGROUND:Symmetric dimethylarginine (SDMA) has been increasingly used as a marker of early chronic kidney disease (CKD) in cats, but little is known about the influence of comorbidities on SDMA in this species.</w:t>
      </w:r>
    </w:p>
    <w:p/>
    <w:p>
      <w:pPr>
        <w:pStyle w:val="Normal"/>
      </w:pPr>
      <w:r>
        <w:rPr>
          <w:color w:val="323232"/>
        </w:rPr>
        <w:t xml:space="preserve">HYPOTHESIS:Hypertrophic cardiomyopathy (HCM) and diabetes mellitus (DM), independently of CKD, are associated with changes in serum SDMA.</w:t>
      </w:r>
    </w:p>
    <w:p/>
    <w:p>
      <w:pPr>
        <w:pStyle w:val="Normal"/>
      </w:pPr>
      <w:r>
        <w:rPr>
          <w:color w:val="323232"/>
        </w:rPr>
        <w:t xml:space="preserve">ANIMALS:Ninety-four cats (17 with CKD, 40 with HCM, 17 with DM, and 20 healthy controls).</w:t>
      </w:r>
    </w:p>
    <w:p/>
    <w:p>
      <w:pPr>
        <w:pStyle w:val="Normal"/>
      </w:pPr>
      <w:r>
        <w:rPr>
          <w:color w:val="323232"/>
        </w:rPr>
        <w:t xml:space="preserve">METHODS:Case-control study. Clinical examination, echocardiography, ECG, blood pressure, CBC, biochemistry, thyroxine, and SDMA measurement were performed. Urinalysis was performed in controls and cats with CKD and DM. Analysis of variance was used to compare overall differences in the log-transformed SDMA data among groups. A random forest algorithm was applied to explore which clinical and other factors influenced serum SDMA.</w:t>
      </w:r>
    </w:p>
    <w:p/>
    <w:p>
      <w:pPr>
        <w:pStyle w:val="Normal"/>
      </w:pPr>
      <w:r>
        <w:rPr>
          <w:color w:val="323232"/>
        </w:rPr>
        <w:t xml:space="preserve">RESULTS:Median (range) serum SDMA for the renal group (positive control) was 19 (10-93) μg/ dL, whereas for the control group (negative control), it was 10 (5-15) μg/ dL. For the cardiac and diabetic groups, serum SDMA was 9 (4-24) μg/ dL and 7 (3-11) μg/dL, respectively. The renal group had significantly higher SDMA concentrations and the diabetic group significantly lower SDMA concentrations compared to all other groups.</w:t>
      </w:r>
    </w:p>
    <w:p/>
    <w:p>
      <w:pPr>
        <w:pStyle w:val="Normal"/>
      </w:pPr>
      <w:r>
        <w:rPr>
          <w:color w:val="323232"/>
        </w:rPr>
        <w:t xml:space="preserve">CONCLUSIONS AND CLINICAL IMPORTANCE:Serum SDMA concentrations in cats with HCM were not significantly different from those of healthy control cats. Cats with DM, however, had significantly lower SDMA concentrations than controls, a finding that needs further investigation and should be kept in mind when evaluating renal function of cats with this endocrinopathy.</w:t>
      </w:r>
    </w:p>
    <w:p/>
    <w:p>
      <w:pPr>
        <w:pStyle w:val="Normal"/>
      </w:pPr>
      <w:r>
        <w:rPr>
          <w:color w:val="323232"/>
        </w:rPr>
        <w:t xml:space="preserve">J Vet Intern Med, 2018 vol. 32 (1) pp. 57-63.</w:t>
      </w:r>
    </w:p>
    <w:p>
      <w:r>
        <w:rPr>
          <w:rStyle w:val="Hyperlink"/>
        </w:rPr>
        <w:fldChar w:fldCharType="begin"/>
      </w:r>
      <w:r>
        <w:rPr>
          <w:rStyle w:val="Hyperlink"/>
        </w:rPr>
        <w:instrText xml:space="preserve"> HYPERLINK "http://dx.doi.org/10.1111/jvim.14902" </w:instrText>
      </w:r>
      <w:r>
        <w:rPr>
          <w:rStyle w:val="Hyperlink"/>
        </w:rPr>
      </w:r>
      <w:r>
        <w:rPr>
          <w:rStyle w:val="Hyperlink"/>
        </w:rPr>
        <w:fldChar w:fldCharType="separate"/>
      </w:r>
      <w:pPr>
        <w:pStyle w:val="Normal"/>
      </w:pPr>
      <w:r>
        <w:rPr>
          <w:rStyle w:val="Hyperlink"/>
        </w:rPr>
        <w:t xml:space="preserve">http://dx.doi.org/10.1111/jvim.14902</w:t>
      </w:r>
      <w:r>
        <w:rPr>
          <w:rStyle w:val="Hyperlink"/>
        </w:rPr>
        <w:fldChar w:fldCharType="end"/>
      </w:r>
    </w:p>
    <w:p>
      <w:pPr>
        <w:pStyle w:val="Normal"/>
      </w:pPr>
      <w:r>
        <w:rPr>
          <w:color w:val="323232"/>
        </w:rPr>
        <w:t xml:space="preserve">————————</w:t>
      </w:r>
    </w:p>
    <w:p>
      <w:pPr>
        <w:pStyle w:val="Heading4"/>
      </w:pPr>
      <w:r>
        <w:t xml:space="preserve">Echocardiographic Estimates of Right Ventricular Systolic Function in Dogs with Myxomatous Mitral Valve Disease.</w:t>
      </w:r>
    </w:p>
    <w:p/>
    <w:p>
      <w:pPr>
        <w:pStyle w:val="Normal"/>
      </w:pPr>
      <w:r>
        <w:rPr>
          <w:color w:val="323232"/>
        </w:rPr>
        <w:t xml:space="preserve">E H Chapel, B A Scansen, K E Schober, and J D Bonagura.</w:t>
      </w:r>
    </w:p>
    <w:p/>
    <w:p>
      <w:pPr>
        <w:pStyle w:val="Normal"/>
      </w:pPr>
      <w:r>
        <w:rPr>
          <w:color w:val="323232"/>
        </w:rPr>
        <w:t xml:space="preserve">BACKGROUND:Right ventricular (RV) dysfunction independently predicts outcomes in human myxomatous mitral valve disease (MMVD). There is limited information regarding RV systolic function in dogs with MMVD.</w:t>
      </w:r>
    </w:p>
    <w:p/>
    <w:p>
      <w:pPr>
        <w:pStyle w:val="Normal"/>
      </w:pPr>
      <w:r>
        <w:rPr>
          <w:color w:val="323232"/>
        </w:rPr>
        <w:t xml:space="preserve">HYPOTHESIS:Right ventricular systolic function differs among stages of disease, decreasing in decompensated MMVD.</w:t>
      </w:r>
    </w:p>
    <w:p/>
    <w:p>
      <w:pPr>
        <w:pStyle w:val="Normal"/>
      </w:pPr>
      <w:r>
        <w:rPr>
          <w:color w:val="323232"/>
        </w:rPr>
        <w:t xml:space="preserve">ANIMALS:Thirty-sixclient-owned dogs with MMVD not receiving oral cardiovascular medications.</w:t>
      </w:r>
    </w:p>
    <w:p/>
    <w:p>
      <w:pPr>
        <w:pStyle w:val="Normal"/>
      </w:pPr>
      <w:r>
        <w:rPr>
          <w:color w:val="323232"/>
        </w:rPr>
        <w:t xml:space="preserve">METHODS:Prospective clinical study. Dogs were categorized according to disease severity as ACVIM Stage B1, B2, or C. Seven echocardiographic indices of RV systolic function were measured. Groups were compared by 1-way ANOVA and Tukey's HSD test. Frequencies of cases with cardiac remodeling falling outside previously established reference intervals were compared using Fisher's exact test. Intra- and interobserver measurement variability was calculated for each RV function index.</w:t>
      </w:r>
    </w:p>
    <w:p/>
    <w:p>
      <w:pPr>
        <w:pStyle w:val="Normal"/>
      </w:pPr>
      <w:r>
        <w:rPr>
          <w:color w:val="323232"/>
        </w:rPr>
        <w:t xml:space="preserve">RESULTS:The indices TAPSE (P = 0.029), RV StL (P = 0.012), and RV StRL (P = 0.041) were significantly different between groups. A greater proportion of B2 dogs (7 of 12) had TAPSE values above reference intervals compared with B1 (2 of 12) or C (2 of 12) dogs (P = 0.027). Measurement variability of TAPSE, RV S', and RV StG was clinically acceptable.</w:t>
      </w:r>
    </w:p>
    <w:p/>
    <w:p>
      <w:pPr>
        <w:pStyle w:val="Normal"/>
      </w:pPr>
      <w:r>
        <w:rPr>
          <w:color w:val="323232"/>
        </w:rPr>
        <w:t xml:space="preserve">CONCLUSIONS AND CLINICAL IMPORTANCE:Right ventricular systolic function differs between stages of MMVD, increasing in stage B2, and declining in stage C. The prognostic importance of RV function indices, particularly TAPSE, might be worth evaluating in dogs with MMVD.</w:t>
      </w:r>
    </w:p>
    <w:p/>
    <w:p>
      <w:pPr>
        <w:pStyle w:val="Normal"/>
      </w:pPr>
      <w:r>
        <w:rPr>
          <w:color w:val="323232"/>
        </w:rPr>
        <w:t xml:space="preserve">J Vet Intern Med, 2018 vol. 32 (1) pp. 64-71.</w:t>
      </w:r>
    </w:p>
    <w:p>
      <w:r>
        <w:rPr>
          <w:rStyle w:val="Hyperlink"/>
        </w:rPr>
        <w:fldChar w:fldCharType="begin"/>
      </w:r>
      <w:r>
        <w:rPr>
          <w:rStyle w:val="Hyperlink"/>
        </w:rPr>
        <w:instrText xml:space="preserve"> HYPERLINK "http://dx.doi.org/10.1111/jvim.14884" </w:instrText>
      </w:r>
      <w:r>
        <w:rPr>
          <w:rStyle w:val="Hyperlink"/>
        </w:rPr>
      </w:r>
      <w:r>
        <w:rPr>
          <w:rStyle w:val="Hyperlink"/>
        </w:rPr>
        <w:fldChar w:fldCharType="separate"/>
      </w:r>
      <w:pPr>
        <w:pStyle w:val="Normal"/>
      </w:pPr>
      <w:r>
        <w:rPr>
          <w:rStyle w:val="Hyperlink"/>
        </w:rPr>
        <w:t xml:space="preserve">http://dx.doi.org/10.1111/jvim.14884</w:t>
      </w:r>
      <w:r>
        <w:rPr>
          <w:rStyle w:val="Hyperlink"/>
        </w:rPr>
        <w:fldChar w:fldCharType="end"/>
      </w:r>
    </w:p>
    <w:p>
      <w:pPr>
        <w:pStyle w:val="Normal"/>
      </w:pPr>
      <w:r>
        <w:rPr>
          <w:color w:val="323232"/>
        </w:rPr>
        <w:t xml:space="preserve">————————</w:t>
      </w:r>
    </w:p>
    <w:p>
      <w:pPr>
        <w:pStyle w:val="Heading4"/>
      </w:pPr>
      <w:r>
        <w:t xml:space="preserve">Longitudinal Analysis of Quality of Life, Clinical, Radiographic, Echocardiographic, and Laboratory Variables in Dogs with Preclinical Myxomatous Mitral Valve Disease Receiving Pimobendan or Placebo: The EPIC Study.</w:t>
      </w:r>
    </w:p>
    <w:p/>
    <w:p>
      <w:pPr>
        <w:pStyle w:val="Normal"/>
      </w:pPr>
      <w:r>
        <w:rPr>
          <w:color w:val="323232"/>
        </w:rPr>
        <w:t xml:space="preserve">A Boswood, S G Gordon, J Haggstrom, G Wess, R L Stepien, M A Oyama, B W Keene, J Bonagura, K A MacDonald, M Patteson, S Smith, P R Fox, K Sanderson, R Woolley, V Szatmári, P Menaut, W M Church, M L O'Sullivan, J P Jaudon, J G Kresken, J Rush, K A Barrett, S L Rosenthal, A B Saunders, I Ljungvall, M Deinert, E Bomassi, A H Estrada, M J Fernandez Del Palacio, N S Moise, J A Abbott, Y Fujii, A Spier, M W Luethy, R A Santilli, M Uechi, A Tidholm, C Schummer, and P Watson.</w:t>
      </w:r>
    </w:p>
    <w:p/>
    <w:p>
      <w:pPr>
        <w:pStyle w:val="Normal"/>
      </w:pPr>
      <w:r>
        <w:rPr>
          <w:color w:val="323232"/>
        </w:rPr>
        <w:t xml:space="preserve">BACKGROUND:Changes in clinical variables associated with the administration of pimobendan to dogs with preclinical myxomatous mitral valve disease (MMVD) and cardiomegaly have not been described.</w:t>
      </w:r>
    </w:p>
    <w:p/>
    <w:p>
      <w:pPr>
        <w:pStyle w:val="Normal"/>
      </w:pPr>
      <w:r>
        <w:rPr>
          <w:color w:val="323232"/>
        </w:rPr>
        <w:t xml:space="preserve">OBJECTIVES:To investigate the effect of pimobendan on clinical variables and the relationship between a change in heart size and the time to congestive heart failure (CHF) or cardiac-related death (CRD) in dogs with MMVD and cardiomegaly. To determine whether pimobendan-treated dogs differ from dogs receiving placebo at onset of CHF.</w:t>
      </w:r>
    </w:p>
    <w:p/>
    <w:p>
      <w:pPr>
        <w:pStyle w:val="Normal"/>
      </w:pPr>
      <w:r>
        <w:rPr>
          <w:color w:val="323232"/>
        </w:rPr>
        <w:t xml:space="preserve">ANIMALS:Three hundred and fifty-four dogs with MMVD and cardiomegaly.</w:t>
      </w:r>
    </w:p>
    <w:p/>
    <w:p>
      <w:pPr>
        <w:pStyle w:val="Normal"/>
      </w:pPr>
      <w:r>
        <w:rPr>
          <w:color w:val="323232"/>
        </w:rPr>
        <w:t xml:space="preserve">MATERIALS AND METHODS:Prospective, blinded study with dogs randomized (ratio 1:1) to pimobendan (0.4-0.6</w:t>
      </w:r>
      <w:r>
        <w:rPr>
          <w:color w:val="323232"/>
        </w:rPr>
        <w:t xml:space="preserve"> </w:t>
      </w:r>
      <w:r>
        <w:rPr>
          <w:color w:val="323232"/>
        </w:rPr>
        <w:t xml:space="preserve">mg</w:t>
      </w:r>
      <w:r>
        <w:rPr>
          <w:i w:val="1"/>
          <w:color w:val="323232"/>
        </w:rPr>
        <w:t xml:space="preserve">kg</w:t>
      </w:r>
      <w:r>
        <w:rPr>
          <w:color w:val="323232"/>
        </w:rPr>
        <w:t xml:space="preserve">d) or placebo. Clinical, laboratory, and heart-size variables in both groups were measured and compared at different time points (day 35 and onset of CHF) and over the study duration. Relationships between short-term changes in echocardiographic variables and time to CHF or CRD were explored.</w:t>
      </w:r>
    </w:p>
    <w:p/>
    <w:p>
      <w:pPr>
        <w:pStyle w:val="Normal"/>
      </w:pPr>
      <w:r>
        <w:rPr>
          <w:color w:val="323232"/>
        </w:rPr>
        <w:t xml:space="preserve">RESULTS:At day 35, heart size had reduced in the pimobendan group: median change in (Δ) LVIDDN -0.06 (IQR: -0.15 to +0.02), P</w:t>
      </w:r>
      <w:r>
        <w:rPr>
          <w:color w:val="323232"/>
        </w:rPr>
        <w:t xml:space="preserve"> </w:t>
      </w:r>
      <w:r>
        <w:rPr>
          <w:color w:val="323232"/>
        </w:rPr>
        <w:t xml:space="preserve">&lt;</w:t>
      </w:r>
      <w:r>
        <w:rPr>
          <w:color w:val="323232"/>
        </w:rPr>
        <w:t xml:space="preserve"> </w:t>
      </w:r>
      <w:r>
        <w:rPr>
          <w:color w:val="323232"/>
        </w:rPr>
        <w:t xml:space="preserve">0.0001, and LA:Ao -0.08 (IQR: -0.23 to +0.03), P</w:t>
      </w:r>
      <w:r>
        <w:rPr>
          <w:color w:val="323232"/>
        </w:rPr>
        <w:t xml:space="preserve"> </w:t>
      </w:r>
      <w:r>
        <w:rPr>
          <w:color w:val="323232"/>
        </w:rPr>
        <w:t xml:space="preserve">&lt;</w:t>
      </w:r>
      <w:r>
        <w:rPr>
          <w:color w:val="323232"/>
        </w:rPr>
        <w:t xml:space="preserve"> </w:t>
      </w:r>
      <w:r>
        <w:rPr>
          <w:color w:val="323232"/>
        </w:rPr>
        <w:t xml:space="preserve">0.0001. Reduction in heart size was associated with increased time to CHF or CRD. Hazard ratio for a 0.1 increase in ΔLVIDDN was 1.26, P</w:t>
      </w:r>
      <w:r>
        <w:rPr>
          <w:color w:val="323232"/>
        </w:rPr>
        <w:t xml:space="preserve"> </w:t>
      </w:r>
      <w:r>
        <w:rPr>
          <w:color w:val="323232"/>
        </w:rPr>
        <w:t xml:space="preserve">=</w:t>
      </w:r>
      <w:r>
        <w:rPr>
          <w:color w:val="323232"/>
        </w:rPr>
        <w:t xml:space="preserve"> </w:t>
      </w:r>
      <w:r>
        <w:rPr>
          <w:color w:val="323232"/>
        </w:rPr>
        <w:t xml:space="preserve">0.0003. Hazard ratio for a 0.1 increase in ΔLA:Ao was 1.14, P</w:t>
      </w:r>
      <w:r>
        <w:rPr>
          <w:color w:val="323232"/>
        </w:rPr>
        <w:t xml:space="preserve"> </w:t>
      </w:r>
      <w:r>
        <w:rPr>
          <w:color w:val="323232"/>
        </w:rPr>
        <w:t xml:space="preserve">=</w:t>
      </w:r>
      <w:r>
        <w:rPr>
          <w:color w:val="323232"/>
        </w:rPr>
        <w:t xml:space="preserve"> </w:t>
      </w:r>
      <w:r>
        <w:rPr>
          <w:color w:val="323232"/>
        </w:rPr>
        <w:t xml:space="preserve">0.0002. At onset of CHF, groups were similar.</w:t>
      </w:r>
    </w:p>
    <w:p/>
    <w:p>
      <w:pPr>
        <w:pStyle w:val="Normal"/>
      </w:pPr>
      <w:r>
        <w:rPr>
          <w:color w:val="323232"/>
        </w:rPr>
        <w:t xml:space="preserve">CONCLUSIONS AND CLINICAL IMPORTANCE:Pimobendan treatment reduces heart size. Reduced heart size is associated with improved outcome. At the onset of CHF, dogs treated with pimobendan were indistinguishable from those receiving placebo.</w:t>
      </w:r>
    </w:p>
    <w:p/>
    <w:p>
      <w:pPr>
        <w:pStyle w:val="Normal"/>
      </w:pPr>
      <w:r>
        <w:rPr>
          <w:color w:val="323232"/>
        </w:rPr>
        <w:t xml:space="preserve">J Vet Intern Med, 2018 vol. 32 (1), 3 pp. 72-85.</w:t>
      </w:r>
    </w:p>
    <w:p>
      <w:r>
        <w:rPr>
          <w:rStyle w:val="Hyperlink"/>
        </w:rPr>
        <w:fldChar w:fldCharType="begin"/>
      </w:r>
      <w:r>
        <w:rPr>
          <w:rStyle w:val="Hyperlink"/>
        </w:rPr>
        <w:instrText xml:space="preserve"> HYPERLINK "http://dx.doi.org/10.1111/jvim.14885" </w:instrText>
      </w:r>
      <w:r>
        <w:rPr>
          <w:rStyle w:val="Hyperlink"/>
        </w:rPr>
      </w:r>
      <w:r>
        <w:rPr>
          <w:rStyle w:val="Hyperlink"/>
        </w:rPr>
        <w:fldChar w:fldCharType="separate"/>
      </w:r>
      <w:pPr>
        <w:pStyle w:val="Normal"/>
      </w:pPr>
      <w:r>
        <w:rPr>
          <w:rStyle w:val="Hyperlink"/>
        </w:rPr>
        <w:t xml:space="preserve">http://dx.doi.org/10.1111/jvim.14885</w:t>
      </w:r>
      <w:r>
        <w:rPr>
          <w:rStyle w:val="Hyperlink"/>
        </w:rPr>
        <w:fldChar w:fldCharType="end"/>
      </w:r>
    </w:p>
    <w:p>
      <w:pPr>
        <w:pStyle w:val="Normal"/>
      </w:pPr>
      <w:r>
        <w:rPr>
          <w:color w:val="323232"/>
        </w:rPr>
        <w:t xml:space="preserve">————————</w:t>
      </w:r>
    </w:p>
    <w:p>
      <w:pPr>
        <w:pStyle w:val="Heading4"/>
      </w:pPr>
      <w:r>
        <w:t xml:space="preserve">Retrospective Evaluation of the Effect of Heart Rate on Survival in Dogs with Atrial Fibrillation.</w:t>
      </w:r>
    </w:p>
    <w:p/>
    <w:p>
      <w:pPr>
        <w:pStyle w:val="Normal"/>
      </w:pPr>
      <w:r>
        <w:rPr>
          <w:color w:val="323232"/>
        </w:rPr>
        <w:t xml:space="preserve">B Pedro, J Dukes-McEwan, M A Oyama, M S Kraus, and A R Gelzer.</w:t>
      </w:r>
    </w:p>
    <w:p/>
    <w:p>
      <w:pPr>
        <w:pStyle w:val="Normal"/>
      </w:pPr>
      <w:r>
        <w:rPr>
          <w:color w:val="323232"/>
        </w:rPr>
        <w:t xml:space="preserve">BACKGROUND:Atrial fibrillation (AF) usually is associated with a rapid ventricular rate. The optimal heart rate (HR) during AF is unknown.</w:t>
      </w:r>
    </w:p>
    <w:p/>
    <w:p>
      <w:pPr>
        <w:pStyle w:val="Normal"/>
      </w:pPr>
      <w:r>
        <w:rPr>
          <w:color w:val="323232"/>
        </w:rPr>
        <w:t xml:space="preserve">HYPOTHESIS/OBJECTIVES:Heart rate affects survival in dogs with chronic AF.</w:t>
      </w:r>
    </w:p>
    <w:p/>
    <w:p>
      <w:pPr>
        <w:pStyle w:val="Normal"/>
      </w:pPr>
      <w:r>
        <w:rPr>
          <w:color w:val="323232"/>
        </w:rPr>
        <w:t xml:space="preserve">ANIMALS:Forty-six dogs with AF and 24-hour ambulatory recordings were evaluated.</w:t>
      </w:r>
    </w:p>
    <w:p/>
    <w:p>
      <w:pPr>
        <w:pStyle w:val="Normal"/>
      </w:pPr>
      <w:r>
        <w:rPr>
          <w:color w:val="323232"/>
        </w:rPr>
        <w:t xml:space="preserve">METHODS:Retrospective study. Holter-derived HR variables were analyzed as follows: mean HR (meanHR, 24-hour average), minimum HR (minHR, 1-minute average), maximum HR (maxHR, 1-minute average). Survival times were recorded from the time of presumed adequate rate control. The primary endpoint was all-cause mortality. Cox proportional hazards analysis identified variables independently associated with survival; Kaplan-Meier survival analysis estimated the median survival time of dogs with meanHR &lt;125 bpm versus ≥125 bpm.</w:t>
      </w:r>
    </w:p>
    <w:p/>
    <w:p>
      <w:pPr>
        <w:pStyle w:val="Normal"/>
      </w:pPr>
      <w:r>
        <w:rPr>
          <w:color w:val="323232"/>
        </w:rPr>
        <w:t xml:space="preserve">RESULTS:All 46 dogs had structural heart disease; 31 of 46 had congestive heart failure (CHF), 44 of 46 received antiarrhythmic drugs. Of 15 dogs with cardiac death, 14 had CHF. Median time to all-cause death was 524 days (Interquartile range (IQR), 76-1,037 days). MeanHR was 125 bpm (range, 62-203 bpm), minHR was 82 bpm (range, 37-163 bpm), maxHR was 217 bpm (range, 126-307 bpm). These were significantly correlated with all-cause and cardiac-related mortality. For every 10 bpm increase in meanHR, the risk of all-cause mortality increased by 35% (hazard ratio, 1.35; 95% CI, 1.17-1.55; P &lt; 0.001). Median survival time of dogs with meanHR&lt;125 bpm (n = 23) was significantly longer (1,037 days; range, 524-open) than meanHR ≥125 bpm (n = 23; 105 days; range, 67-267 days; P = 0.0012). Mean HR was independently associated with all-cause and cardiovascular mortality (P &lt; 0.003).</w:t>
      </w:r>
    </w:p>
    <w:p/>
    <w:p>
      <w:pPr>
        <w:pStyle w:val="Normal"/>
      </w:pPr>
      <w:r>
        <w:rPr>
          <w:color w:val="323232"/>
        </w:rPr>
        <w:t xml:space="preserve">CONCLUSIONS AND CLINICAL IMPORTANCE:Holter-derived meanHR affects survival in dogs with AF. Dogs with meanHR &lt;125 bpm lived longer than those with meanHR ≥ 125 bpm.</w:t>
      </w:r>
    </w:p>
    <w:p/>
    <w:p>
      <w:pPr>
        <w:pStyle w:val="Normal"/>
      </w:pPr>
      <w:r>
        <w:rPr>
          <w:color w:val="323232"/>
        </w:rPr>
        <w:t xml:space="preserve">J Vet Intern Med, 2018 vol. 32 (1) pp. 86-92.</w:t>
      </w:r>
    </w:p>
    <w:p>
      <w:r>
        <w:rPr>
          <w:rStyle w:val="Hyperlink"/>
        </w:rPr>
        <w:fldChar w:fldCharType="begin"/>
      </w:r>
      <w:r>
        <w:rPr>
          <w:rStyle w:val="Hyperlink"/>
        </w:rPr>
        <w:instrText xml:space="preserve"> HYPERLINK "http://dx.doi.org/10.1111/jvim.14896" </w:instrText>
      </w:r>
      <w:r>
        <w:rPr>
          <w:rStyle w:val="Hyperlink"/>
        </w:rPr>
      </w:r>
      <w:r>
        <w:rPr>
          <w:rStyle w:val="Hyperlink"/>
        </w:rPr>
        <w:fldChar w:fldCharType="separate"/>
      </w:r>
      <w:pPr>
        <w:pStyle w:val="Normal"/>
      </w:pPr>
      <w:r>
        <w:rPr>
          <w:rStyle w:val="Hyperlink"/>
        </w:rPr>
        <w:t xml:space="preserve">http://dx.doi.org/10.1111/jvim.14896</w:t>
      </w:r>
      <w:r>
        <w:rPr>
          <w:rStyle w:val="Hyperlink"/>
        </w:rPr>
        <w:fldChar w:fldCharType="end"/>
      </w:r>
    </w:p>
    <w:p>
      <w:pPr>
        <w:pStyle w:val="Normal"/>
      </w:pPr>
      <w:r>
        <w:rPr>
          <w:color w:val="323232"/>
        </w:rPr>
        <w:t xml:space="preserve">————————</w:t>
      </w:r>
    </w:p>
    <w:p>
      <w:pPr>
        <w:pStyle w:val="Heading4"/>
      </w:pPr>
      <w:r>
        <w:t xml:space="preserve">Spectrophotometry and Ultracentrifugation for Measurement of Plasma Lipids in Dogs with Diabetes Mellitus.</w:t>
      </w:r>
    </w:p>
    <w:p/>
    <w:p>
      <w:pPr>
        <w:pStyle w:val="Normal"/>
      </w:pPr>
      <w:r>
        <w:rPr>
          <w:color w:val="323232"/>
        </w:rPr>
        <w:t xml:space="preserve">E C Seage, K J Drobatz, and R S Hess.</w:t>
      </w:r>
    </w:p>
    <w:p/>
    <w:p>
      <w:pPr>
        <w:pStyle w:val="Normal"/>
      </w:pPr>
      <w:r>
        <w:rPr>
          <w:color w:val="323232"/>
        </w:rPr>
        <w:t xml:space="preserve">BACKGROUND:There are conflicting reports of plasma lipoprotein lipid content in dogs with diabetes mellitus (DM).</w:t>
      </w:r>
    </w:p>
    <w:p/>
    <w:p>
      <w:pPr>
        <w:pStyle w:val="Normal"/>
      </w:pPr>
      <w:r>
        <w:rPr>
          <w:color w:val="323232"/>
        </w:rPr>
        <w:t xml:space="preserve">OBJECTIVES:To determine lipoprotein lipid content of plasma of dogs with DM by spectrophotometry and ultracentrifugation; to compare lipoprotein lipid content in diabetic and healthy dogs; and to quantify apolipoprotein B-100 (ApoB) in dogs with DM.</w:t>
      </w:r>
    </w:p>
    <w:p/>
    <w:p>
      <w:pPr>
        <w:pStyle w:val="Normal"/>
      </w:pPr>
      <w:r>
        <w:rPr>
          <w:color w:val="323232"/>
        </w:rPr>
        <w:t xml:space="preserve">ANIMALS:22 dogs with DM and 9 healthy dogs.</w:t>
      </w:r>
    </w:p>
    <w:p/>
    <w:p>
      <w:pPr>
        <w:pStyle w:val="Normal"/>
      </w:pPr>
      <w:r>
        <w:rPr>
          <w:color w:val="323232"/>
        </w:rPr>
        <w:t xml:space="preserve">METHODS:Cross-sectional study. Triglyceride (TG), total cholesterol (TC), and high-density lipoprotein cholesterol (HDL-C) concentrations were measured by spectrophotometry. Very low-density lipoprotein cholesterol (VLDL-C) and low-density lipoprotein cholesterol (LDL-C) concentrations were calculated after ultracentrifugation. Non-HDL-C cholesterol was calculated by subtracting HDL-C from TC. ApoB was quantified by ELISA. The Mann-Whitney test was used for comparison of median lipoprotein concentrations, and Spearman's correlation was used to assess associations between ApoB and lipoprotein fractions.</w:t>
      </w:r>
    </w:p>
    <w:p/>
    <w:p>
      <w:pPr>
        <w:pStyle w:val="Normal"/>
      </w:pPr>
      <w:r>
        <w:rPr>
          <w:color w:val="323232"/>
        </w:rPr>
        <w:t xml:space="preserve">RESULTS:All values are reported in mg/dL. Median TG (122), TC (343.5), HDL-C, (200), VLDL-C, (27) LDL-C (68), non-HDL-C (114), and ApoB (320) were significantly higher in dogs with DM, compared to healthy dogs (57, 197, 168, 12, 16, 31, and 258, respectively, P-values 0.0079, &lt;0.001, 0.029, 0.011, &lt;0.001, &lt;0.001, 0.025, respectively). A significant association was found between ApoB and LDL-C (Spearman's rho = 0.41, P = 0.022) and between ApoB and non-HDL-C (Spearman's rho = 0.40, P = 0.027).</w:t>
      </w:r>
    </w:p>
    <w:p/>
    <w:p>
      <w:pPr>
        <w:pStyle w:val="Normal"/>
      </w:pPr>
      <w:r>
        <w:rPr>
          <w:color w:val="323232"/>
        </w:rPr>
        <w:t xml:space="preserve">CONCLUSIONS AND CLINICAL IMPORTANCE:Dyslipidemia of dogs with DM is characterized by pronounced increases in LDL-C and non-HDL-C concentrations, although all lipoprotein fractions are significantly increased. Knowledge of specific lipoprotein fraction alterations in dogs with DM can enhance treatment options for diabetic dyslipidemia in dogs.</w:t>
      </w:r>
    </w:p>
    <w:p/>
    <w:p>
      <w:pPr>
        <w:pStyle w:val="Normal"/>
      </w:pPr>
      <w:r>
        <w:rPr>
          <w:color w:val="323232"/>
        </w:rPr>
        <w:t xml:space="preserve">J Vet Intern Med, 2018 vol. 32 (1) pp. 93-98.</w:t>
      </w:r>
    </w:p>
    <w:p>
      <w:r>
        <w:rPr>
          <w:rStyle w:val="Hyperlink"/>
        </w:rPr>
        <w:fldChar w:fldCharType="begin"/>
      </w:r>
      <w:r>
        <w:rPr>
          <w:rStyle w:val="Hyperlink"/>
        </w:rPr>
        <w:instrText xml:space="preserve"> HYPERLINK "http://dx.doi.org/10.1111/jvim.14880" </w:instrText>
      </w:r>
      <w:r>
        <w:rPr>
          <w:rStyle w:val="Hyperlink"/>
        </w:rPr>
      </w:r>
      <w:r>
        <w:rPr>
          <w:rStyle w:val="Hyperlink"/>
        </w:rPr>
        <w:fldChar w:fldCharType="separate"/>
      </w:r>
      <w:pPr>
        <w:pStyle w:val="Normal"/>
      </w:pPr>
      <w:r>
        <w:rPr>
          <w:rStyle w:val="Hyperlink"/>
        </w:rPr>
        <w:t xml:space="preserve">http://dx.doi.org/10.1111/jvim.14880</w:t>
      </w:r>
      <w:r>
        <w:rPr>
          <w:rStyle w:val="Hyperlink"/>
        </w:rPr>
        <w:fldChar w:fldCharType="end"/>
      </w:r>
    </w:p>
    <w:p>
      <w:pPr>
        <w:pStyle w:val="Normal"/>
      </w:pPr>
      <w:r>
        <w:rPr>
          <w:color w:val="323232"/>
        </w:rPr>
        <w:t xml:space="preserve">————————</w:t>
      </w:r>
    </w:p>
    <w:p>
      <w:pPr>
        <w:pStyle w:val="Heading4"/>
      </w:pPr>
      <w:r>
        <w:t xml:space="preserve">Effect of Prophylactic Calcitriol Administration on Serum Ionized Calcium Concentrations after Parathyroidectomy: 78 Cases (2005-2015).</w:t>
      </w:r>
    </w:p>
    <w:p/>
    <w:p>
      <w:pPr>
        <w:pStyle w:val="Normal"/>
      </w:pPr>
      <w:r>
        <w:rPr>
          <w:color w:val="323232"/>
        </w:rPr>
        <w:t xml:space="preserve">A J Armstrong, J G Hauptman, B J Stanley, E Klocke, M Burneko, D E Holt, J J Runge, and J A Rubin.</w:t>
      </w:r>
    </w:p>
    <w:p/>
    <w:p>
      <w:pPr>
        <w:pStyle w:val="Normal"/>
      </w:pPr>
      <w:r>
        <w:rPr>
          <w:color w:val="323232"/>
        </w:rPr>
        <w:t xml:space="preserve">BACKGROUND:Prophylactic administration of calcitriol has been suggested to mitigate the risk of hypocalcemia after parathyroidectomy. The effect of calcitriol on postoperative serum ionized calcium concentrations has not been evaluated in dogs after parathyroidectomy.</w:t>
      </w:r>
    </w:p>
    <w:p/>
    <w:p>
      <w:pPr>
        <w:pStyle w:val="Normal"/>
      </w:pPr>
      <w:r>
        <w:rPr>
          <w:color w:val="323232"/>
        </w:rPr>
        <w:t xml:space="preserve">HYPOTHESIS/OBJECTIVES:To determine the effect of prophylactic calcitriol administration on postoperative serum ionized calcium (iCa) concentrations in dogs with primary hyperthyroidism (PHPTH) treated by parathyroidectomy.</w:t>
      </w:r>
    </w:p>
    <w:p/>
    <w:p>
      <w:pPr>
        <w:pStyle w:val="Normal"/>
      </w:pPr>
      <w:r>
        <w:rPr>
          <w:color w:val="323232"/>
        </w:rPr>
        <w:t xml:space="preserve">ANIMALS:Seventy-eight dogs with primary hyperparathyroidism treated surgically.</w:t>
      </w:r>
    </w:p>
    <w:p/>
    <w:p>
      <w:pPr>
        <w:pStyle w:val="Normal"/>
      </w:pPr>
      <w:r>
        <w:rPr>
          <w:color w:val="323232"/>
        </w:rPr>
        <w:t xml:space="preserve">METHODS:Multi-institutional retrospective case study. Medical records from 2005 to 2015 were evaluated. Dogs were included if they had a diagnosis of PHPTH and had surgery to remove parathyroid tissue. Serum iCa concentrations were monitored for a minimum of 2</w:t>
      </w:r>
      <w:r>
        <w:rPr>
          <w:color w:val="323232"/>
        </w:rPr>
        <w:t xml:space="preserve"> </w:t>
      </w:r>
      <w:r>
        <w:rPr>
          <w:color w:val="323232"/>
        </w:rPr>
        <w:t xml:space="preserve">days postoperatively. Two study groups were evaluated: calcitriol administration and no calcitriol administration.</w:t>
      </w:r>
    </w:p>
    <w:p/>
    <w:p>
      <w:pPr>
        <w:pStyle w:val="Normal"/>
      </w:pPr>
      <w:r>
        <w:rPr>
          <w:color w:val="323232"/>
        </w:rPr>
        <w:t xml:space="preserve">RESULTS:Serial postoperative iCa concentrations measured at 12-hour time intervals for 2</w:t>
      </w:r>
      <w:r>
        <w:rPr>
          <w:color w:val="323232"/>
        </w:rPr>
        <w:t xml:space="preserve"> </w:t>
      </w:r>
      <w:r>
        <w:rPr>
          <w:color w:val="323232"/>
        </w:rPr>
        <w:t xml:space="preserve">days postoperatively were positively associated with preoperative iCa concentrations. This association was evident at each time interval, and the effect of preoperative iCa concentrations on postoperative iCa concentrations decreased as time elapsed (12</w:t>
      </w:r>
      <w:r>
        <w:rPr>
          <w:color w:val="323232"/>
        </w:rPr>
        <w:t xml:space="preserve"> </w:t>
      </w:r>
      <w:r>
        <w:rPr>
          <w:color w:val="323232"/>
        </w:rPr>
        <w:t xml:space="preserve">hours, P</w:t>
      </w:r>
      <w:r>
        <w:rPr>
          <w:color w:val="323232"/>
        </w:rPr>
        <w:t xml:space="preserve"> </w:t>
      </w:r>
      <w:r>
        <w:rPr>
          <w:color w:val="323232"/>
        </w:rPr>
        <w:t xml:space="preserve">&lt;</w:t>
      </w:r>
      <w:r>
        <w:rPr>
          <w:color w:val="323232"/>
        </w:rPr>
        <w:t xml:space="preserve"> </w:t>
      </w:r>
      <w:r>
        <w:rPr>
          <w:color w:val="323232"/>
        </w:rPr>
        <w:t xml:space="preserve">0.0001; 24</w:t>
      </w:r>
      <w:r>
        <w:rPr>
          <w:color w:val="323232"/>
        </w:rPr>
        <w:t xml:space="preserve"> </w:t>
      </w:r>
      <w:r>
        <w:rPr>
          <w:color w:val="323232"/>
        </w:rPr>
        <w:t xml:space="preserve">hours, P</w:t>
      </w:r>
      <w:r>
        <w:rPr>
          <w:color w:val="323232"/>
        </w:rPr>
        <w:t xml:space="preserve"> </w:t>
      </w:r>
      <w:r>
        <w:rPr>
          <w:color w:val="323232"/>
        </w:rPr>
        <w:t xml:space="preserve">&lt;</w:t>
      </w:r>
      <w:r>
        <w:rPr>
          <w:color w:val="323232"/>
        </w:rPr>
        <w:t xml:space="preserve"> </w:t>
      </w:r>
      <w:r>
        <w:rPr>
          <w:color w:val="323232"/>
        </w:rPr>
        <w:t xml:space="preserve">0.0001; 36</w:t>
      </w:r>
      <w:r>
        <w:rPr>
          <w:color w:val="323232"/>
        </w:rPr>
        <w:t xml:space="preserve"> </w:t>
      </w:r>
      <w:r>
        <w:rPr>
          <w:color w:val="323232"/>
        </w:rPr>
        <w:t xml:space="preserve">hours, P</w:t>
      </w:r>
      <w:r>
        <w:rPr>
          <w:color w:val="323232"/>
        </w:rPr>
        <w:t xml:space="preserve"> </w:t>
      </w:r>
      <w:r>
        <w:rPr>
          <w:color w:val="323232"/>
        </w:rPr>
        <w:t xml:space="preserve">&lt;</w:t>
      </w:r>
      <w:r>
        <w:rPr>
          <w:color w:val="323232"/>
        </w:rPr>
        <w:t xml:space="preserve"> </w:t>
      </w:r>
      <w:r>
        <w:rPr>
          <w:color w:val="323232"/>
        </w:rPr>
        <w:t xml:space="preserve">0.04; and 48</w:t>
      </w:r>
      <w:r>
        <w:rPr>
          <w:color w:val="323232"/>
        </w:rPr>
        <w:t xml:space="preserve"> </w:t>
      </w:r>
      <w:r>
        <w:rPr>
          <w:color w:val="323232"/>
        </w:rPr>
        <w:t xml:space="preserve">hours, P</w:t>
      </w:r>
      <w:r>
        <w:rPr>
          <w:color w:val="323232"/>
        </w:rPr>
        <w:t xml:space="preserve"> </w:t>
      </w:r>
      <w:r>
        <w:rPr>
          <w:color w:val="323232"/>
        </w:rPr>
        <w:t xml:space="preserve">=</w:t>
      </w:r>
      <w:r>
        <w:rPr>
          <w:color w:val="323232"/>
        </w:rPr>
        <w:t xml:space="preserve"> </w:t>
      </w:r>
      <w:r>
        <w:rPr>
          <w:color w:val="323232"/>
        </w:rPr>
        <w:t xml:space="preserve">0.01). Prophylactic calcitriol administration was not found to be significantly associated with postoperative iCa concentrations or its rate of decrease after parathyroidectomy.</w:t>
      </w:r>
    </w:p>
    <w:p/>
    <w:p>
      <w:pPr>
        <w:pStyle w:val="Normal"/>
      </w:pPr>
      <w:r>
        <w:rPr>
          <w:color w:val="323232"/>
        </w:rPr>
        <w:t xml:space="preserve">CONCLUSION AND CLINICAL IMPORTANCE:We found no protective value in administering calcitriol prophylactically to prevent hypocalcemia in the immediate postoperative period (48</w:t>
      </w:r>
      <w:r>
        <w:rPr>
          <w:color w:val="323232"/>
        </w:rPr>
        <w:t xml:space="preserve"> </w:t>
      </w:r>
      <w:r>
        <w:rPr>
          <w:color w:val="323232"/>
        </w:rPr>
        <w:t xml:space="preserve">hours) after parathyroidectomy. Preoperative iCa concentrations had a significant positive association with postoperative iCa concentrations throughout the monitoring period.</w:t>
      </w:r>
    </w:p>
    <w:p/>
    <w:p>
      <w:pPr>
        <w:pStyle w:val="Normal"/>
      </w:pPr>
      <w:r>
        <w:rPr>
          <w:color w:val="323232"/>
        </w:rPr>
        <w:t xml:space="preserve">J Vet Intern Med, 2018 vol. 32 (1), 4 pp. 99-106.</w:t>
      </w:r>
    </w:p>
    <w:p>
      <w:r>
        <w:rPr>
          <w:rStyle w:val="Hyperlink"/>
        </w:rPr>
        <w:fldChar w:fldCharType="begin"/>
      </w:r>
      <w:r>
        <w:rPr>
          <w:rStyle w:val="Hyperlink"/>
        </w:rPr>
        <w:instrText xml:space="preserve"> HYPERLINK "http://dx.doi.org/10.1111/jvim.15028" </w:instrText>
      </w:r>
      <w:r>
        <w:rPr>
          <w:rStyle w:val="Hyperlink"/>
        </w:rPr>
      </w:r>
      <w:r>
        <w:rPr>
          <w:rStyle w:val="Hyperlink"/>
        </w:rPr>
        <w:fldChar w:fldCharType="separate"/>
      </w:r>
      <w:pPr>
        <w:pStyle w:val="Normal"/>
      </w:pPr>
      <w:r>
        <w:rPr>
          <w:rStyle w:val="Hyperlink"/>
        </w:rPr>
        <w:t xml:space="preserve">http://dx.doi.org/10.1111/jvim.15028</w:t>
      </w:r>
      <w:r>
        <w:rPr>
          <w:rStyle w:val="Hyperlink"/>
        </w:rPr>
        <w:fldChar w:fldCharType="end"/>
      </w:r>
    </w:p>
    <w:p>
      <w:pPr>
        <w:pStyle w:val="Normal"/>
      </w:pPr>
      <w:r>
        <w:rPr>
          <w:color w:val="323232"/>
        </w:rPr>
        <w:t xml:space="preserve">————————</w:t>
      </w:r>
    </w:p>
    <w:p>
      <w:pPr>
        <w:pStyle w:val="Heading4"/>
      </w:pPr>
      <w:r>
        <w:t xml:space="preserve">Efficacy of Radiation Therapy for the Treatment of Sialocele in Dogs.</w:t>
      </w:r>
    </w:p>
    <w:p/>
    <w:p>
      <w:pPr>
        <w:pStyle w:val="Normal"/>
      </w:pPr>
      <w:r>
        <w:rPr>
          <w:color w:val="323232"/>
        </w:rPr>
        <w:t xml:space="preserve">V J Poirier, S Mayer-Stankeová, J Buchholz, D M Vail, and B Kaser Hotz.</w:t>
      </w:r>
    </w:p>
    <w:p/>
    <w:p>
      <w:pPr>
        <w:pStyle w:val="Normal"/>
      </w:pPr>
      <w:r>
        <w:rPr>
          <w:color w:val="323232"/>
        </w:rPr>
        <w:t xml:space="preserve">BACKGROUND:Sialocele is a collection of saliva that has leaked from a damaged salivary gland or duct and is surrounded by granulation tissue. Surgery is the recognized first-line treatment. Recurrence rate after surgery is 5-14%. Salivary gland tissue is very sensitive to radiation therapy (RT).</w:t>
      </w:r>
    </w:p>
    <w:p/>
    <w:p>
      <w:pPr>
        <w:pStyle w:val="Normal"/>
      </w:pPr>
      <w:r>
        <w:rPr>
          <w:color w:val="323232"/>
        </w:rPr>
        <w:t xml:space="preserve">HYPOTHESIS/OBJECTIVES:Radiation therapy will be useful for the treatment of sialocele. The aims were to characterize response rate and clinical course of dogs with sialocele treated with RT and to determine a starting dose for clinical use.</w:t>
      </w:r>
    </w:p>
    <w:p/>
    <w:p>
      <w:pPr>
        <w:pStyle w:val="Normal"/>
      </w:pPr>
      <w:r>
        <w:rPr>
          <w:color w:val="323232"/>
        </w:rPr>
        <w:t xml:space="preserve">ANIMALS:Eleven dogs with sialocele.</w:t>
      </w:r>
    </w:p>
    <w:p/>
    <w:p>
      <w:pPr>
        <w:pStyle w:val="Normal"/>
      </w:pPr>
      <w:r>
        <w:rPr>
          <w:color w:val="323232"/>
        </w:rPr>
        <w:t xml:space="preserve">METHODS:Retrospective study of response and outcome after RT.</w:t>
      </w:r>
    </w:p>
    <w:p/>
    <w:p>
      <w:pPr>
        <w:pStyle w:val="Normal"/>
      </w:pPr>
      <w:r>
        <w:rPr>
          <w:color w:val="323232"/>
        </w:rPr>
        <w:t xml:space="preserve">RESULTS:All dogs had cervical sialocele. Seven dogs (63.6%) were treated with 3 weekly fractions of 4 Gray (Gy); (total dose, 12 Gy). Three dogs (27.3%) received 4 fractions of 4 Gy (16 Gy) and 1 dog received 5 fractions of 4 Gy (20 Gy) on a Monday-Wednesday-Friday schedule. Six dogs (54%) achieved a complete response (CR), and 5 dogs (45%) achieved a partial response (PR). Three dogs had progression of their sialocele 2, 3, and 9 months after RT; all three had received 12 Gy initially and 2 received 2 additional fractions of 4 Gy (cumulative total dose, 20 Gy) and subsequently achieved remission for &gt;2 years.</w:t>
      </w:r>
    </w:p>
    <w:p/>
    <w:p>
      <w:pPr>
        <w:pStyle w:val="Normal"/>
      </w:pPr>
      <w:r>
        <w:rPr>
          <w:color w:val="323232"/>
        </w:rPr>
        <w:t xml:space="preserve">CONCLUSIONS AND CLINICAL IMPORTANCE:Radiation therapy is useful for the treatment of recurrent sialocele refractory to surgical management and a minimum total dose of 16 or 20 Gy in 4 Gy fractions appears effective.</w:t>
      </w:r>
    </w:p>
    <w:p/>
    <w:p>
      <w:pPr>
        <w:pStyle w:val="Normal"/>
      </w:pPr>
      <w:r>
        <w:rPr>
          <w:color w:val="323232"/>
        </w:rPr>
        <w:t xml:space="preserve">J Vet Intern Med, 2018 vol. 32 (1), 4 pp. 107-110.</w:t>
      </w:r>
    </w:p>
    <w:p>
      <w:r>
        <w:rPr>
          <w:rStyle w:val="Hyperlink"/>
        </w:rPr>
        <w:fldChar w:fldCharType="begin"/>
      </w:r>
      <w:r>
        <w:rPr>
          <w:rStyle w:val="Hyperlink"/>
        </w:rPr>
        <w:instrText xml:space="preserve"> HYPERLINK "http://dx.doi.org/10.1111/jvim.14868" </w:instrText>
      </w:r>
      <w:r>
        <w:rPr>
          <w:rStyle w:val="Hyperlink"/>
        </w:rPr>
      </w:r>
      <w:r>
        <w:rPr>
          <w:rStyle w:val="Hyperlink"/>
        </w:rPr>
        <w:fldChar w:fldCharType="separate"/>
      </w:r>
      <w:pPr>
        <w:pStyle w:val="Normal"/>
      </w:pPr>
      <w:r>
        <w:rPr>
          <w:rStyle w:val="Hyperlink"/>
        </w:rPr>
        <w:t xml:space="preserve">http://dx.doi.org/10.1111/jvim.14868</w:t>
      </w:r>
      <w:r>
        <w:rPr>
          <w:rStyle w:val="Hyperlink"/>
        </w:rPr>
        <w:fldChar w:fldCharType="end"/>
      </w:r>
    </w:p>
    <w:p>
      <w:pPr>
        <w:pStyle w:val="Normal"/>
      </w:pPr>
      <w:r>
        <w:rPr>
          <w:color w:val="323232"/>
        </w:rPr>
        <w:t xml:space="preserve">————————</w:t>
      </w:r>
    </w:p>
    <w:p>
      <w:pPr>
        <w:pStyle w:val="Heading4"/>
      </w:pPr>
      <w:r>
        <w:t xml:space="preserve">Comparison of Multiplate, Platelet Function Analyzer-200, and Plateletworks in Healthy Dogs Treated with Aspirin and Clopidogrel.</w:t>
      </w:r>
    </w:p>
    <w:p/>
    <w:p>
      <w:pPr>
        <w:pStyle w:val="Normal"/>
      </w:pPr>
      <w:r>
        <w:rPr>
          <w:color w:val="323232"/>
        </w:rPr>
        <w:t xml:space="preserve">S Saati, A C G Abrams-Ogg, S L Blois, and R D Wood.</w:t>
      </w:r>
    </w:p>
    <w:p/>
    <w:p>
      <w:pPr>
        <w:pStyle w:val="Normal"/>
      </w:pPr>
      <w:r>
        <w:rPr>
          <w:color w:val="323232"/>
        </w:rPr>
        <w:t xml:space="preserve">BACKGROUND:Platelet function testing may be warranted to assess response to aspirin and clopidogrel.</w:t>
      </w:r>
    </w:p>
    <w:p/>
    <w:p>
      <w:pPr>
        <w:pStyle w:val="Normal"/>
      </w:pPr>
      <w:r>
        <w:rPr>
          <w:color w:val="323232"/>
        </w:rPr>
        <w:t xml:space="preserve">HYPOTHESIS/OBJECTIVES:To evaluate the effects of aspirin, clopidogrel, or combination therapy using 3 platelet function tests: Multiplate Analyzer (MP), Platelet Function Analyzer-200 (PFA), and Plateletworks (PW).</w:t>
      </w:r>
    </w:p>
    <w:p/>
    <w:p>
      <w:pPr>
        <w:pStyle w:val="Normal"/>
      </w:pPr>
      <w:r>
        <w:rPr>
          <w:color w:val="323232"/>
        </w:rPr>
        <w:t xml:space="preserve">ANIMALS:Six healthy laboratory Beagles.</w:t>
      </w:r>
    </w:p>
    <w:p/>
    <w:p>
      <w:pPr>
        <w:pStyle w:val="Normal"/>
      </w:pPr>
      <w:r>
        <w:rPr>
          <w:color w:val="323232"/>
        </w:rPr>
        <w:t xml:space="preserve">METHODS:Randomized double-blind placebo-controlled study (crossover design). Dogs were given aspirin 1 mg</w:t>
      </w:r>
      <w:r>
        <w:rPr>
          <w:i w:val="1"/>
          <w:color w:val="323232"/>
        </w:rPr>
        <w:t xml:space="preserve">kg, clopidogrel 2 mg</w:t>
      </w:r>
      <w:r>
        <w:rPr>
          <w:color w:val="323232"/>
        </w:rPr>
        <w:t xml:space="preserve">kg, or combination therapy for 1 week each, with a washout period of 2 weeks. Platelet function was assessed on days 0 and 7 of each phase using MP (adenosine diphosphate [ADP], arachidonic acid [AA], collagen [COL] agonists), PFA (P2Y, COL-ADP [CADP], COL-Epinephrine [CEPI] cartridges), and PW (ADP, AA, COL agonists). Platelet counts were obtained with impedance and optical counters.</w:t>
      </w:r>
    </w:p>
    <w:p/>
    <w:p>
      <w:pPr>
        <w:pStyle w:val="Normal"/>
      </w:pPr>
      <w:r>
        <w:rPr>
          <w:color w:val="323232"/>
        </w:rPr>
        <w:t xml:space="preserve">RESULTS:For MP, mean aggregation was decreased for COL and AA with combination therapy and for ADP with all treatments. For PFA, mean CT was increased for the CEPI cartridge with aspirin; and for the P2Y and CADP cartridges with clopidogrel or combination therapy. More dogs receiving clopidogrel showed an increase in PFA CT using the P2Y than the CADP cartridge. For PW, mean aggregation was decreased for AA with all treatments; for ADP with clopidogrel or combination therapy; and for COL with clopidogrel. The PW results with the 2 hematology counters showed almost perfect agreement.</w:t>
      </w:r>
    </w:p>
    <w:p/>
    <w:p>
      <w:pPr>
        <w:pStyle w:val="Normal"/>
      </w:pPr>
      <w:r>
        <w:rPr>
          <w:color w:val="323232"/>
        </w:rPr>
        <w:t xml:space="preserve">CONCLUSION AND CLINICAL IMPORTANCE:All platelet function tests detected treatment effects in some dogs and may have utility for monitoring therapy.</w:t>
      </w:r>
    </w:p>
    <w:p/>
    <w:p>
      <w:pPr>
        <w:pStyle w:val="Normal"/>
      </w:pPr>
      <w:r>
        <w:rPr>
          <w:color w:val="323232"/>
        </w:rPr>
        <w:t xml:space="preserve">J Vet Intern Med, 2018 vol. 32 (1) pp. 111-118.</w:t>
      </w:r>
    </w:p>
    <w:p>
      <w:r>
        <w:rPr>
          <w:rStyle w:val="Hyperlink"/>
        </w:rPr>
        <w:fldChar w:fldCharType="begin"/>
      </w:r>
      <w:r>
        <w:rPr>
          <w:rStyle w:val="Hyperlink"/>
        </w:rPr>
        <w:instrText xml:space="preserve"> HYPERLINK "http://dx.doi.org/10.1111/jvim.14886" </w:instrText>
      </w:r>
      <w:r>
        <w:rPr>
          <w:rStyle w:val="Hyperlink"/>
        </w:rPr>
      </w:r>
      <w:r>
        <w:rPr>
          <w:rStyle w:val="Hyperlink"/>
        </w:rPr>
        <w:fldChar w:fldCharType="separate"/>
      </w:r>
      <w:pPr>
        <w:pStyle w:val="Normal"/>
      </w:pPr>
      <w:r>
        <w:rPr>
          <w:rStyle w:val="Hyperlink"/>
        </w:rPr>
        <w:t xml:space="preserve">http://dx.doi.org/10.1111/jvim.14886</w:t>
      </w:r>
      <w:r>
        <w:rPr>
          <w:rStyle w:val="Hyperlink"/>
        </w:rPr>
        <w:fldChar w:fldCharType="end"/>
      </w:r>
    </w:p>
    <w:p>
      <w:pPr>
        <w:pStyle w:val="Normal"/>
      </w:pPr>
      <w:r>
        <w:rPr>
          <w:color w:val="323232"/>
        </w:rPr>
        <w:t xml:space="preserve">————————</w:t>
      </w:r>
    </w:p>
    <w:p>
      <w:pPr>
        <w:pStyle w:val="Heading4"/>
      </w:pPr>
      <w:r>
        <w:t xml:space="preserve">A Remote Assay for Measuring Canine Platelet Activation and the Inhibitory Effects of Antiplatelet Agents.</w:t>
      </w:r>
    </w:p>
    <w:p/>
    <w:p>
      <w:pPr>
        <w:pStyle w:val="Normal"/>
      </w:pPr>
      <w:r>
        <w:rPr>
          <w:color w:val="323232"/>
        </w:rPr>
        <w:t xml:space="preserve">M Dunning, J May, J Adamany, S Heptinstall, and S Fox.</w:t>
      </w:r>
    </w:p>
    <w:p/>
    <w:p>
      <w:pPr>
        <w:pStyle w:val="Normal"/>
      </w:pPr>
      <w:r>
        <w:rPr>
          <w:color w:val="323232"/>
        </w:rPr>
        <w:t xml:space="preserve">BACKGROUND:Antiplatelet medications are increasingly used in dogs. Remote analysis of platelet activity is challenging, limiting assessment of antiplatelet drug efficacy.</w:t>
      </w:r>
    </w:p>
    <w:p/>
    <w:p>
      <w:pPr>
        <w:pStyle w:val="Normal"/>
      </w:pPr>
      <w:r>
        <w:rPr>
          <w:color w:val="323232"/>
        </w:rPr>
        <w:t xml:space="preserve">HYPOTHESIS/OBJECTIVES:To evaluate a method used in humans for stimulation and remote analysis of canine platelet activity.</w:t>
      </w:r>
    </w:p>
    <w:p/>
    <w:p>
      <w:pPr>
        <w:pStyle w:val="Normal"/>
      </w:pPr>
      <w:r>
        <w:rPr>
          <w:color w:val="323232"/>
        </w:rPr>
        <w:t xml:space="preserve">ANIMALS:Forty-five dogs of various ages without a coagulopathy or thrombocytopenia. Six were receiving antiplatelet medication.</w:t>
      </w:r>
    </w:p>
    <w:p/>
    <w:p>
      <w:pPr>
        <w:pStyle w:val="Normal"/>
      </w:pPr>
      <w:r>
        <w:rPr>
          <w:color w:val="323232"/>
        </w:rPr>
        <w:t xml:space="preserve">METHODS:Prospective observational study. Platelets were stimulated with combinations of arachidonic acid (AA) and epinephrine (Epi) or adenosine diphosphate (ADP) and the thromboxane A2 -mimetic U46619 (U4). PAMFix was added to the blood samples to facilitate delayed analysis of platelet activity. Activity was assessed by flow cytometric measurement of surface P-selectin (CD62P) expression.</w:t>
      </w:r>
    </w:p>
    <w:p/>
    <w:p>
      <w:pPr>
        <w:pStyle w:val="Normal"/>
      </w:pPr>
      <w:r>
        <w:rPr>
          <w:color w:val="323232"/>
        </w:rPr>
        <w:t xml:space="preserve">RESULTS:Canine platelets could be stimulated with both AA</w:t>
      </w:r>
      <w:r>
        <w:rPr>
          <w:i w:val="1"/>
          <w:color w:val="323232"/>
        </w:rPr>
        <w:t xml:space="preserve">Epi and ADP</w:t>
      </w:r>
      <w:r>
        <w:rPr>
          <w:color w:val="323232"/>
        </w:rPr>
        <w:t xml:space="preserve">U4. The levels of P-selectin were significantly greater than paired, unstimulated samples (P</w:t>
      </w:r>
      <w:r>
        <w:rPr>
          <w:color w:val="323232"/>
        </w:rPr>
        <w:t xml:space="preserve"> </w:t>
      </w:r>
      <w:r>
        <w:rPr>
          <w:color w:val="323232"/>
        </w:rPr>
        <w:t xml:space="preserve">&lt;</w:t>
      </w:r>
      <w:r>
        <w:rPr>
          <w:color w:val="323232"/>
        </w:rPr>
        <w:t xml:space="preserve"> </w:t>
      </w:r>
      <w:r>
        <w:rPr>
          <w:color w:val="323232"/>
        </w:rPr>
        <w:t xml:space="preserve">0.001). Inhibition of P-selectin expression occurred after this stimulation by adding antiplatelet drugs in</w:t>
      </w:r>
      <w:r>
        <w:rPr>
          <w:color w:val="323232"/>
        </w:rPr>
        <w:t xml:space="preserve"> </w:t>
      </w:r>
      <w:r>
        <w:rPr>
          <w:color w:val="323232"/>
        </w:rPr>
        <w:t xml:space="preserve">vitro. The efficacy of antiplatelet drugs in samples from treated dogs was also measurable ex</w:t>
      </w:r>
      <w:r>
        <w:rPr>
          <w:color w:val="323232"/>
        </w:rPr>
        <w:t xml:space="preserve"> </w:t>
      </w:r>
      <w:r>
        <w:rPr>
          <w:color w:val="323232"/>
        </w:rPr>
        <w:t xml:space="preserve">vivo using this method. Delayed analysis of platelet activity at time points up to 22</w:t>
      </w:r>
      <w:r>
        <w:rPr>
          <w:color w:val="323232"/>
        </w:rPr>
        <w:t xml:space="preserve"> </w:t>
      </w:r>
      <w:r>
        <w:rPr>
          <w:color w:val="323232"/>
        </w:rPr>
        <w:t xml:space="preserve">days demonstrated excellent correlation between respective mf values at each time point (r2 </w:t>
      </w:r>
      <w:r>
        <w:rPr>
          <w:color w:val="323232"/>
        </w:rPr>
        <w:t xml:space="preserve"> </w:t>
      </w:r>
      <w:r>
        <w:rPr>
          <w:color w:val="323232"/>
        </w:rPr>
        <w:t xml:space="preserve">=</w:t>
      </w:r>
      <w:r>
        <w:rPr>
          <w:color w:val="323232"/>
        </w:rPr>
        <w:t xml:space="preserve"> </w:t>
      </w:r>
      <w:r>
        <w:rPr>
          <w:color w:val="323232"/>
        </w:rPr>
        <w:t xml:space="preserve">0.92, P</w:t>
      </w:r>
      <w:r>
        <w:rPr>
          <w:color w:val="323232"/>
        </w:rPr>
        <w:t xml:space="preserve"> </w:t>
      </w:r>
      <w:r>
        <w:rPr>
          <w:color w:val="323232"/>
        </w:rPr>
        <w:t xml:space="preserve">&lt;</w:t>
      </w:r>
      <w:r>
        <w:rPr>
          <w:color w:val="323232"/>
        </w:rPr>
        <w:t xml:space="preserve"> </w:t>
      </w:r>
      <w:r>
        <w:rPr>
          <w:color w:val="323232"/>
        </w:rPr>
        <w:t xml:space="preserve">0.0001).</w:t>
      </w:r>
    </w:p>
    <w:p/>
    <w:p>
      <w:pPr>
        <w:pStyle w:val="Normal"/>
      </w:pPr>
      <w:r>
        <w:rPr>
          <w:color w:val="323232"/>
        </w:rPr>
        <w:t xml:space="preserve">CONCLUSIONS AND CLINICAL IMPORTANCE:This study evaluated a new method to remotely assess canine platelet activity. It shows that PAMFix can be used for this purpose. This provides opportunities to interrogate the inhibitory action of antiplatelet drugs in clinical settings.</w:t>
      </w:r>
    </w:p>
    <w:p/>
    <w:p>
      <w:pPr>
        <w:pStyle w:val="Normal"/>
      </w:pPr>
      <w:r>
        <w:rPr>
          <w:color w:val="323232"/>
        </w:rPr>
        <w:t xml:space="preserve">J Vet Intern Med, 2018 vol. 32 (1) pp. 119-127.</w:t>
      </w:r>
    </w:p>
    <w:p>
      <w:r>
        <w:rPr>
          <w:rStyle w:val="Hyperlink"/>
        </w:rPr>
        <w:fldChar w:fldCharType="begin"/>
      </w:r>
      <w:r>
        <w:rPr>
          <w:rStyle w:val="Hyperlink"/>
        </w:rPr>
        <w:instrText xml:space="preserve"> HYPERLINK "http://dx.doi.org/10.1111/jvim.14845" </w:instrText>
      </w:r>
      <w:r>
        <w:rPr>
          <w:rStyle w:val="Hyperlink"/>
        </w:rPr>
      </w:r>
      <w:r>
        <w:rPr>
          <w:rStyle w:val="Hyperlink"/>
        </w:rPr>
        <w:fldChar w:fldCharType="separate"/>
      </w:r>
      <w:pPr>
        <w:pStyle w:val="Normal"/>
      </w:pPr>
      <w:r>
        <w:rPr>
          <w:rStyle w:val="Hyperlink"/>
        </w:rPr>
        <w:t xml:space="preserve">http://dx.doi.org/10.1111/jvim.14845</w:t>
      </w:r>
      <w:r>
        <w:rPr>
          <w:rStyle w:val="Hyperlink"/>
        </w:rPr>
        <w:fldChar w:fldCharType="end"/>
      </w:r>
    </w:p>
    <w:p>
      <w:pPr>
        <w:pStyle w:val="Normal"/>
      </w:pPr>
      <w:r>
        <w:rPr>
          <w:color w:val="323232"/>
        </w:rPr>
        <w:t xml:space="preserve">————————</w:t>
      </w:r>
    </w:p>
    <w:p>
      <w:pPr>
        <w:pStyle w:val="Heading4"/>
      </w:pPr>
      <w:r>
        <w:t xml:space="preserve">Neutrophil Extracellular Traps in Plasma from Dogs with Immune-mediated Hemolytic Anemia.</w:t>
      </w:r>
    </w:p>
    <w:p/>
    <w:p>
      <w:pPr>
        <w:pStyle w:val="Normal"/>
      </w:pPr>
      <w:r>
        <w:rPr>
          <w:color w:val="323232"/>
        </w:rPr>
        <w:t xml:space="preserve">C Lawson, S A Smith, M O'Brien, and M McMichael.</w:t>
      </w:r>
    </w:p>
    <w:p/>
    <w:p>
      <w:pPr>
        <w:pStyle w:val="Normal"/>
      </w:pPr>
      <w:r>
        <w:rPr>
          <w:color w:val="323232"/>
        </w:rPr>
        <w:t xml:space="preserve">BACKGROUND:Neutrophil extracellular traps (NETs) are part of the innate immune response and are essential in local pathogen control, but are associated with pathological inflammation, organ damage, autoimmunity, and thrombosis. Immune-mediated hemolytic anemia (IMHA) is a pro-inflammatory, prothrombotic disease associated with high mortality.</w:t>
      </w:r>
    </w:p>
    <w:p/>
    <w:p>
      <w:pPr>
        <w:pStyle w:val="Normal"/>
      </w:pPr>
      <w:r>
        <w:rPr>
          <w:color w:val="323232"/>
        </w:rPr>
        <w:t xml:space="preserve">HYPOTHESIS/OBJECTIVES:Neutrophil extracellular traps (NETs) are a feature of the inflammatory process in dogs with IMHA. The objective of the study was to evaluate plasma from dogs with IMHA for the presence of 2 indirect markers and 1 direct marker of NETs.</w:t>
      </w:r>
    </w:p>
    <w:p/>
    <w:p>
      <w:pPr>
        <w:pStyle w:val="Normal"/>
      </w:pPr>
      <w:r>
        <w:rPr>
          <w:color w:val="323232"/>
        </w:rPr>
        <w:t xml:space="preserve">ANIMALS:Healthy client-owned dogs (56) and hospitalized dogs with IMHA (n = 35).</w:t>
      </w:r>
    </w:p>
    <w:p/>
    <w:p>
      <w:pPr>
        <w:pStyle w:val="Normal"/>
      </w:pPr>
      <w:r>
        <w:rPr>
          <w:color w:val="323232"/>
        </w:rPr>
        <w:t xml:space="preserve">METHODS:Prospective study. Plasma samples for all dogs were evaluated for cell-free DNA using a fluorescence assay, histone-DNA (hisDNA) complex using an ELISA, and citrullinated histone H3 (specific for NETosis) using Western blot. Reference intervals were generated using plasma from healthy dogs.</w:t>
      </w:r>
    </w:p>
    <w:p/>
    <w:p>
      <w:pPr>
        <w:pStyle w:val="Normal"/>
      </w:pPr>
      <w:r>
        <w:rPr>
          <w:color w:val="323232"/>
        </w:rPr>
        <w:t xml:space="preserve">RESULTS:In dogs with IMHA, cell-free DNA concentration was above the reference interval in 17% of samples with a median (range) of 1.0 μg/mL (0.1-17.3), and hisDNA concentration was above the reference interval in 94% of samples with a median (range) of 30.7 × pooled normal plasma (PNP; 0.6-372.1). Western blot for citrullinated histone H3 identified detectable bands in 84% samples from dogs with IMHA.</w:t>
      </w:r>
    </w:p>
    <w:p/>
    <w:p>
      <w:pPr>
        <w:pStyle w:val="Normal"/>
      </w:pPr>
      <w:r>
        <w:rPr>
          <w:color w:val="323232"/>
        </w:rPr>
        <w:t xml:space="preserve">CONCLUSIONS AND CLINICAL IMPORTANCE:The assay for cell-free DNA detected evidence of NETs in fewer dogs than did the other approaches. Excessive NETs appears to be a feature of IMHA in dogs and contributions to the prothrombotic state deserve further study.</w:t>
      </w:r>
    </w:p>
    <w:p/>
    <w:p>
      <w:pPr>
        <w:pStyle w:val="Normal"/>
      </w:pPr>
      <w:r>
        <w:rPr>
          <w:color w:val="323232"/>
        </w:rPr>
        <w:t xml:space="preserve">J Vet Intern Med, 2018 vol. 32 (1) pp. 128-134.</w:t>
      </w:r>
    </w:p>
    <w:p>
      <w:r>
        <w:rPr>
          <w:rStyle w:val="Hyperlink"/>
        </w:rPr>
        <w:fldChar w:fldCharType="begin"/>
      </w:r>
      <w:r>
        <w:rPr>
          <w:rStyle w:val="Hyperlink"/>
        </w:rPr>
        <w:instrText xml:space="preserve"> HYPERLINK "http://dx.doi.org/10.1111/jvim.14881" </w:instrText>
      </w:r>
      <w:r>
        <w:rPr>
          <w:rStyle w:val="Hyperlink"/>
        </w:rPr>
      </w:r>
      <w:r>
        <w:rPr>
          <w:rStyle w:val="Hyperlink"/>
        </w:rPr>
        <w:fldChar w:fldCharType="separate"/>
      </w:r>
      <w:pPr>
        <w:pStyle w:val="Normal"/>
      </w:pPr>
      <w:r>
        <w:rPr>
          <w:rStyle w:val="Hyperlink"/>
        </w:rPr>
        <w:t xml:space="preserve">http://dx.doi.org/10.1111/jvim.14881</w:t>
      </w:r>
      <w:r>
        <w:rPr>
          <w:rStyle w:val="Hyperlink"/>
        </w:rPr>
        <w:fldChar w:fldCharType="end"/>
      </w:r>
    </w:p>
    <w:p>
      <w:pPr>
        <w:pStyle w:val="Normal"/>
      </w:pPr>
      <w:r>
        <w:rPr>
          <w:color w:val="323232"/>
        </w:rPr>
        <w:t xml:space="preserve">————————</w:t>
      </w:r>
    </w:p>
    <w:p>
      <w:pPr>
        <w:pStyle w:val="Heading4"/>
      </w:pPr>
      <w:r>
        <w:t xml:space="preserve">Plasma NT-proBNP and Cell-Free DNA Concentrations after Prolonged Strenuous Exercise in Working Farm Dogs.</w:t>
      </w:r>
    </w:p>
    <w:p/>
    <w:p>
      <w:pPr>
        <w:pStyle w:val="Normal"/>
      </w:pPr>
      <w:r>
        <w:rPr>
          <w:color w:val="323232"/>
        </w:rPr>
        <w:t xml:space="preserve">H Hunt, N Cave, J Bridges, K Gedye, and K Hill.</w:t>
      </w:r>
    </w:p>
    <w:p/>
    <w:p>
      <w:pPr>
        <w:pStyle w:val="Normal"/>
      </w:pPr>
      <w:r>
        <w:rPr>
          <w:color w:val="323232"/>
        </w:rPr>
        <w:t xml:space="preserve">BACKGROUND:Plasma N-terminal pro-B-type natriuretic peptide (NT-proBNP) concentration is increased in dogs with myocardial dysfunction, and cell-free DNA (cfDNA) increases in numerous disease states. In humans, both of these biomarkers can be altered after endurance exercise.</w:t>
      </w:r>
    </w:p>
    <w:p/>
    <w:p>
      <w:pPr>
        <w:pStyle w:val="Normal"/>
      </w:pPr>
      <w:r>
        <w:rPr>
          <w:color w:val="323232"/>
        </w:rPr>
        <w:t xml:space="preserve">OBJECTIVE:To investigate the effect of prolonged strenuous exercise on circulating NT-proBNP and cfDNA concentrations in working farm dogs.</w:t>
      </w:r>
    </w:p>
    <w:p/>
    <w:p>
      <w:pPr>
        <w:pStyle w:val="Normal"/>
      </w:pPr>
      <w:r>
        <w:rPr>
          <w:color w:val="323232"/>
        </w:rPr>
        <w:t xml:space="preserve">ANIMALS:Six healthy, privately owned working farm dogs (4 Huntaways and 2 heading dogs) from the same hill country farm in New Zealand.</w:t>
      </w:r>
    </w:p>
    <w:p/>
    <w:p>
      <w:pPr>
        <w:pStyle w:val="Normal"/>
      </w:pPr>
      <w:r>
        <w:rPr>
          <w:color w:val="323232"/>
        </w:rPr>
        <w:t xml:space="preserve">METHODS:Prospective, nonrandomised cohort study. Venous blood samples were collected before and after the dogs worked over 4 days. Plasma NT-proBNP concentrations were measured by a commercially available ELISA assay and cfDNA concentrations were determined by fluorometry without prior DNA extraction.</w:t>
      </w:r>
    </w:p>
    <w:p/>
    <w:p>
      <w:pPr>
        <w:pStyle w:val="Normal"/>
      </w:pPr>
      <w:r>
        <w:rPr>
          <w:color w:val="323232"/>
        </w:rPr>
        <w:t xml:space="preserve">RESULTS:The baseline (before work, Day 1) median plasma NT-proBNP concentration was 664 pmol</w:t>
      </w:r>
      <w:r>
        <w:rPr>
          <w:i w:val="1"/>
          <w:color w:val="323232"/>
        </w:rPr>
        <w:t xml:space="preserve">L. A linear mixed-effects model showed that work increased plasma NT-proBNP concentrations by 101 ± 9% (P &lt; 0.001), but with each consecutive day of work, NT-proBNP concentrations declined by 16 ± 4% (P &lt; 0.001). The baseline median plasma cfDNA concentration was 653 ng</w:t>
      </w:r>
      <w:r>
        <w:rPr>
          <w:color w:val="323232"/>
        </w:rPr>
        <w:t xml:space="preserve">mL, and plasma cfDNA concentrations increased by 138 ± 45 ng/mL after work (P = 0.004).</w:t>
      </w:r>
    </w:p>
    <w:p/>
    <w:p>
      <w:pPr>
        <w:pStyle w:val="Normal"/>
      </w:pPr>
      <w:r>
        <w:rPr>
          <w:color w:val="323232"/>
        </w:rPr>
        <w:t xml:space="preserve">CONCLUSIONS AND CLINICAL IMPORTANCE:The plasma concentration of NT-proBNP in healthy Huntaways and heading dogs after work can exceed the upper limit of the reference range. Results in dogs sampled on the day of prolonged strenuous exercise should be interpreted with caution. Plasma concentrations of cfDNA also increase with exercise, but further studies are needed to establish reference ranges in healthy dogs.</w:t>
      </w:r>
    </w:p>
    <w:p/>
    <w:p>
      <w:pPr>
        <w:pStyle w:val="Normal"/>
      </w:pPr>
      <w:r>
        <w:rPr>
          <w:color w:val="323232"/>
        </w:rPr>
        <w:t xml:space="preserve">J Vet Intern Med, 2018 vol. 32 (1) pp. 135-141.</w:t>
      </w:r>
    </w:p>
    <w:p>
      <w:r>
        <w:rPr>
          <w:rStyle w:val="Hyperlink"/>
        </w:rPr>
        <w:fldChar w:fldCharType="begin"/>
      </w:r>
      <w:r>
        <w:rPr>
          <w:rStyle w:val="Hyperlink"/>
        </w:rPr>
        <w:instrText xml:space="preserve"> HYPERLINK "http://dx.doi.org/10.1111/jvim.14835" </w:instrText>
      </w:r>
      <w:r>
        <w:rPr>
          <w:rStyle w:val="Hyperlink"/>
        </w:rPr>
      </w:r>
      <w:r>
        <w:rPr>
          <w:rStyle w:val="Hyperlink"/>
        </w:rPr>
        <w:fldChar w:fldCharType="separate"/>
      </w:r>
      <w:pPr>
        <w:pStyle w:val="Normal"/>
      </w:pPr>
      <w:r>
        <w:rPr>
          <w:rStyle w:val="Hyperlink"/>
        </w:rPr>
        <w:t xml:space="preserve">http://dx.doi.org/10.1111/jvim.14835</w:t>
      </w:r>
      <w:r>
        <w:rPr>
          <w:rStyle w:val="Hyperlink"/>
        </w:rPr>
        <w:fldChar w:fldCharType="end"/>
      </w:r>
    </w:p>
    <w:p>
      <w:pPr>
        <w:pStyle w:val="Normal"/>
      </w:pPr>
      <w:r>
        <w:rPr>
          <w:color w:val="323232"/>
        </w:rPr>
        <w:t xml:space="preserve">————————</w:t>
      </w:r>
    </w:p>
    <w:p>
      <w:pPr>
        <w:pStyle w:val="Heading4"/>
      </w:pPr>
      <w:r>
        <w:t xml:space="preserve">In vitro Inhibition of Canine Complement-Mediated Hemolysis.</w:t>
      </w:r>
    </w:p>
    <w:p/>
    <w:p>
      <w:pPr>
        <w:pStyle w:val="Normal"/>
      </w:pPr>
      <w:r>
        <w:rPr>
          <w:color w:val="323232"/>
        </w:rPr>
        <w:t xml:space="preserve">D M Hernandez, R Goggs, and E Behling-Kelly.</w:t>
      </w:r>
    </w:p>
    <w:p/>
    <w:p>
      <w:pPr>
        <w:pStyle w:val="Normal"/>
      </w:pPr>
      <w:r>
        <w:rPr>
          <w:color w:val="323232"/>
        </w:rPr>
        <w:t xml:space="preserve">BACKGROUND:Immune-mediated hemolytic anemia (IMHA) is the most common hematologic immune-mediated disease in dogs. Complement fixation on erythrocytes causes hemolysis. Complement inhibition decreases hemolysis in people with the hemolytic disease and also may prove effective in treating IMHA in dogs.</w:t>
      </w:r>
    </w:p>
    <w:p/>
    <w:p>
      <w:pPr>
        <w:pStyle w:val="Normal"/>
      </w:pPr>
      <w:r>
        <w:rPr>
          <w:color w:val="323232"/>
        </w:rPr>
        <w:t xml:space="preserve">HYPOTHESIS/OBJECTIVES:Evaluate the in</w:t>
      </w:r>
      <w:r>
        <w:rPr>
          <w:color w:val="323232"/>
        </w:rPr>
        <w:t xml:space="preserve"> </w:t>
      </w:r>
      <w:r>
        <w:rPr>
          <w:color w:val="323232"/>
        </w:rPr>
        <w:t xml:space="preserve">vitro efficacy of 2 complement inhibitors used in humans against canine complement.</w:t>
      </w:r>
    </w:p>
    <w:p/>
    <w:p>
      <w:pPr>
        <w:pStyle w:val="Normal"/>
      </w:pPr>
      <w:r>
        <w:rPr>
          <w:color w:val="323232"/>
        </w:rPr>
        <w:t xml:space="preserve">METHODS:The inhibitory activity of the C3-inhibitor compstatin and recombinant human C1-esterase inhibitor (C1-INH) was evaluated using an in</w:t>
      </w:r>
      <w:r>
        <w:rPr>
          <w:color w:val="323232"/>
        </w:rPr>
        <w:t xml:space="preserve"> </w:t>
      </w:r>
      <w:r>
        <w:rPr>
          <w:color w:val="323232"/>
        </w:rPr>
        <w:t xml:space="preserve">vitro hemolytic assay and spectrophotometric measurement of released hemoglobin. Dose-response curves for each inhibitor were generated.</w:t>
      </w:r>
    </w:p>
    <w:p/>
    <w:p>
      <w:pPr>
        <w:pStyle w:val="Normal"/>
      </w:pPr>
      <w:r>
        <w:rPr>
          <w:color w:val="323232"/>
        </w:rPr>
        <w:t xml:space="preserve">RESULTS:Compstatin decreased approximately 50% of canine complement-mediated hemolysis in initial experiments. This inhibition largely was lost when a new lot of drug was purchased. C1-INH showed a dose-dependent inhibition. The highest concentration of C1-INH tested (500</w:t>
      </w:r>
      <w:r>
        <w:rPr>
          <w:color w:val="323232"/>
        </w:rPr>
        <w:t xml:space="preserve"> </w:t>
      </w:r>
      <w:r>
        <w:rPr>
          <w:color w:val="323232"/>
        </w:rPr>
        <w:t xml:space="preserve">μg</w:t>
      </w:r>
      <w:r>
        <w:rPr>
          <w:i w:val="1"/>
          <w:color w:val="323232"/>
        </w:rPr>
        <w:t xml:space="preserve">mL) decreased &gt;80% of canine complement-mediated hemolysis, and the lowest concentration tested (31.25</w:t>
      </w:r>
      <w:r>
        <w:rPr>
          <w:color w:val="323232"/>
        </w:rPr>
        <w:t xml:space="preserve"> </w:t>
      </w:r>
      <w:r>
        <w:rPr>
          <w:i w:val="1"/>
          <w:color w:val="323232"/>
        </w:rPr>
        <w:t xml:space="preserve">μg</w:t>
      </w:r>
      <w:r>
        <w:rPr>
          <w:color w:val="323232"/>
        </w:rPr>
        <w:t xml:space="preserve">mL) decreased hemolysis &gt;60%.</w:t>
      </w:r>
    </w:p>
    <w:p/>
    <w:p>
      <w:pPr>
        <w:pStyle w:val="Normal"/>
      </w:pPr>
      <w:r>
        <w:rPr>
          <w:color w:val="323232"/>
        </w:rPr>
        <w:t xml:space="preserve">CONCLUSIONS AND CLINICAL IMPORTANCE:Human C1-INH is a robust inhibitor of canine complement-mediated hemolysis, whereas compstatin was minimally and variably effective. Human C1-INH may substantially decrease complement-mediated hemolysis in dogs with IMHA and warrants further investigation.</w:t>
      </w:r>
    </w:p>
    <w:p/>
    <w:p>
      <w:pPr>
        <w:pStyle w:val="Normal"/>
      </w:pPr>
      <w:r>
        <w:rPr>
          <w:color w:val="323232"/>
        </w:rPr>
        <w:t xml:space="preserve">J Vet Intern Med, 2018 vol. 32 (1), 8 pp. 142-146.</w:t>
      </w:r>
    </w:p>
    <w:p>
      <w:r>
        <w:rPr>
          <w:rStyle w:val="Hyperlink"/>
        </w:rPr>
        <w:fldChar w:fldCharType="begin"/>
      </w:r>
      <w:r>
        <w:rPr>
          <w:rStyle w:val="Hyperlink"/>
        </w:rPr>
        <w:instrText xml:space="preserve"> HYPERLINK "http://dx.doi.org/10.1111/jvim.14871" </w:instrText>
      </w:r>
      <w:r>
        <w:rPr>
          <w:rStyle w:val="Hyperlink"/>
        </w:rPr>
      </w:r>
      <w:r>
        <w:rPr>
          <w:rStyle w:val="Hyperlink"/>
        </w:rPr>
        <w:fldChar w:fldCharType="separate"/>
      </w:r>
      <w:pPr>
        <w:pStyle w:val="Normal"/>
      </w:pPr>
      <w:r>
        <w:rPr>
          <w:rStyle w:val="Hyperlink"/>
        </w:rPr>
        <w:t xml:space="preserve">http://dx.doi.org/10.1111/jvim.14871</w:t>
      </w:r>
      <w:r>
        <w:rPr>
          <w:rStyle w:val="Hyperlink"/>
        </w:rPr>
        <w:fldChar w:fldCharType="end"/>
      </w:r>
    </w:p>
    <w:p>
      <w:pPr>
        <w:pStyle w:val="Normal"/>
      </w:pPr>
      <w:r>
        <w:rPr>
          <w:color w:val="323232"/>
        </w:rPr>
        <w:t xml:space="preserve">————————</w:t>
      </w:r>
    </w:p>
    <w:p>
      <w:pPr>
        <w:pStyle w:val="Heading4"/>
      </w:pPr>
      <w:r>
        <w:t xml:space="preserve">Regional Citrate Anticoagulation for Intermittent Hemodialysis in Dogs.</w:t>
      </w:r>
    </w:p>
    <w:p/>
    <w:p>
      <w:pPr>
        <w:pStyle w:val="Normal"/>
      </w:pPr>
      <w:r>
        <w:rPr>
          <w:color w:val="323232"/>
        </w:rPr>
        <w:t xml:space="preserve">T Francey and A Schweighauser.</w:t>
      </w:r>
    </w:p>
    <w:p/>
    <w:p>
      <w:pPr>
        <w:pStyle w:val="Normal"/>
      </w:pPr>
      <w:r>
        <w:rPr>
          <w:color w:val="323232"/>
        </w:rPr>
        <w:t xml:space="preserve">BACKGROUND:The traditional systemic heparinization used for anticoagulation in extracorporeal therapies may cause fatal complications in animals at risk of bleeding.</w:t>
      </w:r>
    </w:p>
    <w:p/>
    <w:p>
      <w:pPr>
        <w:pStyle w:val="Normal"/>
      </w:pPr>
      <w:r>
        <w:rPr>
          <w:color w:val="323232"/>
        </w:rPr>
        <w:t xml:space="preserve">HYPOTHESIS/OBJECTIVES:To develop and validate a protocol of regional citrate anticoagulation (RCA) for intermittent hemodialysis in dogs.</w:t>
      </w:r>
    </w:p>
    <w:p/>
    <w:p>
      <w:pPr>
        <w:pStyle w:val="Normal"/>
      </w:pPr>
      <w:r>
        <w:rPr>
          <w:color w:val="323232"/>
        </w:rPr>
        <w:t xml:space="preserve">ANIMALS:A total of 172 dogs treated with hemodialysis for acute kidney injury.</w:t>
      </w:r>
    </w:p>
    <w:p/>
    <w:p>
      <w:pPr>
        <w:pStyle w:val="Normal"/>
      </w:pPr>
      <w:r>
        <w:rPr>
          <w:color w:val="323232"/>
        </w:rPr>
        <w:t xml:space="preserve">METHODS:In vitro titration was performed, adding trisodium citrate and calcium chloride to heparinized canine blood. A tentative protocol was used first in 66 treatments with additional heparinization and subsequently in 518 heparin-free treatments. Safety and adequacy of RCA were assessed based on clinical and laboratory monitoring, dialyzer pressure gradient, treatment completion, and visual scoring of the extracorporeal circuit.</w:t>
      </w:r>
    </w:p>
    <w:p/>
    <w:p>
      <w:pPr>
        <w:pStyle w:val="Normal"/>
      </w:pPr>
      <w:r>
        <w:rPr>
          <w:color w:val="323232"/>
        </w:rPr>
        <w:t xml:space="preserve">RESULTS:Addition of 1 mmol</w:t>
      </w:r>
      <w:r>
        <w:rPr>
          <w:i w:val="1"/>
          <w:color w:val="323232"/>
        </w:rPr>
        <w:t xml:space="preserve">L citrate to heparinized blood decreased the ionized calcium concentration by 0.23 mmol</w:t>
      </w:r>
      <w:r>
        <w:rPr>
          <w:color w:val="323232"/>
        </w:rPr>
        <w:t xml:space="preserve">L (95% confidence interval [CI], 0.16-0.30) and 1 mmol</w:t>
      </w:r>
      <w:r>
        <w:rPr>
          <w:i w:val="1"/>
          <w:color w:val="323232"/>
        </w:rPr>
        <w:t xml:space="preserve">L calcium increased it by 0.62 mmol</w:t>
      </w:r>
      <w:r>
        <w:rPr>
          <w:color w:val="323232"/>
        </w:rPr>
        <w:t xml:space="preserve">L (95% CI, 0.45-0.79). Heparin-free treatments were initiated with infusion of trisodium citrate (102 mmol</w:t>
      </w:r>
      <w:r>
        <w:rPr>
          <w:i w:val="1"/>
          <w:color w:val="323232"/>
        </w:rPr>
        <w:t xml:space="preserve">L) at 2.55 mmol</w:t>
      </w:r>
      <w:r>
        <w:rPr>
          <w:color w:val="323232"/>
        </w:rPr>
        <w:t xml:space="preserve">L blood and calcium chloride (340 mmol</w:t>
      </w:r>
      <w:r>
        <w:rPr>
          <w:i w:val="1"/>
          <w:color w:val="323232"/>
        </w:rPr>
        <w:t xml:space="preserve">L) at 0.85 mmol</w:t>
      </w:r>
      <w:r>
        <w:rPr>
          <w:color w:val="323232"/>
        </w:rPr>
        <w:t xml:space="preserve">L. Citrate and calcium administrations were adjusted in 27 and 34% of the treatments, respectively. Overall, anticoagulation was satisfactory in 92% of the treatments, with expected azotemia reduction in 95% (urea) and 86% (creatinine), stable dialyzer pressure gradient in 82%, and clean extracorporeal circuits in 92% of the treatments. Eighteen treatments (3.5%) were discontinued prematurely, 9 because of clotting and 9 for reasons unrelated to the RCA procedure.</w:t>
      </w:r>
    </w:p>
    <w:p/>
    <w:p>
      <w:pPr>
        <w:pStyle w:val="Normal"/>
      </w:pPr>
      <w:r>
        <w:rPr>
          <w:color w:val="323232"/>
        </w:rPr>
        <w:t xml:space="preserve">CONCLUSIONS AND CLINICAL IMPORTANCE:Regional citrate anticoagulation allows safe and efficient heparin-free hemodialysis in dogs at risk of bleeding.</w:t>
      </w:r>
    </w:p>
    <w:p/>
    <w:p>
      <w:pPr>
        <w:pStyle w:val="Normal"/>
      </w:pPr>
      <w:r>
        <w:rPr>
          <w:color w:val="323232"/>
        </w:rPr>
        <w:t xml:space="preserve">J Vet Intern Med, 2018 vol. 32 (1), 4 pp. 147-156.</w:t>
      </w:r>
    </w:p>
    <w:p>
      <w:r>
        <w:rPr>
          <w:rStyle w:val="Hyperlink"/>
        </w:rPr>
        <w:fldChar w:fldCharType="begin"/>
      </w:r>
      <w:r>
        <w:rPr>
          <w:rStyle w:val="Hyperlink"/>
        </w:rPr>
        <w:instrText xml:space="preserve"> HYPERLINK "http://dx.doi.org/10.1111/jvim.14867" </w:instrText>
      </w:r>
      <w:r>
        <w:rPr>
          <w:rStyle w:val="Hyperlink"/>
        </w:rPr>
      </w:r>
      <w:r>
        <w:rPr>
          <w:rStyle w:val="Hyperlink"/>
        </w:rPr>
        <w:fldChar w:fldCharType="separate"/>
      </w:r>
      <w:pPr>
        <w:pStyle w:val="Normal"/>
      </w:pPr>
      <w:r>
        <w:rPr>
          <w:rStyle w:val="Hyperlink"/>
        </w:rPr>
        <w:t xml:space="preserve">http://dx.doi.org/10.1111/jvim.14867</w:t>
      </w:r>
      <w:r>
        <w:rPr>
          <w:rStyle w:val="Hyperlink"/>
        </w:rPr>
        <w:fldChar w:fldCharType="end"/>
      </w:r>
    </w:p>
    <w:p>
      <w:pPr>
        <w:pStyle w:val="Normal"/>
      </w:pPr>
      <w:r>
        <w:rPr>
          <w:color w:val="323232"/>
        </w:rPr>
        <w:t xml:space="preserve">————————</w:t>
      </w:r>
    </w:p>
    <w:p>
      <w:pPr>
        <w:pStyle w:val="Heading4"/>
      </w:pPr>
      <w:r>
        <w:t xml:space="preserve">Familial Congenital Methemoglobinemia in Pomeranian Dogs Caused by a Missense Variant in the NADH-Cytochrome B5 Reductase Gene.</w:t>
      </w:r>
    </w:p>
    <w:p/>
    <w:p>
      <w:pPr>
        <w:pStyle w:val="Normal"/>
      </w:pPr>
      <w:r>
        <w:rPr>
          <w:color w:val="323232"/>
        </w:rPr>
        <w:t xml:space="preserve">H Shino, Y Otsuka-Yamasaki, T Sato, K Ooi, O Inanami, R Sato, and M Yamasaki.</w:t>
      </w:r>
    </w:p>
    <w:p/>
    <w:p>
      <w:pPr>
        <w:pStyle w:val="Normal"/>
      </w:pPr>
      <w:r>
        <w:rPr>
          <w:color w:val="323232"/>
        </w:rPr>
        <w:t xml:space="preserve">BACKGROUND:In veterinary medicine, congenital methemoglobinemia associated with nicotinamide adenine dinucleotide (NADH)-cytochrome b5 reductase (b5R) deficiency is rare. It has been reported in several breeds of dogs, but little information is available about its etiology.</w:t>
      </w:r>
    </w:p>
    <w:p/>
    <w:p>
      <w:pPr>
        <w:pStyle w:val="Normal"/>
      </w:pPr>
      <w:r>
        <w:rPr>
          <w:color w:val="323232"/>
        </w:rPr>
        <w:t xml:space="preserve">OBJECTIVES:To analyze the NADH-cytochrome b5 reductase gene, CYB5R3, in a Pomeranian dog family with methemoglobinemia suspected to be caused by congenital b5R deficiency.</w:t>
      </w:r>
    </w:p>
    <w:p/>
    <w:p>
      <w:pPr>
        <w:pStyle w:val="Normal"/>
      </w:pPr>
      <w:r>
        <w:rPr>
          <w:color w:val="323232"/>
        </w:rPr>
        <w:t xml:space="preserve">ANIMALS:Three Pomeranian dogs from a family with methemoglobinemia were analyzed. Five healthy beagles and 5 nonrelated Pomeranian dogs without methemoglobinemia were used as controls.</w:t>
      </w:r>
    </w:p>
    <w:p/>
    <w:p>
      <w:pPr>
        <w:pStyle w:val="Normal"/>
      </w:pPr>
      <w:r>
        <w:rPr>
          <w:color w:val="323232"/>
        </w:rPr>
        <w:t xml:space="preserve">METHODS:Methemoglobin concentration, b5R activity, and reduced glutathione (GSH) concentration were measured, and a turbidity index was used to evaluate Heinz body formation. The CYB5R3 genes of the affected dog and healthy dogs were analyzed by direct sequencing.</w:t>
      </w:r>
    </w:p>
    <w:p/>
    <w:p>
      <w:pPr>
        <w:pStyle w:val="Normal"/>
      </w:pPr>
      <w:r>
        <w:rPr>
          <w:color w:val="323232"/>
        </w:rPr>
        <w:t xml:space="preserve">RESULTS:Methemoglobin concentrations in erythrocytes of the affected dogs were remarkably higher than those of the control dogs. The b5R activity of the affected dogs was notably lower than that of the control dogs. DNA sequencing indicated that this Pomeranian family carried a CYB5R3 gene missense variant (ATC</w:t>
      </w:r>
      <w:r>
        <w:rPr>
          <w:color w:val="323232"/>
        </w:rPr>
        <w:t xml:space="preserve">→</w:t>
      </w:r>
      <w:r>
        <w:rPr>
          <w:color w:val="323232"/>
        </w:rPr>
        <w:t xml:space="preserve">CTC at codon 194) that resulted in the replacement of isoleucine (Ile) by leucine (Leu).</w:t>
      </w:r>
    </w:p>
    <w:p/>
    <w:p>
      <w:pPr>
        <w:pStyle w:val="Normal"/>
      </w:pPr>
      <w:r>
        <w:rPr>
          <w:color w:val="323232"/>
        </w:rPr>
        <w:t xml:space="preserve">CONCLUSIONS AND CLINICAL IMPORTANCE:This dog family had familial congenital methemoglobinemia caused by b5R deficiency, which resulted from a nonsynonymous variant in the CYB5R3 gene. This variation (c.580A&gt;C) led to an amino acid substitution (p.Ile194Leu), and Ile194 was located in the proximal region of the NADH-binding motif. Our data suggested that this variant in the canine CYB5R3 gene would affect function of the b5R in erythrocytes.</w:t>
      </w:r>
    </w:p>
    <w:p/>
    <w:p>
      <w:pPr>
        <w:pStyle w:val="Normal"/>
      </w:pPr>
      <w:r>
        <w:rPr>
          <w:color w:val="323232"/>
        </w:rPr>
        <w:t xml:space="preserve">J Vet Intern Med, 2018 vol. 32 (1) pp. 165-171.</w:t>
      </w:r>
    </w:p>
    <w:p>
      <w:r>
        <w:rPr>
          <w:rStyle w:val="Hyperlink"/>
        </w:rPr>
        <w:fldChar w:fldCharType="begin"/>
      </w:r>
      <w:r>
        <w:rPr>
          <w:rStyle w:val="Hyperlink"/>
        </w:rPr>
        <w:instrText xml:space="preserve"> HYPERLINK "http://dx.doi.org/10.1111/jvim.15031" </w:instrText>
      </w:r>
      <w:r>
        <w:rPr>
          <w:rStyle w:val="Hyperlink"/>
        </w:rPr>
      </w:r>
      <w:r>
        <w:rPr>
          <w:rStyle w:val="Hyperlink"/>
        </w:rPr>
        <w:fldChar w:fldCharType="separate"/>
      </w:r>
      <w:pPr>
        <w:pStyle w:val="Normal"/>
      </w:pPr>
      <w:r>
        <w:rPr>
          <w:rStyle w:val="Hyperlink"/>
        </w:rPr>
        <w:t xml:space="preserve">http://dx.doi.org/10.1111/jvim.15031</w:t>
      </w:r>
      <w:r>
        <w:rPr>
          <w:rStyle w:val="Hyperlink"/>
        </w:rPr>
        <w:fldChar w:fldCharType="end"/>
      </w:r>
    </w:p>
    <w:p>
      <w:pPr>
        <w:pStyle w:val="Normal"/>
      </w:pPr>
      <w:r>
        <w:rPr>
          <w:color w:val="323232"/>
        </w:rPr>
        <w:t xml:space="preserve">————————</w:t>
      </w:r>
    </w:p>
    <w:p>
      <w:pPr>
        <w:pStyle w:val="Heading4"/>
      </w:pPr>
      <w:r>
        <w:t xml:space="preserve">Cholangitis and Cholangiohepatitis in Dogs: A Descriptive Study of 54 Cases Based on Histopathologic Diagnosis (2004-2014).</w:t>
      </w:r>
    </w:p>
    <w:p/>
    <w:p>
      <w:pPr>
        <w:pStyle w:val="Normal"/>
      </w:pPr>
      <w:r>
        <w:rPr>
          <w:color w:val="323232"/>
        </w:rPr>
        <w:t xml:space="preserve">J L Harrison, B J Turek, D C Brown, C Bradley, and J Callahan Clark.</w:t>
      </w:r>
    </w:p>
    <w:p/>
    <w:p>
      <w:pPr>
        <w:pStyle w:val="Normal"/>
      </w:pPr>
      <w:r>
        <w:rPr>
          <w:color w:val="323232"/>
        </w:rPr>
        <w:t xml:space="preserve">BACKGROUND:Cholangitis in dogs appears to be more common than previously thought, but understanding of the disease remains incomplete.</w:t>
      </w:r>
    </w:p>
    <w:p/>
    <w:p>
      <w:pPr>
        <w:pStyle w:val="Normal"/>
      </w:pPr>
      <w:r>
        <w:rPr>
          <w:color w:val="323232"/>
        </w:rPr>
        <w:t xml:space="preserve">OBJECTIVE:To describe a population of dogs with cholangitis or cholangiohepatitis.</w:t>
      </w:r>
    </w:p>
    <w:p/>
    <w:p>
      <w:pPr>
        <w:pStyle w:val="Normal"/>
      </w:pPr>
      <w:r>
        <w:rPr>
          <w:color w:val="323232"/>
        </w:rPr>
        <w:t xml:space="preserve">ANIMALS:Fifty-four client-owned dogs with cholangitis or cholangiohepatitis.</w:t>
      </w:r>
    </w:p>
    <w:p/>
    <w:p>
      <w:pPr>
        <w:pStyle w:val="Normal"/>
      </w:pPr>
      <w:r>
        <w:rPr>
          <w:color w:val="323232"/>
        </w:rPr>
        <w:t xml:space="preserve">METHODS:Medical records of dogs with cholangitis or cholangiohepatitis confirmed by histopathology between January 2004 and December 2014 were identified using a computer-based search and retrospectively reviewed.</w:t>
      </w:r>
    </w:p>
    <w:p/>
    <w:p>
      <w:pPr>
        <w:pStyle w:val="Normal"/>
      </w:pPr>
      <w:r>
        <w:rPr>
          <w:color w:val="323232"/>
        </w:rPr>
        <w:t xml:space="preserve">RESULTS:Clinical signs included vomiting (72.2%), lethargy (70.4%), and inappetence (64.8%). Most dogs (49/50) had increased liver enzyme activities, hyperbilirubinemia (32/50), and hypercholesterolemia (24/43). Ultrasonographic abnormalities of the hepatobiliary system were seen in 84% of cases. On histopathology, 53 of 54 affected dogs had neutrophilic cholangitis (NC) or cholangiohepatitis, whereas 1 dog had lymphocytic cholangitis. Most cases (42/54) were chronic. Evidence of concurrent biliary disease (46.2%) and biliary tract obstruction (42.6%) was common. Seventeen of 36 biliary and 11 of 25 liver cultures were positive for bacterial growth; Escherichia coli and Enterococcus spp. were most common. Median patient survival was 671 days (95% confidence interval [CI]: 114-1,426). On Cox regression, dogs that did not have a cholecystectomy performed had a 2.1 greater hazard for death (P = 0.037; 95% CI: 1.0-4.3) compared to cholecystectomized dogs. Dogs &gt;13 years old had a 5.0 greater hazard for death (P = 0.001; 95% CI: 1.9-13.2) compared to younger dogs.</w:t>
      </w:r>
    </w:p>
    <w:p/>
    <w:p>
      <w:pPr>
        <w:pStyle w:val="Normal"/>
      </w:pPr>
      <w:r>
        <w:rPr>
          <w:color w:val="323232"/>
        </w:rPr>
        <w:t xml:space="preserve">CONCLUSIONS AND CLINICAL SIGNIFICANCE:Chronic NC or cholangiohepatitis was most common. Cholecystitis and biliary tract obstruction often occurred in conjunction with cholangitis. Cholecystectomized dogs had decreased risk of death; thus, cholecystectomy may improve patient outcome.</w:t>
      </w:r>
    </w:p>
    <w:p/>
    <w:p>
      <w:pPr>
        <w:pStyle w:val="Normal"/>
      </w:pPr>
      <w:r>
        <w:rPr>
          <w:color w:val="323232"/>
        </w:rPr>
        <w:t xml:space="preserve">J Vet Intern Med, 2018 vol. 32 (1) pp. 172-180.</w:t>
      </w:r>
    </w:p>
    <w:p>
      <w:r>
        <w:rPr>
          <w:rStyle w:val="Hyperlink"/>
        </w:rPr>
        <w:fldChar w:fldCharType="begin"/>
      </w:r>
      <w:r>
        <w:rPr>
          <w:rStyle w:val="Hyperlink"/>
        </w:rPr>
        <w:instrText xml:space="preserve"> HYPERLINK "http://dx.doi.org/10.1111/jvim.14866" </w:instrText>
      </w:r>
      <w:r>
        <w:rPr>
          <w:rStyle w:val="Hyperlink"/>
        </w:rPr>
      </w:r>
      <w:r>
        <w:rPr>
          <w:rStyle w:val="Hyperlink"/>
        </w:rPr>
        <w:fldChar w:fldCharType="separate"/>
      </w:r>
      <w:pPr>
        <w:pStyle w:val="Normal"/>
      </w:pPr>
      <w:r>
        <w:rPr>
          <w:rStyle w:val="Hyperlink"/>
        </w:rPr>
        <w:t xml:space="preserve">http://dx.doi.org/10.1111/jvim.14866</w:t>
      </w:r>
      <w:r>
        <w:rPr>
          <w:rStyle w:val="Hyperlink"/>
        </w:rPr>
        <w:fldChar w:fldCharType="end"/>
      </w:r>
    </w:p>
    <w:p>
      <w:pPr>
        <w:pStyle w:val="Normal"/>
      </w:pPr>
      <w:r>
        <w:rPr>
          <w:color w:val="323232"/>
        </w:rPr>
        <w:t xml:space="preserve">————————</w:t>
      </w:r>
    </w:p>
    <w:p>
      <w:pPr>
        <w:pStyle w:val="Heading4"/>
      </w:pPr>
      <w:r>
        <w:t xml:space="preserve">Sonographic Evaluation of Liver Hemodynamic Indices in Overweight and Obese Dogs.</w:t>
      </w:r>
    </w:p>
    <w:p/>
    <w:p>
      <w:pPr>
        <w:pStyle w:val="Normal"/>
      </w:pPr>
      <w:r>
        <w:rPr>
          <w:color w:val="323232"/>
        </w:rPr>
        <w:t xml:space="preserve">A F Belotta, C R Teixeira, C R Padovani, S C Rahal, M N Mayer, and M J Mamprim.</w:t>
      </w:r>
    </w:p>
    <w:p/>
    <w:p>
      <w:pPr>
        <w:pStyle w:val="Normal"/>
      </w:pPr>
      <w:r>
        <w:rPr>
          <w:color w:val="323232"/>
        </w:rPr>
        <w:t xml:space="preserve">BACKGROUND:Hepatic circulatory disturbances have been associated with obesity and fatty liver in humans. In the veterinary literature, however, there is limited information regarding the effects of different body condition scores (BCS) on liver hemodynamic indices in dogs.</w:t>
      </w:r>
    </w:p>
    <w:p/>
    <w:p>
      <w:pPr>
        <w:pStyle w:val="Normal"/>
      </w:pPr>
      <w:r>
        <w:rPr>
          <w:color w:val="323232"/>
        </w:rPr>
        <w:t xml:space="preserve">OBJECTIVES:To investigate the influence of BCS on liver hemodynamic indices.</w:t>
      </w:r>
    </w:p>
    <w:p/>
    <w:p>
      <w:pPr>
        <w:pStyle w:val="Normal"/>
      </w:pPr>
      <w:r>
        <w:rPr>
          <w:color w:val="323232"/>
        </w:rPr>
        <w:t xml:space="preserve">ANIMALS:Fifty-three client-owned dogs of various breeds were included.</w:t>
      </w:r>
    </w:p>
    <w:p/>
    <w:p>
      <w:pPr>
        <w:pStyle w:val="Normal"/>
      </w:pPr>
      <w:r>
        <w:rPr>
          <w:color w:val="323232"/>
        </w:rPr>
        <w:t xml:space="preserve">METHODS:Prospective observational study. Dogs were divided into 3 BCS groups using a 5-point scale: G1 - 12 ideal dogs, G2 - 21 overweight dogs, G3 - 20 obese dogs. Mean portal velocity (MPV), portal blood flow volume (PBFV), portal congestion index (PCI), hepatic artery resistivity index (HARI), and hepatic vein (HV) spectral wave were obtained by pulsed Doppler sonography. Alkaline phosphatase (ALP), gamma-glutamyl transferase (GGT), and alanine aminotransferase (ALT) activities were determined. Liver enzymes activities and liver hemodynamic indices were compared among groups.</w:t>
      </w:r>
    </w:p>
    <w:p/>
    <w:p>
      <w:pPr>
        <w:pStyle w:val="Normal"/>
      </w:pPr>
      <w:r>
        <w:rPr>
          <w:color w:val="323232"/>
        </w:rPr>
        <w:t xml:space="preserve">RESULTS:Obese dogs had lower MPV, higher percentage of abnormal hepatic vein spectral wave and higher median ALP activity than did ideal dogs (P</w:t>
      </w:r>
      <w:r>
        <w:rPr>
          <w:color w:val="323232"/>
        </w:rPr>
        <w:t xml:space="preserve"> </w:t>
      </w:r>
      <w:r>
        <w:rPr>
          <w:color w:val="323232"/>
        </w:rPr>
        <w:t xml:space="preserve">&lt;</w:t>
      </w:r>
      <w:r>
        <w:rPr>
          <w:color w:val="323232"/>
        </w:rPr>
        <w:t xml:space="preserve"> </w:t>
      </w:r>
      <w:r>
        <w:rPr>
          <w:color w:val="323232"/>
        </w:rPr>
        <w:t xml:space="preserve">0.05). Overweight and obese dogs had lower PBFV than ideal dogs (P</w:t>
      </w:r>
      <w:r>
        <w:rPr>
          <w:color w:val="323232"/>
        </w:rPr>
        <w:t xml:space="preserve"> </w:t>
      </w:r>
      <w:r>
        <w:rPr>
          <w:color w:val="323232"/>
        </w:rPr>
        <w:t xml:space="preserve">&lt;</w:t>
      </w:r>
      <w:r>
        <w:rPr>
          <w:color w:val="323232"/>
        </w:rPr>
        <w:t xml:space="preserve"> </w:t>
      </w:r>
      <w:r>
        <w:rPr>
          <w:color w:val="323232"/>
        </w:rPr>
        <w:t xml:space="preserve">0.01). Overweight dogs had higher median GGT activity than ideal dogs (P</w:t>
      </w:r>
      <w:r>
        <w:rPr>
          <w:color w:val="323232"/>
        </w:rPr>
        <w:t xml:space="preserve"> </w:t>
      </w:r>
      <w:r>
        <w:rPr>
          <w:color w:val="323232"/>
        </w:rPr>
        <w:t xml:space="preserve">&lt;</w:t>
      </w:r>
      <w:r>
        <w:rPr>
          <w:color w:val="323232"/>
        </w:rPr>
        <w:t xml:space="preserve"> </w:t>
      </w:r>
      <w:r>
        <w:rPr>
          <w:color w:val="323232"/>
        </w:rPr>
        <w:t xml:space="preserve">0.05). No difference was observed for PCI, HARI and median ALT activity among the groups.</w:t>
      </w:r>
    </w:p>
    <w:p/>
    <w:p>
      <w:pPr>
        <w:pStyle w:val="Normal"/>
      </w:pPr>
      <w:r>
        <w:rPr>
          <w:color w:val="323232"/>
        </w:rPr>
        <w:t xml:space="preserve">CONCLUSIONS AND CLINICAL IMPORTANCE:Obesity was associated with changes in portal vein indices and in HV spectral wave. These changes were accompanied by significant differences in some liver enzymes activities and could be a sign of early liver disease.</w:t>
      </w:r>
    </w:p>
    <w:p/>
    <w:p>
      <w:pPr>
        <w:pStyle w:val="Normal"/>
      </w:pPr>
      <w:r>
        <w:rPr>
          <w:color w:val="323232"/>
        </w:rPr>
        <w:t xml:space="preserve">J Vet Intern Med, 2018 vol. 32 (1), 6 pp. 181-187.</w:t>
      </w:r>
    </w:p>
    <w:p>
      <w:r>
        <w:rPr>
          <w:rStyle w:val="Hyperlink"/>
        </w:rPr>
        <w:fldChar w:fldCharType="begin"/>
      </w:r>
      <w:r>
        <w:rPr>
          <w:rStyle w:val="Hyperlink"/>
        </w:rPr>
        <w:instrText xml:space="preserve"> HYPERLINK "http://dx.doi.org/10.1111/jvim.14883" </w:instrText>
      </w:r>
      <w:r>
        <w:rPr>
          <w:rStyle w:val="Hyperlink"/>
        </w:rPr>
      </w:r>
      <w:r>
        <w:rPr>
          <w:rStyle w:val="Hyperlink"/>
        </w:rPr>
        <w:fldChar w:fldCharType="separate"/>
      </w:r>
      <w:pPr>
        <w:pStyle w:val="Normal"/>
      </w:pPr>
      <w:r>
        <w:rPr>
          <w:rStyle w:val="Hyperlink"/>
        </w:rPr>
        <w:t xml:space="preserve">http://dx.doi.org/10.1111/jvim.14883</w:t>
      </w:r>
      <w:r>
        <w:rPr>
          <w:rStyle w:val="Hyperlink"/>
        </w:rPr>
        <w:fldChar w:fldCharType="end"/>
      </w:r>
    </w:p>
    <w:p>
      <w:pPr>
        <w:pStyle w:val="Normal"/>
      </w:pPr>
      <w:r>
        <w:rPr>
          <w:color w:val="323232"/>
        </w:rPr>
        <w:t xml:space="preserve">————————</w:t>
      </w:r>
    </w:p>
    <w:p>
      <w:pPr>
        <w:pStyle w:val="Heading4"/>
      </w:pPr>
      <w:r>
        <w:t xml:space="preserve">Gallbladder Agenesis in 17 Dogs: 2006-2016.</w:t>
      </w:r>
    </w:p>
    <w:p/>
    <w:p>
      <w:pPr>
        <w:pStyle w:val="Normal"/>
      </w:pPr>
      <w:r>
        <w:rPr>
          <w:color w:val="323232"/>
        </w:rPr>
        <w:t xml:space="preserve">K Sato, M Sakai, S Hayakawa, Y Sakamoto, Y Kagawa, K Kutara, K Teshima, K Asano, and T Watari.</w:t>
      </w:r>
    </w:p>
    <w:p/>
    <w:p>
      <w:pPr>
        <w:pStyle w:val="Normal"/>
      </w:pPr>
      <w:r>
        <w:rPr>
          <w:color w:val="323232"/>
        </w:rPr>
        <w:t xml:space="preserve">BACKGROUND:Gallbladder agenesis (GBA) is extremely rare in dogs.</w:t>
      </w:r>
    </w:p>
    <w:p/>
    <w:p>
      <w:pPr>
        <w:pStyle w:val="Normal"/>
      </w:pPr>
      <w:r>
        <w:rPr>
          <w:color w:val="323232"/>
        </w:rPr>
        <w:t xml:space="preserve">HYPOTHESIS/OBJECTIVES:To describe the history, clinical signs, diagnosis, treatment, and outcomes of dogs with GBA.</w:t>
      </w:r>
    </w:p>
    <w:p/>
    <w:p>
      <w:pPr>
        <w:pStyle w:val="Normal"/>
      </w:pPr>
      <w:r>
        <w:rPr>
          <w:color w:val="323232"/>
        </w:rPr>
        <w:t xml:space="preserve">ANIMALS:Seventeen client-owned dogs with GBA.</w:t>
      </w:r>
    </w:p>
    <w:p/>
    <w:p>
      <w:pPr>
        <w:pStyle w:val="Normal"/>
      </w:pPr>
      <w:r>
        <w:rPr>
          <w:color w:val="323232"/>
        </w:rPr>
        <w:t xml:space="preserve">METHODS:Medical records from 2006 through 2016 were retrospectively reviewed. Dogs were included when GBA was suspected on abdominal ultrasonography and confirmed by gross evaluation. Signalment, clinical signs, clinicopathological data, diagnostic imaging, histopathology, treatment, and outcome were recorded.</w:t>
      </w:r>
    </w:p>
    <w:p/>
    <w:p>
      <w:pPr>
        <w:pStyle w:val="Normal"/>
      </w:pPr>
      <w:r>
        <w:rPr>
          <w:color w:val="323232"/>
        </w:rPr>
        <w:t xml:space="preserve">RESULTS:Dogs were of 6 different breeds, and Chihuahuas (10 of 17) were most common. Median age at presentation was 1.9 (range, 0.7-7.4) years. Clinical signs included vomiting (5 of 17), anorexia (2 of 17), ascites (2 of 17), diarrhea (1 of 17), lethargy (1 of 17), and seizures (1 of 17). All dogs had increased serum activity of at least 1 liver enzyme, most commonly alanine aminotransferase (15 of 17). Fifteen dogs underwent computed tomography (CT) cholangiography; common bile duct (CBD) dilatation was confirmed in 12, without evidence of bile duct obstruction. Gross evaluation confirmed malformation of the liver lobes in 14 of 17 dogs and acquired portosystemic collaterals in 5 of 17. Ductal plate malformation was confirmed histologically in 16 of 17 dogs. During follow-up (range, 4-3,379</w:t>
      </w:r>
      <w:r>
        <w:rPr>
          <w:color w:val="323232"/>
        </w:rPr>
        <w:t xml:space="preserve"> </w:t>
      </w:r>
      <w:r>
        <w:rPr>
          <w:color w:val="323232"/>
        </w:rPr>
        <w:t xml:space="preserve">days), 16 of 17 dogs remained alive.</w:t>
      </w:r>
    </w:p>
    <w:p/>
    <w:p>
      <w:pPr>
        <w:pStyle w:val="Normal"/>
      </w:pPr>
      <w:r>
        <w:rPr>
          <w:color w:val="323232"/>
        </w:rPr>
        <w:t xml:space="preserve">CONCLUSIONS AND CLINICAL IMPORTANCE:Dogs with GBA exhibit clinicopathological signs of hepatobiliary injury and hepatic histopathological changes consistent with a ductal plate abnormality. Computed tomography cholangiography was superior to ultrasound examination in identifying accompanying nonobstructive CBD distention. Computed tomography cholangiography combined with laparoscopic liver biopsy is the preferable approach to characterize the full disease spectrum accompanying GBA in dogs.</w:t>
      </w:r>
    </w:p>
    <w:p/>
    <w:p>
      <w:pPr>
        <w:pStyle w:val="Normal"/>
      </w:pPr>
      <w:r>
        <w:rPr>
          <w:color w:val="323232"/>
        </w:rPr>
        <w:t xml:space="preserve">J Vet Intern Med, 2018 vol. 32 (1) pp. 188-194.</w:t>
      </w:r>
    </w:p>
    <w:p>
      <w:r>
        <w:rPr>
          <w:rStyle w:val="Hyperlink"/>
        </w:rPr>
        <w:fldChar w:fldCharType="begin"/>
      </w:r>
      <w:r>
        <w:rPr>
          <w:rStyle w:val="Hyperlink"/>
        </w:rPr>
        <w:instrText xml:space="preserve"> HYPERLINK "http://dx.doi.org/10.1111/jvim.15034" </w:instrText>
      </w:r>
      <w:r>
        <w:rPr>
          <w:rStyle w:val="Hyperlink"/>
        </w:rPr>
      </w:r>
      <w:r>
        <w:rPr>
          <w:rStyle w:val="Hyperlink"/>
        </w:rPr>
        <w:fldChar w:fldCharType="separate"/>
      </w:r>
      <w:pPr>
        <w:pStyle w:val="Normal"/>
      </w:pPr>
      <w:r>
        <w:rPr>
          <w:rStyle w:val="Hyperlink"/>
        </w:rPr>
        <w:t xml:space="preserve">http://dx.doi.org/10.1111/jvim.15034</w:t>
      </w:r>
      <w:r>
        <w:rPr>
          <w:rStyle w:val="Hyperlink"/>
        </w:rPr>
        <w:fldChar w:fldCharType="end"/>
      </w:r>
    </w:p>
    <w:p>
      <w:pPr>
        <w:pStyle w:val="Normal"/>
      </w:pPr>
      <w:r>
        <w:rPr>
          <w:color w:val="323232"/>
        </w:rPr>
        <w:t xml:space="preserve">————————</w:t>
      </w:r>
    </w:p>
    <w:p>
      <w:pPr>
        <w:pStyle w:val="Heading4"/>
      </w:pPr>
      <w:r>
        <w:t xml:space="preserve">Gallbladder Mucocele: Variables Associated with Outcome and the Utility of Ultrasonography to Identify Gallbladder Rupture in 219 Dogs (2007-2016).</w:t>
      </w:r>
    </w:p>
    <w:p/>
    <w:p>
      <w:pPr>
        <w:pStyle w:val="Normal"/>
      </w:pPr>
      <w:r>
        <w:rPr>
          <w:color w:val="323232"/>
        </w:rPr>
        <w:t xml:space="preserve">J A Jaffey, A Graham, E VanEerde, E Hostnik, W Alvarez, J Arango, C Jacobs, and A E DeClue.</w:t>
      </w:r>
    </w:p>
    <w:p/>
    <w:p>
      <w:pPr>
        <w:pStyle w:val="Normal"/>
      </w:pPr>
      <w:r>
        <w:rPr>
          <w:color w:val="323232"/>
        </w:rPr>
        <w:t xml:space="preserve">BACKGROUND:Gallbladder mucocele (GBM) is an increasingly recognized extrahepatic biliary disease in dogs.</w:t>
      </w:r>
    </w:p>
    <w:p/>
    <w:p>
      <w:pPr>
        <w:pStyle w:val="Normal"/>
      </w:pPr>
      <w:r>
        <w:rPr>
          <w:color w:val="323232"/>
        </w:rPr>
        <w:t xml:space="preserve">OBJECTIVES:To investigate cases of GBM and identify variables associated with survival and the sensitivity and specificity of ultrasonography to identify gallbladder rupture.</w:t>
      </w:r>
    </w:p>
    <w:p/>
    <w:p>
      <w:pPr>
        <w:pStyle w:val="Normal"/>
      </w:pPr>
      <w:r>
        <w:rPr>
          <w:color w:val="323232"/>
        </w:rPr>
        <w:t xml:space="preserve">ANIMALS:Two hundred and nineteen client-owned dogs with GBM.</w:t>
      </w:r>
    </w:p>
    <w:p/>
    <w:p>
      <w:pPr>
        <w:pStyle w:val="Normal"/>
      </w:pPr>
      <w:r>
        <w:rPr>
          <w:color w:val="323232"/>
        </w:rPr>
        <w:t xml:space="preserve">METHODS:Multicenter, retrospective study of dogs with GBM, presented from January 2007 to November 2016 to 6 academic veterinary hospitals in the United States. Interrogation of hospital databases identified all cases with the inclusion criteria of a gross and histopathologic diagnosis of GBM after cholecystectomy and intraoperative bacteriologic cultures of at least 1 of the following: gallbladder wall, gallbladder contents, or abdominal effusion.</w:t>
      </w:r>
    </w:p>
    <w:p/>
    <w:p>
      <w:pPr>
        <w:pStyle w:val="Normal"/>
      </w:pPr>
      <w:r>
        <w:rPr>
          <w:color w:val="323232"/>
        </w:rPr>
        <w:t xml:space="preserve">RESULTS:Two hundred and nineteen dogs fulfilled the inclusion criteria. Dogs with GBM and gallbladder rupture with bile peritonitis at the time of surgery were 2.7 times more likely to die than dogs without gallbladder rupture and bile peritonitis (P = 0.001; 95% confidence interval [CI], 1.50-4.68; n = 41). No significant associations were identified between survival and positive bacteriologic cultures, antibiotic administration, or time (days) from ultrasonographic identification of GBM to the time of surgery. The sensitivity, specificity, positive, and negative likelihood ratios for ultrasonographic identification of gallbladder rupture were 56.1% (95% CI, 39.9-71.2), 91.7% (95% CI, 85.3-95.6), 6.74, and 0.44, respectively.</w:t>
      </w:r>
    </w:p>
    <w:p/>
    <w:p>
      <w:pPr>
        <w:pStyle w:val="Normal"/>
      </w:pPr>
      <w:r>
        <w:rPr>
          <w:color w:val="323232"/>
        </w:rPr>
        <w:t xml:space="preserve">CONCLUSION AND CLINICAL IMPORTANCE:Dogs in our study with GBM and intraoperative evidence of gallbladder rupture and bile peritonitis had a significantly higher risk of death. Additionally, abdominal ultrasonography had low sensitivity for identification of gallbladder rupture.</w:t>
      </w:r>
    </w:p>
    <w:p/>
    <w:p>
      <w:pPr>
        <w:pStyle w:val="Normal"/>
      </w:pPr>
      <w:r>
        <w:rPr>
          <w:color w:val="323232"/>
        </w:rPr>
        <w:t xml:space="preserve">J Vet Intern Med, 2018 vol. 32 (1), 6 pp. 195-200.</w:t>
      </w:r>
    </w:p>
    <w:p>
      <w:r>
        <w:rPr>
          <w:rStyle w:val="Hyperlink"/>
        </w:rPr>
        <w:fldChar w:fldCharType="begin"/>
      </w:r>
      <w:r>
        <w:rPr>
          <w:rStyle w:val="Hyperlink"/>
        </w:rPr>
        <w:instrText xml:space="preserve"> HYPERLINK "http://dx.doi.org/10.1111/jvim.14898" </w:instrText>
      </w:r>
      <w:r>
        <w:rPr>
          <w:rStyle w:val="Hyperlink"/>
        </w:rPr>
      </w:r>
      <w:r>
        <w:rPr>
          <w:rStyle w:val="Hyperlink"/>
        </w:rPr>
        <w:fldChar w:fldCharType="separate"/>
      </w:r>
      <w:pPr>
        <w:pStyle w:val="Normal"/>
      </w:pPr>
      <w:r>
        <w:rPr>
          <w:rStyle w:val="Hyperlink"/>
        </w:rPr>
        <w:t xml:space="preserve">http://dx.doi.org/10.1111/jvim.14898</w:t>
      </w:r>
      <w:r>
        <w:rPr>
          <w:rStyle w:val="Hyperlink"/>
        </w:rPr>
        <w:fldChar w:fldCharType="end"/>
      </w:r>
    </w:p>
    <w:p>
      <w:pPr>
        <w:pStyle w:val="Normal"/>
      </w:pPr>
      <w:r>
        <w:rPr>
          <w:color w:val="323232"/>
        </w:rPr>
        <w:t xml:space="preserve">————————</w:t>
      </w:r>
    </w:p>
    <w:p>
      <w:pPr>
        <w:pStyle w:val="Heading4"/>
      </w:pPr>
      <w:r>
        <w:t xml:space="preserve">Evaluation of 3 Serological Tests for Early Detection Of Leptospira-specific Antibodies in Experimentally Infected Dogs.</w:t>
      </w:r>
    </w:p>
    <w:p/>
    <w:p>
      <w:pPr>
        <w:pStyle w:val="Normal"/>
      </w:pPr>
      <w:r>
        <w:rPr>
          <w:color w:val="323232"/>
        </w:rPr>
        <w:t xml:space="preserve">J Lizer, S Velineni, A Weber, M Krecic, and P Meeus.</w:t>
      </w:r>
    </w:p>
    <w:p/>
    <w:p>
      <w:pPr>
        <w:pStyle w:val="Normal"/>
      </w:pPr>
      <w:r>
        <w:rPr>
          <w:color w:val="323232"/>
        </w:rPr>
        <w:t xml:space="preserve">BACKGROUND:Leptospirosis in dogs is a disease of global importance. Early detection and appropriate therapeutic intervention are necessary to resolve infection and prevent zoonotic transmission. However, its diagnosis is hindered by nonspecific clinical signs and lack of rapid diagnostic tests of early infection. Recently, 2 rapid point-of-care tests (WITNESS Lepto [WITNESS Lepto, Zoetis LLC, Kalamazoo, MI, USA] and SNAP Lepto [SNAP Lepto, IDEXX Laboratories, Westbrook, ME, USA]) for detection of Leptospira-specific antibodies in canine sera were developed.</w:t>
      </w:r>
    </w:p>
    <w:p/>
    <w:p>
      <w:pPr>
        <w:pStyle w:val="Normal"/>
      </w:pPr>
      <w:r>
        <w:rPr>
          <w:color w:val="323232"/>
        </w:rPr>
        <w:t xml:space="preserve">HYPOTHESIS:Immunoglobulin M-based WITNESS Lepto containing multiple detection antigens can detect Leptospira-specific antibodies to common leptospiral serovars earlier in the course of infection as compared to microscopic agglutination test (MAT) and SNAP Lepto.</w:t>
      </w:r>
    </w:p>
    <w:p/>
    <w:p>
      <w:pPr>
        <w:pStyle w:val="Normal"/>
      </w:pPr>
      <w:r>
        <w:rPr>
          <w:color w:val="323232"/>
        </w:rPr>
        <w:t xml:space="preserve">ANIMALS:Four groups of 8 6- to 8-month-old male Beagle dogs were used.</w:t>
      </w:r>
    </w:p>
    <w:p/>
    <w:p>
      <w:pPr>
        <w:pStyle w:val="Normal"/>
      </w:pPr>
      <w:r>
        <w:rPr>
          <w:color w:val="323232"/>
        </w:rPr>
        <w:t xml:space="preserve">METHODS:Thirty-two healthy seronegative dogs were inoculated experimentally with serovars Canicola, Grippotyphosa, Icterohaemorrhagiae, and Pomona (8 dogs/serovar). Acute-phase sera were collected at regular intervals and monitored for Leptospira-specific antibodies by WITNESS Lepto, MAT, and SNAP Lepto.</w:t>
      </w:r>
    </w:p>
    <w:p/>
    <w:p>
      <w:pPr>
        <w:pStyle w:val="Normal"/>
      </w:pPr>
      <w:r>
        <w:rPr>
          <w:color w:val="323232"/>
        </w:rPr>
        <w:t xml:space="preserve">RESULTS:Seroconversion was detected in all dogs by day 10 by WITNESS Lepto and in 30 of 32 dogs by day 14 by MAT. The SNAP Lepto test detected seroconversion in 3 dogs during the 2 weeks postchallenge.</w:t>
      </w:r>
    </w:p>
    <w:p/>
    <w:p>
      <w:pPr>
        <w:pStyle w:val="Normal"/>
      </w:pPr>
      <w:r>
        <w:rPr>
          <w:color w:val="323232"/>
        </w:rPr>
        <w:t xml:space="preserve">CONCLUSIONS:Immunoglobulin M-based WITNESS Lepto detected immune responses specific to multiple leptospiral serovars early in the course of infection and identified seroconversion in all animals earlier than did the gold standard MAT. The SNAP Lepto test displayed considerably lower and inconsistent performance during the study period. At the point-of-care, WITNESS Lepto should be the test of choice for rapid and reliable screening of acutely ill dogs suspected to have leptospirosis.</w:t>
      </w:r>
    </w:p>
    <w:p/>
    <w:p>
      <w:pPr>
        <w:pStyle w:val="Normal"/>
      </w:pPr>
      <w:r>
        <w:rPr>
          <w:color w:val="323232"/>
        </w:rPr>
        <w:t xml:space="preserve">J Vet Intern Med, 2018 vol. 32 (1) pp. 201-207.</w:t>
      </w:r>
    </w:p>
    <w:p>
      <w:r>
        <w:rPr>
          <w:rStyle w:val="Hyperlink"/>
        </w:rPr>
        <w:fldChar w:fldCharType="begin"/>
      </w:r>
      <w:r>
        <w:rPr>
          <w:rStyle w:val="Hyperlink"/>
        </w:rPr>
        <w:instrText xml:space="preserve"> HYPERLINK "http://dx.doi.org/10.1111/jvim.14865" </w:instrText>
      </w:r>
      <w:r>
        <w:rPr>
          <w:rStyle w:val="Hyperlink"/>
        </w:rPr>
      </w:r>
      <w:r>
        <w:rPr>
          <w:rStyle w:val="Hyperlink"/>
        </w:rPr>
        <w:fldChar w:fldCharType="separate"/>
      </w:r>
      <w:pPr>
        <w:pStyle w:val="Normal"/>
      </w:pPr>
      <w:r>
        <w:rPr>
          <w:rStyle w:val="Hyperlink"/>
        </w:rPr>
        <w:t xml:space="preserve">http://dx.doi.org/10.1111/jvim.14865</w:t>
      </w:r>
      <w:r>
        <w:rPr>
          <w:rStyle w:val="Hyperlink"/>
        </w:rPr>
        <w:fldChar w:fldCharType="end"/>
      </w:r>
    </w:p>
    <w:p>
      <w:pPr>
        <w:pStyle w:val="Normal"/>
      </w:pPr>
      <w:r>
        <w:rPr>
          <w:color w:val="323232"/>
        </w:rPr>
        <w:t xml:space="preserve">————————</w:t>
      </w:r>
    </w:p>
    <w:p>
      <w:pPr>
        <w:pStyle w:val="Heading4"/>
      </w:pPr>
      <w:r>
        <w:t xml:space="preserve">Immune Function in Critically Ill Dogs.</w:t>
      </w:r>
    </w:p>
    <w:p/>
    <w:p>
      <w:pPr>
        <w:pStyle w:val="Normal"/>
      </w:pPr>
      <w:r>
        <w:rPr>
          <w:color w:val="323232"/>
        </w:rPr>
        <w:t xml:space="preserve">D Hoffman, J Amorim, and A DeClue.</w:t>
      </w:r>
    </w:p>
    <w:p/>
    <w:p>
      <w:pPr>
        <w:pStyle w:val="Normal"/>
      </w:pPr>
      <w:r>
        <w:rPr>
          <w:color w:val="323232"/>
        </w:rPr>
        <w:t xml:space="preserve">BACKGROUND:People with critical illness (CI) commonly develop various forms of immune dysfunction, however, there is limited information concerning immune dysfunction in dogs with CI.</w:t>
      </w:r>
    </w:p>
    <w:p/>
    <w:p>
      <w:pPr>
        <w:pStyle w:val="Normal"/>
      </w:pPr>
      <w:r>
        <w:rPr>
          <w:color w:val="323232"/>
        </w:rPr>
        <w:t xml:space="preserve">HYPOTHESIS:The immune response in CI dogs differs from that of healthy dogs.</w:t>
      </w:r>
    </w:p>
    <w:p/>
    <w:p>
      <w:pPr>
        <w:pStyle w:val="Normal"/>
      </w:pPr>
      <w:r>
        <w:rPr>
          <w:color w:val="323232"/>
        </w:rPr>
        <w:t xml:space="preserve">ANIMALS:Immunologic variables were compared between 14 dogs with CI, defined as APPLEfast score of &gt;20 points, admitted to the University of Missouri Veterinary Health Center Small Animal Clinic Intensive Care Unit and healthy controls (n = 15).</w:t>
      </w:r>
    </w:p>
    <w:p/>
    <w:p>
      <w:pPr>
        <w:pStyle w:val="Normal"/>
      </w:pPr>
      <w:r>
        <w:rPr>
          <w:color w:val="323232"/>
        </w:rPr>
        <w:t xml:space="preserve">METHODS:Cohort study evaluating constitutive and lipopolysaccharide (LPS)-stimulated TNF-α, IL-6, and IL-10 production, phagocytosis of opsonized E. coli and respiratory burst capacity after opsonized E. coli or phorbol 12-myristate 13-acetate (PMA) stimulation, peripheral blood lymphocyte phenotype, and monocyte expressions of HLA-DR and TLR-4.</w:t>
      </w:r>
    </w:p>
    <w:p/>
    <w:p>
      <w:pPr>
        <w:pStyle w:val="Normal"/>
      </w:pPr>
      <w:r>
        <w:rPr>
          <w:color w:val="323232"/>
        </w:rPr>
        <w:t xml:space="preserve">RESULTS:Lipopolysaccharide-stimulated leukocyte TNF-α (median, Q1, Q3; CI, 49, 49, 120; control, 655, 446, 1174 pg</w:t>
      </w:r>
      <w:r>
        <w:rPr>
          <w:i w:val="1"/>
          <w:color w:val="323232"/>
        </w:rPr>
        <w:t xml:space="preserve">mL; P = &lt; 0.001), IL-6 (median, Q1, Q3; CI, 49, 49, 64; control, 100, 49, 166 pg</w:t>
      </w:r>
      <w:r>
        <w:rPr>
          <w:color w:val="323232"/>
        </w:rPr>
        <w:t xml:space="preserve">mL; P = 0.029), and IL-10 (CI, 49, 49, 56; control, 96, 49, 203 pg/mL; P = 0.014) production and both E. coli (median, Q1, Q3; CI, 60.5, 43, 88.5; control, 86.6, 81, 89.2%; P = 0.047) and PMA (CI, 40, 11.7, 70; control, 93, 83, 97.6%; P = &lt; 0.001)-stimulated respiratory burst capacity significantly decreased in CI dogs. Percentage of monocytes expressing TLR-4 greater in the CI dogs (median, Q1, Q3; CI, 46.9, 24.3, 64.2; control, 16.4, 9.4, 26.2%; P = 0.005).</w:t>
      </w:r>
    </w:p>
    <w:p/>
    <w:p>
      <w:pPr>
        <w:pStyle w:val="Normal"/>
      </w:pPr>
      <w:r>
        <w:rPr>
          <w:color w:val="323232"/>
        </w:rPr>
        <w:t xml:space="preserve">CONCLUSION:These findings suggest dogs with CI develop immune system alterations that result in reduced respiratory burst function and cytokine production despite upregulation of TLR-4.</w:t>
      </w:r>
    </w:p>
    <w:p/>
    <w:p>
      <w:pPr>
        <w:pStyle w:val="Normal"/>
      </w:pPr>
      <w:r>
        <w:rPr>
          <w:color w:val="323232"/>
        </w:rPr>
        <w:t xml:space="preserve">J Vet Intern Med, 2018 vol. 32 (1) pp. 208-216.</w:t>
      </w:r>
    </w:p>
    <w:p>
      <w:r>
        <w:rPr>
          <w:rStyle w:val="Hyperlink"/>
        </w:rPr>
        <w:fldChar w:fldCharType="begin"/>
      </w:r>
      <w:r>
        <w:rPr>
          <w:rStyle w:val="Hyperlink"/>
        </w:rPr>
        <w:instrText xml:space="preserve"> HYPERLINK "http://dx.doi.org/10.1111/jvim.14857" </w:instrText>
      </w:r>
      <w:r>
        <w:rPr>
          <w:rStyle w:val="Hyperlink"/>
        </w:rPr>
      </w:r>
      <w:r>
        <w:rPr>
          <w:rStyle w:val="Hyperlink"/>
        </w:rPr>
        <w:fldChar w:fldCharType="separate"/>
      </w:r>
      <w:pPr>
        <w:pStyle w:val="Normal"/>
      </w:pPr>
      <w:r>
        <w:rPr>
          <w:rStyle w:val="Hyperlink"/>
        </w:rPr>
        <w:t xml:space="preserve">http://dx.doi.org/10.1111/jvim.14857</w:t>
      </w:r>
      <w:r>
        <w:rPr>
          <w:rStyle w:val="Hyperlink"/>
        </w:rPr>
        <w:fldChar w:fldCharType="end"/>
      </w:r>
    </w:p>
    <w:p>
      <w:pPr>
        <w:pStyle w:val="Normal"/>
      </w:pPr>
      <w:r>
        <w:rPr>
          <w:color w:val="323232"/>
        </w:rPr>
        <w:t xml:space="preserve">————————</w:t>
      </w:r>
    </w:p>
    <w:p>
      <w:pPr>
        <w:pStyle w:val="Heading4"/>
      </w:pPr>
      <w:r>
        <w:t xml:space="preserve">Efficacy of Minocycline in Naturally Occurring Nonacute Ehrlichia canis Infection in Dogs.</w:t>
      </w:r>
    </w:p>
    <w:p/>
    <w:p>
      <w:pPr>
        <w:pStyle w:val="Normal"/>
      </w:pPr>
      <w:r>
        <w:rPr>
          <w:color w:val="323232"/>
        </w:rPr>
        <w:t xml:space="preserve">S Jenkins, J K Ketzis, J Dundas, and D Scorpio.</w:t>
      </w:r>
    </w:p>
    <w:p/>
    <w:p>
      <w:pPr>
        <w:pStyle w:val="Normal"/>
      </w:pPr>
      <w:r>
        <w:rPr>
          <w:color w:val="323232"/>
        </w:rPr>
        <w:t xml:space="preserve">BACKGROUND:Minocycline has been used in the treatment of Ehrlichia canis infection in dogs as an alternative to doxycycline, the recommended treatment. However, efficacy of this alternative therapy is unknown.</w:t>
      </w:r>
    </w:p>
    <w:p/>
    <w:p>
      <w:pPr>
        <w:pStyle w:val="Normal"/>
      </w:pPr>
      <w:r>
        <w:rPr>
          <w:color w:val="323232"/>
        </w:rPr>
        <w:t xml:space="preserve">OBJECTIVE:To assess the efficacy of minocycline in the treatment of natural occurring E.</w:t>
      </w:r>
      <w:r>
        <w:rPr>
          <w:color w:val="323232"/>
        </w:rPr>
        <w:t xml:space="preserve"> </w:t>
      </w:r>
      <w:r>
        <w:rPr>
          <w:color w:val="323232"/>
        </w:rPr>
        <w:t xml:space="preserve">canis infection in dogs.</w:t>
      </w:r>
    </w:p>
    <w:p/>
    <w:p>
      <w:pPr>
        <w:pStyle w:val="Normal"/>
      </w:pPr>
      <w:r>
        <w:rPr>
          <w:color w:val="323232"/>
        </w:rPr>
        <w:t xml:space="preserve">ANIMALS:Ten privately owned dogs of mixed breed positive for E.</w:t>
      </w:r>
      <w:r>
        <w:rPr>
          <w:color w:val="323232"/>
        </w:rPr>
        <w:t xml:space="preserve"> </w:t>
      </w:r>
      <w:r>
        <w:rPr>
          <w:color w:val="323232"/>
        </w:rPr>
        <w:t xml:space="preserve">canis by blood PCR.</w:t>
      </w:r>
    </w:p>
    <w:p/>
    <w:p>
      <w:pPr>
        <w:pStyle w:val="Normal"/>
      </w:pPr>
      <w:r>
        <w:rPr>
          <w:color w:val="323232"/>
        </w:rPr>
        <w:t xml:space="preserve">METHODS:Prospective, randomized clinical study. Dogs positive for E.</w:t>
      </w:r>
      <w:r>
        <w:rPr>
          <w:color w:val="323232"/>
        </w:rPr>
        <w:t xml:space="preserve"> </w:t>
      </w:r>
      <w:r>
        <w:rPr>
          <w:color w:val="323232"/>
        </w:rPr>
        <w:t xml:space="preserve">canis by PCR were housed in a kennel environment and randomly allocated to receive doxycycline 10</w:t>
      </w:r>
      <w:r>
        <w:rPr>
          <w:color w:val="323232"/>
        </w:rPr>
        <w:t xml:space="preserve"> </w:t>
      </w:r>
      <w:r>
        <w:rPr>
          <w:color w:val="323232"/>
        </w:rPr>
        <w:t xml:space="preserve">mg</w:t>
      </w:r>
      <w:r>
        <w:rPr>
          <w:i w:val="1"/>
          <w:color w:val="323232"/>
        </w:rPr>
        <w:t xml:space="preserve">kg bodyweight PO once daily ("gold standard" control group) or minocycline (extralabel) 10</w:t>
      </w:r>
      <w:r>
        <w:rPr>
          <w:color w:val="323232"/>
        </w:rPr>
        <w:t xml:space="preserve"> </w:t>
      </w:r>
      <w:r>
        <w:rPr>
          <w:i w:val="1"/>
          <w:color w:val="323232"/>
        </w:rPr>
        <w:t xml:space="preserve">mg</w:t>
      </w:r>
      <w:r>
        <w:rPr>
          <w:color w:val="323232"/>
        </w:rPr>
        <w:t xml:space="preserve">kg bodyweight PO twice daily (treatment test group) for 28</w:t>
      </w:r>
      <w:r>
        <w:rPr>
          <w:color w:val="323232"/>
        </w:rPr>
        <w:t xml:space="preserve"> </w:t>
      </w:r>
      <w:r>
        <w:rPr>
          <w:color w:val="323232"/>
        </w:rPr>
        <w:t xml:space="preserve">days. Blood, analyzed by PCR to determine the presence or absence of E.</w:t>
      </w:r>
      <w:r>
        <w:rPr>
          <w:color w:val="323232"/>
        </w:rPr>
        <w:t xml:space="preserve"> </w:t>
      </w:r>
      <w:r>
        <w:rPr>
          <w:color w:val="323232"/>
        </w:rPr>
        <w:t xml:space="preserve">canisDNA, was collected weekly during treatment starting on the first day of treatment and including through day 35, 7</w:t>
      </w:r>
      <w:r>
        <w:rPr>
          <w:color w:val="323232"/>
        </w:rPr>
        <w:t xml:space="preserve"> </w:t>
      </w:r>
      <w:r>
        <w:rPr>
          <w:color w:val="323232"/>
        </w:rPr>
        <w:t xml:space="preserve">days after the last treatment.</w:t>
      </w:r>
    </w:p>
    <w:p/>
    <w:p>
      <w:pPr>
        <w:pStyle w:val="Normal"/>
      </w:pPr>
      <w:r>
        <w:rPr>
          <w:color w:val="323232"/>
        </w:rPr>
        <w:t xml:space="preserve">RESULTS:In both groups, one dog tested negative after 7</w:t>
      </w:r>
      <w:r>
        <w:rPr>
          <w:color w:val="323232"/>
        </w:rPr>
        <w:t xml:space="preserve"> </w:t>
      </w:r>
      <w:r>
        <w:rPr>
          <w:color w:val="323232"/>
        </w:rPr>
        <w:t xml:space="preserve">days of treatment. For the doxycycline group, the latest time to a negative PCR test was after 3</w:t>
      </w:r>
      <w:r>
        <w:rPr>
          <w:color w:val="323232"/>
        </w:rPr>
        <w:t xml:space="preserve"> </w:t>
      </w:r>
      <w:r>
        <w:rPr>
          <w:color w:val="323232"/>
        </w:rPr>
        <w:t xml:space="preserve">weeks of treatment. For the minocycline group, the latest time was on day 28 of treatment. All dogs tested negative 7</w:t>
      </w:r>
      <w:r>
        <w:rPr>
          <w:color w:val="323232"/>
        </w:rPr>
        <w:t xml:space="preserve"> </w:t>
      </w:r>
      <w:r>
        <w:rPr>
          <w:color w:val="323232"/>
        </w:rPr>
        <w:t xml:space="preserve">days after the end of treatment.</w:t>
      </w:r>
    </w:p>
    <w:p/>
    <w:p>
      <w:pPr>
        <w:pStyle w:val="Normal"/>
      </w:pPr>
      <w:r>
        <w:rPr>
          <w:color w:val="323232"/>
        </w:rPr>
        <w:t xml:space="preserve">CONCLUSION AND CLINICAL IMPORTANCE:Minocycline can be an effective alternative to doxycycline for clearing E.</w:t>
      </w:r>
      <w:r>
        <w:rPr>
          <w:color w:val="323232"/>
        </w:rPr>
        <w:t xml:space="preserve"> </w:t>
      </w:r>
      <w:r>
        <w:rPr>
          <w:color w:val="323232"/>
        </w:rPr>
        <w:t xml:space="preserve">canis from the blood in nonacute infections.</w:t>
      </w:r>
    </w:p>
    <w:p/>
    <w:p>
      <w:pPr>
        <w:pStyle w:val="Normal"/>
      </w:pPr>
      <w:r>
        <w:rPr>
          <w:color w:val="323232"/>
        </w:rPr>
        <w:t xml:space="preserve">J Vet Intern Med, 2018 vol. 32 (1) pp. 217-221.</w:t>
      </w:r>
    </w:p>
    <w:p>
      <w:r>
        <w:rPr>
          <w:rStyle w:val="Hyperlink"/>
        </w:rPr>
        <w:fldChar w:fldCharType="begin"/>
      </w:r>
      <w:r>
        <w:rPr>
          <w:rStyle w:val="Hyperlink"/>
        </w:rPr>
        <w:instrText xml:space="preserve"> HYPERLINK "http://dx.doi.org/10.1111/jvim.14842" </w:instrText>
      </w:r>
      <w:r>
        <w:rPr>
          <w:rStyle w:val="Hyperlink"/>
        </w:rPr>
      </w:r>
      <w:r>
        <w:rPr>
          <w:rStyle w:val="Hyperlink"/>
        </w:rPr>
        <w:fldChar w:fldCharType="separate"/>
      </w:r>
      <w:pPr>
        <w:pStyle w:val="Normal"/>
      </w:pPr>
      <w:r>
        <w:rPr>
          <w:rStyle w:val="Hyperlink"/>
        </w:rPr>
        <w:t xml:space="preserve">http://dx.doi.org/10.1111/jvim.14842</w:t>
      </w:r>
      <w:r>
        <w:rPr>
          <w:rStyle w:val="Hyperlink"/>
        </w:rPr>
        <w:fldChar w:fldCharType="end"/>
      </w:r>
    </w:p>
    <w:p>
      <w:pPr>
        <w:pStyle w:val="Normal"/>
      </w:pPr>
      <w:r>
        <w:rPr>
          <w:color w:val="323232"/>
        </w:rPr>
        <w:t xml:space="preserve">————————</w:t>
      </w:r>
    </w:p>
    <w:p>
      <w:pPr>
        <w:pStyle w:val="Heading4"/>
      </w:pPr>
      <w:r>
        <w:t xml:space="preserve">Bartonella Seroepidemiology in Dogs from North America, 2008-2014.</w:t>
      </w:r>
    </w:p>
    <w:p/>
    <w:p>
      <w:pPr>
        <w:pStyle w:val="Normal"/>
      </w:pPr>
      <w:r>
        <w:rPr>
          <w:color w:val="323232"/>
        </w:rPr>
        <w:t xml:space="preserve">E Lashnits, M Correa, B C Hegarty, A Birkenheuer, and E B Breitschwerdt.</w:t>
      </w:r>
    </w:p>
    <w:p/>
    <w:p>
      <w:pPr>
        <w:pStyle w:val="Normal"/>
      </w:pPr>
      <w:r>
        <w:rPr>
          <w:color w:val="323232"/>
        </w:rPr>
        <w:t xml:space="preserve">BACKGROUND:Improved understanding of Bartonella species seroepidemiology in dogs may aid clinical decision making and enhance current understanding of naturally occurring arthropod vector transmission of this pathogen.</w:t>
      </w:r>
    </w:p>
    <w:p/>
    <w:p>
      <w:pPr>
        <w:pStyle w:val="Normal"/>
      </w:pPr>
      <w:r>
        <w:rPr>
          <w:color w:val="323232"/>
        </w:rPr>
        <w:t xml:space="preserve">OBJECTIVES:To identify demographic groups in which Bartonella exposure may be more likely, describe spatiotemporal variations in Bartonella seroreactivity, and examine co-exposures to other canine vector-borne diseases (CVBD).</w:t>
      </w:r>
    </w:p>
    <w:p/>
    <w:p>
      <w:pPr>
        <w:pStyle w:val="Normal"/>
      </w:pPr>
      <w:r>
        <w:rPr>
          <w:color w:val="323232"/>
        </w:rPr>
        <w:t xml:space="preserve">ANIMALS:A total of 15,451 serology specimens from dogs in North America were submitted to the North Carolina State University, College of Veterinary Medicine Vector Borne Disease Diagnostic Laboratory between January 1, 2008, and December 31, 2014.</w:t>
      </w:r>
    </w:p>
    <w:p/>
    <w:p>
      <w:pPr>
        <w:pStyle w:val="Normal"/>
      </w:pPr>
      <w:r>
        <w:rPr>
          <w:color w:val="323232"/>
        </w:rPr>
        <w:t xml:space="preserve">METHODS:Bartonella henselae, Bartonella koehlerae, and Bartonella vinsonii subspecies berkhoffii indirect fluorescent antibody (IFA) serology results, as well as results from a commercial assay kit screening for Dirofilaria immitis antigen and Ehrlichia species, Anaplasma phagocytophilum, and Borrelia burgdorferi antibodies, and Ehrlichia canis, Babesia canis, Babesia gibsoni, and Rickettsia species IFA results were reviewed retrospectively.</w:t>
      </w:r>
    </w:p>
    <w:p/>
    <w:p>
      <w:pPr>
        <w:pStyle w:val="Normal"/>
      </w:pPr>
      <w:r>
        <w:rPr>
          <w:color w:val="323232"/>
        </w:rPr>
        <w:t xml:space="preserve">RESULTS:Overall, 3.26% of dogs were Bartonella spp. seroreactive; B.</w:t>
      </w:r>
      <w:r>
        <w:rPr>
          <w:color w:val="323232"/>
        </w:rPr>
        <w:t xml:space="preserve"> </w:t>
      </w:r>
      <w:r>
        <w:rPr>
          <w:color w:val="323232"/>
        </w:rPr>
        <w:t xml:space="preserve">henselae (2.13%) and B.</w:t>
      </w:r>
      <w:r>
        <w:rPr>
          <w:color w:val="323232"/>
        </w:rPr>
        <w:t xml:space="preserve"> </w:t>
      </w:r>
      <w:r>
        <w:rPr>
          <w:color w:val="323232"/>
        </w:rPr>
        <w:t xml:space="preserve">koehlerae (2.39%) were detected more frequently than B.</w:t>
      </w:r>
      <w:r>
        <w:rPr>
          <w:color w:val="323232"/>
        </w:rPr>
        <w:t xml:space="preserve"> </w:t>
      </w:r>
      <w:r>
        <w:rPr>
          <w:color w:val="323232"/>
        </w:rPr>
        <w:t xml:space="preserve">vinsonii subsp. berkhoffii (1.42%, P</w:t>
      </w:r>
      <w:r>
        <w:rPr>
          <w:color w:val="323232"/>
        </w:rPr>
        <w:t xml:space="preserve"> </w:t>
      </w:r>
      <w:r>
        <w:rPr>
          <w:color w:val="323232"/>
        </w:rPr>
        <w:t xml:space="preserve">&lt;</w:t>
      </w:r>
      <w:r>
        <w:rPr>
          <w:color w:val="323232"/>
        </w:rPr>
        <w:t xml:space="preserve"> </w:t>
      </w:r>
      <w:r>
        <w:rPr>
          <w:color w:val="323232"/>
        </w:rPr>
        <w:t xml:space="preserve">0.0001). Intact males had higher seroreactivity (5.04%) than neutered males (2.87%, P</w:t>
      </w:r>
      <w:r>
        <w:rPr>
          <w:color w:val="323232"/>
        </w:rPr>
        <w:t xml:space="preserve"> </w:t>
      </w:r>
      <w:r>
        <w:rPr>
          <w:color w:val="323232"/>
        </w:rPr>
        <w:t xml:space="preserve">&lt;</w:t>
      </w:r>
      <w:r>
        <w:rPr>
          <w:color w:val="323232"/>
        </w:rPr>
        <w:t xml:space="preserve"> </w:t>
      </w:r>
      <w:r>
        <w:rPr>
          <w:color w:val="323232"/>
        </w:rPr>
        <w:t xml:space="preserve">0.0001) or intact or spayed females (3.22%, P</w:t>
      </w:r>
      <w:r>
        <w:rPr>
          <w:color w:val="323232"/>
        </w:rPr>
        <w:t xml:space="preserve"> </w:t>
      </w:r>
      <w:r>
        <w:rPr>
          <w:color w:val="323232"/>
        </w:rPr>
        <w:t xml:space="preserve">=</w:t>
      </w:r>
      <w:r>
        <w:rPr>
          <w:color w:val="323232"/>
        </w:rPr>
        <w:t xml:space="preserve"> </w:t>
      </w:r>
      <w:r>
        <w:rPr>
          <w:color w:val="323232"/>
        </w:rPr>
        <w:t xml:space="preserve">0.0003). Mixed breed dogs had higher seroreactivity (4.45%) than purebred dogs (3.02%, P</w:t>
      </w:r>
      <w:r>
        <w:rPr>
          <w:color w:val="323232"/>
        </w:rPr>
        <w:t xml:space="preserve"> </w:t>
      </w:r>
      <w:r>
        <w:rPr>
          <w:color w:val="323232"/>
        </w:rPr>
        <w:t xml:space="preserve">=</w:t>
      </w:r>
      <w:r>
        <w:rPr>
          <w:color w:val="323232"/>
        </w:rPr>
        <w:t xml:space="preserve"> </w:t>
      </w:r>
      <w:r>
        <w:rPr>
          <w:color w:val="323232"/>
        </w:rPr>
        <w:t xml:space="preserve">0.0002). There was no trend in seasonal seroreactivity; geographic patterns supported broad distribution of exposure, and co-exposure with other CVBD was common.</w:t>
      </w:r>
    </w:p>
    <w:p/>
    <w:p>
      <w:pPr>
        <w:pStyle w:val="Normal"/>
      </w:pPr>
      <w:r>
        <w:rPr>
          <w:color w:val="323232"/>
        </w:rPr>
        <w:t xml:space="preserve">CONCLUSIONS AND CLINICAL IMPORTANCE:Bartonella spp. exposure was documented throughout North America and at any time of year. Male intact dogs, mixed breed dogs, and dogs exposed to other CVBD have higher seroreactivity to multiple Bartonella species.</w:t>
      </w:r>
    </w:p>
    <w:p/>
    <w:p>
      <w:pPr>
        <w:pStyle w:val="Normal"/>
      </w:pPr>
      <w:r>
        <w:rPr>
          <w:color w:val="323232"/>
        </w:rPr>
        <w:t xml:space="preserve">J Vet Intern Med, 2018 vol. 32 (1) pp. 222-231.</w:t>
      </w:r>
    </w:p>
    <w:p>
      <w:r>
        <w:rPr>
          <w:rStyle w:val="Hyperlink"/>
        </w:rPr>
        <w:fldChar w:fldCharType="begin"/>
      </w:r>
      <w:r>
        <w:rPr>
          <w:rStyle w:val="Hyperlink"/>
        </w:rPr>
        <w:instrText xml:space="preserve"> HYPERLINK "http://dx.doi.org/10.1111/jvim.14890" </w:instrText>
      </w:r>
      <w:r>
        <w:rPr>
          <w:rStyle w:val="Hyperlink"/>
        </w:rPr>
      </w:r>
      <w:r>
        <w:rPr>
          <w:rStyle w:val="Hyperlink"/>
        </w:rPr>
        <w:fldChar w:fldCharType="separate"/>
      </w:r>
      <w:pPr>
        <w:pStyle w:val="Normal"/>
      </w:pPr>
      <w:r>
        <w:rPr>
          <w:rStyle w:val="Hyperlink"/>
        </w:rPr>
        <w:t xml:space="preserve">http://dx.doi.org/10.1111/jvim.14890</w:t>
      </w:r>
      <w:r>
        <w:rPr>
          <w:rStyle w:val="Hyperlink"/>
        </w:rPr>
        <w:fldChar w:fldCharType="end"/>
      </w:r>
    </w:p>
    <w:p>
      <w:pPr>
        <w:pStyle w:val="Normal"/>
      </w:pPr>
      <w:r>
        <w:rPr>
          <w:color w:val="323232"/>
        </w:rPr>
        <w:t xml:space="preserve">————————</w:t>
      </w:r>
    </w:p>
    <w:p>
      <w:pPr>
        <w:pStyle w:val="Heading4"/>
      </w:pPr>
      <w:r>
        <w:t xml:space="preserve">Rapid Diagnosis of Babesia gibsoni by Point-of-Need Testing by Insulated Isothermal PCR in Dogs at High Risk of Infection.</w:t>
      </w:r>
    </w:p>
    <w:p/>
    <w:p>
      <w:pPr>
        <w:pStyle w:val="Normal"/>
      </w:pPr>
      <w:r>
        <w:rPr>
          <w:color w:val="323232"/>
        </w:rPr>
        <w:t xml:space="preserve">K L Cooke, P Frenzer, S J Tucker, P C Crawford, S K Kirk, and J K Levy.</w:t>
      </w:r>
    </w:p>
    <w:p/>
    <w:p>
      <w:pPr>
        <w:pStyle w:val="Normal"/>
      </w:pPr>
      <w:r>
        <w:rPr>
          <w:color w:val="323232"/>
        </w:rPr>
        <w:t xml:space="preserve">BACKGROUND:Dogs seized by law enforcement agencies during dogfighting investigations are at increased risk of Babesia gibsoni infection. A rapid and cost-effective diagnostic test would increase the feasibility of mass screening of dogs for infection and monitoring treatment efficacy in B.</w:t>
      </w:r>
      <w:r>
        <w:rPr>
          <w:color w:val="323232"/>
        </w:rPr>
        <w:t xml:space="preserve"> </w:t>
      </w:r>
      <w:r>
        <w:rPr>
          <w:color w:val="323232"/>
        </w:rPr>
        <w:t xml:space="preserve">gibsoni-infected dogs.</w:t>
      </w:r>
    </w:p>
    <w:p/>
    <w:p>
      <w:pPr>
        <w:pStyle w:val="Normal"/>
      </w:pPr>
      <w:r>
        <w:rPr>
          <w:color w:val="323232"/>
        </w:rPr>
        <w:t xml:space="preserve">OBJECTIVE:To determine the performance of a point-of-need insulated isothermal PCR (iiPCR) test for diagnosis of B.</w:t>
      </w:r>
      <w:r>
        <w:rPr>
          <w:color w:val="323232"/>
        </w:rPr>
        <w:t xml:space="preserve"> </w:t>
      </w:r>
      <w:r>
        <w:rPr>
          <w:color w:val="323232"/>
        </w:rPr>
        <w:t xml:space="preserve">gibsoni in dogs rescued in dogfighting investigations.</w:t>
      </w:r>
    </w:p>
    <w:p/>
    <w:p>
      <w:pPr>
        <w:pStyle w:val="Normal"/>
      </w:pPr>
      <w:r>
        <w:rPr>
          <w:color w:val="323232"/>
        </w:rPr>
        <w:t xml:space="preserve">ANIMALS:Two hundred and thirty-three dogs seized in dogfighting investigations.</w:t>
      </w:r>
    </w:p>
    <w:p/>
    <w:p>
      <w:pPr>
        <w:pStyle w:val="Normal"/>
      </w:pPr>
      <w:r>
        <w:rPr>
          <w:color w:val="323232"/>
        </w:rPr>
        <w:t xml:space="preserve">METHODS:Cross-sectional study. Whole blood samples were tested for B.</w:t>
      </w:r>
      <w:r>
        <w:rPr>
          <w:color w:val="323232"/>
        </w:rPr>
        <w:t xml:space="preserve"> </w:t>
      </w:r>
      <w:r>
        <w:rPr>
          <w:color w:val="323232"/>
        </w:rPr>
        <w:t xml:space="preserve">gibsoni and Babesia spp. by iiPCR. Results were compared to a reference standard comprised of concordant results from real-time PCR in a commercial diagnostic laboratory and antibody titers.</w:t>
      </w:r>
    </w:p>
    <w:p/>
    <w:p>
      <w:pPr>
        <w:pStyle w:val="Normal"/>
      </w:pPr>
      <w:r>
        <w:rPr>
          <w:color w:val="323232"/>
        </w:rPr>
        <w:t xml:space="preserve">RESULTS:The iiPCR system was quick to learn, portable, and had a short processing time of &lt;2</w:t>
      </w:r>
      <w:r>
        <w:rPr>
          <w:color w:val="323232"/>
        </w:rPr>
        <w:t xml:space="preserve"> </w:t>
      </w:r>
      <w:r>
        <w:rPr>
          <w:color w:val="323232"/>
        </w:rPr>
        <w:t xml:space="preserve">hours. Sensitivity and specificity of the iiPCR assay for B.</w:t>
      </w:r>
      <w:r>
        <w:rPr>
          <w:color w:val="323232"/>
        </w:rPr>
        <w:t xml:space="preserve"> </w:t>
      </w:r>
      <w:r>
        <w:rPr>
          <w:color w:val="323232"/>
        </w:rPr>
        <w:t xml:space="preserve">gibsoni were 90% (95% confidence interval [CI] 81-95%) and 99% (CI, 95-100%), respectively. Sensitivity and specificity of the iiPCR assay for Babesia spp. were 87% (CI, 78-93%) and 98% (CI, 0.94-99%), respectively.</w:t>
      </w:r>
    </w:p>
    <w:p/>
    <w:p>
      <w:pPr>
        <w:pStyle w:val="Normal"/>
      </w:pPr>
      <w:r>
        <w:rPr>
          <w:color w:val="323232"/>
        </w:rPr>
        <w:t xml:space="preserve">CONCLUSIONS AND CLINICAL IMPORTANCE:The iiPCR system produced few false-positive results, indicating that positive results are likely to represent true infections when used in high-risk animals. The iiPCR system can fail to identify 10-15% of truly infected dogs. However, the portability, speed, and economy of the iiPCR system compared to testing through a reference laboratory can allow rescue groups to screen and identify infection in more dogs.</w:t>
      </w:r>
    </w:p>
    <w:p/>
    <w:p>
      <w:pPr>
        <w:pStyle w:val="Normal"/>
      </w:pPr>
      <w:r>
        <w:rPr>
          <w:color w:val="323232"/>
        </w:rPr>
        <w:t xml:space="preserve">J Vet Intern Med, 2018 vol. 32 (1) pp. 232-235.</w:t>
      </w:r>
    </w:p>
    <w:p>
      <w:r>
        <w:rPr>
          <w:rStyle w:val="Hyperlink"/>
        </w:rPr>
        <w:fldChar w:fldCharType="begin"/>
      </w:r>
      <w:r>
        <w:rPr>
          <w:rStyle w:val="Hyperlink"/>
        </w:rPr>
        <w:instrText xml:space="preserve"> HYPERLINK "http://dx.doi.org/10.1111/jvim.15033" </w:instrText>
      </w:r>
      <w:r>
        <w:rPr>
          <w:rStyle w:val="Hyperlink"/>
        </w:rPr>
      </w:r>
      <w:r>
        <w:rPr>
          <w:rStyle w:val="Hyperlink"/>
        </w:rPr>
        <w:fldChar w:fldCharType="separate"/>
      </w:r>
      <w:pPr>
        <w:pStyle w:val="Normal"/>
      </w:pPr>
      <w:r>
        <w:rPr>
          <w:rStyle w:val="Hyperlink"/>
        </w:rPr>
        <w:t xml:space="preserve">http://dx.doi.org/10.1111/jvim.15033</w:t>
      </w:r>
      <w:r>
        <w:rPr>
          <w:rStyle w:val="Hyperlink"/>
        </w:rPr>
        <w:fldChar w:fldCharType="end"/>
      </w:r>
    </w:p>
    <w:p>
      <w:pPr>
        <w:pStyle w:val="Normal"/>
      </w:pPr>
      <w:r>
        <w:rPr>
          <w:color w:val="323232"/>
        </w:rPr>
        <w:t xml:space="preserve">————————</w:t>
      </w:r>
    </w:p>
    <w:p>
      <w:pPr>
        <w:pStyle w:val="Heading4"/>
      </w:pPr>
      <w:r>
        <w:t xml:space="preserve">A Double-blind, Placebo-controlled, Multicenter, Prospective, Randomized Study of Beraprost Sodium Treatment for Cats with Chronic Kidney Disease.</w:t>
      </w:r>
    </w:p>
    <w:p/>
    <w:p>
      <w:pPr>
        <w:pStyle w:val="Normal"/>
      </w:pPr>
      <w:r>
        <w:rPr>
          <w:color w:val="323232"/>
        </w:rPr>
        <w:t xml:space="preserve">M Takenaka, A Iio, R Sato, T Sakamoto, H Kurumatani, and KT-140 Clinical Study Group.</w:t>
      </w:r>
    </w:p>
    <w:p/>
    <w:p>
      <w:pPr>
        <w:pStyle w:val="Normal"/>
      </w:pPr>
      <w:r>
        <w:rPr>
          <w:color w:val="323232"/>
        </w:rPr>
        <w:t xml:space="preserve">BACKGROUND:Chronic kidney disease (CKD) is a common progressive and irreversible disease in cats. The efficacy and safety of beraprost sodium (BPS) in cats with CKD have not been evaluated.</w:t>
      </w:r>
    </w:p>
    <w:p/>
    <w:p>
      <w:pPr>
        <w:pStyle w:val="Normal"/>
      </w:pPr>
      <w:r>
        <w:rPr>
          <w:color w:val="323232"/>
        </w:rPr>
        <w:t xml:space="preserve">HYPOTHESIS/OBJECTIVES:To evaluate the efficacy and safety of BPS in the treatment of cats with CKD, as compared to placebo.</w:t>
      </w:r>
    </w:p>
    <w:p/>
    <w:p>
      <w:pPr>
        <w:pStyle w:val="Normal"/>
      </w:pPr>
      <w:r>
        <w:rPr>
          <w:color w:val="323232"/>
        </w:rPr>
        <w:t xml:space="preserve">ANIMALS:Seventy-four client-owned cats with naturally occurring CKD.</w:t>
      </w:r>
    </w:p>
    <w:p/>
    <w:p>
      <w:pPr>
        <w:pStyle w:val="Normal"/>
      </w:pPr>
      <w:r>
        <w:rPr>
          <w:color w:val="323232"/>
        </w:rPr>
        <w:t xml:space="preserve">METHODS:Double-blind, placebo-controlled, multicenter, prospective, randomized trial. The cats received BPS (55 μg/cat) or a placebo PO q12 h for 180 days. The primary endpoint was prospectively defined as a change in the serum creatinine (sCr), serum phosphorus-to-calcium ratio or urine specific gravity (USG).</w:t>
      </w:r>
    </w:p>
    <w:p/>
    <w:p>
      <w:pPr>
        <w:pStyle w:val="Normal"/>
      </w:pPr>
      <w:r>
        <w:rPr>
          <w:color w:val="323232"/>
        </w:rPr>
        <w:t xml:space="preserve">RESULTS:The sCr increased significantly (P = 0.0030) in the placebo group (mean ± SD: 2.8 ± 0.7 to 3.2 ± 1.3 mg</w:t>
      </w:r>
      <w:r>
        <w:rPr>
          <w:i w:val="1"/>
          <w:color w:val="323232"/>
        </w:rPr>
        <w:t xml:space="preserve">dL) but not in the BPS group (2.4 ± 0.7 to 2.5 ± 0.7 mg</w:t>
      </w:r>
      <w:r>
        <w:rPr>
          <w:color w:val="323232"/>
        </w:rPr>
        <w:t xml:space="preserve">dL). The difference between the groups at day 180 was significant (0.8 mg</w:t>
      </w:r>
      <w:r>
        <w:rPr>
          <w:i w:val="1"/>
          <w:color w:val="323232"/>
        </w:rPr>
        <w:t xml:space="preserve">dL, 95% CI: 0.2 to 1.3 mg</w:t>
      </w:r>
      <w:r>
        <w:rPr>
          <w:color w:val="323232"/>
        </w:rPr>
        <w:t xml:space="preserve">dL, P = 0.0071). The serum phosphorus-to-calcium ratio was significantly (P = 0.0037) increased in the placebo group (0.46 ± 0.10 to 0.52 ± 0.21 mg</w:t>
      </w:r>
      <w:r>
        <w:rPr>
          <w:i w:val="1"/>
          <w:color w:val="323232"/>
        </w:rPr>
        <w:t xml:space="preserve">dL) but not in the BPS group (0.50 ± 0.08 to 0.51 ± 0.11 mg</w:t>
      </w:r>
      <w:r>
        <w:rPr>
          <w:color w:val="323232"/>
        </w:rPr>
        <w:t xml:space="preserve">dL). There was no significant change in the USG in either group. An adverse event judged as being treatment-related included vomiting that occurred in 1 case in the placebo group. No clinically relevant change was observed in the CBC and other blood chemistry tests.</w:t>
      </w:r>
    </w:p>
    <w:p/>
    <w:p>
      <w:pPr>
        <w:pStyle w:val="Normal"/>
      </w:pPr>
      <w:r>
        <w:rPr>
          <w:color w:val="323232"/>
        </w:rPr>
        <w:t xml:space="preserve">CONCLUSIONS AND CLINICAL IMPORTANCE:Beraprost sodium treatment was well tolerated and safe in cats with CKD. BPS inhibited the reduction in renal filtration function as measured by sCr increase.</w:t>
      </w:r>
    </w:p>
    <w:p/>
    <w:p>
      <w:pPr>
        <w:pStyle w:val="Normal"/>
      </w:pPr>
      <w:r>
        <w:rPr>
          <w:color w:val="323232"/>
        </w:rPr>
        <w:t xml:space="preserve">J Vet Intern Med, 2018 vol. 32 (1) pp. 236-248.</w:t>
      </w:r>
    </w:p>
    <w:p>
      <w:r>
        <w:rPr>
          <w:rStyle w:val="Hyperlink"/>
        </w:rPr>
        <w:fldChar w:fldCharType="begin"/>
      </w:r>
      <w:r>
        <w:rPr>
          <w:rStyle w:val="Hyperlink"/>
        </w:rPr>
        <w:instrText xml:space="preserve"> HYPERLINK "http://dx.doi.org/10.1111/jvim.14839" </w:instrText>
      </w:r>
      <w:r>
        <w:rPr>
          <w:rStyle w:val="Hyperlink"/>
        </w:rPr>
      </w:r>
      <w:r>
        <w:rPr>
          <w:rStyle w:val="Hyperlink"/>
        </w:rPr>
        <w:fldChar w:fldCharType="separate"/>
      </w:r>
      <w:pPr>
        <w:pStyle w:val="Normal"/>
      </w:pPr>
      <w:r>
        <w:rPr>
          <w:rStyle w:val="Hyperlink"/>
        </w:rPr>
        <w:t xml:space="preserve">http://dx.doi.org/10.1111/jvim.14839</w:t>
      </w:r>
      <w:r>
        <w:rPr>
          <w:rStyle w:val="Hyperlink"/>
        </w:rPr>
        <w:fldChar w:fldCharType="end"/>
      </w:r>
    </w:p>
    <w:p>
      <w:pPr>
        <w:pStyle w:val="Normal"/>
      </w:pPr>
      <w:r>
        <w:rPr>
          <w:color w:val="323232"/>
        </w:rPr>
        <w:t xml:space="preserve">————————</w:t>
      </w:r>
    </w:p>
    <w:p>
      <w:pPr>
        <w:pStyle w:val="Heading4"/>
      </w:pPr>
      <w:r>
        <w:t xml:space="preserve">Pyelonephritis in Dogs: Retrospective Study of 47 Histologically Diagnosed Cases (2005-2015).</w:t>
      </w:r>
    </w:p>
    <w:p/>
    <w:p>
      <w:pPr>
        <w:pStyle w:val="Normal"/>
      </w:pPr>
      <w:r>
        <w:rPr>
          <w:color w:val="323232"/>
        </w:rPr>
        <w:t xml:space="preserve">J Bouillon, E Snead, J Caswell, C Feng, P Hélie, and J Lemetayer.</w:t>
      </w:r>
    </w:p>
    <w:p/>
    <w:p>
      <w:pPr>
        <w:pStyle w:val="Normal"/>
      </w:pPr>
      <w:r>
        <w:rPr>
          <w:color w:val="323232"/>
        </w:rPr>
        <w:t xml:space="preserve">BACKGROUND:The clinicopathologic aspects of pyelonephritis have not been reported in companion animals.</w:t>
      </w:r>
    </w:p>
    <w:p/>
    <w:p>
      <w:pPr>
        <w:pStyle w:val="Normal"/>
      </w:pPr>
      <w:r>
        <w:rPr>
          <w:color w:val="323232"/>
        </w:rPr>
        <w:t xml:space="preserve">HYPOTHESIS/OBJECTIVES:To evaluate the prevalence of pyelonephritis diagnosed in dogs in a academic referral population, describe the clinical signs and the diagnostic test results in dogs with pyelonephritis, and identify concurrent disorders in order to determine potential risk factors for pyelonephritis.</w:t>
      </w:r>
    </w:p>
    <w:p/>
    <w:p>
      <w:pPr>
        <w:pStyle w:val="Normal"/>
      </w:pPr>
      <w:r>
        <w:rPr>
          <w:color w:val="323232"/>
        </w:rPr>
        <w:t xml:space="preserve">ANIMALS:Forty-seven dogs with a histopathologic diagnosis of pyelonephritis from the teaching hospitals of three Canadian veterinary colleges.</w:t>
      </w:r>
    </w:p>
    <w:p/>
    <w:p>
      <w:pPr>
        <w:pStyle w:val="Normal"/>
      </w:pPr>
      <w:r>
        <w:rPr>
          <w:color w:val="323232"/>
        </w:rPr>
        <w:t xml:space="preserve">METHODS:Retrospective case series. Review of medical records and renal histologic sections.</w:t>
      </w:r>
    </w:p>
    <w:p/>
    <w:p>
      <w:pPr>
        <w:pStyle w:val="Normal"/>
      </w:pPr>
      <w:r>
        <w:rPr>
          <w:color w:val="323232"/>
        </w:rPr>
        <w:t xml:space="preserve">RESULTS:Pyelonephritis was diagnosed in 0.4-1.3% of the cases at necropsy. Clinical signs included anorexia or inappetence (n = 27, 57%), lethargy (n = 24, 51%), vomiting (n = 17, 36%), and dehydration (n = 12, 25%). Thirty-five dogs (75%) had concomitant disease(s). Escherichia coli was the most common pathogen isolated (37%). Pyelonephritis was classified as acute (n = 12, 26%), subacute (n = 9, 19%), and chronic (n = 26, 55%) disease; and mild (n = 7, 15%), moderate (n = 11, 24%), and severe (n = 28, 61%). Fever was significantly associated with histopathologically subacute pyelonephritis (P = 0.01).</w:t>
      </w:r>
    </w:p>
    <w:p/>
    <w:p>
      <w:pPr>
        <w:pStyle w:val="Normal"/>
      </w:pPr>
      <w:r>
        <w:rPr>
          <w:color w:val="323232"/>
        </w:rPr>
        <w:t xml:space="preserve">CONCLUSIONS:In referral hospitals, pyelonephritis has a very low prevalence at necropsy. Nonspecific clinical presentation, concomitant diseases, and high variability in the diagnostic tests results make the antemortem diagnosis of pyelonephritis challenging. Neither the histopathologic stage nor the severity of the pyelonephritis was associated with fever, lumbar pain, or signs of a urinary tract infection (ie, lower urinary tract infection, upper urinary tract infection, or both) except for subacute pyelonephritis which was associated with fever.</w:t>
      </w:r>
    </w:p>
    <w:p/>
    <w:p>
      <w:pPr>
        <w:pStyle w:val="Normal"/>
      </w:pPr>
      <w:r>
        <w:rPr>
          <w:color w:val="323232"/>
        </w:rPr>
        <w:t xml:space="preserve">J Vet Intern Med, 2018 vol. 32 (1) pp. 249-259.</w:t>
      </w:r>
    </w:p>
    <w:p>
      <w:r>
        <w:rPr>
          <w:rStyle w:val="Hyperlink"/>
        </w:rPr>
        <w:fldChar w:fldCharType="begin"/>
      </w:r>
      <w:r>
        <w:rPr>
          <w:rStyle w:val="Hyperlink"/>
        </w:rPr>
        <w:instrText xml:space="preserve"> HYPERLINK "http://dx.doi.org/10.1111/jvim.14836" </w:instrText>
      </w:r>
      <w:r>
        <w:rPr>
          <w:rStyle w:val="Hyperlink"/>
        </w:rPr>
      </w:r>
      <w:r>
        <w:rPr>
          <w:rStyle w:val="Hyperlink"/>
        </w:rPr>
        <w:fldChar w:fldCharType="separate"/>
      </w:r>
      <w:pPr>
        <w:pStyle w:val="Normal"/>
      </w:pPr>
      <w:r>
        <w:rPr>
          <w:rStyle w:val="Hyperlink"/>
        </w:rPr>
        <w:t xml:space="preserve">http://dx.doi.org/10.1111/jvim.14836</w:t>
      </w:r>
      <w:r>
        <w:rPr>
          <w:rStyle w:val="Hyperlink"/>
        </w:rPr>
        <w:fldChar w:fldCharType="end"/>
      </w:r>
    </w:p>
    <w:p>
      <w:pPr>
        <w:pStyle w:val="Normal"/>
      </w:pPr>
      <w:r>
        <w:rPr>
          <w:color w:val="323232"/>
        </w:rPr>
        <w:t xml:space="preserve">————————</w:t>
      </w:r>
    </w:p>
    <w:p>
      <w:pPr>
        <w:pStyle w:val="Heading4"/>
      </w:pPr>
      <w:r>
        <w:t xml:space="preserve">Evaluation of the Live Biotherapeutic Product, Asymptomatic Bacteriuria Escherichia coli 2-12, in Healthy Dogs and Dogs with Clinical Recurrent UTI.</w:t>
      </w:r>
    </w:p>
    <w:p/>
    <w:p>
      <w:pPr>
        <w:pStyle w:val="Normal"/>
      </w:pPr>
      <w:r>
        <w:rPr>
          <w:color w:val="323232"/>
        </w:rPr>
        <w:t xml:space="preserve">G Segev, J E Sykes, D J Klumpp, A J Schaeffer, E M Antaki, B A Byrne, R E Yaggie, and J L Westropp.</w:t>
      </w:r>
    </w:p>
    <w:p/>
    <w:p>
      <w:pPr>
        <w:pStyle w:val="Normal"/>
      </w:pPr>
      <w:r>
        <w:rPr>
          <w:color w:val="323232"/>
        </w:rPr>
        <w:t xml:space="preserve">BACKGROUND:Antimicrobial resistance is an emerging problem.</w:t>
      </w:r>
    </w:p>
    <w:p/>
    <w:p>
      <w:pPr>
        <w:pStyle w:val="Normal"/>
      </w:pPr>
      <w:r>
        <w:rPr>
          <w:color w:val="323232"/>
        </w:rPr>
        <w:t xml:space="preserve">HYPOTHESIS/OBJECTIVE:To investigate the safety and efficacy of a live biotherapeutic product, ASB E. coli 2-12 for UTI treatment.</w:t>
      </w:r>
    </w:p>
    <w:p/>
    <w:p>
      <w:pPr>
        <w:pStyle w:val="Normal"/>
      </w:pPr>
      <w:r>
        <w:rPr>
          <w:color w:val="323232"/>
        </w:rPr>
        <w:t xml:space="preserve">ANIMALS:Six healthy research dogs; nine client-owned dogs with recurrent UTI.</w:t>
      </w:r>
    </w:p>
    <w:p/>
    <w:p>
      <w:pPr>
        <w:pStyle w:val="Normal"/>
      </w:pPr>
      <w:r>
        <w:rPr>
          <w:color w:val="323232"/>
        </w:rPr>
        <w:t xml:space="preserve">METHODS:Prospective noncontrolled clinical trial. For safety data, research dogs were sedated, a urinary catheter was inserted into the bladder; 1010 CFU/mL of ASB E. coli 2-12 was instilled. Urine was cultured on days 1, 3, and 8 post-instillation and dogs were observed for lower urinary tract signs (LUTS). For client-owned dogs, ASB E. coli 2-12 was instilled similarly and urine cultures analyzed on days 1, 7, and 14 days postinstillation.</w:t>
      </w:r>
    </w:p>
    <w:p/>
    <w:p>
      <w:pPr>
        <w:pStyle w:val="Normal"/>
      </w:pPr>
      <w:r>
        <w:rPr>
          <w:color w:val="323232"/>
        </w:rPr>
        <w:t xml:space="preserve">RESULTS:No LUTS were noted in any of the 6 research dogs after ASB E. coli 2-12 infusion. Pulse field gel electrophoresis (PFGE) studies confirmed the bacterial strains isolated matched that ASB E. coli 2-12 strain. Four of the nine client-owned dogs had complete or nearly complete clinical cures by day 14. Of these four dogs, 3 also had microbiologic cures at day 14; one of these dogs had subclinical bacteriuria (in addition to ASB E. coli 2-12). Three of these four dogs had ASB E. coli 2-12 isolated from their urine at day 14. With the exception of mild, temporary, self-limiting, hyporexia in two dogs on the day of biotherapeutic administration, there were no major adverse effects.</w:t>
      </w:r>
    </w:p>
    <w:p/>
    <w:p>
      <w:pPr>
        <w:pStyle w:val="Normal"/>
      </w:pPr>
      <w:r>
        <w:rPr>
          <w:color w:val="323232"/>
        </w:rPr>
        <w:t xml:space="preserve">CONCLUSIONS AND CLINICAL IMPORTANCE:These results suggest ASB E. coli 2-12 is safe and should be investigated in a larger controlled study evaluating clinical UTI in dogs.</w:t>
      </w:r>
    </w:p>
    <w:p/>
    <w:p>
      <w:pPr>
        <w:pStyle w:val="Normal"/>
      </w:pPr>
      <w:r>
        <w:rPr>
          <w:color w:val="323232"/>
        </w:rPr>
        <w:t xml:space="preserve">J Vet Intern Med, 2018 vol. 32 (1) pp. 267-273.</w:t>
      </w:r>
    </w:p>
    <w:p>
      <w:r>
        <w:rPr>
          <w:rStyle w:val="Hyperlink"/>
        </w:rPr>
        <w:fldChar w:fldCharType="begin"/>
      </w:r>
      <w:r>
        <w:rPr>
          <w:rStyle w:val="Hyperlink"/>
        </w:rPr>
        <w:instrText xml:space="preserve"> HYPERLINK "http://dx.doi.org/10.1111/jvim.14851" </w:instrText>
      </w:r>
      <w:r>
        <w:rPr>
          <w:rStyle w:val="Hyperlink"/>
        </w:rPr>
      </w:r>
      <w:r>
        <w:rPr>
          <w:rStyle w:val="Hyperlink"/>
        </w:rPr>
        <w:fldChar w:fldCharType="separate"/>
      </w:r>
      <w:pPr>
        <w:pStyle w:val="Normal"/>
      </w:pPr>
      <w:r>
        <w:rPr>
          <w:rStyle w:val="Hyperlink"/>
        </w:rPr>
        <w:t xml:space="preserve">http://dx.doi.org/10.1111/jvim.14851</w:t>
      </w:r>
      <w:r>
        <w:rPr>
          <w:rStyle w:val="Hyperlink"/>
        </w:rPr>
        <w:fldChar w:fldCharType="end"/>
      </w:r>
    </w:p>
    <w:p>
      <w:pPr>
        <w:pStyle w:val="Normal"/>
      </w:pPr>
      <w:r>
        <w:rPr>
          <w:color w:val="323232"/>
        </w:rPr>
        <w:t xml:space="preserve">————————</w:t>
      </w:r>
    </w:p>
    <w:p>
      <w:pPr>
        <w:pStyle w:val="Heading4"/>
      </w:pPr>
      <w:r>
        <w:t xml:space="preserve">Serum Cytokine Profiling in Cats with Acute Idiopathic Cystitis.</w:t>
      </w:r>
    </w:p>
    <w:p/>
    <w:p>
      <w:pPr>
        <w:pStyle w:val="Normal"/>
      </w:pPr>
      <w:r>
        <w:rPr>
          <w:color w:val="323232"/>
        </w:rPr>
        <w:t xml:space="preserve">M Parys, V Yuzbasiyan-Gurkan, and J M Kruger.</w:t>
      </w:r>
    </w:p>
    <w:p/>
    <w:p>
      <w:pPr>
        <w:pStyle w:val="Normal"/>
      </w:pPr>
      <w:r>
        <w:rPr>
          <w:color w:val="323232"/>
        </w:rPr>
        <w:t xml:space="preserve">BACKGROUND:Feline idiopathic cystitis (FIC) is a common lower urinary tract disorder of domestic cats that resembles interstitial cystitis</w:t>
      </w:r>
      <w:r>
        <w:rPr>
          <w:i w:val="1"/>
          <w:color w:val="323232"/>
        </w:rPr>
        <w:t xml:space="preserve">painful bladder syndrome (IC</w:t>
      </w:r>
      <w:r>
        <w:rPr>
          <w:color w:val="323232"/>
        </w:rPr>
        <w:t xml:space="preserve">PBS) in humans. Diagnosis of FIC is based on clinical signs and exclusion of other disorders because of a lack of specific pathologic findings or other objective biomarkers. Cytokines are potential noninvasive biomarkers to define the presence, severity, and progression of disease, and response to treatment.</w:t>
      </w:r>
    </w:p>
    <w:p/>
    <w:p>
      <w:pPr>
        <w:pStyle w:val="Normal"/>
      </w:pPr>
      <w:r>
        <w:rPr>
          <w:color w:val="323232"/>
        </w:rPr>
        <w:t xml:space="preserve">OBJECTIVES:The objective of this pilot study was to determine concentrations of selected cytokines in serum from healthy cats and cats with acute FIC.</w:t>
      </w:r>
    </w:p>
    <w:p/>
    <w:p>
      <w:pPr>
        <w:pStyle w:val="Normal"/>
      </w:pPr>
      <w:r>
        <w:rPr>
          <w:color w:val="323232"/>
        </w:rPr>
        <w:t xml:space="preserve">ANIMALS:Serum samples from 13 healthy cats and from 12 cats with nonobstructive acute FIC were utilized.</w:t>
      </w:r>
    </w:p>
    <w:p/>
    <w:p>
      <w:pPr>
        <w:pStyle w:val="Normal"/>
      </w:pPr>
      <w:r>
        <w:rPr>
          <w:color w:val="323232"/>
        </w:rPr>
        <w:t xml:space="preserve">METHODS:Multiplex analysis of 19 cytokines (CCL2, CCL5, CXCL1, CXCL12, CXCL8, Flt3L, GM-CSF, IFN-γ, IL-12 (p40), IL-13, IL-18, IL-1β, IL-2, IL-4, IL-6, PDGF-BB, SCF, sFas, and TNF-α) was performed with a commercially available feline-specific multiplex bead-based assay.</w:t>
      </w:r>
    </w:p>
    <w:p/>
    <w:p>
      <w:pPr>
        <w:pStyle w:val="Normal"/>
      </w:pPr>
      <w:r>
        <w:rPr>
          <w:color w:val="323232"/>
        </w:rPr>
        <w:t xml:space="preserve">RESULTS:Mean serum concentrations of IL-12 (p40; P &lt; 0.0001), CXCL12 (P = 0.002), IL-18 (P = 0.032), and Flt3L (P = 0.0024) were significantly increased in FIC cats compared to healthy cats. GM-CSF, IL-1b, IL-2, and PDGF-BB were undetectable or detected in an insufficient number of cats to allow meaningful comparisons.</w:t>
      </w:r>
    </w:p>
    <w:p/>
    <w:p>
      <w:pPr>
        <w:pStyle w:val="Normal"/>
      </w:pPr>
      <w:r>
        <w:rPr>
          <w:color w:val="323232"/>
        </w:rPr>
        <w:t xml:space="preserve">CONCLUSIONS AND CLINICAL IMPORTANCE:We have identified increased serum concentrations of pro-inflammatory cytokines and chemokines CXCL12, IL-12, IL-18, and Flt3L in FIC-affected cats. These findings suggest potential candidates for noninvasive biomarkers for diagnosis, staging, and therapeutic outcome monitoring of affected cats and provide additional insight into the etiopathogenesis of FIC.</w:t>
      </w:r>
    </w:p>
    <w:p/>
    <w:p>
      <w:pPr>
        <w:pStyle w:val="Normal"/>
      </w:pPr>
      <w:r>
        <w:rPr>
          <w:color w:val="323232"/>
        </w:rPr>
        <w:t xml:space="preserve">J Vet Intern Med, 2018 vol. 32 (1) pp. 274-279.</w:t>
      </w:r>
    </w:p>
    <w:p>
      <w:r>
        <w:rPr>
          <w:rStyle w:val="Hyperlink"/>
        </w:rPr>
        <w:fldChar w:fldCharType="begin"/>
      </w:r>
      <w:r>
        <w:rPr>
          <w:rStyle w:val="Hyperlink"/>
        </w:rPr>
        <w:instrText xml:space="preserve"> HYPERLINK "http://dx.doi.org/10.1111/jvim.15032" </w:instrText>
      </w:r>
      <w:r>
        <w:rPr>
          <w:rStyle w:val="Hyperlink"/>
        </w:rPr>
      </w:r>
      <w:r>
        <w:rPr>
          <w:rStyle w:val="Hyperlink"/>
        </w:rPr>
        <w:fldChar w:fldCharType="separate"/>
      </w:r>
      <w:pPr>
        <w:pStyle w:val="Normal"/>
      </w:pPr>
      <w:r>
        <w:rPr>
          <w:rStyle w:val="Hyperlink"/>
        </w:rPr>
        <w:t xml:space="preserve">http://dx.doi.org/10.1111/jvim.15032</w:t>
      </w:r>
      <w:r>
        <w:rPr>
          <w:rStyle w:val="Hyperlink"/>
        </w:rPr>
        <w:fldChar w:fldCharType="end"/>
      </w:r>
    </w:p>
    <w:p>
      <w:pPr>
        <w:pStyle w:val="Normal"/>
      </w:pPr>
      <w:r>
        <w:rPr>
          <w:color w:val="323232"/>
        </w:rPr>
        <w:t xml:space="preserve">————————</w:t>
      </w:r>
    </w:p>
    <w:p>
      <w:pPr>
        <w:pStyle w:val="Heading4"/>
      </w:pPr>
      <w:r>
        <w:t xml:space="preserve">The Influence of Chronic Kidney Disease on the Structural and Mechanical Properties of Canine Bone.</w:t>
      </w:r>
    </w:p>
    <w:p/>
    <w:p>
      <w:pPr>
        <w:pStyle w:val="Normal"/>
      </w:pPr>
      <w:r>
        <w:rPr>
          <w:color w:val="323232"/>
        </w:rPr>
        <w:t xml:space="preserve">A Shipov, R Shahar, N Sugar, and G Segev.</w:t>
      </w:r>
    </w:p>
    <w:p/>
    <w:p>
      <w:pPr>
        <w:pStyle w:val="Normal"/>
      </w:pPr>
      <w:r>
        <w:rPr>
          <w:color w:val="323232"/>
        </w:rPr>
        <w:t xml:space="preserve">BACKGROUND:Chronic kidney disease (CKD) is common in companion animals. Secondary hyperparathyroidism is an inevitable consequence of the disease and may have deleterious effect on the bone; however, the information regarding CKD-associated bone abnormalities in companion animals is scarce.</w:t>
      </w:r>
    </w:p>
    <w:p/>
    <w:p>
      <w:pPr>
        <w:pStyle w:val="Normal"/>
      </w:pPr>
      <w:r>
        <w:rPr>
          <w:color w:val="323232"/>
        </w:rPr>
        <w:t xml:space="preserve">HYPOTHESIS/OBJECTIVES:Dogs with CKD have decreased bone quality compared to dogs without CKD.</w:t>
      </w:r>
    </w:p>
    <w:p/>
    <w:p>
      <w:pPr>
        <w:pStyle w:val="Normal"/>
      </w:pPr>
      <w:r>
        <w:rPr>
          <w:color w:val="323232"/>
        </w:rPr>
        <w:t xml:space="preserve">ANIMALS:Nine dogs diagnosed with naturally occurring CKD for at least 6 months and 9 age-matched controls.</w:t>
      </w:r>
    </w:p>
    <w:p/>
    <w:p>
      <w:pPr>
        <w:pStyle w:val="Normal"/>
      </w:pPr>
      <w:r>
        <w:rPr>
          <w:color w:val="323232"/>
        </w:rPr>
        <w:t xml:space="preserve">METHODS:Dogs with CKD were enrolled and compared to 9 age-, weight-, and sex-matched control dogs with no evidence of CKD. Samples were assessed using light microscopy, mechanical testing, and microcomputed tomography. Variables evaluated included microstructural features such as number, size, and density of Haversian canals, resorption cavities and osteocytic lacunae, bone mineral density, porosity and Young's modulus.</w:t>
      </w:r>
    </w:p>
    <w:p/>
    <w:p>
      <w:pPr>
        <w:pStyle w:val="Normal"/>
      </w:pPr>
      <w:r>
        <w:rPr>
          <w:color w:val="323232"/>
        </w:rPr>
        <w:t xml:space="preserve">RESULTS:Median lacunae size was significantly smaller in the CKD group compared to the control group (P = 0.001). Resorption cavity density was higher in the CKD compared to the control group (10 [8-14] vs. 7 [4-9]/mm2 , respectively, P = 0.001). Overall porosity was significantly (2.3-fold) higher in the CKD compared to the control group. There was no difference in Young's moduli between groups.</w:t>
      </w:r>
    </w:p>
    <w:p/>
    <w:p>
      <w:pPr>
        <w:pStyle w:val="Normal"/>
      </w:pPr>
      <w:r>
        <w:rPr>
          <w:color w:val="323232"/>
        </w:rPr>
        <w:t xml:space="preserve">CONCLUSIONS AND CLINICAL IMPORTANCE:Naturally occurring CKD affects bone quality in dogs, but these changes are relatively mild and likely not to be manifested clinically. The duration of the disease in dogs evaluated here is short compared to cats and human patients, likely accounting for the more subtle changes in dogs compared to other species.</w:t>
      </w:r>
    </w:p>
    <w:p/>
    <w:p>
      <w:pPr>
        <w:pStyle w:val="Normal"/>
      </w:pPr>
      <w:r>
        <w:rPr>
          <w:color w:val="323232"/>
        </w:rPr>
        <w:t xml:space="preserve">J Vet Intern Med, 2018 vol. 32 (1), 2 pp. 280-287.</w:t>
      </w:r>
    </w:p>
    <w:p>
      <w:r>
        <w:rPr>
          <w:rStyle w:val="Hyperlink"/>
        </w:rPr>
        <w:fldChar w:fldCharType="begin"/>
      </w:r>
      <w:r>
        <w:rPr>
          <w:rStyle w:val="Hyperlink"/>
        </w:rPr>
        <w:instrText xml:space="preserve"> HYPERLINK "http://dx.doi.org/10.1111/jvim.14879" </w:instrText>
      </w:r>
      <w:r>
        <w:rPr>
          <w:rStyle w:val="Hyperlink"/>
        </w:rPr>
      </w:r>
      <w:r>
        <w:rPr>
          <w:rStyle w:val="Hyperlink"/>
        </w:rPr>
        <w:fldChar w:fldCharType="separate"/>
      </w:r>
      <w:pPr>
        <w:pStyle w:val="Normal"/>
      </w:pPr>
      <w:r>
        <w:rPr>
          <w:rStyle w:val="Hyperlink"/>
        </w:rPr>
        <w:t xml:space="preserve">http://dx.doi.org/10.1111/jvim.14879</w:t>
      </w:r>
      <w:r>
        <w:rPr>
          <w:rStyle w:val="Hyperlink"/>
        </w:rPr>
        <w:fldChar w:fldCharType="end"/>
      </w:r>
    </w:p>
    <w:p>
      <w:pPr>
        <w:pStyle w:val="Normal"/>
      </w:pPr>
      <w:r>
        <w:rPr>
          <w:color w:val="323232"/>
        </w:rPr>
        <w:t xml:space="preserve">————————</w:t>
      </w:r>
    </w:p>
    <w:p>
      <w:pPr>
        <w:pStyle w:val="Heading4"/>
      </w:pPr>
      <w:r>
        <w:t xml:space="preserve">Comparison of Single, Averaged, and Pooled Urine Protein:Creatinine Ratios in Proteinuric Dogs Undergoing Medical Treatment.</w:t>
      </w:r>
    </w:p>
    <w:p/>
    <w:p>
      <w:pPr>
        <w:pStyle w:val="Normal"/>
      </w:pPr>
      <w:r>
        <w:rPr>
          <w:color w:val="323232"/>
        </w:rPr>
        <w:t xml:space="preserve">S Shropshire, J Quimby, and R Cerda.</w:t>
      </w:r>
    </w:p>
    <w:p/>
    <w:p>
      <w:pPr>
        <w:pStyle w:val="Normal"/>
      </w:pPr>
      <w:r>
        <w:rPr>
          <w:color w:val="323232"/>
        </w:rPr>
        <w:t xml:space="preserve">BACKGROUND:Monitoring urine protein:creatinine ratios (UPC) in dogs with protein-losing nephropathy (PLN) is challenging because of day-to-day variation in UPC results.</w:t>
      </w:r>
    </w:p>
    <w:p/>
    <w:p>
      <w:pPr>
        <w:pStyle w:val="Normal"/>
      </w:pPr>
      <w:r>
        <w:rPr>
          <w:color w:val="323232"/>
        </w:rPr>
        <w:t xml:space="preserve">HYPOTHESIS/OBJECTIVES:Determine whether single, averaged, or pooled samples from PLN dogs receiving medical treatment yield comparable UPCs, regardless of degree of proteinuria.</w:t>
      </w:r>
    </w:p>
    <w:p/>
    <w:p>
      <w:pPr>
        <w:pStyle w:val="Normal"/>
      </w:pPr>
      <w:r>
        <w:rPr>
          <w:color w:val="323232"/>
        </w:rPr>
        <w:t xml:space="preserve">ANIMALS:Twenty-five client-owned PLN dogs receiving medical treatment.</w:t>
      </w:r>
    </w:p>
    <w:p/>
    <w:p>
      <w:pPr>
        <w:pStyle w:val="Normal"/>
      </w:pPr>
      <w:r>
        <w:rPr>
          <w:color w:val="323232"/>
        </w:rPr>
        <w:t xml:space="preserve">METHODS:UPC ratios were prospectively measured in each dog utilizing 3 methods: single in-hospital sample (day 3), average sample (days 1-3), and pooled sample (equal pooling of urine from days 1-3). Bland-Altman analysis was performed to evaluate agreement between methods for all dogs, as well as in subgroups of dogs (UPC ≤4 or UPC &gt;4).</w:t>
      </w:r>
    </w:p>
    <w:p/>
    <w:p>
      <w:pPr>
        <w:pStyle w:val="Normal"/>
      </w:pPr>
      <w:r>
        <w:rPr>
          <w:color w:val="323232"/>
        </w:rPr>
        <w:t xml:space="preserve">RESULTS:For all dogs, Bland-Altman log-transformed 95% limits of agreement were -0.07-0.18 (single versus pooled UPC), -0.06-0.16 (single versus average UPC), and -0.06-0.04 (pooled versus average UPC). For dogs with UPC ≤4, Bland-Altman 95% limits of agreement were -0.42-0.82 (single versus pooled UPC), -0.38-0.76 (single versus average UPC), and -0.27-0.25 (pooled versus average UPC). For dogs with UPC &gt;4, Bland-Altman 95% limits of agreement were -0.17-2.4 (single versus pooled UPC), -0.40-2.2 (single versus average UPC), and -0.85-0.43 (pooled versus average UPC).</w:t>
      </w:r>
    </w:p>
    <w:p/>
    <w:p>
      <w:pPr>
        <w:pStyle w:val="Normal"/>
      </w:pPr>
      <w:r>
        <w:rPr>
          <w:color w:val="323232"/>
        </w:rPr>
        <w:t xml:space="preserve">CONCLUSIONS AND CLINICAL IMPORTANCE:UPC ratios from all methods were comparable in PLN dogs receiving medical treatment. In PLN dogs with UPC &gt;4, more variability between methods exists likely because of higher in-hospital results, but whether this finding is clinically relevant is unknown.</w:t>
      </w:r>
    </w:p>
    <w:p/>
    <w:p>
      <w:pPr>
        <w:pStyle w:val="Normal"/>
      </w:pPr>
      <w:r>
        <w:rPr>
          <w:color w:val="323232"/>
        </w:rPr>
        <w:t xml:space="preserve">J Vet Intern Med, 2018 vol. 32 (1) pp. 288-294.</w:t>
      </w:r>
    </w:p>
    <w:p>
      <w:r>
        <w:rPr>
          <w:rStyle w:val="Hyperlink"/>
        </w:rPr>
        <w:fldChar w:fldCharType="begin"/>
      </w:r>
      <w:r>
        <w:rPr>
          <w:rStyle w:val="Hyperlink"/>
        </w:rPr>
        <w:instrText xml:space="preserve"> HYPERLINK "http://dx.doi.org/10.1111/jvim.14872" </w:instrText>
      </w:r>
      <w:r>
        <w:rPr>
          <w:rStyle w:val="Hyperlink"/>
        </w:rPr>
      </w:r>
      <w:r>
        <w:rPr>
          <w:rStyle w:val="Hyperlink"/>
        </w:rPr>
        <w:fldChar w:fldCharType="separate"/>
      </w:r>
      <w:pPr>
        <w:pStyle w:val="Normal"/>
      </w:pPr>
      <w:r>
        <w:rPr>
          <w:rStyle w:val="Hyperlink"/>
        </w:rPr>
        <w:t xml:space="preserve">http://dx.doi.org/10.1111/jvim.14872</w:t>
      </w:r>
      <w:r>
        <w:rPr>
          <w:rStyle w:val="Hyperlink"/>
        </w:rPr>
        <w:fldChar w:fldCharType="end"/>
      </w:r>
    </w:p>
    <w:p>
      <w:pPr>
        <w:pStyle w:val="Normal"/>
      </w:pPr>
      <w:r>
        <w:rPr>
          <w:color w:val="323232"/>
        </w:rPr>
        <w:t xml:space="preserve">————————</w:t>
      </w:r>
    </w:p>
    <w:p>
      <w:pPr>
        <w:pStyle w:val="Heading4"/>
      </w:pPr>
      <w:r>
        <w:t xml:space="preserve">Evaluation of Serum Symmetric Dimethylarginine Concentration as a Marker for Masked Chronic Kidney Disease in Cats With Hyperthyroidism.</w:t>
      </w:r>
    </w:p>
    <w:p/>
    <w:p>
      <w:pPr>
        <w:pStyle w:val="Normal"/>
      </w:pPr>
      <w:r>
        <w:rPr>
          <w:color w:val="323232"/>
        </w:rPr>
        <w:t xml:space="preserve">M E Peterson, F V Varela, M Rishniw, and D J Polzin.</w:t>
      </w:r>
    </w:p>
    <w:p/>
    <w:p>
      <w:pPr>
        <w:pStyle w:val="Normal"/>
      </w:pPr>
      <w:r>
        <w:rPr>
          <w:color w:val="323232"/>
        </w:rPr>
        <w:t xml:space="preserve">BACKGROUND:Hyperthyroidism can complicate (mask) the diagnosis of chronic kidney disease (CKD) because it increases glomerular filtration rate and decreases body muscle mass, both of which can lower serum creatinine concentrations. Currently, there is no clinical test that can reliably predict which hyperthyroid cats have concurrent azotemic CKD that will become apparent after treatment of the hyperthyroidism.</w:t>
      </w:r>
    </w:p>
    <w:p/>
    <w:p>
      <w:pPr>
        <w:pStyle w:val="Normal"/>
      </w:pPr>
      <w:r>
        <w:rPr>
          <w:color w:val="323232"/>
        </w:rPr>
        <w:t xml:space="preserve">OBJECTIVES:To investigate serum symmetric dimethylarginine (SDMA) concentration as a potential marker of masked azotemia in untreated hyperthyroid cats.</w:t>
      </w:r>
    </w:p>
    <w:p/>
    <w:p>
      <w:pPr>
        <w:pStyle w:val="Normal"/>
      </w:pPr>
      <w:r>
        <w:rPr>
          <w:color w:val="323232"/>
        </w:rPr>
        <w:t xml:space="preserve">ANIMALS:Two hundred and sixty-two hyperthyroid cats and 206 aged-matched, clinically normal cats.</w:t>
      </w:r>
    </w:p>
    <w:p/>
    <w:p>
      <w:pPr>
        <w:pStyle w:val="Normal"/>
      </w:pPr>
      <w:r>
        <w:rPr>
          <w:color w:val="323232"/>
        </w:rPr>
        <w:t xml:space="preserve">METHODS:Prospective study. We measured creatinine, urea nitrogen, SDMA, T4 , and TSH concentrations before and 1, 3, and 6</w:t>
      </w:r>
      <w:r>
        <w:rPr>
          <w:color w:val="323232"/>
        </w:rPr>
        <w:t xml:space="preserve"> </w:t>
      </w:r>
      <w:r>
        <w:rPr>
          <w:color w:val="323232"/>
        </w:rPr>
        <w:t xml:space="preserve">months after treatment with radioiodine (131 I) and classified 131 I-treated cats as azotemic or nonazotemic based on persistent, post-treatment creatinine concentrations &gt;2.1</w:t>
      </w:r>
      <w:r>
        <w:rPr>
          <w:color w:val="323232"/>
        </w:rPr>
        <w:t xml:space="preserve"> </w:t>
      </w:r>
      <w:r>
        <w:rPr>
          <w:color w:val="323232"/>
        </w:rPr>
        <w:t xml:space="preserve">mg/dL. Groups were compared via nonparametric tests, and diagnostic accuracy was determined by receiver operating characteristic analysis and logistic regression.</w:t>
      </w:r>
    </w:p>
    <w:p/>
    <w:p>
      <w:pPr>
        <w:pStyle w:val="Normal"/>
      </w:pPr>
      <w:r>
        <w:rPr>
          <w:color w:val="323232"/>
        </w:rPr>
        <w:t xml:space="preserve">RESULTS:No hyperthyroid cats were azotemic before treatment, but 42 (16%) became azotemic when rechecked at 4-8</w:t>
      </w:r>
      <w:r>
        <w:rPr>
          <w:color w:val="323232"/>
        </w:rPr>
        <w:t xml:space="preserve"> </w:t>
      </w:r>
      <w:r>
        <w:rPr>
          <w:color w:val="323232"/>
        </w:rPr>
        <w:t xml:space="preserve">months (median, 6</w:t>
      </w:r>
      <w:r>
        <w:rPr>
          <w:color w:val="323232"/>
        </w:rPr>
        <w:t xml:space="preserve"> </w:t>
      </w:r>
      <w:r>
        <w:rPr>
          <w:color w:val="323232"/>
        </w:rPr>
        <w:t xml:space="preserve">months) after 131 I treatment; of these, 14 had high SDMA concentrations before treatment. As a diagnostic test for pre-azotemic (masked) CKD in untreated hyperthyroid cats, SDMA showed a sensitivity of 33.3% and specificity of 97.7%.</w:t>
      </w:r>
    </w:p>
    <w:p/>
    <w:p>
      <w:pPr>
        <w:pStyle w:val="Normal"/>
      </w:pPr>
      <w:r>
        <w:rPr>
          <w:color w:val="323232"/>
        </w:rPr>
        <w:t xml:space="preserve">CONCLUSIONS AND CLINICAL IMPORTANCE:Finding a high serum SDMA concentration in a hyperthyroid cat can help predict development of azotemia after treatment. The test has high diagnostic test specificity (few false-positive results) but relatively low sensitivity (fails to predict azotemia in most hyperthyroid cats).</w:t>
      </w:r>
    </w:p>
    <w:p/>
    <w:p>
      <w:pPr>
        <w:pStyle w:val="Normal"/>
      </w:pPr>
      <w:r>
        <w:rPr>
          <w:color w:val="323232"/>
        </w:rPr>
        <w:t xml:space="preserve">J Vet Intern Med, 2018 vol. 32 (1) pp. 295-304.</w:t>
      </w:r>
    </w:p>
    <w:p>
      <w:r>
        <w:rPr>
          <w:rStyle w:val="Hyperlink"/>
        </w:rPr>
        <w:fldChar w:fldCharType="begin"/>
      </w:r>
      <w:r>
        <w:rPr>
          <w:rStyle w:val="Hyperlink"/>
        </w:rPr>
        <w:instrText xml:space="preserve"> HYPERLINK "http://dx.doi.org/10.1111/jvim.15036" </w:instrText>
      </w:r>
      <w:r>
        <w:rPr>
          <w:rStyle w:val="Hyperlink"/>
        </w:rPr>
      </w:r>
      <w:r>
        <w:rPr>
          <w:rStyle w:val="Hyperlink"/>
        </w:rPr>
        <w:fldChar w:fldCharType="separate"/>
      </w:r>
      <w:pPr>
        <w:pStyle w:val="Normal"/>
      </w:pPr>
      <w:r>
        <w:rPr>
          <w:rStyle w:val="Hyperlink"/>
        </w:rPr>
        <w:t xml:space="preserve">http://dx.doi.org/10.1111/jvim.15036</w:t>
      </w:r>
      <w:r>
        <w:rPr>
          <w:rStyle w:val="Hyperlink"/>
        </w:rPr>
        <w:fldChar w:fldCharType="end"/>
      </w:r>
    </w:p>
    <w:p>
      <w:pPr>
        <w:pStyle w:val="Normal"/>
      </w:pPr>
      <w:r>
        <w:rPr>
          <w:color w:val="323232"/>
        </w:rPr>
        <w:t xml:space="preserve">————————</w:t>
      </w:r>
    </w:p>
    <w:p>
      <w:pPr>
        <w:pStyle w:val="Heading4"/>
      </w:pPr>
      <w:r>
        <w:t xml:space="preserve">Differences in Epidural Pathology between Cervical and Thoracolumbar Intervertebral Disk Extrusions in Dogs.</w:t>
      </w:r>
    </w:p>
    <w:p/>
    <w:p>
      <w:pPr>
        <w:pStyle w:val="Normal"/>
      </w:pPr>
      <w:r>
        <w:rPr>
          <w:color w:val="323232"/>
        </w:rPr>
        <w:t xml:space="preserve">L Züger, A Fadda, A Oevermann, F Forterre, M Vandevelde, and D Henke.</w:t>
      </w:r>
    </w:p>
    <w:p/>
    <w:p>
      <w:pPr>
        <w:pStyle w:val="Normal"/>
      </w:pPr>
      <w:r>
        <w:rPr>
          <w:color w:val="323232"/>
        </w:rPr>
        <w:t xml:space="preserve">BACKGROUND:Although the basic pathophysiology is the same in both cervical and thoracolumbar intervertebral disk (IVD) extrusions, there are considerable clinical differences that have only been partially explained.</w:t>
      </w:r>
    </w:p>
    <w:p/>
    <w:p>
      <w:pPr>
        <w:pStyle w:val="Normal"/>
      </w:pPr>
      <w:r>
        <w:rPr>
          <w:color w:val="323232"/>
        </w:rPr>
        <w:t xml:space="preserve">HYPOTHESIS/OBJECTIVES:The epidural inflammatory response differs between cervical and thoracolumbar IVD extrusions.</w:t>
      </w:r>
    </w:p>
    <w:p/>
    <w:p>
      <w:pPr>
        <w:pStyle w:val="Normal"/>
      </w:pPr>
      <w:r>
        <w:rPr>
          <w:color w:val="323232"/>
        </w:rPr>
        <w:t xml:space="preserve">ANIMALS:Fifty-five dogs with cervical and 80 dogs with thoracolumbar IVD extrusions.</w:t>
      </w:r>
    </w:p>
    <w:p/>
    <w:p>
      <w:pPr>
        <w:pStyle w:val="Normal"/>
      </w:pPr>
      <w:r>
        <w:rPr>
          <w:color w:val="323232"/>
        </w:rPr>
        <w:t xml:space="preserve">METHODS:Clinical data and histopathologic variables were investigated. Associations between severity of epidural inflammation and clinical and pathologic variables, impact of chondrodystrophic phenotype, and localization (cervical versus thoracolumbar) were evaluated statistically.</w:t>
      </w:r>
    </w:p>
    <w:p/>
    <w:p>
      <w:pPr>
        <w:pStyle w:val="Normal"/>
      </w:pPr>
      <w:r>
        <w:rPr>
          <w:color w:val="323232"/>
        </w:rPr>
        <w:t xml:space="preserve">RESULTS:Dogs with cervical IVD extrusion were significantly older (P &lt; 0.001), had less severe and longer duration of neurologic signs (both P &lt; 0.001), were more painful (P = 0.038), and had a better outcome (P = 0.005) than dogs with a thoracolumbar IVD extrusion. On histopathology, cervical epidural material had less severe calcification (P = 0.002) and inflammation (P &lt; 0.001). No significant differences regarding chondrodystrophic phenotype were found.</w:t>
      </w:r>
    </w:p>
    <w:p/>
    <w:p>
      <w:pPr>
        <w:pStyle w:val="Normal"/>
      </w:pPr>
      <w:r>
        <w:rPr>
          <w:color w:val="323232"/>
        </w:rPr>
        <w:t xml:space="preserve">CONCLUSION AND CLINICAL IMPORTANCE:There was significantly less intensive inflammatory response in the cervical epidural space. This observation correlated positively with less nucleus pulposus calcification in cervical extrusions indicating biochemical, metabolic, and biomechanical differences between the 2 locations, which remain to be characterized in future studies.</w:t>
      </w:r>
    </w:p>
    <w:p/>
    <w:p>
      <w:pPr>
        <w:pStyle w:val="Normal"/>
      </w:pPr>
      <w:r>
        <w:rPr>
          <w:color w:val="323232"/>
        </w:rPr>
        <w:t xml:space="preserve">J Vet Intern Med, 2018 vol. 32 (1) pp. 305-313.</w:t>
      </w:r>
    </w:p>
    <w:p>
      <w:r>
        <w:rPr>
          <w:rStyle w:val="Hyperlink"/>
        </w:rPr>
        <w:fldChar w:fldCharType="begin"/>
      </w:r>
      <w:r>
        <w:rPr>
          <w:rStyle w:val="Hyperlink"/>
        </w:rPr>
        <w:instrText xml:space="preserve"> HYPERLINK "http://dx.doi.org/10.1111/jvim.14887" </w:instrText>
      </w:r>
      <w:r>
        <w:rPr>
          <w:rStyle w:val="Hyperlink"/>
        </w:rPr>
      </w:r>
      <w:r>
        <w:rPr>
          <w:rStyle w:val="Hyperlink"/>
        </w:rPr>
        <w:fldChar w:fldCharType="separate"/>
      </w:r>
      <w:pPr>
        <w:pStyle w:val="Normal"/>
      </w:pPr>
      <w:r>
        <w:rPr>
          <w:rStyle w:val="Hyperlink"/>
        </w:rPr>
        <w:t xml:space="preserve">http://dx.doi.org/10.1111/jvim.14887</w:t>
      </w:r>
      <w:r>
        <w:rPr>
          <w:rStyle w:val="Hyperlink"/>
        </w:rPr>
        <w:fldChar w:fldCharType="end"/>
      </w:r>
    </w:p>
    <w:p>
      <w:pPr>
        <w:pStyle w:val="Normal"/>
      </w:pPr>
      <w:r>
        <w:rPr>
          <w:color w:val="323232"/>
        </w:rPr>
        <w:t xml:space="preserve">————————</w:t>
      </w:r>
    </w:p>
    <w:p>
      <w:pPr>
        <w:pStyle w:val="Heading4"/>
      </w:pPr>
      <w:r>
        <w:t xml:space="preserve">Transcranial Doppler Ultrasound Examination in Dogs with Suspected Intracranial Hypertension Caused by Neurologic Diseases.</w:t>
      </w:r>
    </w:p>
    <w:p/>
    <w:p>
      <w:pPr>
        <w:pStyle w:val="Normal"/>
      </w:pPr>
      <w:r>
        <w:rPr>
          <w:color w:val="323232"/>
        </w:rPr>
        <w:t xml:space="preserve">K Sasaoka, K Nakamura, T Osuga, T Morita, N Yokoyama, K Morishita, N Sasaki, H Ohta, and M Takiguchi.</w:t>
      </w:r>
    </w:p>
    <w:p/>
    <w:p>
      <w:pPr>
        <w:pStyle w:val="Normal"/>
      </w:pPr>
      <w:r>
        <w:rPr>
          <w:color w:val="323232"/>
        </w:rPr>
        <w:t xml:space="preserve">BACKGROUND:Transcranial Doppler ultrasound examination (TCD) is a rapid, noninvasive technique used to evaluate cerebral blood flow and is useful for the detection of intracranial hypertension in humans. However, the clinical usefulness of TCD in diagnosing intracranial hypertension has not been demonstrated for intracranial diseases in dogs.</w:t>
      </w:r>
    </w:p>
    <w:p/>
    <w:p>
      <w:pPr>
        <w:pStyle w:val="Normal"/>
      </w:pPr>
      <w:r>
        <w:rPr>
          <w:color w:val="323232"/>
        </w:rPr>
        <w:t xml:space="preserve">OBJECTIVES:To determine the association between the TCD variables and intracranial hypertension in dogs with intracranial diseases.</w:t>
      </w:r>
    </w:p>
    <w:p/>
    <w:p>
      <w:pPr>
        <w:pStyle w:val="Normal"/>
      </w:pPr>
      <w:r>
        <w:rPr>
          <w:color w:val="323232"/>
        </w:rPr>
        <w:t xml:space="preserve">ANIMALS:Fifty client-owned dogs with neurologic signs.</w:t>
      </w:r>
    </w:p>
    <w:p/>
    <w:p>
      <w:pPr>
        <w:pStyle w:val="Normal"/>
      </w:pPr>
      <w:r>
        <w:rPr>
          <w:color w:val="323232"/>
        </w:rPr>
        <w:t xml:space="preserve">METHODS:Cross-sectional study. All dogs underwent TCD of the basilar artery under isoflurane anesthesia after magnetic resonance imaging (MRI). Dogs were classified into 3 groups based on MRI findings: no structural diseases (group I), structural disease without MRI evidence of intracranial hypertension (group II), and structural disease with MRI evidence of intracranial hypertension (group III). The TCD vascular resistance variables (resistive index [RI], pulsatility index [PI], and the ratio of systolic to diastolic mean velocity [Sm/Dm]) were measured.</w:t>
      </w:r>
    </w:p>
    <w:p/>
    <w:p>
      <w:pPr>
        <w:pStyle w:val="Normal"/>
      </w:pPr>
      <w:r>
        <w:rPr>
          <w:color w:val="323232"/>
        </w:rPr>
        <w:t xml:space="preserve">RESULTS:Fifteen, 22, and 13 dogs were classified into groups I, II, and III, respectively. Dogs in group III had significantly higher Sm/Dm (median, 1.78; range, 1.44-2.58) than those in group I (median, 1.63; range, 1.43-1.75) and group II (median, 1.62; range, 1.27-2.10). No significant differences in RI and PI were identified among groups.</w:t>
      </w:r>
    </w:p>
    <w:p/>
    <w:p>
      <w:pPr>
        <w:pStyle w:val="Normal"/>
      </w:pPr>
      <w:r>
        <w:rPr>
          <w:color w:val="323232"/>
        </w:rPr>
        <w:t xml:space="preserve">CONCLUSIONS AND CLINICAL IMPORTANCE:Our findings suggest that increased Sm/Dm is associated with MRI findings of suspected intracranial hypertension in dogs with intracranial diseases and that TCD could be a useful tool to help to diagnose intracranial hypertension.</w:t>
      </w:r>
    </w:p>
    <w:p/>
    <w:p>
      <w:pPr>
        <w:pStyle w:val="Normal"/>
      </w:pPr>
      <w:r>
        <w:rPr>
          <w:color w:val="323232"/>
        </w:rPr>
        <w:t xml:space="preserve">J Vet Intern Med, 2018 vol. 32 (1), 2 pp. 314-323.</w:t>
      </w:r>
    </w:p>
    <w:p>
      <w:r>
        <w:rPr>
          <w:rStyle w:val="Hyperlink"/>
        </w:rPr>
        <w:fldChar w:fldCharType="begin"/>
      </w:r>
      <w:r>
        <w:rPr>
          <w:rStyle w:val="Hyperlink"/>
        </w:rPr>
        <w:instrText xml:space="preserve"> HYPERLINK "http://dx.doi.org/10.1111/jvim.14900" </w:instrText>
      </w:r>
      <w:r>
        <w:rPr>
          <w:rStyle w:val="Hyperlink"/>
        </w:rPr>
      </w:r>
      <w:r>
        <w:rPr>
          <w:rStyle w:val="Hyperlink"/>
        </w:rPr>
        <w:fldChar w:fldCharType="separate"/>
      </w:r>
      <w:pPr>
        <w:pStyle w:val="Normal"/>
      </w:pPr>
      <w:r>
        <w:rPr>
          <w:rStyle w:val="Hyperlink"/>
        </w:rPr>
        <w:t xml:space="preserve">http://dx.doi.org/10.1111/jvim.14900</w:t>
      </w:r>
      <w:r>
        <w:rPr>
          <w:rStyle w:val="Hyperlink"/>
        </w:rPr>
        <w:fldChar w:fldCharType="end"/>
      </w:r>
    </w:p>
    <w:p>
      <w:pPr>
        <w:pStyle w:val="Normal"/>
      </w:pPr>
      <w:r>
        <w:rPr>
          <w:color w:val="323232"/>
        </w:rPr>
        <w:t xml:space="preserve">————————</w:t>
      </w:r>
    </w:p>
    <w:p>
      <w:pPr>
        <w:pStyle w:val="Heading4"/>
      </w:pPr>
      <w:r>
        <w:t xml:space="preserve">Metagenomic Investigation of Idiopathic Meningoencephalomyelitis in Dogs.</w:t>
      </w:r>
    </w:p>
    <w:p/>
    <w:p>
      <w:pPr>
        <w:pStyle w:val="Normal"/>
      </w:pPr>
      <w:r>
        <w:rPr>
          <w:color w:val="323232"/>
        </w:rPr>
        <w:t xml:space="preserve">L L Hoon-Hanks, S McGrath, K L Tyler, C Owen, and M D Stenglein.</w:t>
      </w:r>
    </w:p>
    <w:p/>
    <w:p>
      <w:pPr>
        <w:pStyle w:val="Normal"/>
      </w:pPr>
      <w:r>
        <w:rPr>
          <w:color w:val="323232"/>
        </w:rPr>
        <w:t xml:space="preserve">BACKGROUND:Meningoencephalomyelitis of unknown origin (MUO) is a common and life-threatening neuroinflammatory disease in dogs. Features of the disease are suggestive of an underlying immune-mediated process, but the association of this disease with a pathogen is still unknown.</w:t>
      </w:r>
    </w:p>
    <w:p/>
    <w:p>
      <w:pPr>
        <w:pStyle w:val="Normal"/>
      </w:pPr>
      <w:r>
        <w:rPr>
          <w:color w:val="323232"/>
        </w:rPr>
        <w:t xml:space="preserve">HYPOTHESIS/OBJECTIVES:To search for candidate etiologic agent associated with cases if MUO using next generation metagenomic sequencing.</w:t>
      </w:r>
    </w:p>
    <w:p/>
    <w:p>
      <w:pPr>
        <w:pStyle w:val="Normal"/>
      </w:pPr>
      <w:r>
        <w:rPr>
          <w:color w:val="323232"/>
        </w:rPr>
        <w:t xml:space="preserve">ANIMALS:Twenty-two dogs diagnosed with either MUO (11/22; 10 CSF and 3 brain), or noninflammatory CNS diseases inconsistent with MUO (11/22; 11 CSF and 2 brain) that served as negative controls.</w:t>
      </w:r>
    </w:p>
    <w:p/>
    <w:p>
      <w:pPr>
        <w:pStyle w:val="Normal"/>
      </w:pPr>
      <w:r>
        <w:rPr>
          <w:color w:val="323232"/>
        </w:rPr>
        <w:t xml:space="preserve">METHODS:A case control study was performed by identifying MUO and non-MUO cases. Samples were blindly processed and then unblinded for comparative analyses. Inclusion criteria for MUO cases included consistent MRI lesions and inflammatory CSF with a negative PCR panel for infectious agents or histopathologic diagnosis. Dogs with glucocorticoid therapy within 2 weeks of sample collection were excluded. Fresh-frozen cerebrospinal fluid (CSF; 21) and brain (5) samples were collected and RNA and DNA were extracted separately for shotgun metagenomic sequencing. Known positive samples were used as controls to validate our sequencing and analysis pipelines and to establish limits of detection. Sequencing results were analyzed at a nucleotide and protein level for broad comparison to known infectious organisms.</w:t>
      </w:r>
    </w:p>
    <w:p/>
    <w:p>
      <w:pPr>
        <w:pStyle w:val="Normal"/>
      </w:pPr>
      <w:r>
        <w:rPr>
          <w:color w:val="323232"/>
        </w:rPr>
        <w:t xml:space="preserve">RESULTS:No candidate etiologic agents were identified in dogs with MUO.</w:t>
      </w:r>
    </w:p>
    <w:p/>
    <w:p>
      <w:pPr>
        <w:pStyle w:val="Normal"/>
      </w:pPr>
      <w:r>
        <w:rPr>
          <w:color w:val="323232"/>
        </w:rPr>
        <w:t xml:space="preserve">CONCLUSIONS AND CLINICAL IMPORTANCE:These results support but do not prove the hypothesis that MUO is not associated with infectious agents and might be an autoimmune disease.</w:t>
      </w:r>
    </w:p>
    <w:p/>
    <w:p>
      <w:pPr>
        <w:pStyle w:val="Normal"/>
      </w:pPr>
      <w:r>
        <w:rPr>
          <w:color w:val="323232"/>
        </w:rPr>
        <w:t xml:space="preserve">J Vet Intern Med, 2018 vol. 32 (1) pp. 324-330.</w:t>
      </w:r>
    </w:p>
    <w:p>
      <w:r>
        <w:rPr>
          <w:rStyle w:val="Hyperlink"/>
        </w:rPr>
        <w:fldChar w:fldCharType="begin"/>
      </w:r>
      <w:r>
        <w:rPr>
          <w:rStyle w:val="Hyperlink"/>
        </w:rPr>
        <w:instrText xml:space="preserve"> HYPERLINK "http://dx.doi.org/10.1111/jvim.14877" </w:instrText>
      </w:r>
      <w:r>
        <w:rPr>
          <w:rStyle w:val="Hyperlink"/>
        </w:rPr>
      </w:r>
      <w:r>
        <w:rPr>
          <w:rStyle w:val="Hyperlink"/>
        </w:rPr>
        <w:fldChar w:fldCharType="separate"/>
      </w:r>
      <w:pPr>
        <w:pStyle w:val="Normal"/>
      </w:pPr>
      <w:r>
        <w:rPr>
          <w:rStyle w:val="Hyperlink"/>
        </w:rPr>
        <w:t xml:space="preserve">http://dx.doi.org/10.1111/jvim.14877</w:t>
      </w:r>
      <w:r>
        <w:rPr>
          <w:rStyle w:val="Hyperlink"/>
        </w:rPr>
        <w:fldChar w:fldCharType="end"/>
      </w:r>
    </w:p>
    <w:p>
      <w:pPr>
        <w:pStyle w:val="Normal"/>
      </w:pPr>
      <w:r>
        <w:rPr>
          <w:color w:val="323232"/>
        </w:rPr>
        <w:t xml:space="preserve">————————</w:t>
      </w:r>
    </w:p>
    <w:p>
      <w:pPr>
        <w:pStyle w:val="Heading4"/>
      </w:pPr>
      <w:r>
        <w:t xml:space="preserve">Questionnaire-based Analysis of Owner-reported Scratching and</w:t>
      </w:r>
      <w:r>
        <w:t xml:space="preserve"> </w:t>
      </w:r>
      <w:r>
        <w:t xml:space="preserve">Pain Signs in Cavalier King Charles Spaniels Screened for Chiari-like Malformation and Syringomyelia.</w:t>
      </w:r>
    </w:p>
    <w:p/>
    <w:p>
      <w:pPr>
        <w:pStyle w:val="Normal"/>
      </w:pPr>
      <w:r>
        <w:rPr>
          <w:color w:val="323232"/>
        </w:rPr>
        <w:t xml:space="preserve">C R Sparks, S Cerda-Gonzalez, E H Griffith, B D X Lascelles, and N J Olby.</w:t>
      </w:r>
    </w:p>
    <w:p/>
    <w:p>
      <w:pPr>
        <w:pStyle w:val="Normal"/>
      </w:pPr>
      <w:r>
        <w:rPr>
          <w:color w:val="323232"/>
        </w:rPr>
        <w:t xml:space="preserve">BACKGROUND:Chiari-like malformation (CM) and syringomyelia (SM) cause a pain syndrome in Cavalier King Charles spaniels (CKCS). Clinical signs are not consistently apparent on neurologic examination, and owner reporting of signs provides vital clinical history. However, owner questionnaires for this disease are not well developed.</w:t>
      </w:r>
    </w:p>
    <w:p/>
    <w:p>
      <w:pPr>
        <w:pStyle w:val="Normal"/>
      </w:pPr>
      <w:r>
        <w:rPr>
          <w:color w:val="323232"/>
        </w:rPr>
        <w:t xml:space="preserve">OBJECTIVES:To develop a tool to capture owner-reported clinical signs for use in clinical trials and to compare owner-reported signs with the presence of pain on neurologic examination and SM on magnetic resonance imaging (MRI).</w:t>
      </w:r>
    </w:p>
    <w:p/>
    <w:p>
      <w:pPr>
        <w:pStyle w:val="Normal"/>
      </w:pPr>
      <w:r>
        <w:rPr>
          <w:color w:val="323232"/>
        </w:rPr>
        <w:t xml:space="preserve">ANIMALS:Fifty client-owned CKCS.</w:t>
      </w:r>
    </w:p>
    <w:p/>
    <w:p>
      <w:pPr>
        <w:pStyle w:val="Normal"/>
      </w:pPr>
      <w:r>
        <w:rPr>
          <w:color w:val="323232"/>
        </w:rPr>
        <w:t xml:space="preserve">METHODS:Owners completed a questionnaire and pain</w:t>
      </w:r>
      <w:r>
        <w:rPr>
          <w:i w:val="1"/>
          <w:color w:val="323232"/>
        </w:rPr>
        <w:t xml:space="preserve">scratch map. Each dog underwent a neurologic examination and craniocervical magnetic resonance imaging (MRI). Questionnaire responses were developed into scores, area of shading for pain</w:t>
      </w:r>
      <w:r>
        <w:rPr>
          <w:color w:val="323232"/>
        </w:rPr>
        <w:t xml:space="preserve">scratch maps was measured, and consistency of responses between these tools was assessed. Owner-reported findings were compared with neurologic examination findings and presence and severity of SM on MRI.</w:t>
      </w:r>
    </w:p>
    <w:p/>
    <w:p>
      <w:pPr>
        <w:pStyle w:val="Normal"/>
      </w:pPr>
      <w:r>
        <w:rPr>
          <w:color w:val="323232"/>
        </w:rPr>
        <w:t xml:space="preserve">RESULTS:Thirty-three dogs were symptomatic and 17 asymptomatic; 30 had SM. The most common sign of pain was crying out when lifted (n</w:t>
      </w:r>
      <w:r>
        <w:rPr>
          <w:color w:val="323232"/>
        </w:rPr>
        <w:t xml:space="preserve"> </w:t>
      </w:r>
      <w:r>
        <w:rPr>
          <w:color w:val="323232"/>
        </w:rPr>
        <w:t xml:space="preserve">=</w:t>
      </w:r>
      <w:r>
        <w:rPr>
          <w:color w:val="323232"/>
        </w:rPr>
        <w:t xml:space="preserve"> </w:t>
      </w:r>
      <w:r>
        <w:rPr>
          <w:color w:val="323232"/>
        </w:rPr>
        <w:t xml:space="preserve">11). Extent of shaded areas on maps positively correlated with questionnaire scores for pain (r2 </w:t>
      </w:r>
      <w:r>
        <w:rPr>
          <w:color w:val="323232"/>
        </w:rPr>
        <w:t xml:space="preserve"> </w:t>
      </w:r>
      <w:r>
        <w:rPr>
          <w:color w:val="323232"/>
        </w:rPr>
        <w:t xml:space="preserve">=</w:t>
      </w:r>
      <w:r>
        <w:rPr>
          <w:color w:val="323232"/>
        </w:rPr>
        <w:t xml:space="preserve"> </w:t>
      </w:r>
      <w:r>
        <w:rPr>
          <w:color w:val="323232"/>
        </w:rPr>
        <w:t xml:space="preserve">0.213, P</w:t>
      </w:r>
      <w:r>
        <w:rPr>
          <w:color w:val="323232"/>
        </w:rPr>
        <w:t xml:space="preserve"> </w:t>
      </w:r>
      <w:r>
        <w:rPr>
          <w:color w:val="323232"/>
        </w:rPr>
        <w:t xml:space="preserve">=</w:t>
      </w:r>
      <w:r>
        <w:rPr>
          <w:color w:val="323232"/>
        </w:rPr>
        <w:t xml:space="preserve"> </w:t>
      </w:r>
      <w:r>
        <w:rPr>
          <w:color w:val="323232"/>
        </w:rPr>
        <w:t xml:space="preserve">0.006) and scratch (r2 </w:t>
      </w:r>
      <w:r>
        <w:rPr>
          <w:color w:val="323232"/>
        </w:rPr>
        <w:t xml:space="preserve"> </w:t>
      </w:r>
      <w:r>
        <w:rPr>
          <w:color w:val="323232"/>
        </w:rPr>
        <w:t xml:space="preserve">=</w:t>
      </w:r>
      <w:r>
        <w:rPr>
          <w:color w:val="323232"/>
        </w:rPr>
        <w:t xml:space="preserve"> </w:t>
      </w:r>
      <w:r>
        <w:rPr>
          <w:color w:val="323232"/>
        </w:rPr>
        <w:t xml:space="preserve">0.104, P</w:t>
      </w:r>
      <w:r>
        <w:rPr>
          <w:color w:val="323232"/>
        </w:rPr>
        <w:t xml:space="preserve"> </w:t>
      </w:r>
      <w:r>
        <w:rPr>
          <w:color w:val="323232"/>
        </w:rPr>
        <w:t xml:space="preserve">=</w:t>
      </w:r>
      <w:r>
        <w:rPr>
          <w:color w:val="323232"/>
        </w:rPr>
        <w:t xml:space="preserve"> </w:t>
      </w:r>
      <w:r>
        <w:rPr>
          <w:color w:val="323232"/>
        </w:rPr>
        <w:t xml:space="preserve">0.089). Owner-reported findings were not significantly associated with presence or severity of SM or neurologic examination findings. Owner-reported lateralization of signs was significantly associated with SM lateralization (P</w:t>
      </w:r>
      <w:r>
        <w:rPr>
          <w:color w:val="323232"/>
        </w:rPr>
        <w:t xml:space="preserve"> </w:t>
      </w:r>
      <w:r>
        <w:rPr>
          <w:color w:val="323232"/>
        </w:rPr>
        <w:t xml:space="preserve">&lt;</w:t>
      </w:r>
      <w:r>
        <w:rPr>
          <w:color w:val="323232"/>
        </w:rPr>
        <w:t xml:space="preserve"> </w:t>
      </w:r>
      <w:r>
        <w:rPr>
          <w:color w:val="323232"/>
        </w:rPr>
        <w:t xml:space="preserve">0.0001).</w:t>
      </w:r>
    </w:p>
    <w:p/>
    <w:p>
      <w:pPr>
        <w:pStyle w:val="Normal"/>
      </w:pPr>
      <w:r>
        <w:rPr>
          <w:color w:val="323232"/>
        </w:rPr>
        <w:t xml:space="preserve">CONCLUSIONS:The questionnaire and maps may be useful for clinical trials. Lack of association of owner-reported signs with SM highlights our lack of understanding of the pathophysiology of pain in this disease.</w:t>
      </w:r>
    </w:p>
    <w:p/>
    <w:p>
      <w:pPr>
        <w:pStyle w:val="Normal"/>
      </w:pPr>
      <w:r>
        <w:rPr>
          <w:color w:val="323232"/>
        </w:rPr>
        <w:t xml:space="preserve">J Vet Intern Med, 2018 vol. 32 (1) pp. 331-339.</w:t>
      </w:r>
    </w:p>
    <w:p>
      <w:r>
        <w:rPr>
          <w:rStyle w:val="Hyperlink"/>
        </w:rPr>
        <w:fldChar w:fldCharType="begin"/>
      </w:r>
      <w:r>
        <w:rPr>
          <w:rStyle w:val="Hyperlink"/>
        </w:rPr>
        <w:instrText xml:space="preserve"> HYPERLINK "http://dx.doi.org/10.1111/jvim.14856" </w:instrText>
      </w:r>
      <w:r>
        <w:rPr>
          <w:rStyle w:val="Hyperlink"/>
        </w:rPr>
      </w:r>
      <w:r>
        <w:rPr>
          <w:rStyle w:val="Hyperlink"/>
        </w:rPr>
        <w:fldChar w:fldCharType="separate"/>
      </w:r>
      <w:pPr>
        <w:pStyle w:val="Normal"/>
      </w:pPr>
      <w:r>
        <w:rPr>
          <w:rStyle w:val="Hyperlink"/>
        </w:rPr>
        <w:t xml:space="preserve">http://dx.doi.org/10.1111/jvim.14856</w:t>
      </w:r>
      <w:r>
        <w:rPr>
          <w:rStyle w:val="Hyperlink"/>
        </w:rPr>
        <w:fldChar w:fldCharType="end"/>
      </w:r>
    </w:p>
    <w:p>
      <w:pPr>
        <w:pStyle w:val="Normal"/>
      </w:pPr>
      <w:r>
        <w:rPr>
          <w:color w:val="323232"/>
        </w:rPr>
        <w:t xml:space="preserve">————————</w:t>
      </w:r>
    </w:p>
    <w:p>
      <w:pPr>
        <w:pStyle w:val="Heading4"/>
      </w:pPr>
      <w:r>
        <w:t xml:space="preserve">Pharmacokinetics of Single Oral Dose Extended-Release Levetiracetam in Healthy Cats.</w:t>
      </w:r>
    </w:p>
    <w:p/>
    <w:p>
      <w:pPr>
        <w:pStyle w:val="Normal"/>
      </w:pPr>
      <w:r>
        <w:rPr>
          <w:color w:val="323232"/>
        </w:rPr>
        <w:t xml:space="preserve">L Barnard, H Barnes Heller, and D M Boothe.</w:t>
      </w:r>
    </w:p>
    <w:p/>
    <w:p>
      <w:pPr>
        <w:pStyle w:val="Normal"/>
      </w:pPr>
      <w:r>
        <w:rPr>
          <w:color w:val="323232"/>
        </w:rPr>
        <w:t xml:space="preserve">BACKGROUND:Repeated PO dosing of anti-epileptic drugs may contribute to poor compliance in treated cats. Intermediate-release levetiracetam has been used safely in cats, but must be given q8h to maintain serum concentrations in the therapeutic interval for humans (5-45</w:t>
      </w:r>
      <w:r>
        <w:rPr>
          <w:color w:val="323232"/>
        </w:rPr>
        <w:t xml:space="preserve"> </w:t>
      </w:r>
      <w:r>
        <w:rPr>
          <w:color w:val="323232"/>
        </w:rPr>
        <w:t xml:space="preserve">μg/mL). Approved extended-release levetiracetam (XRL) for human use may require less frequent dosing, but the large dosing unit has limited its use in cats.</w:t>
      </w:r>
    </w:p>
    <w:p/>
    <w:p>
      <w:pPr>
        <w:pStyle w:val="Normal"/>
      </w:pPr>
      <w:r>
        <w:rPr>
          <w:color w:val="323232"/>
        </w:rPr>
        <w:t xml:space="preserve">HYPOTHESES:In healthy cats, serum levetiracetam concentration will remain above 5</w:t>
      </w:r>
      <w:r>
        <w:rPr>
          <w:color w:val="323232"/>
        </w:rPr>
        <w:t xml:space="preserve"> </w:t>
      </w:r>
      <w:r>
        <w:rPr>
          <w:color w:val="323232"/>
        </w:rPr>
        <w:t xml:space="preserve">μg/mL for at least 24</w:t>
      </w:r>
      <w:r>
        <w:rPr>
          <w:color w:val="323232"/>
        </w:rPr>
        <w:t xml:space="preserve"> </w:t>
      </w:r>
      <w:r>
        <w:rPr>
          <w:color w:val="323232"/>
        </w:rPr>
        <w:t xml:space="preserve">hours after administration of a single dose of XRL PO and will be well tolerated.</w:t>
      </w:r>
    </w:p>
    <w:p/>
    <w:p>
      <w:pPr>
        <w:pStyle w:val="Normal"/>
      </w:pPr>
      <w:r>
        <w:rPr>
          <w:color w:val="323232"/>
        </w:rPr>
        <w:t xml:space="preserve">ANIMALS:7 healthy cats.</w:t>
      </w:r>
    </w:p>
    <w:p/>
    <w:p>
      <w:pPr>
        <w:pStyle w:val="Normal"/>
      </w:pPr>
      <w:r>
        <w:rPr>
          <w:color w:val="323232"/>
        </w:rPr>
        <w:t xml:space="preserve">METHODS:Extended-release levetiracetam (500</w:t>
      </w:r>
      <w:r>
        <w:rPr>
          <w:color w:val="323232"/>
        </w:rPr>
        <w:t xml:space="preserve"> </w:t>
      </w:r>
      <w:r>
        <w:rPr>
          <w:color w:val="323232"/>
        </w:rPr>
        <w:t xml:space="preserve">mg) was administered PO. Blood was collected and neurologic examination findings recorded at scheduled times over 30</w:t>
      </w:r>
      <w:r>
        <w:rPr>
          <w:color w:val="323232"/>
        </w:rPr>
        <w:t xml:space="preserve"> </w:t>
      </w:r>
      <w:r>
        <w:rPr>
          <w:color w:val="323232"/>
        </w:rPr>
        <w:t xml:space="preserve">hours. Serum levetiracetam concentration was quantitated by an immunoassay validated in cats. Data were subjected to noncompartmental analysis. Descriptive statistics were reported.</w:t>
      </w:r>
    </w:p>
    <w:p/>
    <w:p>
      <w:pPr>
        <w:pStyle w:val="Normal"/>
      </w:pPr>
      <w:r>
        <w:rPr>
          <w:color w:val="323232"/>
        </w:rPr>
        <w:t xml:space="preserve">RESULTS:The median dosage of 86.2</w:t>
      </w:r>
      <w:r>
        <w:rPr>
          <w:color w:val="323232"/>
        </w:rPr>
        <w:t xml:space="preserve"> </w:t>
      </w:r>
      <w:r>
        <w:rPr>
          <w:color w:val="323232"/>
        </w:rPr>
        <w:t xml:space="preserve">mg</w:t>
      </w:r>
      <w:r>
        <w:rPr>
          <w:i w:val="1"/>
          <w:color w:val="323232"/>
        </w:rPr>
        <w:t xml:space="preserve">kg, (range, 80-94.3) achieved a mean maximum concentration (Cmax ) of 89.8</w:t>
      </w:r>
      <w:r>
        <w:rPr>
          <w:color w:val="323232"/>
        </w:rPr>
        <w:t xml:space="preserve"> </w:t>
      </w:r>
      <w:r>
        <w:rPr>
          <w:i w:val="1"/>
          <w:color w:val="323232"/>
        </w:rPr>
        <w:t xml:space="preserve">±</w:t>
      </w:r>
      <w:r>
        <w:rPr>
          <w:color w:val="323232"/>
        </w:rPr>
        <w:t xml:space="preserve"> </w:t>
      </w:r>
      <w:r>
        <w:rPr>
          <w:i w:val="1"/>
          <w:color w:val="323232"/>
        </w:rPr>
        <w:t xml:space="preserve">25.8</w:t>
      </w:r>
      <w:r>
        <w:rPr>
          <w:color w:val="323232"/>
        </w:rPr>
        <w:t xml:space="preserve"> </w:t>
      </w:r>
      <w:r>
        <w:rPr>
          <w:i w:val="1"/>
          <w:color w:val="323232"/>
        </w:rPr>
        <w:t xml:space="preserve">μg</w:t>
      </w:r>
      <w:r>
        <w:rPr>
          <w:color w:val="323232"/>
        </w:rPr>
        <w:t xml:space="preserve">mL at 4.9 ±1.57</w:t>
      </w:r>
      <w:r>
        <w:rPr>
          <w:color w:val="323232"/>
        </w:rPr>
        <w:t xml:space="preserve"> </w:t>
      </w:r>
      <w:r>
        <w:rPr>
          <w:color w:val="323232"/>
        </w:rPr>
        <w:t xml:space="preserve">hours. Serum levetiracetam was &gt;5</w:t>
      </w:r>
      <w:r>
        <w:rPr>
          <w:color w:val="323232"/>
        </w:rPr>
        <w:t xml:space="preserve"> </w:t>
      </w:r>
      <w:r>
        <w:rPr>
          <w:color w:val="323232"/>
        </w:rPr>
        <w:t xml:space="preserve">μg</w:t>
      </w:r>
      <w:r>
        <w:rPr>
          <w:i w:val="1"/>
          <w:color w:val="323232"/>
        </w:rPr>
        <w:t xml:space="preserve">mL in all cats by 90</w:t>
      </w:r>
      <w:r>
        <w:rPr>
          <w:color w:val="323232"/>
        </w:rPr>
        <w:t xml:space="preserve"> </w:t>
      </w:r>
      <w:r>
        <w:rPr>
          <w:i w:val="1"/>
          <w:color w:val="323232"/>
        </w:rPr>
        <w:t xml:space="preserve">minutes. Mean concentrations were 43.7</w:t>
      </w:r>
      <w:r>
        <w:rPr>
          <w:color w:val="323232"/>
        </w:rPr>
        <w:t xml:space="preserve"> </w:t>
      </w:r>
      <w:r>
        <w:rPr>
          <w:i w:val="1"/>
          <w:color w:val="323232"/>
        </w:rPr>
        <w:t xml:space="preserve">±</w:t>
      </w:r>
      <w:r>
        <w:rPr>
          <w:color w:val="323232"/>
        </w:rPr>
        <w:t xml:space="preserve"> </w:t>
      </w:r>
      <w:r>
        <w:rPr>
          <w:i w:val="1"/>
          <w:color w:val="323232"/>
        </w:rPr>
        <w:t xml:space="preserve">18.4 and 4.9</w:t>
      </w:r>
      <w:r>
        <w:rPr>
          <w:color w:val="323232"/>
        </w:rPr>
        <w:t xml:space="preserve"> </w:t>
      </w:r>
      <w:r>
        <w:rPr>
          <w:i w:val="1"/>
          <w:color w:val="323232"/>
        </w:rPr>
        <w:t xml:space="preserve">±</w:t>
      </w:r>
      <w:r>
        <w:rPr>
          <w:color w:val="323232"/>
        </w:rPr>
        <w:t xml:space="preserve"> </w:t>
      </w:r>
      <w:r>
        <w:rPr>
          <w:i w:val="1"/>
          <w:color w:val="323232"/>
        </w:rPr>
        <w:t xml:space="preserve">3.4</w:t>
      </w:r>
      <w:r>
        <w:rPr>
          <w:color w:val="323232"/>
        </w:rPr>
        <w:t xml:space="preserve"> </w:t>
      </w:r>
      <w:r>
        <w:rPr>
          <w:i w:val="1"/>
          <w:color w:val="323232"/>
        </w:rPr>
        <w:t xml:space="preserve">μg</w:t>
      </w:r>
      <w:r>
        <w:rPr>
          <w:color w:val="323232"/>
        </w:rPr>
        <w:t xml:space="preserve">mL at 12 and 24</w:t>
      </w:r>
      <w:r>
        <w:rPr>
          <w:color w:val="323232"/>
        </w:rPr>
        <w:t xml:space="preserve"> </w:t>
      </w:r>
      <w:r>
        <w:rPr>
          <w:color w:val="323232"/>
        </w:rPr>
        <w:t xml:space="preserve">hours, respectively. The half-life was 4.1</w:t>
      </w:r>
      <w:r>
        <w:rPr>
          <w:color w:val="323232"/>
        </w:rPr>
        <w:t xml:space="preserve"> </w:t>
      </w:r>
      <w:r>
        <w:rPr>
          <w:color w:val="323232"/>
        </w:rPr>
        <w:t xml:space="preserve">±</w:t>
      </w:r>
      <w:r>
        <w:rPr>
          <w:color w:val="323232"/>
        </w:rPr>
        <w:t xml:space="preserve"> </w:t>
      </w:r>
      <w:r>
        <w:rPr>
          <w:color w:val="323232"/>
        </w:rPr>
        <w:t xml:space="preserve">1.0</w:t>
      </w:r>
      <w:r>
        <w:rPr>
          <w:color w:val="323232"/>
        </w:rPr>
        <w:t xml:space="preserve"> </w:t>
      </w:r>
      <w:r>
        <w:rPr>
          <w:color w:val="323232"/>
        </w:rPr>
        <w:t xml:space="preserve">hours. The drug was well tolerated.</w:t>
      </w:r>
    </w:p>
    <w:p/>
    <w:p>
      <w:pPr>
        <w:pStyle w:val="Normal"/>
      </w:pPr>
      <w:r>
        <w:rPr>
          <w:color w:val="323232"/>
        </w:rPr>
        <w:t xml:space="preserve">CONCLUSIONS AND CLINICAL IMPORTANCE:A single 500</w:t>
      </w:r>
      <w:r>
        <w:rPr>
          <w:color w:val="323232"/>
        </w:rPr>
        <w:t xml:space="preserve"> </w:t>
      </w:r>
      <w:r>
        <w:rPr>
          <w:color w:val="323232"/>
        </w:rPr>
        <w:t xml:space="preserve">mg PO dose of XRL safely maintained serum levetiracetam concentration ≥5</w:t>
      </w:r>
      <w:r>
        <w:rPr>
          <w:color w:val="323232"/>
        </w:rPr>
        <w:t xml:space="preserve"> </w:t>
      </w:r>
      <w:r>
        <w:rPr>
          <w:color w:val="323232"/>
        </w:rPr>
        <w:t xml:space="preserve">μg/mL in healthy cats for at least 21</w:t>
      </w:r>
      <w:r>
        <w:rPr>
          <w:color w:val="323232"/>
        </w:rPr>
        <w:t xml:space="preserve"> </w:t>
      </w:r>
      <w:r>
        <w:rPr>
          <w:color w:val="323232"/>
        </w:rPr>
        <w:t xml:space="preserve">hours. Clinical efficacy studies in epileptic cats receiving XRL are indicated; however, monitoring should be implemented for individual cats.</w:t>
      </w:r>
    </w:p>
    <w:p/>
    <w:p>
      <w:pPr>
        <w:pStyle w:val="Normal"/>
      </w:pPr>
      <w:r>
        <w:rPr>
          <w:color w:val="323232"/>
        </w:rPr>
        <w:t xml:space="preserve">J Vet Intern Med, 2018 vol. 32 (1) pp. 348-351.</w:t>
      </w:r>
    </w:p>
    <w:p>
      <w:r>
        <w:rPr>
          <w:rStyle w:val="Hyperlink"/>
        </w:rPr>
        <w:fldChar w:fldCharType="begin"/>
      </w:r>
      <w:r>
        <w:rPr>
          <w:rStyle w:val="Hyperlink"/>
        </w:rPr>
        <w:instrText xml:space="preserve"> HYPERLINK "http://dx.doi.org/10.1111/jvim.14863" </w:instrText>
      </w:r>
      <w:r>
        <w:rPr>
          <w:rStyle w:val="Hyperlink"/>
        </w:rPr>
      </w:r>
      <w:r>
        <w:rPr>
          <w:rStyle w:val="Hyperlink"/>
        </w:rPr>
        <w:fldChar w:fldCharType="separate"/>
      </w:r>
      <w:pPr>
        <w:pStyle w:val="Normal"/>
      </w:pPr>
      <w:r>
        <w:rPr>
          <w:rStyle w:val="Hyperlink"/>
        </w:rPr>
        <w:t xml:space="preserve">http://dx.doi.org/10.1111/jvim.14863</w:t>
      </w:r>
      <w:r>
        <w:rPr>
          <w:rStyle w:val="Hyperlink"/>
        </w:rPr>
        <w:fldChar w:fldCharType="end"/>
      </w:r>
    </w:p>
    <w:p>
      <w:pPr>
        <w:pStyle w:val="Normal"/>
      </w:pPr>
      <w:r>
        <w:rPr>
          <w:color w:val="323232"/>
        </w:rPr>
        <w:t xml:space="preserve">————————</w:t>
      </w:r>
    </w:p>
    <w:p>
      <w:pPr>
        <w:pStyle w:val="Heading4"/>
      </w:pPr>
      <w:r>
        <w:t xml:space="preserve">Investigation of the Role of Campylobacter Infection in Suspected Acute Polyradiculoneuritis in Dogs.</w:t>
      </w:r>
    </w:p>
    <w:p/>
    <w:p>
      <w:pPr>
        <w:pStyle w:val="Normal"/>
      </w:pPr>
      <w:r>
        <w:rPr>
          <w:color w:val="323232"/>
        </w:rPr>
        <w:t xml:space="preserve">L Martinez-Anton, M Marenda, S M Firestone, R N Bushell, G Child, A I Hamilton, S N Long, and M A R Le Chevoir.</w:t>
      </w:r>
    </w:p>
    <w:p/>
    <w:p>
      <w:pPr>
        <w:pStyle w:val="Normal"/>
      </w:pPr>
      <w:r>
        <w:rPr>
          <w:color w:val="323232"/>
        </w:rPr>
        <w:t xml:space="preserve">BACKGROUND:Acute polyradiculoneuritis (APN) is an immune-mediated peripheral nerve disorder in dogs that shares many similarities with Guillain-Barré syndrome (GBS) in humans, in which the bacterial pathogen Campylobacter spp. now is considered to be a major triggering agent. Little information is available concerning the relationship between APN and Campylobacter spp. in dogs.</w:t>
      </w:r>
    </w:p>
    <w:p/>
    <w:p>
      <w:pPr>
        <w:pStyle w:val="Normal"/>
      </w:pPr>
      <w:r>
        <w:rPr>
          <w:color w:val="323232"/>
        </w:rPr>
        <w:t xml:space="preserve">HYPOTHESIS/OBJECTIVES:To estimate the association between Campylobacter spp. infection and APN. Associations with additional potential risk factors also were investigated, particularly consumption of raw chicken.</w:t>
      </w:r>
    </w:p>
    <w:p/>
    <w:p>
      <w:pPr>
        <w:pStyle w:val="Normal"/>
      </w:pPr>
      <w:r>
        <w:rPr>
          <w:color w:val="323232"/>
        </w:rPr>
        <w:t xml:space="preserve">ANIMALS:Twenty-seven client-owned dogs suffering from suspected APN and 47 healthy dogs, client-owned or owned by staff members.</w:t>
      </w:r>
    </w:p>
    <w:p/>
    <w:p>
      <w:pPr>
        <w:pStyle w:val="Normal"/>
      </w:pPr>
      <w:r>
        <w:rPr>
          <w:color w:val="323232"/>
        </w:rPr>
        <w:t xml:space="preserve">METHODS:Case-control study with incidence density-based sampling. Fecal samples were collected from each enrolled animal to perform direct culture, DNA extraction, and polymerase chain reaction (PCR) for detection of Campylobacter spp. In some cases, species identification was performed by sequence analysis of the amplicon. Data were obtained from the medical records and owner questionnaires in both groups.</w:t>
      </w:r>
    </w:p>
    <w:p/>
    <w:p>
      <w:pPr>
        <w:pStyle w:val="Normal"/>
      </w:pPr>
      <w:r>
        <w:rPr>
          <w:color w:val="323232"/>
        </w:rPr>
        <w:t xml:space="preserve">RESULTS:In cases in which the fecal sample was collected within 7 days from onset of clinical signs, APN cases were 9.4 times more likely to be positive for Campylobacter spp compared to control dogs (P &lt; 0.001). In addition, a significant association was detected between dogs affected by APN and the consumption of raw chicken (96% of APN cases; 26% of control dogs). The most common Campylobacter spp. identified was Campylobacter upsaliensis.</w:t>
      </w:r>
    </w:p>
    <w:p/>
    <w:p>
      <w:pPr>
        <w:pStyle w:val="Normal"/>
      </w:pPr>
      <w:r>
        <w:rPr>
          <w:color w:val="323232"/>
        </w:rPr>
        <w:t xml:space="preserve">CONCLUSIONS AND CLINICAL IMPORTANCE:Raw chicken consumption is a risk factor in dogs for the development of APN, which potentially is mediated by infection with Campylobacter spp.</w:t>
      </w:r>
    </w:p>
    <w:p/>
    <w:p>
      <w:pPr>
        <w:pStyle w:val="Normal"/>
      </w:pPr>
      <w:r>
        <w:rPr>
          <w:color w:val="323232"/>
        </w:rPr>
        <w:t xml:space="preserve">J Vet Intern Med, 2018 vol. 32 (1), 2 pp. 352-360.</w:t>
      </w:r>
    </w:p>
    <w:p>
      <w:r>
        <w:rPr>
          <w:rStyle w:val="Hyperlink"/>
        </w:rPr>
        <w:fldChar w:fldCharType="begin"/>
      </w:r>
      <w:r>
        <w:rPr>
          <w:rStyle w:val="Hyperlink"/>
        </w:rPr>
        <w:instrText xml:space="preserve"> HYPERLINK "http://dx.doi.org/10.1111/jvim.15030" </w:instrText>
      </w:r>
      <w:r>
        <w:rPr>
          <w:rStyle w:val="Hyperlink"/>
        </w:rPr>
      </w:r>
      <w:r>
        <w:rPr>
          <w:rStyle w:val="Hyperlink"/>
        </w:rPr>
        <w:fldChar w:fldCharType="separate"/>
      </w:r>
      <w:pPr>
        <w:pStyle w:val="Normal"/>
      </w:pPr>
      <w:r>
        <w:rPr>
          <w:rStyle w:val="Hyperlink"/>
        </w:rPr>
        <w:t xml:space="preserve">http://dx.doi.org/10.1111/jvim.15030</w:t>
      </w:r>
      <w:r>
        <w:rPr>
          <w:rStyle w:val="Hyperlink"/>
        </w:rPr>
        <w:fldChar w:fldCharType="end"/>
      </w:r>
    </w:p>
    <w:p>
      <w:pPr>
        <w:pStyle w:val="Normal"/>
      </w:pPr>
      <w:r>
        <w:rPr>
          <w:color w:val="323232"/>
        </w:rPr>
        <w:t xml:space="preserve">————————</w:t>
      </w:r>
    </w:p>
    <w:p>
      <w:pPr>
        <w:pStyle w:val="Heading4"/>
      </w:pPr>
      <w:r>
        <w:t xml:space="preserve">Impact of Pretreatment Neutrophil Count on Chemotherapy Administration and Toxicity in Dogs with Lymphoma Treated with CHOP Chemotherapy.</w:t>
      </w:r>
    </w:p>
    <w:p/>
    <w:p>
      <w:pPr>
        <w:pStyle w:val="Normal"/>
      </w:pPr>
      <w:r>
        <w:rPr>
          <w:color w:val="323232"/>
        </w:rPr>
        <w:t xml:space="preserve">Q Fournier, J-C Serra, I Handel, and J Lawrence.</w:t>
      </w:r>
    </w:p>
    <w:p/>
    <w:p>
      <w:pPr>
        <w:pStyle w:val="Normal"/>
      </w:pPr>
      <w:r>
        <w:rPr>
          <w:color w:val="323232"/>
        </w:rPr>
        <w:t xml:space="preserve">BACKGROUND:Prechemotherapy absolute neutrophil count (ANC) cutoffs are arbitrary and vary across institutions and clinicians. Similarly, subjective guidelines are utilized for the administration of prophylactic antibiotics in neutropenic dogs.</w:t>
      </w:r>
    </w:p>
    <w:p/>
    <w:p>
      <w:pPr>
        <w:pStyle w:val="Normal"/>
      </w:pPr>
      <w:r>
        <w:rPr>
          <w:color w:val="323232"/>
        </w:rPr>
        <w:t xml:space="preserve">OBJECTIVES:To evaluate the impact of various ANC cutoffs on chemotherapy administration in dogs with lymphoma treated with CHOP chemotherapy and to determine whether an association between prechemotherapy ANC and subsequent toxicity exists. The secondary objective was to evaluate a currently used ANC cutoff to indicate prescription of prophylactic antibiotics.</w:t>
      </w:r>
    </w:p>
    <w:p/>
    <w:p>
      <w:pPr>
        <w:pStyle w:val="Normal"/>
      </w:pPr>
      <w:r>
        <w:rPr>
          <w:color w:val="323232"/>
        </w:rPr>
        <w:t xml:space="preserve">ANIMALS:Dogs diagnosed with lymphoma treated with CHOP chemotherapy (n = 64).</w:t>
      </w:r>
    </w:p>
    <w:p/>
    <w:p>
      <w:pPr>
        <w:pStyle w:val="Normal"/>
      </w:pPr>
      <w:r>
        <w:rPr>
          <w:color w:val="323232"/>
        </w:rPr>
        <w:t xml:space="preserve">METHODS:Six hundred and fifteen ANCs were stratified into 6 classes. The 3 ANC cutoffs 1.5 × 103 /μL, 2.0 × 103 /μL, and 2.5 × 103 /μL were assessed. The presence of an association between prechemotherapy ANC class and toxicity was determined. Afebrile neutropenic dogs with ANC &lt;1.5 × 103 /μL but above the criteria for prophylactic antibiotics were evaluated.</w:t>
      </w:r>
    </w:p>
    <w:p/>
    <w:p>
      <w:pPr>
        <w:pStyle w:val="Normal"/>
      </w:pPr>
      <w:r>
        <w:rPr>
          <w:color w:val="323232"/>
        </w:rPr>
        <w:t xml:space="preserve">RESULTS:Chemotherapy was not administered in 7% of visits with an ANC cutoff of 1.5 × 103 /μL; chemotherapy would not have been administered in 10% and 16% of visits with an ANC cutoff of 2.0 × 103 /μL or 2.5 × 103 /μL, respectively. There was no association among the 3 lower prechemotherapy ANC classes and toxicity. All dogs with ANC 0.75-1.5 × 103 /μL recovered spontaneously without medical intervention.</w:t>
      </w:r>
    </w:p>
    <w:p/>
    <w:p>
      <w:pPr>
        <w:pStyle w:val="Normal"/>
      </w:pPr>
      <w:r>
        <w:rPr>
          <w:color w:val="323232"/>
        </w:rPr>
        <w:t xml:space="preserve">CONCLUSION AND CLINICAL IMPORTANCE:The number of dose delays was minimized with a prechemotherapy ANC cutoff of 1.5 × 103 /μL, and the prechemotherapy ANC class 1.5-1.99 × 103 /μL was not associated with an increased toxicity. Further investigation of an ANC cutoff near 0.75 × 103 /μL in which to prescribe prophylactic antibiotics is indicated.</w:t>
      </w:r>
    </w:p>
    <w:p/>
    <w:p>
      <w:pPr>
        <w:pStyle w:val="Normal"/>
      </w:pPr>
      <w:r>
        <w:rPr>
          <w:color w:val="323232"/>
        </w:rPr>
        <w:t xml:space="preserve">J Vet Intern Med, 2018 vol. 32 (1), 6 pp. 384-393.</w:t>
      </w:r>
    </w:p>
    <w:p>
      <w:r>
        <w:rPr>
          <w:rStyle w:val="Hyperlink"/>
        </w:rPr>
        <w:fldChar w:fldCharType="begin"/>
      </w:r>
      <w:r>
        <w:rPr>
          <w:rStyle w:val="Hyperlink"/>
        </w:rPr>
        <w:instrText xml:space="preserve"> HYPERLINK "http://dx.doi.org/10.1111/jvim.14895" </w:instrText>
      </w:r>
      <w:r>
        <w:rPr>
          <w:rStyle w:val="Hyperlink"/>
        </w:rPr>
      </w:r>
      <w:r>
        <w:rPr>
          <w:rStyle w:val="Hyperlink"/>
        </w:rPr>
        <w:fldChar w:fldCharType="separate"/>
      </w:r>
      <w:pPr>
        <w:pStyle w:val="Normal"/>
      </w:pPr>
      <w:r>
        <w:rPr>
          <w:rStyle w:val="Hyperlink"/>
        </w:rPr>
        <w:t xml:space="preserve">http://dx.doi.org/10.1111/jvim.14895</w:t>
      </w:r>
      <w:r>
        <w:rPr>
          <w:rStyle w:val="Hyperlink"/>
        </w:rPr>
        <w:fldChar w:fldCharType="end"/>
      </w:r>
    </w:p>
    <w:p>
      <w:pPr>
        <w:pStyle w:val="Normal"/>
      </w:pPr>
      <w:r>
        <w:rPr>
          <w:color w:val="323232"/>
        </w:rPr>
        <w:t xml:space="preserve">————————</w:t>
      </w:r>
    </w:p>
    <w:p>
      <w:pPr>
        <w:pStyle w:val="Heading4"/>
      </w:pPr>
      <w:r>
        <w:t xml:space="preserve">Effect of a Pheromone on Stress-Associated Reactivation of Feline Herpesvirus-1 in Experimentally Inoculated Kittens.</w:t>
      </w:r>
    </w:p>
    <w:p/>
    <w:p>
      <w:pPr>
        <w:pStyle w:val="Normal"/>
      </w:pPr>
      <w:r>
        <w:rPr>
          <w:color w:val="323232"/>
        </w:rPr>
        <w:t xml:space="preserve">Elena T Contreras, E Hodgkins, V Tynes, A Beck, F Olea-Popelka, and M R Lappin.</w:t>
      </w:r>
    </w:p>
    <w:p/>
    <w:p>
      <w:pPr>
        <w:pStyle w:val="Normal"/>
      </w:pPr>
      <w:r>
        <w:rPr>
          <w:color w:val="323232"/>
        </w:rPr>
        <w:t xml:space="preserve">BACKGROUND:Stress contributes to reactivation of feline herpesvirus-1 (FHV-1). The usage of pheromones to decrease stress in FHV-1 experimentally inoculated kittens has not previously been investigated.</w:t>
      </w:r>
    </w:p>
    <w:p/>
    <w:p>
      <w:pPr>
        <w:pStyle w:val="Normal"/>
      </w:pPr>
      <w:r>
        <w:rPr>
          <w:color w:val="323232"/>
        </w:rPr>
        <w:t xml:space="preserve">HYPOTHESIS/OBJECTIVES:To determine whether a feline pheromone would lessen stress, resulting in decreased recurrence of FHV-1-associated illness in kittens.</w:t>
      </w:r>
    </w:p>
    <w:p/>
    <w:p>
      <w:pPr>
        <w:pStyle w:val="Normal"/>
      </w:pPr>
      <w:r>
        <w:rPr>
          <w:color w:val="323232"/>
        </w:rPr>
        <w:t xml:space="preserve">ANIMALS:Twelve 5-month-old, purpose-bred kittens.</w:t>
      </w:r>
    </w:p>
    <w:p/>
    <w:p>
      <w:pPr>
        <w:pStyle w:val="Normal"/>
      </w:pPr>
      <w:r>
        <w:rPr>
          <w:color w:val="323232"/>
        </w:rPr>
        <w:t xml:space="preserve">METHODS:Randomized, double-blind, placebo-controlled clinical trial. Kittens previously infected with the same dose of FHV-1 were randomized into 2 separate but identical group rooms. After a 2-week equilibration period, a diffuser containing either the pheromone or placebo was placed in each of the rooms, and the kittens acclimated for an additional 2</w:t>
      </w:r>
      <w:r>
        <w:rPr>
          <w:color w:val="323232"/>
        </w:rPr>
        <w:t xml:space="preserve"> </w:t>
      </w:r>
      <w:r>
        <w:rPr>
          <w:color w:val="323232"/>
        </w:rPr>
        <w:t xml:space="preserve">weeks. Every 2</w:t>
      </w:r>
      <w:r>
        <w:rPr>
          <w:color w:val="323232"/>
        </w:rPr>
        <w:t xml:space="preserve"> </w:t>
      </w:r>
      <w:r>
        <w:rPr>
          <w:color w:val="323232"/>
        </w:rPr>
        <w:t xml:space="preserve">weeks thereafter, for the 8-week study period, housing was alternated between kennel- and group housing. Blinded observers applied a standardized clinical and behavioral scoring rubric daily. After each 2-week period, serum cortisol concentrations and quantitative PCR for FHV-1 and glyceraldehyde 3-phosphate dehydrogenase (GAPDH) ratios were evaluated. Clinical, behavioral, and laboratory test results were compared between groups within individual and combined study periods.</w:t>
      </w:r>
    </w:p>
    <w:p/>
    <w:p>
      <w:pPr>
        <w:pStyle w:val="Normal"/>
      </w:pPr>
      <w:r>
        <w:rPr>
          <w:color w:val="323232"/>
        </w:rPr>
        <w:t xml:space="preserve">RESULTS:Sneezing occurred more frequently in the placebo group during individual (P</w:t>
      </w:r>
      <w:r>
        <w:rPr>
          <w:color w:val="323232"/>
        </w:rPr>
        <w:t xml:space="preserve"> </w:t>
      </w:r>
      <w:r>
        <w:rPr>
          <w:color w:val="323232"/>
        </w:rPr>
        <w:t xml:space="preserve">=</w:t>
      </w:r>
      <w:r>
        <w:rPr>
          <w:color w:val="323232"/>
        </w:rPr>
        <w:t xml:space="preserve"> </w:t>
      </w:r>
      <w:r>
        <w:rPr>
          <w:color w:val="323232"/>
        </w:rPr>
        <w:t xml:space="preserve">0.006) and combined study periods (P</w:t>
      </w:r>
      <w:r>
        <w:rPr>
          <w:color w:val="323232"/>
        </w:rPr>
        <w:t xml:space="preserve"> </w:t>
      </w:r>
      <w:r>
        <w:rPr>
          <w:color w:val="323232"/>
        </w:rPr>
        <w:t xml:space="preserve">=</w:t>
      </w:r>
      <w:r>
        <w:rPr>
          <w:color w:val="323232"/>
        </w:rPr>
        <w:t xml:space="preserve"> </w:t>
      </w:r>
      <w:r>
        <w:rPr>
          <w:color w:val="323232"/>
        </w:rPr>
        <w:t xml:space="preserve">0.001). Sleep at the end of observation periods occurred more frequently in the pheromone group during individual (P</w:t>
      </w:r>
      <w:r>
        <w:rPr>
          <w:color w:val="323232"/>
        </w:rPr>
        <w:t xml:space="preserve"> </w:t>
      </w:r>
      <w:r>
        <w:rPr>
          <w:color w:val="323232"/>
        </w:rPr>
        <w:t xml:space="preserve">=</w:t>
      </w:r>
      <w:r>
        <w:rPr>
          <w:color w:val="323232"/>
        </w:rPr>
        <w:t xml:space="preserve"> </w:t>
      </w:r>
      <w:r>
        <w:rPr>
          <w:color w:val="323232"/>
        </w:rPr>
        <w:t xml:space="preserve">0.006) and combined study periods (P</w:t>
      </w:r>
      <w:r>
        <w:rPr>
          <w:color w:val="323232"/>
        </w:rPr>
        <w:t xml:space="preserve"> </w:t>
      </w:r>
      <w:r>
        <w:rPr>
          <w:color w:val="323232"/>
        </w:rPr>
        <w:t xml:space="preserve">&lt;</w:t>
      </w:r>
      <w:r>
        <w:rPr>
          <w:color w:val="323232"/>
        </w:rPr>
        <w:t xml:space="preserve"> </w:t>
      </w:r>
      <w:r>
        <w:rPr>
          <w:color w:val="323232"/>
        </w:rPr>
        <w:t xml:space="preserve">0.001).</w:t>
      </w:r>
    </w:p>
    <w:p/>
    <w:p>
      <w:pPr>
        <w:pStyle w:val="Normal"/>
      </w:pPr>
      <w:r>
        <w:rPr>
          <w:color w:val="323232"/>
        </w:rPr>
        <w:t xml:space="preserve">CONCLUSIONS AND CLINICAL IMPORTANCE:The findings suggest that the pheromone decreased stress, and the decrease in stress response may have resulted in decreased sneezing associated with FHV-1.</w:t>
      </w:r>
    </w:p>
    <w:p/>
    <w:p>
      <w:pPr>
        <w:pStyle w:val="Normal"/>
      </w:pPr>
      <w:r>
        <w:rPr>
          <w:color w:val="323232"/>
        </w:rPr>
        <w:t xml:space="preserve">J Vet Intern Med, 2018 vol. 32 (1) pp. 406-417.</w:t>
      </w:r>
    </w:p>
    <w:p>
      <w:r>
        <w:rPr>
          <w:rStyle w:val="Hyperlink"/>
        </w:rPr>
        <w:fldChar w:fldCharType="begin"/>
      </w:r>
      <w:r>
        <w:rPr>
          <w:rStyle w:val="Hyperlink"/>
        </w:rPr>
        <w:instrText xml:space="preserve"> HYPERLINK "http://dx.doi.org/10.1111/jvim.14894" </w:instrText>
      </w:r>
      <w:r>
        <w:rPr>
          <w:rStyle w:val="Hyperlink"/>
        </w:rPr>
      </w:r>
      <w:r>
        <w:rPr>
          <w:rStyle w:val="Hyperlink"/>
        </w:rPr>
        <w:fldChar w:fldCharType="separate"/>
      </w:r>
      <w:pPr>
        <w:pStyle w:val="Normal"/>
      </w:pPr>
      <w:r>
        <w:rPr>
          <w:rStyle w:val="Hyperlink"/>
        </w:rPr>
        <w:t xml:space="preserve">http://dx.doi.org/10.1111/jvim.14894</w:t>
      </w:r>
      <w:r>
        <w:rPr>
          <w:rStyle w:val="Hyperlink"/>
        </w:rPr>
        <w:fldChar w:fldCharType="end"/>
      </w:r>
    </w:p>
    <w:p>
      <w:pPr>
        <w:pStyle w:val="Normal"/>
      </w:pPr>
      <w:r>
        <w:rPr>
          <w:color w:val="323232"/>
        </w:rPr>
        <w:t xml:space="preserve">————————</w:t>
      </w:r>
    </w:p>
    <w:p>
      <w:pPr>
        <w:pStyle w:val="Heading4"/>
      </w:pPr>
      <w:r>
        <w:t xml:space="preserve">Comparative, multidimensional imaging of patent ductus arteriosus and a proposed update to the morphology classification system for dogs.</w:t>
      </w:r>
    </w:p>
    <w:p/>
    <w:p>
      <w:pPr>
        <w:pStyle w:val="Normal"/>
      </w:pPr>
      <w:r>
        <w:rPr>
          <w:color w:val="323232"/>
        </w:rPr>
        <w:t xml:space="preserve">Kelley R Doocy, Ashley B Saunders, Sonya G Gordon, and Nicholas Jeffery.</w:t>
      </w:r>
    </w:p>
    <w:p/>
    <w:p>
      <w:pPr>
        <w:pStyle w:val="Normal"/>
      </w:pPr>
      <w:r>
        <w:rPr>
          <w:color w:val="323232"/>
        </w:rPr>
        <w:t xml:space="preserve">BACKGROUND:Accurately assessing the morphology and shape of the patent ductus arteriosus (PDA) and obtaining measurements are important to avoid procedural complications.</w:t>
      </w:r>
    </w:p>
    <w:p/>
    <w:p>
      <w:pPr>
        <w:pStyle w:val="Normal"/>
      </w:pPr>
      <w:r>
        <w:rPr>
          <w:color w:val="323232"/>
        </w:rPr>
        <w:t xml:space="preserve">OBJECTIVES:To characterize and compare PDA morphology, shape, and dimensions with angiography and echocardiography.</w:t>
      </w:r>
    </w:p>
    <w:p/>
    <w:p>
      <w:pPr>
        <w:pStyle w:val="Normal"/>
      </w:pPr>
      <w:r>
        <w:rPr>
          <w:color w:val="323232"/>
        </w:rPr>
        <w:t xml:space="preserve">ANIMALS:25 client-owned dogs with echocardiographically confirmed PDA.</w:t>
      </w:r>
    </w:p>
    <w:p/>
    <w:p>
      <w:pPr>
        <w:pStyle w:val="Normal"/>
      </w:pPr>
      <w:r>
        <w:rPr>
          <w:color w:val="323232"/>
        </w:rPr>
        <w:t xml:space="preserve">METHODS:Prospective case series. Imaging consisted of single plane angiography, transthoracic echocardiography from the right (TTE-R) and left (TTE-L), and two-dimensional, biplane, and three-dimensional transesophageal echocardiography (TEE-2D and TEE-3D). Measurements included angiographic minimal ductal diameter (MDD), echocardiographic pulmonary ostium in a single dimension (TTE-R, TTE-L, and TEE-2D) and in perpendicular dimensions (TEE-3D) with similar measurements of the ampulla 3 mm above the MDD or pulmonary ostium. The morphology and shape of the PDA were characterized.</w:t>
      </w:r>
    </w:p>
    <w:p/>
    <w:p>
      <w:pPr>
        <w:pStyle w:val="Normal"/>
      </w:pPr>
      <w:r>
        <w:rPr>
          <w:color w:val="323232"/>
        </w:rPr>
        <w:t xml:space="preserve">RESULTS:Catheter-based occlusion (N</w:t>
      </w:r>
      <w:r>
        <w:rPr>
          <w:color w:val="323232"/>
        </w:rPr>
        <w:t xml:space="preserve"> </w:t>
      </w:r>
      <w:r>
        <w:rPr>
          <w:color w:val="323232"/>
        </w:rPr>
        <w:t xml:space="preserve">=</w:t>
      </w:r>
      <w:r>
        <w:rPr>
          <w:color w:val="323232"/>
        </w:rPr>
        <w:t xml:space="preserve"> </w:t>
      </w:r>
      <w:r>
        <w:rPr>
          <w:color w:val="323232"/>
        </w:rPr>
        <w:t xml:space="preserve">20) and surgical ligation (N</w:t>
      </w:r>
      <w:r>
        <w:rPr>
          <w:color w:val="323232"/>
        </w:rPr>
        <w:t xml:space="preserve"> </w:t>
      </w:r>
      <w:r>
        <w:rPr>
          <w:color w:val="323232"/>
        </w:rPr>
        <w:t xml:space="preserve">=</w:t>
      </w:r>
      <w:r>
        <w:rPr>
          <w:color w:val="323232"/>
        </w:rPr>
        <w:t xml:space="preserve"> </w:t>
      </w:r>
      <w:r>
        <w:rPr>
          <w:color w:val="323232"/>
        </w:rPr>
        <w:t xml:space="preserve">5) were performed without complication. Angiographic morphology was classified as type II (N</w:t>
      </w:r>
      <w:r>
        <w:rPr>
          <w:color w:val="323232"/>
        </w:rPr>
        <w:t xml:space="preserve"> </w:t>
      </w:r>
      <w:r>
        <w:rPr>
          <w:color w:val="323232"/>
        </w:rPr>
        <w:t xml:space="preserve">=</w:t>
      </w:r>
      <w:r>
        <w:rPr>
          <w:color w:val="323232"/>
        </w:rPr>
        <w:t xml:space="preserve"> </w:t>
      </w:r>
      <w:r>
        <w:rPr>
          <w:color w:val="323232"/>
        </w:rPr>
        <w:t xml:space="preserve">19), type III (N</w:t>
      </w:r>
      <w:r>
        <w:rPr>
          <w:color w:val="323232"/>
        </w:rPr>
        <w:t xml:space="preserve"> </w:t>
      </w:r>
      <w:r>
        <w:rPr>
          <w:color w:val="323232"/>
        </w:rPr>
        <w:t xml:space="preserve">=</w:t>
      </w:r>
      <w:r>
        <w:rPr>
          <w:color w:val="323232"/>
        </w:rPr>
        <w:t xml:space="preserve"> </w:t>
      </w:r>
      <w:r>
        <w:rPr>
          <w:color w:val="323232"/>
        </w:rPr>
        <w:t xml:space="preserve">1), and other (N</w:t>
      </w:r>
      <w:r>
        <w:rPr>
          <w:color w:val="323232"/>
        </w:rPr>
        <w:t xml:space="preserve"> </w:t>
      </w:r>
      <w:r>
        <w:rPr>
          <w:color w:val="323232"/>
        </w:rPr>
        <w:t xml:space="preserve">=</w:t>
      </w:r>
      <w:r>
        <w:rPr>
          <w:color w:val="323232"/>
        </w:rPr>
        <w:t xml:space="preserve"> </w:t>
      </w:r>
      <w:r>
        <w:rPr>
          <w:color w:val="323232"/>
        </w:rPr>
        <w:t xml:space="preserve">1). Angiographic MDD and TEE-2D pulmonary ostium measurements were significantly (P</w:t>
      </w:r>
      <w:r>
        <w:rPr>
          <w:color w:val="323232"/>
        </w:rPr>
        <w:t xml:space="preserve"> </w:t>
      </w:r>
      <w:r>
        <w:rPr>
          <w:color w:val="323232"/>
        </w:rPr>
        <w:t xml:space="preserve">=</w:t>
      </w:r>
      <w:r>
        <w:rPr>
          <w:color w:val="323232"/>
        </w:rPr>
        <w:t xml:space="preserve"> </w:t>
      </w:r>
      <w:r>
        <w:rPr>
          <w:color w:val="323232"/>
        </w:rPr>
        <w:t xml:space="preserve">.008) but weakly correlated (r</w:t>
      </w:r>
      <w:r>
        <w:rPr>
          <w:color w:val="323232"/>
        </w:rPr>
        <w:t xml:space="preserve"> </w:t>
      </w:r>
      <w:r>
        <w:rPr>
          <w:color w:val="323232"/>
        </w:rPr>
        <w:t xml:space="preserve">=</w:t>
      </w:r>
      <w:r>
        <w:rPr>
          <w:color w:val="323232"/>
        </w:rPr>
        <w:t xml:space="preserve"> </w:t>
      </w:r>
      <w:r>
        <w:rPr>
          <w:color w:val="323232"/>
        </w:rPr>
        <w:t xml:space="preserve">.56); similar relationships were found for ampulla diameter measurements (P</w:t>
      </w:r>
      <w:r>
        <w:rPr>
          <w:color w:val="323232"/>
        </w:rPr>
        <w:t xml:space="preserve"> </w:t>
      </w:r>
      <w:r>
        <w:rPr>
          <w:color w:val="323232"/>
        </w:rPr>
        <w:t xml:space="preserve">&lt;</w:t>
      </w:r>
      <w:r>
        <w:rPr>
          <w:color w:val="323232"/>
        </w:rPr>
        <w:t xml:space="preserve"> </w:t>
      </w:r>
      <w:r>
        <w:rPr>
          <w:color w:val="323232"/>
        </w:rPr>
        <w:t xml:space="preserve">.0001; r</w:t>
      </w:r>
      <w:r>
        <w:rPr>
          <w:color w:val="323232"/>
        </w:rPr>
        <w:t xml:space="preserve"> </w:t>
      </w:r>
      <w:r>
        <w:rPr>
          <w:color w:val="323232"/>
        </w:rPr>
        <w:t xml:space="preserve">=</w:t>
      </w:r>
      <w:r>
        <w:rPr>
          <w:color w:val="323232"/>
        </w:rPr>
        <w:t xml:space="preserve"> </w:t>
      </w:r>
      <w:r>
        <w:rPr>
          <w:color w:val="323232"/>
        </w:rPr>
        <w:t xml:space="preserve">.75). In general, TEE-2D did not correlate with other imaging modalities measurements. Based on TEE-3D measurements, the majority of pulmonary ostium (17/24; 71%) and ampulla (19/24; 79%) were oval.</w:t>
      </w:r>
    </w:p>
    <w:p/>
    <w:p>
      <w:pPr>
        <w:pStyle w:val="Normal"/>
      </w:pPr>
      <w:r>
        <w:rPr>
          <w:color w:val="323232"/>
        </w:rPr>
        <w:t xml:space="preserve">CONCLUSIONS AND CLINICAL IMPORTANCE:Measurements using different imaging modalities are not interchangeable. TEE-3D provided an en face view of the PDA that cannot be replicated with other echocardiographic techniques and demonstrated an oval shape in the majority of dogs. We propose an update to the current classification system to include additional PDA morphologies.</w:t>
      </w:r>
    </w:p>
    <w:p/>
    <w:p>
      <w:pPr>
        <w:pStyle w:val="Normal"/>
      </w:pPr>
      <w:r>
        <w:rPr>
          <w:color w:val="323232"/>
        </w:rPr>
        <w:t xml:space="preserve">J Vet Intern Med, 2018 vol. 32 (2) pp. 648-657.</w:t>
      </w:r>
    </w:p>
    <w:p>
      <w:r>
        <w:rPr>
          <w:rStyle w:val="Hyperlink"/>
        </w:rPr>
        <w:fldChar w:fldCharType="begin"/>
      </w:r>
      <w:r>
        <w:rPr>
          <w:rStyle w:val="Hyperlink"/>
        </w:rPr>
        <w:instrText xml:space="preserve"> HYPERLINK "http://dx.doi.org/10.1111/jvim.15068" </w:instrText>
      </w:r>
      <w:r>
        <w:rPr>
          <w:rStyle w:val="Hyperlink"/>
        </w:rPr>
      </w:r>
      <w:r>
        <w:rPr>
          <w:rStyle w:val="Hyperlink"/>
        </w:rPr>
        <w:fldChar w:fldCharType="separate"/>
      </w:r>
      <w:pPr>
        <w:pStyle w:val="Normal"/>
      </w:pPr>
      <w:r>
        <w:rPr>
          <w:rStyle w:val="Hyperlink"/>
        </w:rPr>
        <w:t xml:space="preserve">http://dx.doi.org/10.1111/jvim.15068</w:t>
      </w:r>
      <w:r>
        <w:rPr>
          <w:rStyle w:val="Hyperlink"/>
        </w:rPr>
        <w:fldChar w:fldCharType="end"/>
      </w:r>
    </w:p>
    <w:p>
      <w:pPr>
        <w:pStyle w:val="Normal"/>
      </w:pPr>
      <w:r>
        <w:rPr>
          <w:color w:val="323232"/>
        </w:rPr>
        <w:t xml:space="preserve">————————</w:t>
      </w:r>
    </w:p>
    <w:p>
      <w:pPr>
        <w:pStyle w:val="Heading4"/>
      </w:pPr>
      <w:r>
        <w:t xml:space="preserve">Evaluation of SNAP cPL, Spec cPL, VetScan cPL Rapid Test, and Precision PSL Assays for the Diagnosis of Clinical Pancreatitis in Dogs. Diagnostic Assays for Canine Pancreatitis.</w:t>
      </w:r>
    </w:p>
    <w:p/>
    <w:p>
      <w:pPr>
        <w:pStyle w:val="Normal"/>
      </w:pPr>
      <w:r>
        <w:rPr>
          <w:color w:val="323232"/>
        </w:rPr>
        <w:t xml:space="preserve">H Cridge, A G MacLeod, G E Pachtinger, A J Mackin, A M Sullivant, J M Thomason, T M Archer, K V Lunsford, K Rosenthal, and R W Wills.</w:t>
      </w:r>
    </w:p>
    <w:p/>
    <w:p>
      <w:pPr>
        <w:pStyle w:val="Normal"/>
      </w:pPr>
      <w:r>
        <w:rPr>
          <w:color w:val="323232"/>
        </w:rPr>
        <w:t xml:space="preserve">BACKGROUND:The sensitivity, specificity, and agreement of 4 diagnostic assays (SNAP canine pancreatic lipase (cPL), specific cPL (Spec cPL), VetScan cPL Rapid Test, and Precision PSL) for pancreatitis in dogs have not been directly compared.</w:t>
      </w:r>
    </w:p>
    <w:p/>
    <w:p>
      <w:pPr>
        <w:pStyle w:val="Normal"/>
      </w:pPr>
      <w:r>
        <w:rPr>
          <w:color w:val="323232"/>
        </w:rPr>
        <w:t xml:space="preserve">HYPOTHESIS/OBJECTIVES:To determine the level of agreement among each of the 4 assays and a clinical suspicion score, level of agreement among the assays, and sensitivity and specificity of each assay in a clinically relevant patient group.</w:t>
      </w:r>
    </w:p>
    <w:p/>
    <w:p>
      <w:pPr>
        <w:pStyle w:val="Normal"/>
      </w:pPr>
      <w:r>
        <w:rPr>
          <w:color w:val="323232"/>
        </w:rPr>
        <w:t xml:space="preserve">ANIMALS:Fifty client-owned dogs with clinical signs of gastrointestinal disease.</w:t>
      </w:r>
    </w:p>
    <w:p/>
    <w:p>
      <w:pPr>
        <w:pStyle w:val="Normal"/>
      </w:pPr>
      <w:r>
        <w:rPr>
          <w:color w:val="323232"/>
        </w:rPr>
        <w:t xml:space="preserve">METHODS:Prospective study. History, physical examination, complete blood count, serum biochemistry, abdominal ultrasound examination, and the 4 diagnostic assays for pancreatitis were performed. Intraclass correlation coefficients (ICC) were used to determine the level of agreement between each assay and a clinical suspicion score determined by a panel of 5 board-certified veterinary internists.</w:t>
      </w:r>
    </w:p>
    <w:p/>
    <w:p>
      <w:pPr>
        <w:pStyle w:val="Normal"/>
      </w:pPr>
      <w:r>
        <w:rPr>
          <w:color w:val="323232"/>
        </w:rPr>
        <w:t xml:space="preserve">RESULTS:The ICC between the clinical suspicion score and the 4 assays were SNAP cPL, 0.61; Spec cPL, 0.68; VetScan cPL Rapid Test, 0.68; and Precision PSL, 0.60. The sensitivities of the assays ranged from 73.9 to 100.0%, whereas the specificities were SNAP cPL, 71.1-77.8%; Spec cPL, 74.1-81.1%; VetScan cPL Rapid Test, 76.9-83.8%; and Precision PSL, 64.0-74.3%.</w:t>
      </w:r>
    </w:p>
    <w:p/>
    <w:p>
      <w:pPr>
        <w:pStyle w:val="Normal"/>
      </w:pPr>
      <w:r>
        <w:rPr>
          <w:color w:val="323232"/>
        </w:rPr>
        <w:t xml:space="preserve">CONCLUSIONS AND CLINICAL IMPORTANCE:A good to excellent level of agreement was demonstrated among the 4 assays. The previously unreported sensitivity and specificity of the VetScan cPL Rapid Test were 73.9-83.3% and 76.9-83.8%, respectively. Results of any of the 4 diagnostic assays alone, in the absence of supporting clinical findings, are insufficient to establish a diagnosis of clinical pancreatitis in dogs.</w:t>
      </w:r>
    </w:p>
    <w:p/>
    <w:p>
      <w:pPr>
        <w:pStyle w:val="Normal"/>
      </w:pPr>
      <w:r>
        <w:rPr>
          <w:color w:val="323232"/>
        </w:rPr>
        <w:t xml:space="preserve">J Vet Intern Med, 2018 vol. 32 (2) pp. 658-664.</w:t>
      </w:r>
    </w:p>
    <w:p>
      <w:r>
        <w:rPr>
          <w:rStyle w:val="Hyperlink"/>
        </w:rPr>
        <w:fldChar w:fldCharType="begin"/>
      </w:r>
      <w:r>
        <w:rPr>
          <w:rStyle w:val="Hyperlink"/>
        </w:rPr>
        <w:instrText xml:space="preserve"> HYPERLINK "http://dx.doi.org/10.1111/jvim.15039" </w:instrText>
      </w:r>
      <w:r>
        <w:rPr>
          <w:rStyle w:val="Hyperlink"/>
        </w:rPr>
      </w:r>
      <w:r>
        <w:rPr>
          <w:rStyle w:val="Hyperlink"/>
        </w:rPr>
        <w:fldChar w:fldCharType="separate"/>
      </w:r>
      <w:pPr>
        <w:pStyle w:val="Normal"/>
      </w:pPr>
      <w:r>
        <w:rPr>
          <w:rStyle w:val="Hyperlink"/>
        </w:rPr>
        <w:t xml:space="preserve">http://dx.doi.org/10.1111/jvim.15039</w:t>
      </w:r>
      <w:r>
        <w:rPr>
          <w:rStyle w:val="Hyperlink"/>
        </w:rPr>
        <w:fldChar w:fldCharType="end"/>
      </w:r>
    </w:p>
    <w:p>
      <w:pPr>
        <w:pStyle w:val="Normal"/>
      </w:pPr>
      <w:r>
        <w:rPr>
          <w:color w:val="323232"/>
        </w:rPr>
        <w:t xml:space="preserve">————————</w:t>
      </w:r>
    </w:p>
    <w:p>
      <w:pPr>
        <w:pStyle w:val="Heading4"/>
      </w:pPr>
      <w:r>
        <w:t xml:space="preserve">Effect of sucralfate on gastric permeability in an ex vivo model of stress-related mucosal disease in dogs.</w:t>
      </w:r>
    </w:p>
    <w:p/>
    <w:p>
      <w:pPr>
        <w:pStyle w:val="Normal"/>
      </w:pPr>
      <w:r>
        <w:rPr>
          <w:color w:val="323232"/>
        </w:rPr>
        <w:t xml:space="preserve">Tracy L Hill, B Duncan X Lascelles, and Anthony T Blikslager.</w:t>
      </w:r>
    </w:p>
    <w:p/>
    <w:p>
      <w:pPr>
        <w:pStyle w:val="Normal"/>
      </w:pPr>
      <w:r>
        <w:rPr>
          <w:color w:val="323232"/>
        </w:rPr>
        <w:t xml:space="preserve">BACKGROUND:Sucralfate is a gastroprotectant with no known systemic effects. The efficacy of sucralfate for prevention and treatment of stress-related mucosal diseases (SRMD) in dogs is unknown.</w:t>
      </w:r>
    </w:p>
    <w:p/>
    <w:p>
      <w:pPr>
        <w:pStyle w:val="Normal"/>
      </w:pPr>
      <w:r>
        <w:rPr>
          <w:color w:val="323232"/>
        </w:rPr>
        <w:t xml:space="preserve">HYPOTHESIS/OBJECTIVES:To develop a canine ex vivo model of SRMD and to determine the effect of sucralfate on mucosal barrier function in this model.</w:t>
      </w:r>
    </w:p>
    <w:p/>
    <w:p>
      <w:pPr>
        <w:pStyle w:val="Normal"/>
      </w:pPr>
      <w:r>
        <w:rPr>
          <w:color w:val="323232"/>
        </w:rPr>
        <w:t xml:space="preserve">ANIMALS:Gastric antral mucosa was collected immediately postmortem from 29 random-source apparently healthy dogs euthanized at a local animal control facility.</w:t>
      </w:r>
    </w:p>
    <w:p/>
    <w:p>
      <w:pPr>
        <w:pStyle w:val="Normal"/>
      </w:pPr>
      <w:r>
        <w:rPr>
          <w:color w:val="323232"/>
        </w:rPr>
        <w:t xml:space="preserve">METHODS:Randomized experimental trial. Sucralfate (100 mg/mL) was applied to ex vivo canine gastric mucosa concurrent with and after acid injury. Barrier function was assessed by measurement of transepithelial electrical resistance (TER) and radiolabeled mannitol flux.</w:t>
      </w:r>
    </w:p>
    <w:p/>
    <w:p>
      <w:pPr>
        <w:pStyle w:val="Normal"/>
      </w:pPr>
      <w:r>
        <w:rPr>
          <w:color w:val="323232"/>
        </w:rPr>
        <w:t xml:space="preserve">RESULTS:Application of acidified Ringers solution to the mucosal side of gastric antrum caused a reduction in gastric barrier function, and washout of acidified Ringers solution allowed recovery of barrier function (TER: 34.0</w:t>
      </w:r>
      <w:r>
        <w:rPr>
          <w:color w:val="323232"/>
        </w:rPr>
        <w:t xml:space="preserve"> </w:t>
      </w:r>
      <w:r>
        <w:rPr>
          <w:color w:val="323232"/>
        </w:rPr>
        <w:t xml:space="preserve">±</w:t>
      </w:r>
      <w:r>
        <w:rPr>
          <w:color w:val="323232"/>
        </w:rPr>
        <w:t xml:space="preserve"> </w:t>
      </w:r>
      <w:r>
        <w:rPr>
          <w:color w:val="323232"/>
        </w:rPr>
        <w:t xml:space="preserve">2.8% of control at maximum injury, 71.3</w:t>
      </w:r>
      <w:r>
        <w:rPr>
          <w:color w:val="323232"/>
        </w:rPr>
        <w:t xml:space="preserve"> </w:t>
      </w:r>
      <w:r>
        <w:rPr>
          <w:color w:val="323232"/>
        </w:rPr>
        <w:t xml:space="preserve">±</w:t>
      </w:r>
      <w:r>
        <w:rPr>
          <w:color w:val="323232"/>
        </w:rPr>
        <w:t xml:space="preserve"> </w:t>
      </w:r>
      <w:r>
        <w:rPr>
          <w:color w:val="323232"/>
        </w:rPr>
        <w:t xml:space="preserve">5.5% at recovery, P</w:t>
      </w:r>
      <w:r>
        <w:rPr>
          <w:color w:val="323232"/>
        </w:rPr>
        <w:t xml:space="preserve"> </w:t>
      </w:r>
      <w:r>
        <w:rPr>
          <w:color w:val="323232"/>
        </w:rPr>
        <w:t xml:space="preserve">&lt;</w:t>
      </w:r>
      <w:r>
        <w:rPr>
          <w:color w:val="323232"/>
        </w:rPr>
        <w:t xml:space="preserve"> </w:t>
      </w:r>
      <w:r>
        <w:rPr>
          <w:color w:val="323232"/>
        </w:rPr>
        <w:t xml:space="preserve">.001). Sucralfate application at the time of injury or after injury significantly hastened recovery of barrier function (TER: 118.0</w:t>
      </w:r>
      <w:r>
        <w:rPr>
          <w:color w:val="323232"/>
        </w:rPr>
        <w:t xml:space="preserve"> </w:t>
      </w:r>
      <w:r>
        <w:rPr>
          <w:color w:val="323232"/>
        </w:rPr>
        <w:t xml:space="preserve">±</w:t>
      </w:r>
      <w:r>
        <w:rPr>
          <w:color w:val="323232"/>
        </w:rPr>
        <w:t xml:space="preserve"> </w:t>
      </w:r>
      <w:r>
        <w:rPr>
          <w:color w:val="323232"/>
        </w:rPr>
        <w:t xml:space="preserve">15.2% of control at maximum injury, P</w:t>
      </w:r>
      <w:r>
        <w:rPr>
          <w:color w:val="323232"/>
        </w:rPr>
        <w:t xml:space="preserve"> </w:t>
      </w:r>
      <w:r>
        <w:rPr>
          <w:color w:val="323232"/>
        </w:rPr>
        <w:t xml:space="preserve">&lt;</w:t>
      </w:r>
      <w:r>
        <w:rPr>
          <w:color w:val="323232"/>
        </w:rPr>
        <w:t xml:space="preserve"> </w:t>
      </w:r>
      <w:r>
        <w:rPr>
          <w:color w:val="323232"/>
        </w:rPr>
        <w:t xml:space="preserve">.001 and 111.0</w:t>
      </w:r>
      <w:r>
        <w:rPr>
          <w:color w:val="323232"/>
        </w:rPr>
        <w:t xml:space="preserve"> </w:t>
      </w:r>
      <w:r>
        <w:rPr>
          <w:color w:val="323232"/>
        </w:rPr>
        <w:t xml:space="preserve">±</w:t>
      </w:r>
      <w:r>
        <w:rPr>
          <w:color w:val="323232"/>
        </w:rPr>
        <w:t xml:space="preserve"> </w:t>
      </w:r>
      <w:r>
        <w:rPr>
          <w:color w:val="323232"/>
        </w:rPr>
        <w:t xml:space="preserve">15.5% at recovery, P</w:t>
      </w:r>
      <w:r>
        <w:rPr>
          <w:color w:val="323232"/>
        </w:rPr>
        <w:t xml:space="preserve"> </w:t>
      </w:r>
      <w:r>
        <w:rPr>
          <w:color w:val="323232"/>
        </w:rPr>
        <w:t xml:space="preserve">=</w:t>
      </w:r>
      <w:r>
        <w:rPr>
          <w:color w:val="323232"/>
        </w:rPr>
        <w:t xml:space="preserve"> </w:t>
      </w:r>
      <w:r>
        <w:rPr>
          <w:color w:val="323232"/>
        </w:rPr>
        <w:t xml:space="preserve">.35).</w:t>
      </w:r>
    </w:p>
    <w:p/>
    <w:p>
      <w:pPr>
        <w:pStyle w:val="Normal"/>
      </w:pPr>
      <w:r>
        <w:rPr>
          <w:color w:val="323232"/>
        </w:rPr>
        <w:t xml:space="preserve">CONCLUSIONS AND CLINICAL IMPORTANCE:Sucralfate appeared effective at restoring defects in gastric barrier function induced by acid and accelerating repair of tissues subjected to acid in this model, suggesting that sucralfate could have utility for the treatment and prevention of SRMD in dogs.</w:t>
      </w:r>
    </w:p>
    <w:p/>
    <w:p>
      <w:pPr>
        <w:pStyle w:val="Normal"/>
      </w:pPr>
      <w:r>
        <w:rPr>
          <w:color w:val="323232"/>
        </w:rPr>
        <w:t xml:space="preserve">J Vet Intern Med, 2018 vol. 32 (2) pp. 670-678.</w:t>
      </w:r>
    </w:p>
    <w:p>
      <w:r>
        <w:rPr>
          <w:rStyle w:val="Hyperlink"/>
        </w:rPr>
        <w:fldChar w:fldCharType="begin"/>
      </w:r>
      <w:r>
        <w:rPr>
          <w:rStyle w:val="Hyperlink"/>
        </w:rPr>
        <w:instrText xml:space="preserve"> HYPERLINK "http://dx.doi.org/10.1111/jvim.15076" </w:instrText>
      </w:r>
      <w:r>
        <w:rPr>
          <w:rStyle w:val="Hyperlink"/>
        </w:rPr>
      </w:r>
      <w:r>
        <w:rPr>
          <w:rStyle w:val="Hyperlink"/>
        </w:rPr>
        <w:fldChar w:fldCharType="separate"/>
      </w:r>
      <w:pPr>
        <w:pStyle w:val="Normal"/>
      </w:pPr>
      <w:r>
        <w:rPr>
          <w:rStyle w:val="Hyperlink"/>
        </w:rPr>
        <w:t xml:space="preserve">http://dx.doi.org/10.1111/jvim.15076</w:t>
      </w:r>
      <w:r>
        <w:rPr>
          <w:rStyle w:val="Hyperlink"/>
        </w:rPr>
        <w:fldChar w:fldCharType="end"/>
      </w:r>
    </w:p>
    <w:p>
      <w:pPr>
        <w:pStyle w:val="Normal"/>
      </w:pPr>
      <w:r>
        <w:rPr>
          <w:color w:val="323232"/>
        </w:rPr>
        <w:t xml:space="preserve">————————</w:t>
      </w:r>
    </w:p>
    <w:p>
      <w:pPr>
        <w:pStyle w:val="Heading4"/>
      </w:pPr>
      <w:r>
        <w:t xml:space="preserve">Association of fecal calprotectin concentrations with disease severity, response to treatment, and other biomarkers in dogs with chronic inflammatory enteropathies.</w:t>
      </w:r>
    </w:p>
    <w:p/>
    <w:p>
      <w:pPr>
        <w:pStyle w:val="Normal"/>
      </w:pPr>
      <w:r>
        <w:rPr>
          <w:color w:val="323232"/>
        </w:rPr>
        <w:t xml:space="preserve">Romy M Heilmann, Nora Berghoff, Joanne Mansell, Niels Grützner, Nolie K Parnell, Corinne Gurtner, Jan S Suchodolski, and Jörg M Steiner.</w:t>
      </w:r>
    </w:p>
    <w:p/>
    <w:p>
      <w:pPr>
        <w:pStyle w:val="Normal"/>
      </w:pPr>
      <w:r>
        <w:rPr>
          <w:color w:val="323232"/>
        </w:rPr>
        <w:t xml:space="preserve">BACKGROUND:Calprotectin is a marker of inflammation, but its clinical utility in dogs with chronic inflammatory enteropathies (CIE) is unknown.</w:t>
      </w:r>
    </w:p>
    <w:p/>
    <w:p>
      <w:pPr>
        <w:pStyle w:val="Normal"/>
      </w:pPr>
      <w:r>
        <w:rPr>
          <w:color w:val="323232"/>
        </w:rPr>
        <w:t xml:space="preserve">OBJECTIVE:Evaluation of fecal calprotectin in dogs with biopsy-confirmed CIE.</w:t>
      </w:r>
    </w:p>
    <w:p/>
    <w:p>
      <w:pPr>
        <w:pStyle w:val="Normal"/>
      </w:pPr>
      <w:r>
        <w:rPr>
          <w:color w:val="323232"/>
        </w:rPr>
        <w:t xml:space="preserve">ANIMALS:127 dogs.</w:t>
      </w:r>
    </w:p>
    <w:p/>
    <w:p>
      <w:pPr>
        <w:pStyle w:val="Normal"/>
      </w:pPr>
      <w:r>
        <w:rPr>
          <w:color w:val="323232"/>
        </w:rPr>
        <w:t xml:space="preserve">METHODS:Prospective case-control study. Dogs were assigned a canine chronic enteropathy clinical activity index (CCECAI) score, and histologic lesions severity was assessed. Fecal calprotectin, fecal S100A12, and serum C-reactive protein (CRP) were measured. Food- or antibiotic-responsive cases (FRE</w:t>
      </w:r>
      <w:r>
        <w:rPr>
          <w:i w:val="1"/>
          <w:color w:val="323232"/>
        </w:rPr>
        <w:t xml:space="preserve">ARE, n</w:t>
      </w:r>
      <w:r>
        <w:rPr>
          <w:color w:val="323232"/>
        </w:rPr>
        <w:t xml:space="preserve"> </w:t>
      </w:r>
      <w:r>
        <w:rPr>
          <w:i w:val="1"/>
          <w:color w:val="323232"/>
        </w:rPr>
        <w:t xml:space="preserve">=</w:t>
      </w:r>
      <w:r>
        <w:rPr>
          <w:color w:val="323232"/>
        </w:rPr>
        <w:t xml:space="preserve"> </w:t>
      </w:r>
      <w:r>
        <w:rPr>
          <w:i w:val="1"/>
          <w:color w:val="323232"/>
        </w:rPr>
        <w:t xml:space="preserve">13) were distinguished from steroid-</w:t>
      </w:r>
      <w:r>
        <w:rPr>
          <w:color w:val="323232"/>
        </w:rPr>
        <w:t xml:space="preserve">immunosuppressant-responsive or -refractory cases (SRE</w:t>
      </w:r>
      <w:r>
        <w:rPr>
          <w:i w:val="1"/>
          <w:color w:val="323232"/>
        </w:rPr>
        <w:t xml:space="preserve">IRE, n</w:t>
      </w:r>
      <w:r>
        <w:rPr>
          <w:color w:val="323232"/>
        </w:rPr>
        <w:t xml:space="preserve"> </w:t>
      </w:r>
      <w:r>
        <w:rPr>
          <w:i w:val="1"/>
          <w:color w:val="323232"/>
        </w:rPr>
        <w:t xml:space="preserve">=</w:t>
      </w:r>
      <w:r>
        <w:rPr>
          <w:color w:val="323232"/>
        </w:rPr>
        <w:t xml:space="preserve"> </w:t>
      </w:r>
      <w:r>
        <w:rPr>
          <w:i w:val="1"/>
          <w:color w:val="323232"/>
        </w:rPr>
        <w:t xml:space="preserve">20). Clinical response to treatment in SRE</w:t>
      </w:r>
      <w:r>
        <w:rPr>
          <w:color w:val="323232"/>
        </w:rPr>
        <w:t xml:space="preserve">IRE dogs was classified as complete remission (CR), partial response (PR), or no response (NR).</w:t>
      </w:r>
    </w:p>
    <w:p/>
    <w:p>
      <w:pPr>
        <w:pStyle w:val="Normal"/>
      </w:pPr>
      <w:r>
        <w:rPr>
          <w:color w:val="323232"/>
        </w:rPr>
        <w:t xml:space="preserve">RESULTS:Fecal calprotectin correlated with CCECAI (ρ</w:t>
      </w:r>
      <w:r>
        <w:rPr>
          <w:color w:val="323232"/>
        </w:rPr>
        <w:t xml:space="preserve"> </w:t>
      </w:r>
      <w:r>
        <w:rPr>
          <w:color w:val="323232"/>
        </w:rPr>
        <w:t xml:space="preserve">=</w:t>
      </w:r>
      <w:r>
        <w:rPr>
          <w:color w:val="323232"/>
        </w:rPr>
        <w:t xml:space="preserve"> </w:t>
      </w:r>
      <w:r>
        <w:rPr>
          <w:color w:val="323232"/>
        </w:rPr>
        <w:t xml:space="preserve">0.27, P</w:t>
      </w:r>
      <w:r>
        <w:rPr>
          <w:color w:val="323232"/>
        </w:rPr>
        <w:t xml:space="preserve"> </w:t>
      </w:r>
      <w:r>
        <w:rPr>
          <w:color w:val="323232"/>
        </w:rPr>
        <w:t xml:space="preserve">=</w:t>
      </w:r>
      <w:r>
        <w:rPr>
          <w:color w:val="323232"/>
        </w:rPr>
        <w:t xml:space="preserve"> </w:t>
      </w:r>
      <w:r>
        <w:rPr>
          <w:color w:val="323232"/>
        </w:rPr>
        <w:t xml:space="preserve">.0065) and fecal S100A12 (ρ</w:t>
      </w:r>
      <w:r>
        <w:rPr>
          <w:color w:val="323232"/>
        </w:rPr>
        <w:t xml:space="preserve"> </w:t>
      </w:r>
      <w:r>
        <w:rPr>
          <w:color w:val="323232"/>
        </w:rPr>
        <w:t xml:space="preserve">=</w:t>
      </w:r>
      <w:r>
        <w:rPr>
          <w:color w:val="323232"/>
        </w:rPr>
        <w:t xml:space="preserve"> </w:t>
      </w:r>
      <w:r>
        <w:rPr>
          <w:color w:val="323232"/>
        </w:rPr>
        <w:t xml:space="preserve">0.90, P</w:t>
      </w:r>
      <w:r>
        <w:rPr>
          <w:color w:val="323232"/>
        </w:rPr>
        <w:t xml:space="preserve"> </w:t>
      </w:r>
      <w:r>
        <w:rPr>
          <w:color w:val="323232"/>
        </w:rPr>
        <w:t xml:space="preserve">&lt;</w:t>
      </w:r>
      <w:r>
        <w:rPr>
          <w:color w:val="323232"/>
        </w:rPr>
        <w:t xml:space="preserve"> </w:t>
      </w:r>
      <w:r>
        <w:rPr>
          <w:color w:val="323232"/>
        </w:rPr>
        <w:t xml:space="preserve">.0001), some inflammatory criteria, and cumulative inflammation scores, but not serum CRP (ρ</w:t>
      </w:r>
      <w:r>
        <w:rPr>
          <w:color w:val="323232"/>
        </w:rPr>
        <w:t xml:space="preserve"> </w:t>
      </w:r>
      <w:r>
        <w:rPr>
          <w:color w:val="323232"/>
        </w:rPr>
        <w:t xml:space="preserve">=</w:t>
      </w:r>
      <w:r>
        <w:rPr>
          <w:color w:val="323232"/>
        </w:rPr>
        <w:t xml:space="preserve"> </w:t>
      </w:r>
      <w:r>
        <w:rPr>
          <w:color w:val="323232"/>
        </w:rPr>
        <w:t xml:space="preserve">0.16, P</w:t>
      </w:r>
      <w:r>
        <w:rPr>
          <w:color w:val="323232"/>
        </w:rPr>
        <w:t xml:space="preserve"> </w:t>
      </w:r>
      <w:r>
        <w:rPr>
          <w:color w:val="323232"/>
        </w:rPr>
        <w:t xml:space="preserve">=</w:t>
      </w:r>
      <w:r>
        <w:rPr>
          <w:color w:val="323232"/>
        </w:rPr>
        <w:t xml:space="preserve"> </w:t>
      </w:r>
      <w:r>
        <w:rPr>
          <w:color w:val="323232"/>
        </w:rPr>
        <w:t xml:space="preserve">.12). Dogs with SRE</w:t>
      </w:r>
      <w:r>
        <w:rPr>
          <w:i w:val="1"/>
          <w:color w:val="323232"/>
        </w:rPr>
        <w:t xml:space="preserve">IRE had higher fecal calprotectin concentrations (median: 2.0 μg</w:t>
      </w:r>
      <w:r>
        <w:rPr>
          <w:color w:val="323232"/>
        </w:rPr>
        <w:t xml:space="preserve">g) than FRE</w:t>
      </w:r>
      <w:r>
        <w:rPr>
          <w:i w:val="1"/>
          <w:color w:val="323232"/>
        </w:rPr>
        <w:t xml:space="preserve">ARE dogs (median: 1.4 μg</w:t>
      </w:r>
      <w:r>
        <w:rPr>
          <w:color w:val="323232"/>
        </w:rPr>
        <w:t xml:space="preserve">g), and within the SRE</w:t>
      </w:r>
      <w:r>
        <w:rPr>
          <w:i w:val="1"/>
          <w:color w:val="323232"/>
        </w:rPr>
        <w:t xml:space="preserve">IRE group, dogs with PR</w:t>
      </w:r>
      <w:r>
        <w:rPr>
          <w:color w:val="323232"/>
        </w:rPr>
        <w:t xml:space="preserve">NR had higher fecal calprotectin (median: 37.0 μg</w:t>
      </w:r>
      <w:r>
        <w:rPr>
          <w:i w:val="1"/>
          <w:color w:val="323232"/>
        </w:rPr>
        <w:t xml:space="preserve">g) than dogs with CR (median: 1.6 μg</w:t>
      </w:r>
      <w:r>
        <w:rPr>
          <w:color w:val="323232"/>
        </w:rPr>
        <w:t xml:space="preserve">g). However, both differences did not reach statistical significance (both P</w:t>
      </w:r>
      <w:r>
        <w:rPr>
          <w:color w:val="323232"/>
        </w:rPr>
        <w:t xml:space="preserve"> </w:t>
      </w:r>
      <w:r>
        <w:rPr>
          <w:color w:val="323232"/>
        </w:rPr>
        <w:t xml:space="preserve">=</w:t>
      </w:r>
      <w:r>
        <w:rPr>
          <w:color w:val="323232"/>
        </w:rPr>
        <w:t xml:space="preserve"> </w:t>
      </w:r>
      <w:r>
        <w:rPr>
          <w:color w:val="323232"/>
        </w:rPr>
        <w:t xml:space="preserve">.10). A fecal calprotectin ≥15.2 μg/g separated both groups with 80% sensitivity (95% confidence interval [95%CI]: 28%-100%) and 75% specificity (95%CI: 43%-95%).</w:t>
      </w:r>
    </w:p>
    <w:p/>
    <w:p>
      <w:pPr>
        <w:pStyle w:val="Normal"/>
      </w:pPr>
      <w:r>
        <w:rPr>
          <w:color w:val="323232"/>
        </w:rPr>
        <w:t xml:space="preserve">CONCLUSIONS AND CLINICAL IMPORTANCE:Fecal calprotectin could be a useful surrogate marker of disease severity in dogs with CIE, but larger longitudinal studies are needed to evaluate its utility in predicting the response to treatment.</w:t>
      </w:r>
    </w:p>
    <w:p/>
    <w:p>
      <w:pPr>
        <w:pStyle w:val="Normal"/>
      </w:pPr>
      <w:r>
        <w:rPr>
          <w:color w:val="323232"/>
        </w:rPr>
        <w:t xml:space="preserve">J Vet Intern Med, 2018 vol. 32 (2) pp. 679-692.</w:t>
      </w:r>
    </w:p>
    <w:p>
      <w:r>
        <w:rPr>
          <w:rStyle w:val="Hyperlink"/>
        </w:rPr>
        <w:fldChar w:fldCharType="begin"/>
      </w:r>
      <w:r>
        <w:rPr>
          <w:rStyle w:val="Hyperlink"/>
        </w:rPr>
        <w:instrText xml:space="preserve"> HYPERLINK "http://dx.doi.org/10.1111/jvim.15065" </w:instrText>
      </w:r>
      <w:r>
        <w:rPr>
          <w:rStyle w:val="Hyperlink"/>
        </w:rPr>
      </w:r>
      <w:r>
        <w:rPr>
          <w:rStyle w:val="Hyperlink"/>
        </w:rPr>
        <w:fldChar w:fldCharType="separate"/>
      </w:r>
      <w:pPr>
        <w:pStyle w:val="Normal"/>
      </w:pPr>
      <w:r>
        <w:rPr>
          <w:rStyle w:val="Hyperlink"/>
        </w:rPr>
        <w:t xml:space="preserve">http://dx.doi.org/10.1111/jvim.15065</w:t>
      </w:r>
      <w:r>
        <w:rPr>
          <w:rStyle w:val="Hyperlink"/>
        </w:rPr>
        <w:fldChar w:fldCharType="end"/>
      </w:r>
    </w:p>
    <w:p>
      <w:pPr>
        <w:pStyle w:val="Normal"/>
      </w:pPr>
      <w:r>
        <w:rPr>
          <w:color w:val="323232"/>
        </w:rPr>
        <w:t xml:space="preserve">————————</w:t>
      </w:r>
    </w:p>
    <w:p>
      <w:pPr>
        <w:pStyle w:val="Heading4"/>
      </w:pPr>
      <w:r>
        <w:t xml:space="preserve">Prospective evaluation of an indwelling esophageal balloon dilatation feeding tube for treatment of benign esophageal strictures in dogs and cats.</w:t>
      </w:r>
    </w:p>
    <w:p/>
    <w:p>
      <w:pPr>
        <w:pStyle w:val="Normal"/>
      </w:pPr>
      <w:r>
        <w:rPr>
          <w:color w:val="323232"/>
        </w:rPr>
        <w:t xml:space="preserve">Desmond K Tan, Chick Weisse, Allyson Berent, and Kenneth E Lamb.</w:t>
      </w:r>
    </w:p>
    <w:p/>
    <w:p>
      <w:pPr>
        <w:pStyle w:val="Normal"/>
      </w:pPr>
      <w:r>
        <w:rPr>
          <w:color w:val="323232"/>
        </w:rPr>
        <w:t xml:space="preserve">BACKGROUND:Despite multiple dilatation procedures, benign esophageal strictures (BES) remain a recurring cause of morbidity and mortality in dogs and cats.</w:t>
      </w:r>
    </w:p>
    <w:p/>
    <w:p>
      <w:pPr>
        <w:pStyle w:val="Normal"/>
      </w:pPr>
      <w:r>
        <w:rPr>
          <w:color w:val="323232"/>
        </w:rPr>
        <w:t xml:space="preserve">OBJECTIVE:Investigate the use of an indwelling Balloon Dilatation esophagostomy tube (B-Tube) for treatment of BES in dogs and cats.</w:t>
      </w:r>
    </w:p>
    <w:p/>
    <w:p>
      <w:pPr>
        <w:pStyle w:val="Normal"/>
      </w:pPr>
      <w:r>
        <w:rPr>
          <w:color w:val="323232"/>
        </w:rPr>
        <w:t xml:space="preserve">ANIMALS:Nine dogs and 3 cats.</w:t>
      </w:r>
    </w:p>
    <w:p/>
    <w:p>
      <w:pPr>
        <w:pStyle w:val="Normal"/>
      </w:pPr>
      <w:r>
        <w:rPr>
          <w:color w:val="323232"/>
        </w:rPr>
        <w:t xml:space="preserve">METHODS:Animals with BES were recruited for our prospective study. Endoscopic and fluoroscopic evaluation of the esophagus and balloon dilatation were performed under general anesthesia, followed by placement of an indwelling B-Tube. The animals' owners performed twice daily at-home inflations for approximately 6 weeks. Repeat endoscopy was performed before B-Tube removal. Animals were reevaluated for changes in modified dysphagia score (MDS) after B-Tube removal.</w:t>
      </w:r>
    </w:p>
    <w:p/>
    <w:p>
      <w:pPr>
        <w:pStyle w:val="Normal"/>
      </w:pPr>
      <w:r>
        <w:rPr>
          <w:color w:val="323232"/>
        </w:rPr>
        <w:t xml:space="preserve">RESULTS:The B-Tube management was relatively well tolerated and effective in maintaining dilatation of a BES while in place. These animals underwent a median of 2 anesthetic episodes and were monitored for a median of 472 days (range, 358-1736 days). The mean MDS before treatment was 3.1</w:t>
      </w:r>
      <w:r>
        <w:rPr>
          <w:color w:val="323232"/>
        </w:rPr>
        <w:t xml:space="preserve"> </w:t>
      </w:r>
      <w:r>
        <w:rPr>
          <w:color w:val="323232"/>
        </w:rPr>
        <w:t xml:space="preserve">±</w:t>
      </w:r>
      <w:r>
        <w:rPr>
          <w:color w:val="323232"/>
        </w:rPr>
        <w:t xml:space="preserve"> </w:t>
      </w:r>
      <w:r>
        <w:rPr>
          <w:color w:val="323232"/>
        </w:rPr>
        <w:t xml:space="preserve">0.5/4.0 and final follow-up MDS were significantly (P</w:t>
      </w:r>
      <w:r>
        <w:rPr>
          <w:color w:val="323232"/>
        </w:rPr>
        <w:t xml:space="preserve"> </w:t>
      </w:r>
      <w:r>
        <w:rPr>
          <w:color w:val="323232"/>
        </w:rPr>
        <w:t xml:space="preserve">&lt;</w:t>
      </w:r>
      <w:r>
        <w:rPr>
          <w:color w:val="323232"/>
        </w:rPr>
        <w:t xml:space="preserve"> </w:t>
      </w:r>
      <w:r>
        <w:rPr>
          <w:color w:val="323232"/>
        </w:rPr>
        <w:t xml:space="preserve">.0001) improved at 0.36</w:t>
      </w:r>
      <w:r>
        <w:rPr>
          <w:color w:val="323232"/>
        </w:rPr>
        <w:t xml:space="preserve"> </w:t>
      </w:r>
      <w:r>
        <w:rPr>
          <w:color w:val="323232"/>
        </w:rPr>
        <w:t xml:space="preserve">±</w:t>
      </w:r>
      <w:r>
        <w:rPr>
          <w:color w:val="323232"/>
        </w:rPr>
        <w:t xml:space="preserve"> </w:t>
      </w:r>
      <w:r>
        <w:rPr>
          <w:color w:val="323232"/>
        </w:rPr>
        <w:t xml:space="preserve">0.65/4.0. Eleven of 12 animals (91.7%) had improved MDS at the end of the follow-up period, with 8/12 (66.7%) having an MDS of 0/4, 2/12 (16.7%) an MDS of 1/4, and 1/12 (8.3%) an MDS of 2/4. One dog died.</w:t>
      </w:r>
    </w:p>
    <w:p/>
    <w:p>
      <w:pPr>
        <w:pStyle w:val="Normal"/>
      </w:pPr>
      <w:r>
        <w:rPr>
          <w:color w:val="323232"/>
        </w:rPr>
        <w:t xml:space="preserve">CONCLUSIONS AND CLINICAL IMPORTANCE:The B-Tube offers an effective, and more economical method, and often decreased anesthetic time to repeated balloon dilatation procedures for the treatment of BES in dogs and cats.</w:t>
      </w:r>
    </w:p>
    <w:p/>
    <w:p>
      <w:pPr>
        <w:pStyle w:val="Normal"/>
      </w:pPr>
      <w:r>
        <w:rPr>
          <w:color w:val="323232"/>
        </w:rPr>
        <w:t xml:space="preserve">J Vet Intern Med, 2018 vol. 32 (2) pp. 693-700.</w:t>
      </w:r>
    </w:p>
    <w:p>
      <w:r>
        <w:rPr>
          <w:rStyle w:val="Hyperlink"/>
        </w:rPr>
        <w:fldChar w:fldCharType="begin"/>
      </w:r>
      <w:r>
        <w:rPr>
          <w:rStyle w:val="Hyperlink"/>
        </w:rPr>
        <w:instrText xml:space="preserve"> HYPERLINK "http://dx.doi.org/10.1111/jvim.15071" </w:instrText>
      </w:r>
      <w:r>
        <w:rPr>
          <w:rStyle w:val="Hyperlink"/>
        </w:rPr>
      </w:r>
      <w:r>
        <w:rPr>
          <w:rStyle w:val="Hyperlink"/>
        </w:rPr>
        <w:fldChar w:fldCharType="separate"/>
      </w:r>
      <w:pPr>
        <w:pStyle w:val="Normal"/>
      </w:pPr>
      <w:r>
        <w:rPr>
          <w:rStyle w:val="Hyperlink"/>
        </w:rPr>
        <w:t xml:space="preserve">http://dx.doi.org/10.1111/jvim.15071</w:t>
      </w:r>
      <w:r>
        <w:rPr>
          <w:rStyle w:val="Hyperlink"/>
        </w:rPr>
        <w:fldChar w:fldCharType="end"/>
      </w:r>
    </w:p>
    <w:p>
      <w:pPr>
        <w:pStyle w:val="Normal"/>
      </w:pPr>
      <w:r>
        <w:rPr>
          <w:color w:val="323232"/>
        </w:rPr>
        <w:t xml:space="preserve">————————</w:t>
      </w:r>
    </w:p>
    <w:p>
      <w:pPr>
        <w:pStyle w:val="Heading4"/>
      </w:pPr>
      <w:r>
        <w:t xml:space="preserve">Fecal microbiota transplantation in puppies with canine parvovirus infection.</w:t>
      </w:r>
    </w:p>
    <w:p/>
    <w:p>
      <w:pPr>
        <w:pStyle w:val="Normal"/>
      </w:pPr>
      <w:r>
        <w:rPr>
          <w:color w:val="323232"/>
        </w:rPr>
        <w:t xml:space="preserve">Giorgio Q Pereira, Lucas A Gomes, Iago S Santos, Alice F Alfieri, J S Weese, and Marcio C Costa.</w:t>
      </w:r>
    </w:p>
    <w:p/>
    <w:p>
      <w:pPr>
        <w:pStyle w:val="Normal"/>
      </w:pPr>
      <w:r>
        <w:rPr>
          <w:color w:val="323232"/>
        </w:rPr>
        <w:t xml:space="preserve">BACKGROUND:Diarrhea associated with parvovirus infection is common in dogs. Supportive care is the mainstay of treatment, but recovery may be prolonged and mortality rate can be high. Modification of the intestinal bacterial microbiota has been promising in human and veterinary medicine as an adjunctive treatment of various enteric diseases.</w:t>
      </w:r>
    </w:p>
    <w:p/>
    <w:p>
      <w:pPr>
        <w:pStyle w:val="Normal"/>
      </w:pPr>
      <w:r>
        <w:rPr>
          <w:color w:val="323232"/>
        </w:rPr>
        <w:t xml:space="preserve">OBJECTIVES:To investigate the safety and efficacy of fecal microbiota transplantation (FMT) on the clinical recovery of puppies with acute hemorrhagic diarrhea syndrome.</w:t>
      </w:r>
    </w:p>
    <w:p/>
    <w:p>
      <w:pPr>
        <w:pStyle w:val="Normal"/>
      </w:pPr>
      <w:r>
        <w:rPr>
          <w:color w:val="323232"/>
        </w:rPr>
        <w:t xml:space="preserve">ANIMALS:Sixty-six puppies with parvovirus infection were evaluated at 2 veterinary hospitals.</w:t>
      </w:r>
    </w:p>
    <w:p/>
    <w:p>
      <w:pPr>
        <w:pStyle w:val="Normal"/>
      </w:pPr>
      <w:r>
        <w:rPr>
          <w:color w:val="323232"/>
        </w:rPr>
        <w:t xml:space="preserve">METHODS:Randomized clinical trial. Puppies were randomly distributed into 2 groups: standard treatment (STD) and standard treatment</w:t>
      </w:r>
      <w:r>
        <w:rPr>
          <w:color w:val="323232"/>
        </w:rPr>
        <w:t xml:space="preserve"> </w:t>
      </w:r>
      <w:r>
        <w:rPr>
          <w:color w:val="323232"/>
        </w:rPr>
        <w:t xml:space="preserve">+</w:t>
      </w:r>
      <w:r>
        <w:rPr>
          <w:color w:val="323232"/>
        </w:rPr>
        <w:t xml:space="preserve"> </w:t>
      </w:r>
      <w:r>
        <w:rPr>
          <w:color w:val="323232"/>
        </w:rPr>
        <w:t xml:space="preserve">FMT (STD</w:t>
      </w:r>
      <w:r>
        <w:rPr>
          <w:color w:val="323232"/>
        </w:rPr>
        <w:t xml:space="preserve"> </w:t>
      </w:r>
      <w:r>
        <w:rPr>
          <w:color w:val="323232"/>
        </w:rPr>
        <w:t xml:space="preserve">+</w:t>
      </w:r>
      <w:r>
        <w:rPr>
          <w:color w:val="323232"/>
        </w:rPr>
        <w:t xml:space="preserve"> </w:t>
      </w:r>
      <w:r>
        <w:rPr>
          <w:color w:val="323232"/>
        </w:rPr>
        <w:t xml:space="preserve">FMT). The STD puppies (n</w:t>
      </w:r>
      <w:r>
        <w:rPr>
          <w:color w:val="323232"/>
        </w:rPr>
        <w:t xml:space="preserve"> </w:t>
      </w:r>
      <w:r>
        <w:rPr>
          <w:color w:val="323232"/>
        </w:rPr>
        <w:t xml:space="preserve">=</w:t>
      </w:r>
      <w:r>
        <w:rPr>
          <w:color w:val="323232"/>
        </w:rPr>
        <w:t xml:space="preserve"> </w:t>
      </w:r>
      <w:r>
        <w:rPr>
          <w:color w:val="323232"/>
        </w:rPr>
        <w:t xml:space="preserve">33) received only treatment with IV fluids and antimicrobials and the STD</w:t>
      </w:r>
      <w:r>
        <w:rPr>
          <w:color w:val="323232"/>
        </w:rPr>
        <w:t xml:space="preserve"> </w:t>
      </w:r>
      <w:r>
        <w:rPr>
          <w:color w:val="323232"/>
        </w:rPr>
        <w:t xml:space="preserve">+</w:t>
      </w:r>
      <w:r>
        <w:rPr>
          <w:color w:val="323232"/>
        </w:rPr>
        <w:t xml:space="preserve"> </w:t>
      </w:r>
      <w:r>
        <w:rPr>
          <w:color w:val="323232"/>
        </w:rPr>
        <w:t xml:space="preserve">FMT puppies (n</w:t>
      </w:r>
      <w:r>
        <w:rPr>
          <w:color w:val="323232"/>
        </w:rPr>
        <w:t xml:space="preserve"> </w:t>
      </w:r>
      <w:r>
        <w:rPr>
          <w:color w:val="323232"/>
        </w:rPr>
        <w:t xml:space="preserve">=</w:t>
      </w:r>
      <w:r>
        <w:rPr>
          <w:color w:val="323232"/>
        </w:rPr>
        <w:t xml:space="preserve"> </w:t>
      </w:r>
      <w:r>
        <w:rPr>
          <w:color w:val="323232"/>
        </w:rPr>
        <w:t xml:space="preserve">33) received FMT in addition to standard treatment. For FMT, 10 g of feces from a healthy dog diluted in 10 mL of saline were administered rectally 6-12 hours post-admission.</w:t>
      </w:r>
    </w:p>
    <w:p/>
    <w:p>
      <w:pPr>
        <w:pStyle w:val="Normal"/>
      </w:pPr>
      <w:r>
        <w:rPr>
          <w:color w:val="323232"/>
        </w:rPr>
        <w:t xml:space="preserve">RESULTS:Among survivors, treatment with FMT was associated with faster resolution of diarrhea (P</w:t>
      </w:r>
      <w:r>
        <w:rPr>
          <w:color w:val="323232"/>
        </w:rPr>
        <w:t xml:space="preserve"> </w:t>
      </w:r>
      <w:r>
        <w:rPr>
          <w:color w:val="323232"/>
        </w:rPr>
        <w:t xml:space="preserve">&lt;</w:t>
      </w:r>
      <w:r>
        <w:rPr>
          <w:color w:val="323232"/>
        </w:rPr>
        <w:t xml:space="preserve"> </w:t>
      </w:r>
      <w:r>
        <w:rPr>
          <w:color w:val="323232"/>
        </w:rPr>
        <w:t xml:space="preserve">.001) and shorter hospitalization time (P</w:t>
      </w:r>
      <w:r>
        <w:rPr>
          <w:color w:val="323232"/>
        </w:rPr>
        <w:t xml:space="preserve"> </w:t>
      </w:r>
      <w:r>
        <w:rPr>
          <w:color w:val="323232"/>
        </w:rPr>
        <w:t xml:space="preserve">=</w:t>
      </w:r>
      <w:r>
        <w:rPr>
          <w:color w:val="323232"/>
        </w:rPr>
        <w:t xml:space="preserve"> </w:t>
      </w:r>
      <w:r>
        <w:rPr>
          <w:color w:val="323232"/>
        </w:rPr>
        <w:t xml:space="preserve">.001; median, 3 days in STD</w:t>
      </w:r>
      <w:r>
        <w:rPr>
          <w:color w:val="323232"/>
        </w:rPr>
        <w:t xml:space="preserve"> </w:t>
      </w:r>
      <w:r>
        <w:rPr>
          <w:color w:val="323232"/>
        </w:rPr>
        <w:t xml:space="preserve">+</w:t>
      </w:r>
      <w:r>
        <w:rPr>
          <w:color w:val="323232"/>
        </w:rPr>
        <w:t xml:space="preserve"> </w:t>
      </w:r>
      <w:r>
        <w:rPr>
          <w:color w:val="323232"/>
        </w:rPr>
        <w:t xml:space="preserve">FMT; median, 6 days in STD) compared to standard treatment. Mortality in STD was 36.4% (12/33) as compared to 21.2% (7/33) in puppies treated with FMT, but there was no statistical difference between groups (P</w:t>
      </w:r>
      <w:r>
        <w:rPr>
          <w:color w:val="323232"/>
        </w:rPr>
        <w:t xml:space="preserve"> </w:t>
      </w:r>
      <w:r>
        <w:rPr>
          <w:color w:val="323232"/>
        </w:rPr>
        <w:t xml:space="preserve">=</w:t>
      </w:r>
      <w:r>
        <w:rPr>
          <w:color w:val="323232"/>
        </w:rPr>
        <w:t xml:space="preserve"> </w:t>
      </w:r>
      <w:r>
        <w:rPr>
          <w:color w:val="323232"/>
        </w:rPr>
        <w:t xml:space="preserve">.174). Polymerase chain reaction indicated that all animals carried canine parvovirus, strain CPV-2b.</w:t>
      </w:r>
    </w:p>
    <w:p/>
    <w:p>
      <w:pPr>
        <w:pStyle w:val="Normal"/>
      </w:pPr>
      <w:r>
        <w:rPr>
          <w:color w:val="323232"/>
        </w:rPr>
        <w:t xml:space="preserve">CONCLUSIONS:Fecal microbiota transplantation in parvovirus-infected puppies was associated with faster resolution of diarrhea.</w:t>
      </w:r>
    </w:p>
    <w:p/>
    <w:p>
      <w:pPr>
        <w:pStyle w:val="Normal"/>
      </w:pPr>
      <w:r>
        <w:rPr>
          <w:color w:val="323232"/>
        </w:rPr>
        <w:t xml:space="preserve">J Vet Intern Med, 2018 vol. 32 (2), 3 pp. 707-711.</w:t>
      </w:r>
    </w:p>
    <w:p>
      <w:r>
        <w:rPr>
          <w:rStyle w:val="Hyperlink"/>
        </w:rPr>
        <w:fldChar w:fldCharType="begin"/>
      </w:r>
      <w:r>
        <w:rPr>
          <w:rStyle w:val="Hyperlink"/>
        </w:rPr>
        <w:instrText xml:space="preserve"> HYPERLINK "http://dx.doi.org/10.1111/jvim.15072" </w:instrText>
      </w:r>
      <w:r>
        <w:rPr>
          <w:rStyle w:val="Hyperlink"/>
        </w:rPr>
      </w:r>
      <w:r>
        <w:rPr>
          <w:rStyle w:val="Hyperlink"/>
        </w:rPr>
        <w:fldChar w:fldCharType="separate"/>
      </w:r>
      <w:pPr>
        <w:pStyle w:val="Normal"/>
      </w:pPr>
      <w:r>
        <w:rPr>
          <w:rStyle w:val="Hyperlink"/>
        </w:rPr>
        <w:t xml:space="preserve">http://dx.doi.org/10.1111/jvim.15072</w:t>
      </w:r>
      <w:r>
        <w:rPr>
          <w:rStyle w:val="Hyperlink"/>
        </w:rPr>
        <w:fldChar w:fldCharType="end"/>
      </w:r>
    </w:p>
    <w:p>
      <w:pPr>
        <w:pStyle w:val="Normal"/>
      </w:pPr>
      <w:r>
        <w:rPr>
          <w:color w:val="323232"/>
        </w:rPr>
        <w:t xml:space="preserve">————————</w:t>
      </w:r>
    </w:p>
    <w:p>
      <w:pPr>
        <w:pStyle w:val="Heading4"/>
      </w:pPr>
      <w:r>
        <w:t xml:space="preserve">Effects of 6% Tetrastarch and Lactated Ringer's Solution on Extravascular Lung Water and Markers of Acute Renal Injury in Hemorrhaged, Isoflurane-Anesthetized Healthy Dogs.</w:t>
      </w:r>
    </w:p>
    <w:p/>
    <w:p>
      <w:pPr>
        <w:pStyle w:val="Normal"/>
      </w:pPr>
      <w:r>
        <w:rPr>
          <w:color w:val="323232"/>
        </w:rPr>
        <w:t xml:space="preserve">M S Diniz, F J Teixeira-Neto, N Celeita-Rodríguez, C H Girotto, M W Fonseca, A C Oliveira-Garcia, and B López-Castañeda.</w:t>
      </w:r>
    </w:p>
    <w:p/>
    <w:p>
      <w:pPr>
        <w:pStyle w:val="Normal"/>
      </w:pPr>
      <w:r>
        <w:rPr>
          <w:color w:val="323232"/>
        </w:rPr>
        <w:t xml:space="preserve">BACKGROUND:Tetrastarch can cause acute kidney injury (AKI) in humans with sepsis, but less likely to result in tissue edema than lactated Ringer's solution (LRS).</w:t>
      </w:r>
    </w:p>
    <w:p/>
    <w:p>
      <w:pPr>
        <w:pStyle w:val="Normal"/>
      </w:pPr>
      <w:r>
        <w:rPr>
          <w:color w:val="323232"/>
        </w:rPr>
        <w:t xml:space="preserve">OBJECTIVES:Compare effects of volume replacement (VR) with LRS and 6% tetrastarch solution (TS) on extravascular lung water (EVLW) and markers of AKI in hemorrhaged dogs.</w:t>
      </w:r>
    </w:p>
    <w:p/>
    <w:p>
      <w:pPr>
        <w:pStyle w:val="Normal"/>
      </w:pPr>
      <w:r>
        <w:rPr>
          <w:color w:val="323232"/>
        </w:rPr>
        <w:t xml:space="preserve">ANIMALS:Six healthy English Pointer dogs (19.7-35.3 kg).</w:t>
      </w:r>
    </w:p>
    <w:p/>
    <w:p>
      <w:pPr>
        <w:pStyle w:val="Normal"/>
      </w:pPr>
      <w:r>
        <w:rPr>
          <w:color w:val="323232"/>
        </w:rPr>
        <w:t xml:space="preserve">METHODS:Prospective crossover study. Animals underwent anesthesia without hemorrhage (Control). Two weeks later, dogs hemorrhaged under anesthesia on 2 occasions (8-week washout intervals) and randomly received VR with LRS or TS at 3 : 1 or 1 : 1 of shed blood, respectively. Anesthesia was maintained until 4 hour after VR for EVLW measurements derived from transpulmonary thermodilution cardiac output. Neutrophil gelatinase-associated lipocalin (NGAL) and creatinine concentrations in plasma and urine were measured until 72 hour after VR.</w:t>
      </w:r>
    </w:p>
    <w:p/>
    <w:p>
      <w:pPr>
        <w:pStyle w:val="Normal"/>
      </w:pPr>
      <w:r>
        <w:rPr>
          <w:color w:val="323232"/>
        </w:rPr>
        <w:t xml:space="preserve">RESULTS:The EVLW index (mL/ kg) was lower at 1 hour after TS (10.0 ± 1.9) in comparison with controls (11.9 ± 3.4, P = 0.04), and at 4 hour after TS (9.7 ± 1.9) in comparison with LRS (11.8 ± 2.7, P = 0.03). Arterial oxygen partial pressure-to-inspired oxygen fraction ratio did not differ among treatments from 0.5 to 4 hour after VR. Urine NGAL/ creatinine ratio did not differ among treatments and remained below threshold for AKI (120,000 pg/mg).</w:t>
      </w:r>
    </w:p>
    <w:p/>
    <w:p>
      <w:pPr>
        <w:pStyle w:val="Normal"/>
      </w:pPr>
      <w:r>
        <w:rPr>
          <w:color w:val="323232"/>
        </w:rPr>
        <w:t xml:space="preserve">CONCLUSIONS AND CLINICAL IMPORTANCE:Although TS causes less EVLW accumulation than LRS, neither fluid produced evidence of lung edema (impaired oxygenation). Both fluids appear not to cause AKI when used for VR after hemorrhage in healthy nonseptic dogs.</w:t>
      </w:r>
    </w:p>
    <w:p/>
    <w:p>
      <w:pPr>
        <w:pStyle w:val="Normal"/>
      </w:pPr>
      <w:r>
        <w:rPr>
          <w:color w:val="323232"/>
        </w:rPr>
        <w:t xml:space="preserve">J Vet Intern Med, 2018 vol. 32 (2), 1 pp. 712-721.</w:t>
      </w:r>
    </w:p>
    <w:p>
      <w:r>
        <w:rPr>
          <w:rStyle w:val="Hyperlink"/>
        </w:rPr>
        <w:fldChar w:fldCharType="begin"/>
      </w:r>
      <w:r>
        <w:rPr>
          <w:rStyle w:val="Hyperlink"/>
        </w:rPr>
        <w:instrText xml:space="preserve"> HYPERLINK "http://dx.doi.org/10.1111/jvim.14853" </w:instrText>
      </w:r>
      <w:r>
        <w:rPr>
          <w:rStyle w:val="Hyperlink"/>
        </w:rPr>
      </w:r>
      <w:r>
        <w:rPr>
          <w:rStyle w:val="Hyperlink"/>
        </w:rPr>
        <w:fldChar w:fldCharType="separate"/>
      </w:r>
      <w:pPr>
        <w:pStyle w:val="Normal"/>
      </w:pPr>
      <w:r>
        <w:rPr>
          <w:rStyle w:val="Hyperlink"/>
        </w:rPr>
        <w:t xml:space="preserve">http://dx.doi.org/10.1111/jvim.14853</w:t>
      </w:r>
      <w:r>
        <w:rPr>
          <w:rStyle w:val="Hyperlink"/>
        </w:rPr>
        <w:fldChar w:fldCharType="end"/>
      </w:r>
    </w:p>
    <w:p>
      <w:pPr>
        <w:pStyle w:val="Normal"/>
      </w:pPr>
      <w:r>
        <w:rPr>
          <w:color w:val="323232"/>
        </w:rPr>
        <w:t xml:space="preserve">————————</w:t>
      </w:r>
    </w:p>
    <w:p>
      <w:pPr>
        <w:pStyle w:val="Heading4"/>
      </w:pPr>
      <w:r>
        <w:t xml:space="preserve">Assessment of Canine Pancreas-Specific Lipase and Outcomes in Dogs with Hemodialysis-Dependent Acute Kidney Injury. Spec cPL in Hemodialysis-Dependent Dogs.</w:t>
      </w:r>
    </w:p>
    <w:p/>
    <w:p>
      <w:pPr>
        <w:pStyle w:val="Normal"/>
      </w:pPr>
      <w:r>
        <w:rPr>
          <w:color w:val="323232"/>
        </w:rPr>
        <w:t xml:space="preserve">K Takada, C A Palm, S E Epstein, and L D Cowgill.</w:t>
      </w:r>
    </w:p>
    <w:p/>
    <w:p>
      <w:pPr>
        <w:pStyle w:val="Normal"/>
      </w:pPr>
      <w:r>
        <w:rPr>
          <w:color w:val="323232"/>
        </w:rPr>
        <w:t xml:space="preserve">BACKGROUND:Renal replacement therapies can be life-saving for dogs with severe acute kidney injury (AKI), however, comorbidities including pancreatitis might affect outcome.</w:t>
      </w:r>
    </w:p>
    <w:p/>
    <w:p>
      <w:pPr>
        <w:pStyle w:val="Normal"/>
      </w:pPr>
      <w:r>
        <w:rPr>
          <w:color w:val="323232"/>
        </w:rPr>
        <w:t xml:space="preserve">HYPOTHESIS</w:t>
      </w:r>
      <w:r>
        <w:rPr>
          <w:i w:val="1"/>
          <w:color w:val="323232"/>
        </w:rPr>
        <w:t xml:space="preserve">OBJECTIVES:To investigate the prevalence of pancreas-specific lipase (Spec cPL) measurements consistent with pancreatitis (≥400 μg</w:t>
      </w:r>
      <w:r>
        <w:rPr>
          <w:color w:val="323232"/>
        </w:rPr>
        <w:t xml:space="preserve">L) in dogs undergoing intermittent hemodialysis (IHD) for treatment of AKI and to determine whether there were associations between 30-days outcomes and Spec cPL measurements.</w:t>
      </w:r>
    </w:p>
    <w:p/>
    <w:p>
      <w:pPr>
        <w:pStyle w:val="Normal"/>
      </w:pPr>
      <w:r>
        <w:rPr>
          <w:color w:val="323232"/>
        </w:rPr>
        <w:t xml:space="preserve">ANIMALS:Fifty-three client-owned dogs presented to teaching hospitals between November 2008 and September 2016 that underwent IHD.</w:t>
      </w:r>
    </w:p>
    <w:p/>
    <w:p>
      <w:pPr>
        <w:pStyle w:val="Normal"/>
      </w:pPr>
      <w:r>
        <w:rPr>
          <w:color w:val="323232"/>
        </w:rPr>
        <w:t xml:space="preserve">METHODS:Retrospective medical record review from dogs that received IHD for management of AKI and also had a Spec cPL measurement. Association between survival, dialysis-dependency, and Spec cPL measurements was assessed.</w:t>
      </w:r>
    </w:p>
    <w:p/>
    <w:p>
      <w:pPr>
        <w:pStyle w:val="Normal"/>
      </w:pPr>
      <w:r>
        <w:rPr>
          <w:color w:val="323232"/>
        </w:rPr>
        <w:t xml:space="preserve">RESULTS:Forty of 53 (76%) dogs were alive at 30-days and 33/53(62%) had a Spec cPL result ≥400 μg</w:t>
      </w:r>
      <w:r>
        <w:rPr>
          <w:i w:val="1"/>
          <w:color w:val="323232"/>
        </w:rPr>
        <w:t xml:space="preserve">L. Spec cPL was not significantly different either between surviving (635.5 μg</w:t>
      </w:r>
      <w:r>
        <w:rPr>
          <w:color w:val="323232"/>
        </w:rPr>
        <w:t xml:space="preserve">L, range 29-1,001) and nonsurviving dogs (860 μg</w:t>
      </w:r>
      <w:r>
        <w:rPr>
          <w:i w:val="1"/>
          <w:color w:val="323232"/>
        </w:rPr>
        <w:t xml:space="preserve">L, range 56-1,001; P</w:t>
      </w:r>
      <w:r>
        <w:rPr>
          <w:color w:val="323232"/>
        </w:rPr>
        <w:t xml:space="preserve"> </w:t>
      </w:r>
      <w:r>
        <w:rPr>
          <w:i w:val="1"/>
          <w:color w:val="323232"/>
        </w:rPr>
        <w:t xml:space="preserve">=</w:t>
      </w:r>
      <w:r>
        <w:rPr>
          <w:color w:val="323232"/>
        </w:rPr>
        <w:t xml:space="preserve"> </w:t>
      </w:r>
      <w:r>
        <w:rPr>
          <w:i w:val="1"/>
          <w:color w:val="323232"/>
        </w:rPr>
        <w:t xml:space="preserve">0.75) or between dialysis-dependent (1,001 μg</w:t>
      </w:r>
      <w:r>
        <w:rPr>
          <w:color w:val="323232"/>
        </w:rPr>
        <w:t xml:space="preserve">L, range 177-1,001) and nondialysis-dependent dogs (520 μg</w:t>
      </w:r>
      <w:r>
        <w:rPr>
          <w:i w:val="1"/>
          <w:color w:val="323232"/>
        </w:rPr>
        <w:t xml:space="preserve">L, range 29-1,001; P</w:t>
      </w:r>
      <w:r>
        <w:rPr>
          <w:color w:val="323232"/>
        </w:rPr>
        <w:t xml:space="preserve"> </w:t>
      </w:r>
      <w:r>
        <w:rPr>
          <w:i w:val="1"/>
          <w:color w:val="323232"/>
        </w:rPr>
        <w:t xml:space="preserve">=</w:t>
      </w:r>
      <w:r>
        <w:rPr>
          <w:color w:val="323232"/>
        </w:rPr>
        <w:t xml:space="preserve"> </w:t>
      </w:r>
      <w:r>
        <w:rPr>
          <w:i w:val="1"/>
          <w:color w:val="323232"/>
        </w:rPr>
        <w:t xml:space="preserve">0.08). Spec cPL ≥400 μg</w:t>
      </w:r>
      <w:r>
        <w:rPr>
          <w:color w:val="323232"/>
        </w:rPr>
        <w:t xml:space="preserve">L was not significantly associated either with survival (P</w:t>
      </w:r>
      <w:r>
        <w:rPr>
          <w:color w:val="323232"/>
        </w:rPr>
        <w:t xml:space="preserve"> </w:t>
      </w:r>
      <w:r>
        <w:rPr>
          <w:color w:val="323232"/>
        </w:rPr>
        <w:t xml:space="preserve">=</w:t>
      </w:r>
      <w:r>
        <w:rPr>
          <w:color w:val="323232"/>
        </w:rPr>
        <w:t xml:space="preserve"> </w:t>
      </w:r>
      <w:r>
        <w:rPr>
          <w:color w:val="323232"/>
        </w:rPr>
        <w:t xml:space="preserve">0.74) or dialysis-dependency (P</w:t>
      </w:r>
      <w:r>
        <w:rPr>
          <w:color w:val="323232"/>
        </w:rPr>
        <w:t xml:space="preserve"> </w:t>
      </w:r>
      <w:r>
        <w:rPr>
          <w:color w:val="323232"/>
        </w:rPr>
        <w:t xml:space="preserve">=</w:t>
      </w:r>
      <w:r>
        <w:rPr>
          <w:color w:val="323232"/>
        </w:rPr>
        <w:t xml:space="preserve"> </w:t>
      </w:r>
      <w:r>
        <w:rPr>
          <w:color w:val="323232"/>
        </w:rPr>
        <w:t xml:space="preserve">0.33).</w:t>
      </w:r>
    </w:p>
    <w:p/>
    <w:p>
      <w:pPr>
        <w:pStyle w:val="Normal"/>
      </w:pPr>
      <w:r>
        <w:rPr>
          <w:color w:val="323232"/>
        </w:rPr>
        <w:t xml:space="preserve">CONCLUSIONS AND CLINICAL IMPORTANCE:Results revealed a high prevalence of Spec cPL ≥400 μg/L in dogs with AKI treated with IHD. No significant associations between Spec cPL and survival or dialysis-dependency in dogs with AKI at 30 days were identified in the current study, however, the latter could be due to lack of power in this study.</w:t>
      </w:r>
    </w:p>
    <w:p/>
    <w:p>
      <w:pPr>
        <w:pStyle w:val="Normal"/>
      </w:pPr>
      <w:r>
        <w:rPr>
          <w:color w:val="323232"/>
        </w:rPr>
        <w:t xml:space="preserve">J Vet Intern Med, 2018 vol. 32 (2), 4 pp. 722-726.</w:t>
      </w:r>
    </w:p>
    <w:p>
      <w:r>
        <w:rPr>
          <w:rStyle w:val="Hyperlink"/>
        </w:rPr>
        <w:fldChar w:fldCharType="begin"/>
      </w:r>
      <w:r>
        <w:rPr>
          <w:rStyle w:val="Hyperlink"/>
        </w:rPr>
        <w:instrText xml:space="preserve"> HYPERLINK "http://dx.doi.org/10.1111/jvim.15047" </w:instrText>
      </w:r>
      <w:r>
        <w:rPr>
          <w:rStyle w:val="Hyperlink"/>
        </w:rPr>
      </w:r>
      <w:r>
        <w:rPr>
          <w:rStyle w:val="Hyperlink"/>
        </w:rPr>
        <w:fldChar w:fldCharType="separate"/>
      </w:r>
      <w:pPr>
        <w:pStyle w:val="Normal"/>
      </w:pPr>
      <w:r>
        <w:rPr>
          <w:rStyle w:val="Hyperlink"/>
        </w:rPr>
        <w:t xml:space="preserve">http://dx.doi.org/10.1111/jvim.15047</w:t>
      </w:r>
      <w:r>
        <w:rPr>
          <w:rStyle w:val="Hyperlink"/>
        </w:rPr>
        <w:fldChar w:fldCharType="end"/>
      </w:r>
    </w:p>
    <w:p>
      <w:pPr>
        <w:pStyle w:val="Normal"/>
      </w:pPr>
      <w:r>
        <w:rPr>
          <w:color w:val="323232"/>
        </w:rPr>
        <w:t xml:space="preserve">————————</w:t>
      </w:r>
    </w:p>
    <w:p>
      <w:pPr>
        <w:pStyle w:val="Heading4"/>
      </w:pPr>
      <w:r>
        <w:t xml:space="preserve">Calcitonin Response to Naturally Occurring Ionized Hypercalcemia in Cats with Chronic Kidney Disease.</w:t>
      </w:r>
    </w:p>
    <w:p/>
    <w:p>
      <w:pPr>
        <w:pStyle w:val="Normal"/>
      </w:pPr>
      <w:r>
        <w:rPr>
          <w:color w:val="323232"/>
        </w:rPr>
        <w:t xml:space="preserve">Calcitonin in Hypercalcemic Cats with CKD.</w:t>
      </w:r>
    </w:p>
    <w:p>
      <w:pPr>
        <w:pStyle w:val="Normal"/>
      </w:pPr>
      <w:r>
        <w:rPr>
          <w:color w:val="323232"/>
        </w:rPr>
        <w:t xml:space="preserve">D H N van den Broek, R F Geddes, T L Williams, Y M Chang, J Elliott, and R E Jepson.</w:t>
      </w:r>
    </w:p>
    <w:p/>
    <w:p>
      <w:pPr>
        <w:pStyle w:val="Normal"/>
      </w:pPr>
      <w:r>
        <w:rPr>
          <w:color w:val="323232"/>
        </w:rPr>
        <w:t xml:space="preserve">BACKGROUND:Hypercalcemia is commonly associated with chronic kidney disease (CKD) in cats.</w:t>
      </w:r>
    </w:p>
    <w:p/>
    <w:p>
      <w:pPr>
        <w:pStyle w:val="Normal"/>
      </w:pPr>
      <w:r>
        <w:rPr>
          <w:color w:val="323232"/>
        </w:rPr>
        <w:t xml:space="preserve">OBJECTIVES:To explore the calcitonin response to naturally occurring ionized hypercalcemia in cats with azotemic CKD, and to assess the relationship of plasma calcitonin with ionized calcium, alkaline phosphatase (ALP), and urinary calcium excretion.</w:t>
      </w:r>
    </w:p>
    <w:p/>
    <w:p>
      <w:pPr>
        <w:pStyle w:val="Normal"/>
      </w:pPr>
      <w:r>
        <w:rPr>
          <w:color w:val="323232"/>
        </w:rPr>
        <w:t xml:space="preserve">ANIMALS:Thirty-three client-owned cats with azotemic CKD and ionized hypercalcemia from first opinion practice.</w:t>
      </w:r>
    </w:p>
    <w:p/>
    <w:p>
      <w:pPr>
        <w:pStyle w:val="Normal"/>
      </w:pPr>
      <w:r>
        <w:rPr>
          <w:color w:val="323232"/>
        </w:rPr>
        <w:t xml:space="preserve">METHODS:Cohort study. Calcitonin was measured with an immunoradiometric assay in heparinized plasma. Simple correlations were assessed with Kendall's rank correlation, and the within-subject correlations of calcitonin with ionized calcium and other clinicopathological variables were calculated with a bivariate linear mixed effects model.</w:t>
      </w:r>
    </w:p>
    <w:p/>
    <w:p>
      <w:pPr>
        <w:pStyle w:val="Normal"/>
      </w:pPr>
      <w:r>
        <w:rPr>
          <w:color w:val="323232"/>
        </w:rPr>
        <w:t xml:space="preserve">RESULTS:Calcitonin concentrations above the lower limit of detection (&gt;1.2 pg</w:t>
      </w:r>
      <w:r>
        <w:rPr>
          <w:i w:val="1"/>
          <w:color w:val="323232"/>
        </w:rPr>
        <w:t xml:space="preserve">mL; range, 1.7-87.2 pg</w:t>
      </w:r>
      <w:r>
        <w:rPr>
          <w:color w:val="323232"/>
        </w:rPr>
        <w:t xml:space="preserve">mL) were observed in 11 of 33 hypercalcemic cats (responders). Blood ionized calcium concentration did not differ significantly between responders (median, 1.59 [1.46, 1.66] mmol</w:t>
      </w:r>
      <w:r>
        <w:rPr>
          <w:i w:val="1"/>
          <w:color w:val="323232"/>
        </w:rPr>
        <w:t xml:space="preserve">L) and nonresponders (median, 1.48 [1.43, 1.65] mmol</w:t>
      </w:r>
      <w:r>
        <w:rPr>
          <w:color w:val="323232"/>
        </w:rPr>
        <w:t xml:space="preserve">L; P</w:t>
      </w:r>
      <w:r>
        <w:rPr>
          <w:color w:val="323232"/>
        </w:rPr>
        <w:t xml:space="preserve"> </w:t>
      </w:r>
      <w:r>
        <w:rPr>
          <w:color w:val="323232"/>
        </w:rPr>
        <w:t xml:space="preserve">=</w:t>
      </w:r>
      <w:r>
        <w:rPr>
          <w:color w:val="323232"/>
        </w:rPr>
        <w:t xml:space="preserve"> </w:t>
      </w:r>
      <w:r>
        <w:rPr>
          <w:color w:val="323232"/>
        </w:rPr>
        <w:t xml:space="preserve">0.22). No evidence was found for calcitonin and ionized calcium to correlate between cats (τb </w:t>
      </w:r>
      <w:r>
        <w:rPr>
          <w:color w:val="323232"/>
        </w:rPr>
        <w:t xml:space="preserve"> </w:t>
      </w:r>
      <w:r>
        <w:rPr>
          <w:color w:val="323232"/>
        </w:rPr>
        <w:t xml:space="preserve">=</w:t>
      </w:r>
      <w:r>
        <w:rPr>
          <w:color w:val="323232"/>
        </w:rPr>
        <w:t xml:space="preserve"> </w:t>
      </w:r>
      <w:r>
        <w:rPr>
          <w:color w:val="323232"/>
        </w:rPr>
        <w:t xml:space="preserve">0.14; P</w:t>
      </w:r>
      <w:r>
        <w:rPr>
          <w:color w:val="323232"/>
        </w:rPr>
        <w:t xml:space="preserve"> </w:t>
      </w:r>
      <w:r>
        <w:rPr>
          <w:color w:val="323232"/>
        </w:rPr>
        <w:t xml:space="preserve">=</w:t>
      </w:r>
      <w:r>
        <w:rPr>
          <w:color w:val="323232"/>
        </w:rPr>
        <w:t xml:space="preserve"> </w:t>
      </w:r>
      <w:r>
        <w:rPr>
          <w:color w:val="323232"/>
        </w:rPr>
        <w:t xml:space="preserve">0.31; n</w:t>
      </w:r>
      <w:r>
        <w:rPr>
          <w:color w:val="323232"/>
        </w:rPr>
        <w:t xml:space="preserve"> </w:t>
      </w:r>
      <w:r>
        <w:rPr>
          <w:color w:val="323232"/>
        </w:rPr>
        <w:t xml:space="preserve">=</w:t>
      </w:r>
      <w:r>
        <w:rPr>
          <w:color w:val="323232"/>
        </w:rPr>
        <w:t xml:space="preserve"> </w:t>
      </w:r>
      <w:r>
        <w:rPr>
          <w:color w:val="323232"/>
        </w:rPr>
        <w:t xml:space="preserve">33), but significant positive correlation was evident within individual responders over time (within-subject correlation coefficient [rwithin ], 0.83; 95% confidence interval [CI], 0.63-0.92). Calcitonin correlated negatively over time with plasma ALP (rwithin , -0.55; 95% CI, -0.79 to -0.16).</w:t>
      </w:r>
    </w:p>
    <w:p/>
    <w:p>
      <w:pPr>
        <w:pStyle w:val="Normal"/>
      </w:pPr>
      <w:r>
        <w:rPr>
          <w:color w:val="323232"/>
        </w:rPr>
        <w:t xml:space="preserve">CONCLUSIONS AND CLINICAL IMPORTANCE:Calcitonin does not appear to have an important role in calcium metabolism in cats with CKD.</w:t>
      </w:r>
    </w:p>
    <w:p/>
    <w:p>
      <w:pPr>
        <w:pStyle w:val="Normal"/>
      </w:pPr>
      <w:r>
        <w:rPr>
          <w:color w:val="323232"/>
        </w:rPr>
        <w:t xml:space="preserve">J Vet Intern Med, 2018 vol. 32 (2), 4 pp. 727-735.</w:t>
      </w:r>
    </w:p>
    <w:p>
      <w:r>
        <w:rPr>
          <w:rStyle w:val="Hyperlink"/>
        </w:rPr>
        <w:fldChar w:fldCharType="begin"/>
      </w:r>
      <w:r>
        <w:rPr>
          <w:rStyle w:val="Hyperlink"/>
        </w:rPr>
        <w:instrText xml:space="preserve"> HYPERLINK "http://dx.doi.org/10.1111/jvim.15051" </w:instrText>
      </w:r>
      <w:r>
        <w:rPr>
          <w:rStyle w:val="Hyperlink"/>
        </w:rPr>
      </w:r>
      <w:r>
        <w:rPr>
          <w:rStyle w:val="Hyperlink"/>
        </w:rPr>
        <w:fldChar w:fldCharType="separate"/>
      </w:r>
      <w:pPr>
        <w:pStyle w:val="Normal"/>
      </w:pPr>
      <w:r>
        <w:rPr>
          <w:rStyle w:val="Hyperlink"/>
        </w:rPr>
        <w:t xml:space="preserve">http://dx.doi.org/10.1111/jvim.15051</w:t>
      </w:r>
      <w:r>
        <w:rPr>
          <w:rStyle w:val="Hyperlink"/>
        </w:rPr>
        <w:fldChar w:fldCharType="end"/>
      </w:r>
    </w:p>
    <w:p>
      <w:pPr>
        <w:pStyle w:val="Normal"/>
      </w:pPr>
      <w:r>
        <w:rPr>
          <w:color w:val="323232"/>
        </w:rPr>
        <w:t xml:space="preserve">————————</w:t>
      </w:r>
    </w:p>
    <w:p>
      <w:pPr>
        <w:pStyle w:val="Heading4"/>
      </w:pPr>
      <w:r>
        <w:t xml:space="preserve">Variability of Symmetric Dimethylarginine in Apparently Healthy Dogs.</w:t>
      </w:r>
    </w:p>
    <w:p/>
    <w:p>
      <w:pPr>
        <w:pStyle w:val="Normal"/>
      </w:pPr>
      <w:r>
        <w:rPr>
          <w:color w:val="323232"/>
        </w:rPr>
        <w:t xml:space="preserve">IOI of SDMA.</w:t>
      </w:r>
    </w:p>
    <w:p>
      <w:pPr>
        <w:pStyle w:val="Normal"/>
      </w:pPr>
      <w:r>
        <w:rPr>
          <w:color w:val="323232"/>
        </w:rPr>
        <w:t xml:space="preserve">M A Kopke, R K Burchell, C G Ruaux, S E Burton, N Lopez-Villalobos, and A Gal.</w:t>
      </w:r>
    </w:p>
    <w:p/>
    <w:p>
      <w:pPr>
        <w:pStyle w:val="Normal"/>
      </w:pPr>
      <w:r>
        <w:rPr>
          <w:color w:val="323232"/>
        </w:rPr>
        <w:t xml:space="preserve">BACKGROUND:Symmetric dimethylarginine (SDMA) is a screening tool for early kidney dysfunction and monitoring treatment in cases of chronic kidney disease (CKD). There are no current studies describing the suitability of this test for use with published population-based reference intervals.</w:t>
      </w:r>
    </w:p>
    <w:p/>
    <w:p>
      <w:pPr>
        <w:pStyle w:val="Normal"/>
      </w:pPr>
      <w:r>
        <w:rPr>
          <w:color w:val="323232"/>
        </w:rPr>
        <w:t xml:space="preserve">HYPOTHESIS/OBJECTIVES:To determine the components of biological variability, the index of individuality (IOI), the critical difference between sequential measurements (CD ) and the number of measurements required to assess the homeostatic set point (HSP), for both SDMA and serum creatinine (sCr), in apparently healthy dogs.</w:t>
      </w:r>
    </w:p>
    <w:p/>
    <w:p>
      <w:pPr>
        <w:pStyle w:val="Normal"/>
      </w:pPr>
      <w:r>
        <w:rPr>
          <w:color w:val="323232"/>
        </w:rPr>
        <w:t xml:space="preserve">ANIMALS:Twenty apparently healthy adult dogs owned by clients or staff at a veterinary teaching hospital.</w:t>
      </w:r>
    </w:p>
    <w:p/>
    <w:p>
      <w:pPr>
        <w:pStyle w:val="Normal"/>
      </w:pPr>
      <w:r>
        <w:rPr>
          <w:color w:val="323232"/>
        </w:rPr>
        <w:t xml:space="preserve">METHODS:Prospective, observational study. Blood was collected from each dog on 9 occasions, and SDMA and sCr were measured in duplicate using commercially available assays.</w:t>
      </w:r>
    </w:p>
    <w:p/>
    <w:p>
      <w:pPr>
        <w:pStyle w:val="Normal"/>
      </w:pPr>
      <w:r>
        <w:rPr>
          <w:color w:val="323232"/>
        </w:rPr>
        <w:t xml:space="preserve">RESULTS:SDMA and sCr had intermediate and low IOI values of 0.87 and 0.28, respectively. The CD of SDMA and sCr, was 1.34 µg</w:t>
      </w:r>
      <w:r>
        <w:rPr>
          <w:i w:val="1"/>
          <w:color w:val="323232"/>
        </w:rPr>
        <w:t xml:space="preserve">dL and 0.89 µmol</w:t>
      </w:r>
      <w:r>
        <w:rPr>
          <w:color w:val="323232"/>
        </w:rPr>
        <w:t xml:space="preserve">L, respectively. The sample numbers required for estimation of an individual's HSP (with 90 and 95% CI) for SDMA and sCr were 8 and 45, and 2 and 12 sequential measurements, respectively.</w:t>
      </w:r>
    </w:p>
    <w:p/>
    <w:p>
      <w:pPr>
        <w:pStyle w:val="Normal"/>
      </w:pPr>
      <w:r>
        <w:rPr>
          <w:color w:val="323232"/>
        </w:rPr>
        <w:t xml:space="preserve">CONCLUSIONS AND CLINICAL IMPORTANCE:Based on our findings, in comparison to sCr, SDMA is better suited for use with population-based reference intervals. False-negative test results could occur when comparing a single test result from an individual to such intervals. Ideally CD should be used with sequential measurements.</w:t>
      </w:r>
    </w:p>
    <w:p/>
    <w:p>
      <w:pPr>
        <w:pStyle w:val="Normal"/>
      </w:pPr>
      <w:r>
        <w:rPr>
          <w:color w:val="323232"/>
        </w:rPr>
        <w:t xml:space="preserve">J Vet Intern Med, 2018 vol. 32 (2) pp. 736-742.</w:t>
      </w:r>
    </w:p>
    <w:p>
      <w:r>
        <w:rPr>
          <w:rStyle w:val="Hyperlink"/>
        </w:rPr>
        <w:fldChar w:fldCharType="begin"/>
      </w:r>
      <w:r>
        <w:rPr>
          <w:rStyle w:val="Hyperlink"/>
        </w:rPr>
        <w:instrText xml:space="preserve"> HYPERLINK "http://dx.doi.org/10.1111/jvim.15050" </w:instrText>
      </w:r>
      <w:r>
        <w:rPr>
          <w:rStyle w:val="Hyperlink"/>
        </w:rPr>
      </w:r>
      <w:r>
        <w:rPr>
          <w:rStyle w:val="Hyperlink"/>
        </w:rPr>
        <w:fldChar w:fldCharType="separate"/>
      </w:r>
      <w:pPr>
        <w:pStyle w:val="Normal"/>
      </w:pPr>
      <w:r>
        <w:rPr>
          <w:rStyle w:val="Hyperlink"/>
        </w:rPr>
        <w:t xml:space="preserve">http://dx.doi.org/10.1111/jvim.15050</w:t>
      </w:r>
      <w:r>
        <w:rPr>
          <w:rStyle w:val="Hyperlink"/>
        </w:rPr>
        <w:fldChar w:fldCharType="end"/>
      </w:r>
    </w:p>
    <w:p>
      <w:pPr>
        <w:pStyle w:val="Normal"/>
      </w:pPr>
      <w:r>
        <w:rPr>
          <w:color w:val="323232"/>
        </w:rPr>
        <w:t xml:space="preserve">————————</w:t>
      </w:r>
    </w:p>
    <w:p>
      <w:pPr>
        <w:pStyle w:val="Heading4"/>
      </w:pPr>
      <w:r>
        <w:t xml:space="preserve">Effects of Diagnostic Work-Up on Medical Decision-Making for Canine Urinary Tract Infection: An Observational Study in Danish Small Animal Practices.</w:t>
      </w:r>
    </w:p>
    <w:p/>
    <w:p>
      <w:pPr>
        <w:pStyle w:val="Normal"/>
      </w:pPr>
      <w:r>
        <w:rPr>
          <w:color w:val="323232"/>
        </w:rPr>
        <w:t xml:space="preserve">Mapping of UTI Diagnosis and Treatment.</w:t>
      </w:r>
    </w:p>
    <w:p>
      <w:pPr>
        <w:pStyle w:val="Normal"/>
      </w:pPr>
      <w:r>
        <w:rPr>
          <w:color w:val="323232"/>
        </w:rPr>
        <w:t xml:space="preserve">T M Sørensen, C R Bjørnvad, G Cordoba, P Damborg, L Guardabassi, V Siersma, L Bjerrum, and L R Jessen.</w:t>
      </w:r>
    </w:p>
    <w:p/>
    <w:p>
      <w:pPr>
        <w:pStyle w:val="Normal"/>
      </w:pPr>
      <w:r>
        <w:rPr>
          <w:color w:val="323232"/>
        </w:rPr>
        <w:t xml:space="preserve">BACKGROUND:Clinical signs of urinary tract disease in dogs often lead to prescription of antibiotics. Appropriate diagnostic work-up could optimize treatment and reduce the risk of inappropriate use of antibiotics.</w:t>
      </w:r>
    </w:p>
    <w:p/>
    <w:p>
      <w:pPr>
        <w:pStyle w:val="Normal"/>
      </w:pPr>
      <w:r>
        <w:rPr>
          <w:color w:val="323232"/>
        </w:rPr>
        <w:t xml:space="preserve">HYPOTHESIS/OBJECTIVES:To describe and evaluate the impact of diagnostic work-up on decision to treat (DTT) and choice of antibiotic treatment (COT) for dogs presenting with clinical signs of urinary tract disease.</w:t>
      </w:r>
    </w:p>
    <w:p/>
    <w:p>
      <w:pPr>
        <w:pStyle w:val="Normal"/>
      </w:pPr>
      <w:r>
        <w:rPr>
          <w:color w:val="323232"/>
        </w:rPr>
        <w:t xml:space="preserve">ANIMALS:One hundred and fifty-one dogs presenting to 52 Danish veterinary practices.</w:t>
      </w:r>
    </w:p>
    <w:p/>
    <w:p>
      <w:pPr>
        <w:pStyle w:val="Normal"/>
      </w:pPr>
      <w:r>
        <w:rPr>
          <w:color w:val="323232"/>
        </w:rPr>
        <w:t xml:space="preserve">METHODS:Prospective, observational study. Clinical signs, diagnostic work-up, and prescriptions were recorded. Urine samples were submitted to a reference laboratory for quantitative bacterial culture (QBC) and susceptibility testing. The laboratory results were used as reference for assessing the appropriateness of DTT and COT.</w:t>
      </w:r>
    </w:p>
    <w:p/>
    <w:p>
      <w:pPr>
        <w:pStyle w:val="Normal"/>
      </w:pPr>
      <w:r>
        <w:rPr>
          <w:color w:val="323232"/>
        </w:rPr>
        <w:t xml:space="preserve">RESULTS:In the majority of dogs, veterinarians performed dipstick (99%), microscopic examination of urine (80%) and bacterial culture (56%). Fifty-one percent of dogs had urinary tract infection (UTI) based on reference QBC. Appropriate DTT was made for 62% of the dogs, while 36% were over-prescribed and 2% under-prescribed. Inappropriate use of second-line agents was found in 57% of the UTI cases. Performing microscopy-but not culture-significantly impacted DTT (P</w:t>
      </w:r>
      <w:r>
        <w:rPr>
          <w:color w:val="323232"/>
        </w:rPr>
        <w:t xml:space="preserve"> </w:t>
      </w:r>
      <w:r>
        <w:rPr>
          <w:color w:val="323232"/>
        </w:rPr>
        <w:t xml:space="preserve">=</w:t>
      </w:r>
      <w:r>
        <w:rPr>
          <w:color w:val="323232"/>
        </w:rPr>
        <w:t xml:space="preserve"> </w:t>
      </w:r>
      <w:r>
        <w:rPr>
          <w:color w:val="323232"/>
        </w:rPr>
        <w:t xml:space="preserve">0.039) while no difference was seen in COT (P</w:t>
      </w:r>
      <w:r>
        <w:rPr>
          <w:color w:val="323232"/>
        </w:rPr>
        <w:t xml:space="preserve"> </w:t>
      </w:r>
      <w:r>
        <w:rPr>
          <w:color w:val="323232"/>
        </w:rPr>
        <w:t xml:space="preserve">=</w:t>
      </w:r>
      <w:r>
        <w:rPr>
          <w:color w:val="323232"/>
        </w:rPr>
        <w:t xml:space="preserve"> </w:t>
      </w:r>
      <w:r>
        <w:rPr>
          <w:color w:val="323232"/>
        </w:rPr>
        <w:t xml:space="preserve">0.67). The accuracy of in-house microscopy and culture were 64.5 and 77%, respectively.</w:t>
      </w:r>
    </w:p>
    <w:p/>
    <w:p>
      <w:pPr>
        <w:pStyle w:val="Normal"/>
      </w:pPr>
      <w:r>
        <w:rPr>
          <w:color w:val="323232"/>
        </w:rPr>
        <w:t xml:space="preserve">CONCLUSIONS AND CLINICAL IMPORTANCE:Over-prescription of antibiotics was common among dogs with suspected UTI, regardless of the diagnostic work-up performed. Test inaccuracy under practice conditions and incoherence between diagnostic test results and decision-making both explained inappropriate and unnecessary use of antibiotics.</w:t>
      </w:r>
    </w:p>
    <w:p/>
    <w:p>
      <w:pPr>
        <w:pStyle w:val="Normal"/>
      </w:pPr>
      <w:r>
        <w:rPr>
          <w:color w:val="323232"/>
        </w:rPr>
        <w:t xml:space="preserve">J Vet Intern Med, 2018 vol. 32 (2) pp. 743-751.</w:t>
      </w:r>
    </w:p>
    <w:p>
      <w:r>
        <w:rPr>
          <w:rStyle w:val="Hyperlink"/>
        </w:rPr>
        <w:fldChar w:fldCharType="begin"/>
      </w:r>
      <w:r>
        <w:rPr>
          <w:rStyle w:val="Hyperlink"/>
        </w:rPr>
        <w:instrText xml:space="preserve"> HYPERLINK "http://dx.doi.org/10.1111/jvim.15048" </w:instrText>
      </w:r>
      <w:r>
        <w:rPr>
          <w:rStyle w:val="Hyperlink"/>
        </w:rPr>
      </w:r>
      <w:r>
        <w:rPr>
          <w:rStyle w:val="Hyperlink"/>
        </w:rPr>
        <w:fldChar w:fldCharType="separate"/>
      </w:r>
      <w:pPr>
        <w:pStyle w:val="Normal"/>
      </w:pPr>
      <w:r>
        <w:rPr>
          <w:rStyle w:val="Hyperlink"/>
        </w:rPr>
        <w:t xml:space="preserve">http://dx.doi.org/10.1111/jvim.15048</w:t>
      </w:r>
      <w:r>
        <w:rPr>
          <w:rStyle w:val="Hyperlink"/>
        </w:rPr>
        <w:fldChar w:fldCharType="end"/>
      </w:r>
    </w:p>
    <w:p>
      <w:pPr>
        <w:pStyle w:val="Normal"/>
      </w:pPr>
      <w:r>
        <w:rPr>
          <w:color w:val="323232"/>
        </w:rPr>
        <w:t xml:space="preserve">————————</w:t>
      </w:r>
    </w:p>
    <w:p>
      <w:pPr>
        <w:pStyle w:val="Heading4"/>
      </w:pPr>
      <w:r>
        <w:t xml:space="preserve">The Effect of Urine Concentration and pH on the Growth of Escherichia Coli in Canine Urine In Vitro.</w:t>
      </w:r>
    </w:p>
    <w:p/>
    <w:p>
      <w:pPr>
        <w:pStyle w:val="Normal"/>
      </w:pPr>
      <w:r>
        <w:rPr>
          <w:color w:val="323232"/>
        </w:rPr>
        <w:t xml:space="preserve">In Vitro E. Coli Growth in Urine.</w:t>
      </w:r>
    </w:p>
    <w:p>
      <w:pPr>
        <w:pStyle w:val="Normal"/>
      </w:pPr>
      <w:r>
        <w:rPr>
          <w:color w:val="323232"/>
        </w:rPr>
        <w:t xml:space="preserve">L A Thornton, R K Burchell, S E Burton, N Lopez-Villalobos, D Pereira, I MacEwan, C Fang, A C Hatmodjo, M A Nelson, A Grinberg, N Velathanthiri, and A Gal.</w:t>
      </w:r>
    </w:p>
    <w:p/>
    <w:p>
      <w:pPr>
        <w:pStyle w:val="Normal"/>
      </w:pPr>
      <w:r>
        <w:rPr>
          <w:color w:val="323232"/>
        </w:rPr>
        <w:t xml:space="preserve">BACKGROUND:Lower urinary tract infections are common in dogs, and Escherichia coli is the most common bacterial pathogen isolated. The literature has conflicting evidence regarding the inhibitory effects of urine concentration and pH on E. coli growth.</w:t>
      </w:r>
    </w:p>
    <w:p/>
    <w:p>
      <w:pPr>
        <w:pStyle w:val="Normal"/>
      </w:pPr>
      <w:r>
        <w:rPr>
          <w:color w:val="323232"/>
        </w:rPr>
        <w:t xml:space="preserve">HYPOTHESIS/OBJECTIVES:To determine the effect of different pH and urine concentrations on E. coli growth in vitro.</w:t>
      </w:r>
    </w:p>
    <w:p/>
    <w:p>
      <w:pPr>
        <w:pStyle w:val="Normal"/>
      </w:pPr>
      <w:r>
        <w:rPr>
          <w:color w:val="323232"/>
        </w:rPr>
        <w:t xml:space="preserve">ANIMALS:Voided urine samples from 10 apparently healthy spayed female dogs were used.</w:t>
      </w:r>
    </w:p>
    <w:p/>
    <w:p>
      <w:pPr>
        <w:pStyle w:val="Normal"/>
      </w:pPr>
      <w:r>
        <w:rPr>
          <w:color w:val="323232"/>
        </w:rPr>
        <w:t xml:space="preserve">METHODS:A matrix of 9 urine specific gravity (USG; 1.010, 1.020, and 1.030) and pH (5.5, 7.0, and 8.5) combinations was prepared by diluting and titrating filtered voided urine samples. Three E. coli isolates were obtained from urine of female dogs with signs of lower urinary tract infection and cultured at different urine pH and USG combinations in wells of a microtiter plate. The number of E. coli colony-forming units (CFU) per mL of urine was calculated after aerobic incubation of the urine at 37°C for 18 hours, and statistically compared.</w:t>
      </w:r>
    </w:p>
    <w:p/>
    <w:p>
      <w:pPr>
        <w:pStyle w:val="Normal"/>
      </w:pPr>
      <w:r>
        <w:rPr>
          <w:color w:val="323232"/>
        </w:rPr>
        <w:t xml:space="preserve">RESULTS:Significant differences were identified in the mean log CFU</w:t>
      </w:r>
      <w:r>
        <w:rPr>
          <w:i w:val="1"/>
          <w:color w:val="323232"/>
        </w:rPr>
        <w:t xml:space="preserve">mL among different combinations of pH and USG. The lowest log CFU</w:t>
      </w:r>
      <w:r>
        <w:rPr>
          <w:color w:val="323232"/>
        </w:rPr>
        <w:t xml:space="preserve">mL were observed in alkaline concentrated urine (pH 8.5 and USG 1.030).</w:t>
      </w:r>
    </w:p>
    <w:p/>
    <w:p>
      <w:pPr>
        <w:pStyle w:val="Normal"/>
      </w:pPr>
      <w:r>
        <w:rPr>
          <w:color w:val="323232"/>
        </w:rPr>
        <w:t xml:space="preserve">CONCLUSIONS AND CLINICAL IMPORTANCE:Escherichia coli in vitro growth was higher in neutral to acidic and diluted urine compared to alkaline and concentrated urine. The impact of non-alkalizing diluting diets on the incidence of E. coli lower urinary tract infections should be further explored.</w:t>
      </w:r>
    </w:p>
    <w:p/>
    <w:p>
      <w:pPr>
        <w:pStyle w:val="Normal"/>
      </w:pPr>
      <w:r>
        <w:rPr>
          <w:color w:val="323232"/>
        </w:rPr>
        <w:t xml:space="preserve">J Vet Intern Med, 2018 vol. 32 (2) pp. 752-756.</w:t>
      </w:r>
    </w:p>
    <w:p>
      <w:r>
        <w:rPr>
          <w:rStyle w:val="Hyperlink"/>
        </w:rPr>
        <w:fldChar w:fldCharType="begin"/>
      </w:r>
      <w:r>
        <w:rPr>
          <w:rStyle w:val="Hyperlink"/>
        </w:rPr>
        <w:instrText xml:space="preserve"> HYPERLINK "http://dx.doi.org/10.1111/jvim.15045" </w:instrText>
      </w:r>
      <w:r>
        <w:rPr>
          <w:rStyle w:val="Hyperlink"/>
        </w:rPr>
      </w:r>
      <w:r>
        <w:rPr>
          <w:rStyle w:val="Hyperlink"/>
        </w:rPr>
        <w:fldChar w:fldCharType="separate"/>
      </w:r>
      <w:pPr>
        <w:pStyle w:val="Normal"/>
      </w:pPr>
      <w:r>
        <w:rPr>
          <w:rStyle w:val="Hyperlink"/>
        </w:rPr>
        <w:t xml:space="preserve">http://dx.doi.org/10.1111/jvim.15045</w:t>
      </w:r>
      <w:r>
        <w:rPr>
          <w:rStyle w:val="Hyperlink"/>
        </w:rPr>
        <w:fldChar w:fldCharType="end"/>
      </w:r>
    </w:p>
    <w:p>
      <w:pPr>
        <w:pStyle w:val="Normal"/>
      </w:pPr>
      <w:r>
        <w:rPr>
          <w:color w:val="323232"/>
        </w:rPr>
        <w:t xml:space="preserve">————————</w:t>
      </w:r>
    </w:p>
    <w:p>
      <w:pPr>
        <w:pStyle w:val="Heading4"/>
      </w:pPr>
      <w:r>
        <w:t xml:space="preserve">Clinical Risk Factors for Early Seizure Recurrence in Dogs Hospitalized for Seizure Evaluation.</w:t>
      </w:r>
    </w:p>
    <w:p/>
    <w:p>
      <w:pPr>
        <w:pStyle w:val="Normal"/>
      </w:pPr>
      <w:r>
        <w:rPr>
          <w:color w:val="323232"/>
        </w:rPr>
        <w:t xml:space="preserve">Factors for Seizure Recurrence in Dogs.</w:t>
      </w:r>
    </w:p>
    <w:p/>
    <w:p>
      <w:pPr>
        <w:pStyle w:val="Normal"/>
      </w:pPr>
      <w:r>
        <w:rPr>
          <w:color w:val="323232"/>
        </w:rPr>
        <w:t xml:space="preserve">M Kwiatkowska, A Tipold, E Huenerfauth, and A Pomianowski.</w:t>
      </w:r>
    </w:p>
    <w:p/>
    <w:p>
      <w:pPr>
        <w:pStyle w:val="Normal"/>
      </w:pPr>
      <w:r>
        <w:rPr>
          <w:color w:val="323232"/>
        </w:rPr>
        <w:t xml:space="preserve">BACKGROUND:Epileptic seizures are a common cause for neurological evaluations in dogs.</w:t>
      </w:r>
    </w:p>
    <w:p/>
    <w:p>
      <w:pPr>
        <w:pStyle w:val="Normal"/>
      </w:pPr>
      <w:r>
        <w:rPr>
          <w:color w:val="323232"/>
        </w:rPr>
        <w:t xml:space="preserve">HYPOTHESIS/OBJECTIVES:To determine the timing, frequency, and risk factors for early seizure recurrence (ESR) among dogs admitted to the hospital for seizure evaluation and to facilitate rapid decision making about whether dogs should be placed in the intensive care unit (ICU) or day ward.</w:t>
      </w:r>
    </w:p>
    <w:p/>
    <w:p>
      <w:pPr>
        <w:pStyle w:val="Normal"/>
      </w:pPr>
      <w:r>
        <w:rPr>
          <w:color w:val="323232"/>
        </w:rPr>
        <w:t xml:space="preserve">ANIMALS:Nine-hundred twenty-two dogs referred for seizure investigation; 214 patients were included.</w:t>
      </w:r>
    </w:p>
    <w:p/>
    <w:p>
      <w:pPr>
        <w:pStyle w:val="Normal"/>
      </w:pPr>
      <w:r>
        <w:rPr>
          <w:color w:val="323232"/>
        </w:rPr>
        <w:t xml:space="preserve">METHODS:Retrospective study. Medical records between 2000 and 2017 were reviewed to determine risk factors for ESR. Findings were compared among dogs diagnosed with idiopathic epilepsy (IE), structural epilepsy (StE) and reactive seizures (RS), as well as in all selected cases together.</w:t>
      </w:r>
    </w:p>
    <w:p/>
    <w:p>
      <w:pPr>
        <w:pStyle w:val="Normal"/>
      </w:pPr>
      <w:r>
        <w:rPr>
          <w:color w:val="323232"/>
        </w:rPr>
        <w:t xml:space="preserve">RESULTS:Fifty percent of dogs had a seizure while hospitalized. In the group 53.1 and 52.2% in the StE group, whereas in the RS 40.44% had ESR. The average time to ESR was 7 hours. In IE group, abnormal postictal neurological examination with prosencephalon signs predicted ESR. In StE group, a single generalized or focal seizure 72 hours before hospital admission and abnormal neurologic examination predicted ESR. In the RS group, ERS was predicted by long-term antiepileptic monotheraphy. When all dogs were analyzed together, abnormal neurological examination, the occurrence of cluster seizures, status epilepticus, or combination of them 72 hours before presentation predicted ESR.</w:t>
      </w:r>
    </w:p>
    <w:p/>
    <w:p>
      <w:pPr>
        <w:pStyle w:val="Normal"/>
      </w:pPr>
      <w:r>
        <w:rPr>
          <w:color w:val="323232"/>
        </w:rPr>
        <w:t xml:space="preserve">CONCLUSIONS AND CLINICAL IMPORTANCE:Epileptic seizures recurred in 50% of patients within a mean time of 7 hours. In general, when cluster seizures, status epilepticus or both occurred 72 hours before presentation and neurological examination was abnormal upon presentation, the dog should be placed in ICU for observation.</w:t>
      </w:r>
    </w:p>
    <w:p/>
    <w:p>
      <w:pPr>
        <w:pStyle w:val="Normal"/>
      </w:pPr>
      <w:r>
        <w:rPr>
          <w:color w:val="323232"/>
        </w:rPr>
        <w:t xml:space="preserve">J Vet Intern Med, 2018 vol. 32 (2) pp. 757-763.</w:t>
      </w:r>
    </w:p>
    <w:p>
      <w:r>
        <w:rPr>
          <w:rStyle w:val="Hyperlink"/>
        </w:rPr>
        <w:fldChar w:fldCharType="begin"/>
      </w:r>
      <w:r>
        <w:rPr>
          <w:rStyle w:val="Hyperlink"/>
        </w:rPr>
        <w:instrText xml:space="preserve"> HYPERLINK "http://dx.doi.org/10.1111/jvim.15046" </w:instrText>
      </w:r>
      <w:r>
        <w:rPr>
          <w:rStyle w:val="Hyperlink"/>
        </w:rPr>
      </w:r>
      <w:r>
        <w:rPr>
          <w:rStyle w:val="Hyperlink"/>
        </w:rPr>
        <w:fldChar w:fldCharType="separate"/>
      </w:r>
      <w:pPr>
        <w:pStyle w:val="Normal"/>
      </w:pPr>
      <w:r>
        <w:rPr>
          <w:rStyle w:val="Hyperlink"/>
        </w:rPr>
        <w:t xml:space="preserve">http://dx.doi.org/10.1111/jvim.15046</w:t>
      </w:r>
      <w:r>
        <w:rPr>
          <w:rStyle w:val="Hyperlink"/>
        </w:rPr>
        <w:fldChar w:fldCharType="end"/>
      </w:r>
    </w:p>
    <w:p>
      <w:pPr>
        <w:pStyle w:val="Normal"/>
      </w:pPr>
      <w:r>
        <w:rPr>
          <w:color w:val="323232"/>
        </w:rPr>
        <w:t xml:space="preserve">————————</w:t>
      </w:r>
    </w:p>
    <w:p>
      <w:pPr>
        <w:pStyle w:val="Heading4"/>
      </w:pPr>
      <w:r>
        <w:t xml:space="preserve">Vitamin D Receptor Expression in Dogs.</w:t>
      </w:r>
    </w:p>
    <w:p/>
    <w:p>
      <w:pPr>
        <w:pStyle w:val="Normal"/>
      </w:pPr>
      <w:r>
        <w:rPr>
          <w:color w:val="323232"/>
        </w:rPr>
        <w:t xml:space="preserve">J A Cartwright, A G Gow, E Milne, D Drummond, S Smith, I Handel, and R J Mellanby.</w:t>
      </w:r>
    </w:p>
    <w:p/>
    <w:p>
      <w:pPr>
        <w:pStyle w:val="Normal"/>
      </w:pPr>
      <w:r>
        <w:rPr>
          <w:color w:val="323232"/>
        </w:rPr>
        <w:t xml:space="preserve">BACKGROUND:There is growing evidence linking low blood vitamin D concentration to numerous diseases in people and in dogs. Vitamin D influences cellular function by signaling through the vitamin D receptor (VDR). Little is known about which non-skeletal tissues express the VDR or how inflammation influences its expression in the dog.</w:t>
      </w:r>
    </w:p>
    <w:p/>
    <w:p>
      <w:pPr>
        <w:pStyle w:val="Normal"/>
      </w:pPr>
      <w:r>
        <w:rPr>
          <w:color w:val="323232"/>
        </w:rPr>
        <w:t xml:space="preserve">OBJECTIVES:To define which non-skeletal canine tissues express the VDR and to investigate expression in inflamed small intestine.</w:t>
      </w:r>
    </w:p>
    <w:p/>
    <w:p>
      <w:pPr>
        <w:pStyle w:val="Normal"/>
      </w:pPr>
      <w:r>
        <w:rPr>
          <w:color w:val="323232"/>
        </w:rPr>
        <w:t xml:space="preserve">ANIMALS:Thirteen non-skeletal tissues were collected prospectively from 6 control dogs. Thirty-five dogs diagnosed with a chronic enteropathy (CE) and 24 control dogs were prospectively enrolled and duodenal biopsies were evaluated for VDR expression.</w:t>
      </w:r>
    </w:p>
    <w:p/>
    <w:p>
      <w:pPr>
        <w:pStyle w:val="Normal"/>
      </w:pPr>
      <w:r>
        <w:rPr>
          <w:color w:val="323232"/>
        </w:rPr>
        <w:t xml:space="preserve">METHODS:Prospective; blinded assessment of canine intestinal VDR. Dogs with CE were included once other identifiable causes of intestinal disease were excluded. Age matched controls were included with no intestinal clinical signs. VDR expression was assessed immunohistochemically in all samples, using a Rat IgG VDR monoclonal antibody. Quantitative real-time polymerase chain reaction (qPCR) was also used for duodenal biopsies.</w:t>
      </w:r>
    </w:p>
    <w:p/>
    <w:p>
      <w:pPr>
        <w:pStyle w:val="Normal"/>
      </w:pPr>
      <w:r>
        <w:rPr>
          <w:color w:val="323232"/>
        </w:rPr>
        <w:t xml:space="preserve">RESULTS:VDR expression as assessed by immunohistochemistry (IHC) was highest in the kidney, duodenum, skin, ileum and spleen, and weak in the colon, heart, lymph node, liver, lung, and ovary. Gastric and testicular tissue did not express the VDR. There was no statistical difference in duodenal VDR expression between the 24 healthy dogs and 34 dogs with CE when quantified by either qPCR (P</w:t>
      </w:r>
      <w:r>
        <w:rPr>
          <w:color w:val="323232"/>
        </w:rPr>
        <w:t xml:space="preserve"> </w:t>
      </w:r>
      <w:r>
        <w:rPr>
          <w:color w:val="323232"/>
        </w:rPr>
        <w:t xml:space="preserve">=</w:t>
      </w:r>
      <w:r>
        <w:rPr>
          <w:color w:val="323232"/>
        </w:rPr>
        <w:t xml:space="preserve"> </w:t>
      </w:r>
      <w:r>
        <w:rPr>
          <w:color w:val="323232"/>
        </w:rPr>
        <w:t xml:space="preserve">0.87) or IHC (P</w:t>
      </w:r>
      <w:r>
        <w:rPr>
          <w:color w:val="323232"/>
        </w:rPr>
        <w:t xml:space="preserve"> </w:t>
      </w:r>
      <w:r>
        <w:rPr>
          <w:color w:val="323232"/>
        </w:rPr>
        <w:t xml:space="preserve">=</w:t>
      </w:r>
      <w:r>
        <w:rPr>
          <w:color w:val="323232"/>
        </w:rPr>
        <w:t xml:space="preserve"> </w:t>
      </w:r>
      <w:r>
        <w:rPr>
          <w:color w:val="323232"/>
        </w:rPr>
        <w:t xml:space="preserve">0.099).</w:t>
      </w:r>
    </w:p>
    <w:p/>
    <w:p>
      <w:pPr>
        <w:pStyle w:val="Normal"/>
      </w:pPr>
      <w:r>
        <w:rPr>
          <w:color w:val="323232"/>
        </w:rPr>
        <w:t xml:space="preserve">CONCLUSIONS AND CLINICAL IMPORTANCE:The lack of down regulation of VDR expression in inflamed intestine contrasts with previous studies in humans. Our findings support future studies to investigate whether vitamin D and its analogues can be used to modulate intestinal inflammation in the dog.</w:t>
      </w:r>
    </w:p>
    <w:p/>
    <w:p>
      <w:pPr>
        <w:pStyle w:val="Normal"/>
      </w:pPr>
      <w:r>
        <w:rPr>
          <w:color w:val="323232"/>
        </w:rPr>
        <w:t xml:space="preserve">J Vet Intern Med, 2018 vol. 32 (2) pp. 764-774.</w:t>
      </w:r>
    </w:p>
    <w:p>
      <w:r>
        <w:rPr>
          <w:rStyle w:val="Hyperlink"/>
        </w:rPr>
        <w:fldChar w:fldCharType="begin"/>
      </w:r>
      <w:r>
        <w:rPr>
          <w:rStyle w:val="Hyperlink"/>
        </w:rPr>
        <w:instrText xml:space="preserve"> HYPERLINK "http://dx.doi.org/10.1111/jvim.15052" </w:instrText>
      </w:r>
      <w:r>
        <w:rPr>
          <w:rStyle w:val="Hyperlink"/>
        </w:rPr>
      </w:r>
      <w:r>
        <w:rPr>
          <w:rStyle w:val="Hyperlink"/>
        </w:rPr>
        <w:fldChar w:fldCharType="separate"/>
      </w:r>
      <w:pPr>
        <w:pStyle w:val="Normal"/>
      </w:pPr>
      <w:r>
        <w:rPr>
          <w:rStyle w:val="Hyperlink"/>
        </w:rPr>
        <w:t xml:space="preserve">http://dx.doi.org/10.1111/jvim.15052</w:t>
      </w:r>
      <w:r>
        <w:rPr>
          <w:rStyle w:val="Hyperlink"/>
        </w:rPr>
        <w:fldChar w:fldCharType="end"/>
      </w:r>
    </w:p>
    <w:p>
      <w:pPr>
        <w:pStyle w:val="Normal"/>
      </w:pPr>
      <w:r>
        <w:rPr>
          <w:color w:val="323232"/>
        </w:rPr>
        <w:t xml:space="preserve">————————</w:t>
      </w:r>
    </w:p>
    <w:p>
      <w:pPr>
        <w:pStyle w:val="Heading4"/>
      </w:pPr>
      <w:r>
        <w:t xml:space="preserve">Immediate, short-, and long-term changes in tracheal stent diameter, length, and positioning after placement in dogs with tracheal collapse syndrome.</w:t>
      </w:r>
    </w:p>
    <w:p/>
    <w:p>
      <w:pPr>
        <w:pStyle w:val="Normal"/>
      </w:pPr>
      <w:r>
        <w:rPr>
          <w:color w:val="323232"/>
        </w:rPr>
        <w:t xml:space="preserve">Matthew Raske, Chick Weisse, Allyson C Berent, Renee McDougall, and Kenneth Lamb.</w:t>
      </w:r>
    </w:p>
    <w:p/>
    <w:p>
      <w:pPr>
        <w:pStyle w:val="Normal"/>
      </w:pPr>
      <w:r>
        <w:rPr>
          <w:color w:val="323232"/>
        </w:rPr>
        <w:t xml:space="preserve">BACKGROUND:Intraluminal tracheal stenting is a minimally invasive procedure shown to have variable degrees of success in managing clinical signs associated with tracheal collapse syndrome (CTCS) in dogs.</w:t>
      </w:r>
    </w:p>
    <w:p/>
    <w:p>
      <w:pPr>
        <w:pStyle w:val="Normal"/>
      </w:pPr>
      <w:r>
        <w:rPr>
          <w:color w:val="323232"/>
        </w:rPr>
        <w:t xml:space="preserve">OBJECTIVES:Identify immediate post-stent changes in tracheal diameter, determine the extent of stent migration, and stent shortening after stent placement in the immediate-, short-, and long-term periods, and evaluate inter-observer reliability of radiographic measurements.</w:t>
      </w:r>
    </w:p>
    <w:p/>
    <w:p>
      <w:pPr>
        <w:pStyle w:val="Normal"/>
      </w:pPr>
      <w:r>
        <w:rPr>
          <w:color w:val="323232"/>
        </w:rPr>
        <w:t xml:space="preserve">ANIMALS:Fifty client-owned dogs.</w:t>
      </w:r>
    </w:p>
    <w:p/>
    <w:p>
      <w:pPr>
        <w:pStyle w:val="Normal"/>
      </w:pPr>
      <w:r>
        <w:rPr>
          <w:color w:val="323232"/>
        </w:rPr>
        <w:t xml:space="preserve">METHODS:Retrospective study in which medical records were reviewed in dogs with CTCS treated with an intraluminal tracheal stent. Data collected included signalment, location, and type of collapse, stent diameter and length, and post-stent placement radiographic follow-up times. Radiographs were used to obtain pre-stent tracheal measurements and post-stent placement measurements.</w:t>
      </w:r>
    </w:p>
    <w:p/>
    <w:p>
      <w:pPr>
        <w:pStyle w:val="Normal"/>
      </w:pPr>
      <w:r>
        <w:rPr>
          <w:color w:val="323232"/>
        </w:rPr>
        <w:t xml:space="preserve">RESULTS:Immediate mean percentage change was 5.14%, 5.49%, and 21.64% for cervical, thoracic inlet, and intra-thoracic tracheal diameters, respectively. Ultimate mean follow-up time was 446 days, with mean percentage change of 2.55%, 15.09%, and 8.65% for cervical, thoracic inlet, and intra-thoracic tracheal diameters, respectively. Initial mean stent length was 26.72% higher than nominal length and ultimate long-term tracheal mean stent shortening was only 9.90%. No significant stent migration was identified in the immediate, short-, or long-term periods. Good inter-observer agreement of radiographic measurements was found among observers of variable experience level.</w:t>
      </w:r>
    </w:p>
    <w:p/>
    <w:p>
      <w:pPr>
        <w:pStyle w:val="Normal"/>
      </w:pPr>
      <w:r>
        <w:rPr>
          <w:color w:val="323232"/>
        </w:rPr>
        <w:t xml:space="preserve">CONCLUSIONS AND CLINICAL IMPORTANCE:Use of an intraluminal tracheal stent for CTCS is associated with minimal stent shortening with no clinically relevant stent migration after fluoroscopic placement. Precise stent sizing and placement techniques likely play important roles in avoiding these reported complications.</w:t>
      </w:r>
    </w:p>
    <w:p/>
    <w:p>
      <w:pPr>
        <w:pStyle w:val="Normal"/>
      </w:pPr>
      <w:r>
        <w:rPr>
          <w:color w:val="323232"/>
        </w:rPr>
        <w:t xml:space="preserve">J Vet Intern Med, 2018 vol. 32 (2) pp. 782-791.</w:t>
      </w:r>
    </w:p>
    <w:p>
      <w:r>
        <w:rPr>
          <w:rStyle w:val="Hyperlink"/>
        </w:rPr>
        <w:fldChar w:fldCharType="begin"/>
      </w:r>
      <w:r>
        <w:rPr>
          <w:rStyle w:val="Hyperlink"/>
        </w:rPr>
        <w:instrText xml:space="preserve"> HYPERLINK "http://dx.doi.org/10.1111/jvim.15063" </w:instrText>
      </w:r>
      <w:r>
        <w:rPr>
          <w:rStyle w:val="Hyperlink"/>
        </w:rPr>
      </w:r>
      <w:r>
        <w:rPr>
          <w:rStyle w:val="Hyperlink"/>
        </w:rPr>
        <w:fldChar w:fldCharType="separate"/>
      </w:r>
      <w:pPr>
        <w:pStyle w:val="Normal"/>
      </w:pPr>
      <w:r>
        <w:rPr>
          <w:rStyle w:val="Hyperlink"/>
        </w:rPr>
        <w:t xml:space="preserve">http://dx.doi.org/10.1111/jvim.15063</w:t>
      </w:r>
      <w:r>
        <w:rPr>
          <w:rStyle w:val="Hyperlink"/>
        </w:rPr>
        <w:fldChar w:fldCharType="end"/>
      </w:r>
    </w:p>
    <w:p>
      <w:pPr>
        <w:pStyle w:val="Normal"/>
      </w:pPr>
      <w:r>
        <w:rPr>
          <w:color w:val="323232"/>
        </w:rPr>
        <w:t xml:space="preserve">————————</w:t>
      </w:r>
    </w:p>
    <w:p>
      <w:pPr>
        <w:pStyle w:val="Heading4"/>
      </w:pPr>
      <w:r>
        <w:t xml:space="preserve">Prognostic value of echocardiographic indices of left atrial morphology and function in dogs with myxomatous mitral valve disease.</w:t>
      </w:r>
    </w:p>
    <w:p/>
    <w:p>
      <w:pPr>
        <w:pStyle w:val="Normal"/>
      </w:pPr>
      <w:r>
        <w:rPr>
          <w:color w:val="323232"/>
        </w:rPr>
        <w:t xml:space="preserve">Marco Baron Toaldo, Giovanni Romito, Carlo Guglielmini, Alessia Diana, Nazzareno G Pelle, Barbara Contiero, and Mario Cipone.</w:t>
      </w:r>
    </w:p>
    <w:p/>
    <w:p>
      <w:pPr>
        <w:pStyle w:val="Normal"/>
      </w:pPr>
      <w:r>
        <w:rPr>
          <w:color w:val="323232"/>
        </w:rPr>
        <w:t xml:space="preserve">BACKGROUND:The prognostic relevance of left atrial (LA) morphological and functional variables, including those derived from speckle tracking echocardiography (STE), has been little investigated in veterinary medicine.</w:t>
      </w:r>
    </w:p>
    <w:p/>
    <w:p>
      <w:pPr>
        <w:pStyle w:val="Normal"/>
      </w:pPr>
      <w:r>
        <w:rPr>
          <w:color w:val="323232"/>
        </w:rPr>
        <w:t xml:space="preserve">OBJECTIVES:To assess the prognostic value of several echocardiographic variables, with a focus on LA morphological and functional variables in dogs with myxomatous mitral valve disease (MMVD).</w:t>
      </w:r>
    </w:p>
    <w:p/>
    <w:p>
      <w:pPr>
        <w:pStyle w:val="Normal"/>
      </w:pPr>
      <w:r>
        <w:rPr>
          <w:color w:val="323232"/>
        </w:rPr>
        <w:t xml:space="preserve">ANIMALS:One-hundred and fifteen dogs of different breeds with MMVD.</w:t>
      </w:r>
    </w:p>
    <w:p/>
    <w:p>
      <w:pPr>
        <w:pStyle w:val="Normal"/>
      </w:pPr>
      <w:r>
        <w:rPr>
          <w:color w:val="323232"/>
        </w:rPr>
        <w:t xml:space="preserve">METHODS:Prospective cohort study. Conventional morphologic and echo-Doppler variables, LA areas and volumes, and STE-based LA strain analysis were performed in all dogs. A survival analysis was performed to test for the best echocardiographic predictors of cardiac-related death.</w:t>
      </w:r>
    </w:p>
    <w:p/>
    <w:p>
      <w:pPr>
        <w:pStyle w:val="Normal"/>
      </w:pPr>
      <w:r>
        <w:rPr>
          <w:color w:val="323232"/>
        </w:rPr>
        <w:t xml:space="preserve">RESULTS:Most of the tested variables, including all LA STE-derived variables were univariate predictors of cardiac death in Cox proportional hazard analysis. Because of strong correlation between many variables, only left atrium to aorta ratio (LA</w:t>
      </w:r>
      <w:r>
        <w:rPr>
          <w:i w:val="1"/>
          <w:color w:val="323232"/>
        </w:rPr>
        <w:t xml:space="preserve">Ao</w:t>
      </w:r>
      <w:r>
        <w:rPr>
          <w:color w:val="323232"/>
        </w:rPr>
        <w:t xml:space="preserve"> </w:t>
      </w:r>
      <w:r>
        <w:rPr>
          <w:i w:val="1"/>
          <w:color w:val="323232"/>
        </w:rPr>
        <w:t xml:space="preserve">&gt;</w:t>
      </w:r>
      <w:r>
        <w:rPr>
          <w:color w:val="323232"/>
        </w:rPr>
        <w:t xml:space="preserve"> </w:t>
      </w:r>
      <w:r>
        <w:rPr>
          <w:i w:val="1"/>
          <w:color w:val="323232"/>
        </w:rPr>
        <w:t xml:space="preserve">1.7), mitral valve E wave velocity (MV E vel</w:t>
      </w:r>
      <w:r>
        <w:rPr>
          <w:color w:val="323232"/>
        </w:rPr>
        <w:t xml:space="preserve"> </w:t>
      </w:r>
      <w:r>
        <w:rPr>
          <w:i w:val="1"/>
          <w:color w:val="323232"/>
        </w:rPr>
        <w:t xml:space="preserve">&gt;</w:t>
      </w:r>
      <w:r>
        <w:rPr>
          <w:color w:val="323232"/>
        </w:rPr>
        <w:t xml:space="preserve"> </w:t>
      </w:r>
      <w:r>
        <w:rPr>
          <w:i w:val="1"/>
          <w:color w:val="323232"/>
        </w:rPr>
        <w:t xml:space="preserve">1.3 m</w:t>
      </w:r>
      <w:r>
        <w:rPr>
          <w:color w:val="323232"/>
        </w:rPr>
        <w:t xml:space="preserve">s), LA maximal volume (LAVmax</w:t>
      </w:r>
      <w:r>
        <w:rPr>
          <w:color w:val="323232"/>
        </w:rPr>
        <w:t xml:space="preserve"> </w:t>
      </w:r>
      <w:r>
        <w:rPr>
          <w:color w:val="323232"/>
        </w:rPr>
        <w:t xml:space="preserve">&gt;</w:t>
      </w:r>
      <w:r>
        <w:rPr>
          <w:color w:val="323232"/>
        </w:rPr>
        <w:t xml:space="preserve"> </w:t>
      </w:r>
      <w:r>
        <w:rPr>
          <w:color w:val="323232"/>
        </w:rPr>
        <w:t xml:space="preserve">3.53 mL/kg), peak atrial longitudinal strain (PALS</w:t>
      </w:r>
      <w:r>
        <w:rPr>
          <w:color w:val="323232"/>
        </w:rPr>
        <w:t xml:space="preserve"> </w:t>
      </w:r>
      <w:r>
        <w:rPr>
          <w:color w:val="323232"/>
        </w:rPr>
        <w:t xml:space="preserve">&lt;</w:t>
      </w:r>
      <w:r>
        <w:rPr>
          <w:color w:val="323232"/>
        </w:rPr>
        <w:t xml:space="preserve"> </w:t>
      </w:r>
      <w:r>
        <w:rPr>
          <w:color w:val="323232"/>
        </w:rPr>
        <w:t xml:space="preserve">30%), and contraction strain index (CSI per 1% increase) were entered in the univariate analysis, and all were predictors of cardiac death. However, only the MV E vel (hazard ratio [HR], 4.45; confidence interval [CI], 1.76-11.24; P</w:t>
      </w:r>
      <w:r>
        <w:rPr>
          <w:color w:val="323232"/>
        </w:rPr>
        <w:t xml:space="preserve"> </w:t>
      </w:r>
      <w:r>
        <w:rPr>
          <w:color w:val="323232"/>
        </w:rPr>
        <w:t xml:space="preserve">&lt;</w:t>
      </w:r>
      <w:r>
        <w:rPr>
          <w:color w:val="323232"/>
        </w:rPr>
        <w:t xml:space="preserve"> </w:t>
      </w:r>
      <w:r>
        <w:rPr>
          <w:color w:val="323232"/>
        </w:rPr>
        <w:t xml:space="preserve">.001) and LAVmax (HR, 2.32; CI, 1.10-4.89; P</w:t>
      </w:r>
      <w:r>
        <w:rPr>
          <w:color w:val="323232"/>
        </w:rPr>
        <w:t xml:space="preserve"> </w:t>
      </w:r>
      <w:r>
        <w:rPr>
          <w:color w:val="323232"/>
        </w:rPr>
        <w:t xml:space="preserve">=</w:t>
      </w:r>
      <w:r>
        <w:rPr>
          <w:color w:val="323232"/>
        </w:rPr>
        <w:t xml:space="preserve"> </w:t>
      </w:r>
      <w:r>
        <w:rPr>
          <w:color w:val="323232"/>
        </w:rPr>
        <w:t xml:space="preserve">.024) remained statistically significant in the multivariable analysis.</w:t>
      </w:r>
    </w:p>
    <w:p/>
    <w:p>
      <w:pPr>
        <w:pStyle w:val="Normal"/>
      </w:pPr>
      <w:r>
        <w:rPr>
          <w:color w:val="323232"/>
        </w:rPr>
        <w:t xml:space="preserve">CONCLUSIONS AND CLINICAL IMPORTANCE:The assessment of LA dimension and function provides useful prognostic information in dogs with MMVD. Considering all the LA variables, LAVmax appears the strongest predictor of cardiac death, being superior to LA/Ao and STE-derived variables.</w:t>
      </w:r>
    </w:p>
    <w:p/>
    <w:p>
      <w:pPr>
        <w:pStyle w:val="Normal"/>
      </w:pPr>
      <w:r>
        <w:rPr>
          <w:color w:val="323232"/>
        </w:rPr>
        <w:t xml:space="preserve">J Vet Intern Med, 2018 vol. 32 (3) pp. 914-921.</w:t>
      </w:r>
    </w:p>
    <w:p>
      <w:r>
        <w:rPr>
          <w:rStyle w:val="Hyperlink"/>
        </w:rPr>
        <w:fldChar w:fldCharType="begin"/>
      </w:r>
      <w:r>
        <w:rPr>
          <w:rStyle w:val="Hyperlink"/>
        </w:rPr>
        <w:instrText xml:space="preserve"> HYPERLINK "http://dx.doi.org/10.1111/jvim.15093" </w:instrText>
      </w:r>
      <w:r>
        <w:rPr>
          <w:rStyle w:val="Hyperlink"/>
        </w:rPr>
      </w:r>
      <w:r>
        <w:rPr>
          <w:rStyle w:val="Hyperlink"/>
        </w:rPr>
        <w:fldChar w:fldCharType="separate"/>
      </w:r>
      <w:pPr>
        <w:pStyle w:val="Normal"/>
      </w:pPr>
      <w:r>
        <w:rPr>
          <w:rStyle w:val="Hyperlink"/>
        </w:rPr>
        <w:t xml:space="preserve">http://dx.doi.org/10.1111/jvim.15093</w:t>
      </w:r>
      <w:r>
        <w:rPr>
          <w:rStyle w:val="Hyperlink"/>
        </w:rPr>
        <w:fldChar w:fldCharType="end"/>
      </w:r>
    </w:p>
    <w:p>
      <w:pPr>
        <w:pStyle w:val="Normal"/>
      </w:pPr>
      <w:r>
        <w:rPr>
          <w:color w:val="323232"/>
        </w:rPr>
        <w:t xml:space="preserve">————————</w:t>
      </w:r>
    </w:p>
    <w:p>
      <w:pPr>
        <w:pStyle w:val="Heading4"/>
      </w:pPr>
      <w:r>
        <w:t xml:space="preserve">Diagnostic utility of cardiac troponin I in cats with hypertrophic cardiomyopathy.</w:t>
      </w:r>
    </w:p>
    <w:p/>
    <w:p>
      <w:pPr>
        <w:pStyle w:val="Normal"/>
      </w:pPr>
      <w:r>
        <w:rPr>
          <w:color w:val="323232"/>
        </w:rPr>
        <w:t xml:space="preserve">Yasutomo Hori, Masayuki Iguchi, Yasuhiro Heishima, Yohei Yamashita, Kensuke Nakamura, Atsushi Hirakawa, Akihito Kitade, Toshiki Ibaragi, Michio Katagi, Tamotsu Sawada, Masashi Yuki, Nobuyuki Kanno, Haruki Inaba, Noriko Isayama, Hideyuki Onodera, Naoki Iwasa, Mikio Kino, Mikihiro Narukawa, and Syuhei Uchida.</w:t>
      </w:r>
    </w:p>
    <w:p/>
    <w:p>
      <w:pPr>
        <w:pStyle w:val="Normal"/>
      </w:pPr>
      <w:r>
        <w:rPr>
          <w:color w:val="323232"/>
        </w:rPr>
        <w:t xml:space="preserve">BACKGROUND:Cardiac troponin I (cTnI) is useful for assessing hypertrophic cardiomyopathy (HCM) in cats.</w:t>
      </w:r>
    </w:p>
    <w:p/>
    <w:p>
      <w:pPr>
        <w:pStyle w:val="Normal"/>
      </w:pPr>
      <w:r>
        <w:rPr>
          <w:color w:val="323232"/>
        </w:rPr>
        <w:t xml:space="preserve">OBJECTIVE:To measure plasma cTnI concentrations in healthy cats and evaluate the clinical utility of cTnI in determining the severity of HCM.</w:t>
      </w:r>
    </w:p>
    <w:p/>
    <w:p>
      <w:pPr>
        <w:pStyle w:val="Normal"/>
      </w:pPr>
      <w:r>
        <w:rPr>
          <w:color w:val="323232"/>
        </w:rPr>
        <w:t xml:space="preserve">ANIMALS:Clinically healthy cats (n</w:t>
      </w:r>
      <w:r>
        <w:rPr>
          <w:color w:val="323232"/>
        </w:rPr>
        <w:t xml:space="preserve"> </w:t>
      </w:r>
      <w:r>
        <w:rPr>
          <w:color w:val="323232"/>
        </w:rPr>
        <w:t xml:space="preserve">=</w:t>
      </w:r>
      <w:r>
        <w:rPr>
          <w:color w:val="323232"/>
        </w:rPr>
        <w:t xml:space="preserve"> </w:t>
      </w:r>
      <w:r>
        <w:rPr>
          <w:color w:val="323232"/>
        </w:rPr>
        <w:t xml:space="preserve">88) and cats with HCM (n</w:t>
      </w:r>
      <w:r>
        <w:rPr>
          <w:color w:val="323232"/>
        </w:rPr>
        <w:t xml:space="preserve"> </w:t>
      </w:r>
      <w:r>
        <w:rPr>
          <w:color w:val="323232"/>
        </w:rPr>
        <w:t xml:space="preserve">=</w:t>
      </w:r>
      <w:r>
        <w:rPr>
          <w:color w:val="323232"/>
        </w:rPr>
        <w:t xml:space="preserve"> </w:t>
      </w:r>
      <w:r>
        <w:rPr>
          <w:color w:val="323232"/>
        </w:rPr>
        <w:t xml:space="preserve">93).</w:t>
      </w:r>
    </w:p>
    <w:p/>
    <w:p>
      <w:pPr>
        <w:pStyle w:val="Normal"/>
      </w:pPr>
      <w:r>
        <w:rPr>
          <w:color w:val="323232"/>
        </w:rPr>
        <w:t xml:space="preserve">METHODS:Multicenter prospective study. Cats with HCM, including hypertrophic obstructive cardiomyopathy at various stages, were diagnosed using echocardiography. Plasma cTnI concentrations were analyzed by a commercial laboratory. Receiver-operating characteristic curve analysis was used to evaluate the accuracy of plasma cTnI concentrations to detect HCM.</w:t>
      </w:r>
    </w:p>
    <w:p/>
    <w:p>
      <w:pPr>
        <w:pStyle w:val="Normal"/>
      </w:pPr>
      <w:r>
        <w:rPr>
          <w:color w:val="323232"/>
        </w:rPr>
        <w:t xml:space="preserve">RESULTS:The median cTnI concentration was 0.027 ng/ mL (interquartile range, 0.012-0.048 ng/ mL) in healthy cats. Concentrations were significantly higher in diseased cats than in healthy controls, and concentrations were significantly higher in cats with heart failure than in asymptomatic cats. A plasma cTnI concentration of 0.163 ng/ mL had a sensitivity of 62.0% and specificity of 100% when used to distinguish normal cats from asymptomatic HCM cats without left atrial dilatation. A cutoff of 0.234 ng/ mL had high sensitivity (95.0%) and specificity (77.8%) for assessing heart failure. The areas under the receiver-operating characteristic curves were 0.85 and 0.93, respectively.</w:t>
      </w:r>
    </w:p>
    <w:p/>
    <w:p>
      <w:pPr>
        <w:pStyle w:val="Normal"/>
      </w:pPr>
      <w:r>
        <w:rPr>
          <w:color w:val="323232"/>
        </w:rPr>
        <w:t xml:space="preserve">CONCLUSIONS AND CLINICAL IMPORTANCE:Increased cTnI concentrations reflect the severity of HCM. If other causes of cardiac injury are ruled out, plasma cTnI concentration may be useful for predicting the severity of HCM in cats.</w:t>
      </w:r>
    </w:p>
    <w:p/>
    <w:p>
      <w:pPr>
        <w:pStyle w:val="Normal"/>
      </w:pPr>
      <w:r>
        <w:rPr>
          <w:color w:val="323232"/>
        </w:rPr>
        <w:t xml:space="preserve">J Vet Intern Med, 2018 vol. 32 (3) pp. 922-929.</w:t>
      </w:r>
    </w:p>
    <w:p>
      <w:r>
        <w:rPr>
          <w:rStyle w:val="Hyperlink"/>
        </w:rPr>
        <w:fldChar w:fldCharType="begin"/>
      </w:r>
      <w:r>
        <w:rPr>
          <w:rStyle w:val="Hyperlink"/>
        </w:rPr>
        <w:instrText xml:space="preserve"> HYPERLINK "http://dx.doi.org/10.1111/jvim.15131" </w:instrText>
      </w:r>
      <w:r>
        <w:rPr>
          <w:rStyle w:val="Hyperlink"/>
        </w:rPr>
      </w:r>
      <w:r>
        <w:rPr>
          <w:rStyle w:val="Hyperlink"/>
        </w:rPr>
        <w:fldChar w:fldCharType="separate"/>
      </w:r>
      <w:pPr>
        <w:pStyle w:val="Normal"/>
      </w:pPr>
      <w:r>
        <w:rPr>
          <w:rStyle w:val="Hyperlink"/>
        </w:rPr>
        <w:t xml:space="preserve">http://dx.doi.org/10.1111/jvim.15131</w:t>
      </w:r>
      <w:r>
        <w:rPr>
          <w:rStyle w:val="Hyperlink"/>
        </w:rPr>
        <w:fldChar w:fldCharType="end"/>
      </w:r>
    </w:p>
    <w:p>
      <w:pPr>
        <w:pStyle w:val="Normal"/>
      </w:pPr>
      <w:r>
        <w:rPr>
          <w:color w:val="323232"/>
        </w:rPr>
        <w:t xml:space="preserve">————————</w:t>
      </w:r>
    </w:p>
    <w:p>
      <w:pPr>
        <w:pStyle w:val="Heading4"/>
      </w:pPr>
      <w:r>
        <w:t xml:space="preserve">International collaborative study to assess cardiovascular risk and evaluate long-term health in cats with preclinical hypertrophic cardiomyopathy and apparently healthy cats: The REVEAL Study.</w:t>
      </w:r>
    </w:p>
    <w:p/>
    <w:p>
      <w:pPr>
        <w:pStyle w:val="Normal"/>
      </w:pPr>
      <w:r>
        <w:rPr>
          <w:color w:val="323232"/>
        </w:rPr>
        <w:t xml:space="preserve">Philip R Fox, Bruce W Keene, Kenneth Lamb, Karsten A Schober, Valerie Chetboul, Virginia Luis Fuentes, Gerhard Wess, Jessie Rose Payne, Daniel F Hogan, Alison Motsinger-Reif, Jens Häggström, Emilie Trehiou-Sechi, Deborah M Fine-Ferreira, Reid K Nakamura, Pamela M Lee, Manreet K Singh, Wendy A Ware, Jonathan A Abbott, Geoffrey Culshaw, Sabine Riesen, Michele Borgarelli, Michael B Lesser, Nicole Van Israël, Etienne Côté, John E Rush, Barret Bulmer, Roberto A Santilli, Andrea C Vollmar, Maribeth J Bossbaly, Nadine Quick, Claudio Bussadori, Janice M Bright, Amara H Estrada, Dan G Ohad, Maria Josefa Fernández-Del Palacio, Jenifer Lunney Brayley, Denise S Schwartz, Christina M Bové, Sonya G Gordon, Seung Woo Jung, Paola Brambilla, N Sydney Moïse, Christopher D Stauthammer, Rebecca L Stepien, Cecilia Quintavalla, Christophe Amberger, Ferenc Manczur, Yong-Wei Hung, Remo Lobetti, Marie De Swarte, Alice Tamborini, Carmel T Mooney, Mark A Oyama, Andrey Komolov, Yoko Fujii, Romain Pariaut, Masami Uechi, and Victoria Yukie Tachika Ohara.</w:t>
      </w:r>
    </w:p>
    <w:p/>
    <w:p>
      <w:pPr>
        <w:pStyle w:val="Normal"/>
      </w:pPr>
      <w:r>
        <w:rPr>
          <w:color w:val="323232"/>
        </w:rPr>
        <w:t xml:space="preserve">BACKGROUND:Hypertrophic cardiomyopathy is the most prevalent heart disorder in cats and principal cause of cardiovascular morbidity and mortality. Yet, the impact of preclinical disease is unresolved.</w:t>
      </w:r>
    </w:p>
    <w:p/>
    <w:p>
      <w:pPr>
        <w:pStyle w:val="Normal"/>
      </w:pPr>
      <w:r>
        <w:rPr>
          <w:color w:val="323232"/>
        </w:rPr>
        <w:t xml:space="preserve">HYPOTHESIS/OBJECTIVES:Observational study to characterize cardiovascular morbidity and survival in cats with preclinical nonobstructive (HCM) and obstructive (HOCM) hypertrophic cardiomyopathy and in apparently healthy cats (AH).</w:t>
      </w:r>
    </w:p>
    <w:p/>
    <w:p>
      <w:pPr>
        <w:pStyle w:val="Normal"/>
      </w:pPr>
      <w:r>
        <w:rPr>
          <w:color w:val="323232"/>
        </w:rPr>
        <w:t xml:space="preserve">ANIMALS:One thousand seven hundred and thirty client-owned cats (430 preclinical HCM; 578 preclinical HOCM; 722 AH).</w:t>
      </w:r>
    </w:p>
    <w:p/>
    <w:p>
      <w:pPr>
        <w:pStyle w:val="Normal"/>
      </w:pPr>
      <w:r>
        <w:rPr>
          <w:color w:val="323232"/>
        </w:rPr>
        <w:t xml:space="preserve">METHODS:Retrospective multicenter, longitudinal, cohort study. Cats from 21 countries were followed through medical record review and owner or referring veterinarian interviews. Data were analyzed to compare long-term outcomes, incidence, and risk for congestive heart failure (CHF), arterial thromboembolism (ATE), and cardiovascular death.</w:t>
      </w:r>
    </w:p>
    <w:p/>
    <w:p>
      <w:pPr>
        <w:pStyle w:val="Normal"/>
      </w:pPr>
      <w:r>
        <w:rPr>
          <w:color w:val="323232"/>
        </w:rPr>
        <w:t xml:space="preserve">RESULTS:During the study period, CHF, ATE, or both occurred in 30.5% and cardiovascular death in 27.9% of 1008 HCM</w:t>
      </w:r>
      <w:r>
        <w:rPr>
          <w:i w:val="1"/>
          <w:color w:val="323232"/>
        </w:rPr>
        <w:t xml:space="preserve">HOCM cats. Risk assessed at 1, 5, and 10 years after study entry was 7.0%/3.5%, 19.9%/9.7%, and 23.9%/11.3% for CHF</w:t>
      </w:r>
      <w:r>
        <w:rPr>
          <w:color w:val="323232"/>
        </w:rPr>
        <w:t xml:space="preserve">ATE, and 6.7%, 22.8%, and 28.3% for cardiovascular death, respectively. There were no statistically significant differences between HOCM compared with HCM for cardiovascular morbidity or mortality, time from diagnosis to development of morbidity, or cardiovascular survival. Cats that developed cardiovascular morbidity had short survival (mean</w:t>
      </w:r>
      <w:r>
        <w:rPr>
          <w:color w:val="323232"/>
        </w:rPr>
        <w:t xml:space="preserve"> </w:t>
      </w:r>
      <w:r>
        <w:rPr>
          <w:color w:val="323232"/>
        </w:rPr>
        <w:t xml:space="preserve">±</w:t>
      </w:r>
      <w:r>
        <w:rPr>
          <w:color w:val="323232"/>
        </w:rPr>
        <w:t xml:space="preserve"> </w:t>
      </w:r>
      <w:r>
        <w:rPr>
          <w:color w:val="323232"/>
        </w:rPr>
        <w:t xml:space="preserve">standard deviation, 1.3</w:t>
      </w:r>
      <w:r>
        <w:rPr>
          <w:color w:val="323232"/>
        </w:rPr>
        <w:t xml:space="preserve"> </w:t>
      </w:r>
      <w:r>
        <w:rPr>
          <w:color w:val="323232"/>
        </w:rPr>
        <w:t xml:space="preserve">±</w:t>
      </w:r>
      <w:r>
        <w:rPr>
          <w:color w:val="323232"/>
        </w:rPr>
        <w:t xml:space="preserve"> </w:t>
      </w:r>
      <w:r>
        <w:rPr>
          <w:color w:val="323232"/>
        </w:rPr>
        <w:t xml:space="preserve">1.7 years). Overall, prolonged longevity was recorded in a minority of preclinical HCM/HOCM cats with 10% reaching 9-15 years.</w:t>
      </w:r>
    </w:p>
    <w:p/>
    <w:p>
      <w:pPr>
        <w:pStyle w:val="Normal"/>
      </w:pPr>
      <w:r>
        <w:rPr>
          <w:color w:val="323232"/>
        </w:rPr>
        <w:t xml:space="preserve">CONCLUSIONS AND CLINICAL IMPORTANCE:Preclinical HCM/HOCM is a global health problem of cats that carries substantial risk for CHF, ATE, and cardiovascular death. This finding underscores the need to identify therapies and monitoring strategies that decrease morbidity and mortality.</w:t>
      </w:r>
    </w:p>
    <w:p/>
    <w:p>
      <w:pPr>
        <w:pStyle w:val="Normal"/>
      </w:pPr>
      <w:r>
        <w:rPr>
          <w:color w:val="323232"/>
        </w:rPr>
        <w:t xml:space="preserve">J Vet Intern Med, 2018 vol. 32 (3) pp. 930-943.</w:t>
      </w:r>
    </w:p>
    <w:p>
      <w:r>
        <w:rPr>
          <w:rStyle w:val="Hyperlink"/>
        </w:rPr>
        <w:fldChar w:fldCharType="begin"/>
      </w:r>
      <w:r>
        <w:rPr>
          <w:rStyle w:val="Hyperlink"/>
        </w:rPr>
        <w:instrText xml:space="preserve"> HYPERLINK "http://dx.doi.org/10.1111/jvim.15122" </w:instrText>
      </w:r>
      <w:r>
        <w:rPr>
          <w:rStyle w:val="Hyperlink"/>
        </w:rPr>
      </w:r>
      <w:r>
        <w:rPr>
          <w:rStyle w:val="Hyperlink"/>
        </w:rPr>
        <w:fldChar w:fldCharType="separate"/>
      </w:r>
      <w:pPr>
        <w:pStyle w:val="Normal"/>
      </w:pPr>
      <w:r>
        <w:rPr>
          <w:rStyle w:val="Hyperlink"/>
        </w:rPr>
        <w:t xml:space="preserve">http://dx.doi.org/10.1111/jvim.15122</w:t>
      </w:r>
      <w:r>
        <w:rPr>
          <w:rStyle w:val="Hyperlink"/>
        </w:rPr>
        <w:fldChar w:fldCharType="end"/>
      </w:r>
    </w:p>
    <w:p>
      <w:pPr>
        <w:pStyle w:val="Normal"/>
      </w:pPr>
      <w:r>
        <w:rPr>
          <w:color w:val="323232"/>
        </w:rPr>
        <w:t xml:space="preserve">————————</w:t>
      </w:r>
    </w:p>
    <w:p>
      <w:pPr>
        <w:pStyle w:val="Heading4"/>
      </w:pPr>
      <w:r>
        <w:t xml:space="preserve">Clinical findings and survival time in dogs with advanced heart failure.</w:t>
      </w:r>
    </w:p>
    <w:p/>
    <w:p>
      <w:pPr>
        <w:pStyle w:val="Normal"/>
      </w:pPr>
      <w:r>
        <w:rPr>
          <w:color w:val="323232"/>
        </w:rPr>
        <w:t xml:space="preserve">Amelie Beaumier, John E Rush, Vicky K Yang, and Lisa M Freeman.</w:t>
      </w:r>
    </w:p>
    <w:p/>
    <w:p>
      <w:pPr>
        <w:pStyle w:val="Normal"/>
      </w:pPr>
      <w:r>
        <w:rPr>
          <w:color w:val="323232"/>
        </w:rPr>
        <w:t xml:space="preserve">BACKGROUND:Dogs with advanced heart failure are a clinical challenge for veterinarians but there are no studies reporting clinical features and outcome of this population.</w:t>
      </w:r>
    </w:p>
    <w:p/>
    <w:p>
      <w:pPr>
        <w:pStyle w:val="Normal"/>
      </w:pPr>
      <w:r>
        <w:rPr>
          <w:color w:val="323232"/>
        </w:rPr>
        <w:t xml:space="preserve">HYPOTHESIS/OBJECTIVES:To describe clinical findings and outcome of dogs with advanced heart failure caused by degenerative mitral valve disease (DMVD).</w:t>
      </w:r>
    </w:p>
    <w:p/>
    <w:p>
      <w:pPr>
        <w:pStyle w:val="Normal"/>
      </w:pPr>
      <w:r>
        <w:rPr>
          <w:color w:val="323232"/>
        </w:rPr>
        <w:t xml:space="preserve">ANIMALS:Fifty-four dogs with advanced heart failure because of DMVD.</w:t>
      </w:r>
    </w:p>
    <w:p/>
    <w:p>
      <w:pPr>
        <w:pStyle w:val="Normal"/>
      </w:pPr>
      <w:r>
        <w:rPr>
          <w:color w:val="323232"/>
        </w:rPr>
        <w:t xml:space="preserve">METHODS:For study purposes, advanced heart failure was defined as recurrence of congestive heart failure signs despite receiving the initially prescribed dose of pimobendan, angiotensin-converting-enzyme inhibitor (ACEI), and furosemide &gt;4 mg</w:t>
      </w:r>
      <w:r>
        <w:rPr>
          <w:i w:val="1"/>
          <w:color w:val="323232"/>
        </w:rPr>
        <w:t xml:space="preserve">kg</w:t>
      </w:r>
      <w:r>
        <w:rPr>
          <w:color w:val="323232"/>
        </w:rPr>
        <w:t xml:space="preserve">day. Data were collected for the time of diagnosis of Stage C heart failure and time of diagnosis of advanced heart failure. Date of death was recorded.</w:t>
      </w:r>
    </w:p>
    <w:p/>
    <w:p>
      <w:pPr>
        <w:pStyle w:val="Normal"/>
      </w:pPr>
      <w:r>
        <w:rPr>
          <w:color w:val="323232"/>
        </w:rPr>
        <w:t xml:space="preserve">RESULTS:At the diagnosis of advanced heart failure, doses of pimobendan (n</w:t>
      </w:r>
      <w:r>
        <w:rPr>
          <w:color w:val="323232"/>
        </w:rPr>
        <w:t xml:space="preserve"> </w:t>
      </w:r>
      <w:r>
        <w:rPr>
          <w:color w:val="323232"/>
        </w:rPr>
        <w:t xml:space="preserve">=</w:t>
      </w:r>
      <w:r>
        <w:rPr>
          <w:color w:val="323232"/>
        </w:rPr>
        <w:t xml:space="preserve"> </w:t>
      </w:r>
      <w:r>
        <w:rPr>
          <w:color w:val="323232"/>
        </w:rPr>
        <w:t xml:space="preserve">30), furosemide (n</w:t>
      </w:r>
      <w:r>
        <w:rPr>
          <w:color w:val="323232"/>
        </w:rPr>
        <w:t xml:space="preserve"> </w:t>
      </w:r>
      <w:r>
        <w:rPr>
          <w:color w:val="323232"/>
        </w:rPr>
        <w:t xml:space="preserve">=</w:t>
      </w:r>
      <w:r>
        <w:rPr>
          <w:color w:val="323232"/>
        </w:rPr>
        <w:t xml:space="preserve"> </w:t>
      </w:r>
      <w:r>
        <w:rPr>
          <w:color w:val="323232"/>
        </w:rPr>
        <w:t xml:space="preserve">28), ACEI (n</w:t>
      </w:r>
      <w:r>
        <w:rPr>
          <w:color w:val="323232"/>
        </w:rPr>
        <w:t xml:space="preserve"> </w:t>
      </w:r>
      <w:r>
        <w:rPr>
          <w:color w:val="323232"/>
        </w:rPr>
        <w:t xml:space="preserve">=</w:t>
      </w:r>
      <w:r>
        <w:rPr>
          <w:color w:val="323232"/>
        </w:rPr>
        <w:t xml:space="preserve"> </w:t>
      </w:r>
      <w:r>
        <w:rPr>
          <w:color w:val="323232"/>
        </w:rPr>
        <w:t xml:space="preserve">13), and spironolactone (n</w:t>
      </w:r>
      <w:r>
        <w:rPr>
          <w:color w:val="323232"/>
        </w:rPr>
        <w:t xml:space="preserve"> </w:t>
      </w:r>
      <w:r>
        <w:rPr>
          <w:color w:val="323232"/>
        </w:rPr>
        <w:t xml:space="preserve">=</w:t>
      </w:r>
      <w:r>
        <w:rPr>
          <w:color w:val="323232"/>
        </w:rPr>
        <w:t xml:space="preserve"> </w:t>
      </w:r>
      <w:r>
        <w:rPr>
          <w:color w:val="323232"/>
        </w:rPr>
        <w:t xml:space="preserve">4) were increased, with ≥1 new medications added in most dogs. After initial diagnosis of advanced heart failure, 38 (70%) dogs had additional medications adjustments (median</w:t>
      </w:r>
      <w:r>
        <w:rPr>
          <w:color w:val="323232"/>
        </w:rPr>
        <w:t xml:space="preserve"> </w:t>
      </w:r>
      <w:r>
        <w:rPr>
          <w:color w:val="323232"/>
        </w:rPr>
        <w:t xml:space="preserve">=</w:t>
      </w:r>
      <w:r>
        <w:rPr>
          <w:color w:val="323232"/>
        </w:rPr>
        <w:t xml:space="preserve"> </w:t>
      </w:r>
      <w:r>
        <w:rPr>
          <w:color w:val="323232"/>
        </w:rPr>
        <w:t xml:space="preserve">2 [range, 0-27]), with the final total medication number ranging from 2-10 (median</w:t>
      </w:r>
      <w:r>
        <w:rPr>
          <w:color w:val="323232"/>
        </w:rPr>
        <w:t xml:space="preserve"> </w:t>
      </w:r>
      <w:r>
        <w:rPr>
          <w:color w:val="323232"/>
        </w:rPr>
        <w:t xml:space="preserve">=</w:t>
      </w:r>
      <w:r>
        <w:rPr>
          <w:color w:val="323232"/>
        </w:rPr>
        <w:t xml:space="preserve"> </w:t>
      </w:r>
      <w:r>
        <w:rPr>
          <w:color w:val="323232"/>
        </w:rPr>
        <w:t xml:space="preserve">5). Median survival time after diagnosis of advanced heart failure was 281 days (range, 3-885 days). Dogs receiving a furosemide dose &gt;6.70 mg</w:t>
      </w:r>
      <w:r>
        <w:rPr>
          <w:i w:val="1"/>
          <w:color w:val="323232"/>
        </w:rPr>
        <w:t xml:space="preserve">kg</w:t>
      </w:r>
      <w:r>
        <w:rPr>
          <w:color w:val="323232"/>
        </w:rPr>
        <w:t xml:space="preserve">day had significantly longer median survival times (402 days [range, 3-885 days] versus 129 days [range 9-853 days]; P</w:t>
      </w:r>
      <w:r>
        <w:rPr>
          <w:color w:val="323232"/>
        </w:rPr>
        <w:t xml:space="preserve"> </w:t>
      </w:r>
      <w:r>
        <w:rPr>
          <w:color w:val="323232"/>
        </w:rPr>
        <w:t xml:space="preserve">=</w:t>
      </w:r>
      <w:r>
        <w:rPr>
          <w:color w:val="323232"/>
        </w:rPr>
        <w:t xml:space="preserve"> </w:t>
      </w:r>
      <w:r>
        <w:rPr>
          <w:color w:val="323232"/>
        </w:rPr>
        <w:t xml:space="preserve">.017).</w:t>
      </w:r>
    </w:p>
    <w:p/>
    <w:p>
      <w:pPr>
        <w:pStyle w:val="Normal"/>
      </w:pPr>
      <w:r>
        <w:rPr>
          <w:color w:val="323232"/>
        </w:rPr>
        <w:t xml:space="preserve">CONCLUSIONS AND CLINICAL IMPORTANCE:Dogs with advanced heart failure can have relatively long survival times. Higher furosemide dose and non-hospitalization were associated with longer survival.</w:t>
      </w:r>
    </w:p>
    <w:p/>
    <w:p>
      <w:pPr>
        <w:pStyle w:val="Normal"/>
      </w:pPr>
      <w:r>
        <w:rPr>
          <w:color w:val="323232"/>
        </w:rPr>
        <w:t xml:space="preserve">J Vet Intern Med, 2018 vol. 32 (3) pp. 944-950.</w:t>
      </w:r>
    </w:p>
    <w:p>
      <w:r>
        <w:rPr>
          <w:rStyle w:val="Hyperlink"/>
        </w:rPr>
        <w:fldChar w:fldCharType="begin"/>
      </w:r>
      <w:r>
        <w:rPr>
          <w:rStyle w:val="Hyperlink"/>
        </w:rPr>
        <w:instrText xml:space="preserve"> HYPERLINK "http://dx.doi.org/10.1111/jvim.15126" </w:instrText>
      </w:r>
      <w:r>
        <w:rPr>
          <w:rStyle w:val="Hyperlink"/>
        </w:rPr>
      </w:r>
      <w:r>
        <w:rPr>
          <w:rStyle w:val="Hyperlink"/>
        </w:rPr>
        <w:fldChar w:fldCharType="separate"/>
      </w:r>
      <w:pPr>
        <w:pStyle w:val="Normal"/>
      </w:pPr>
      <w:r>
        <w:rPr>
          <w:rStyle w:val="Hyperlink"/>
        </w:rPr>
        <w:t xml:space="preserve">http://dx.doi.org/10.1111/jvim.15126</w:t>
      </w:r>
      <w:r>
        <w:rPr>
          <w:rStyle w:val="Hyperlink"/>
        </w:rPr>
        <w:fldChar w:fldCharType="end"/>
      </w:r>
    </w:p>
    <w:p>
      <w:pPr>
        <w:pStyle w:val="Normal"/>
      </w:pPr>
      <w:r>
        <w:rPr>
          <w:color w:val="323232"/>
        </w:rPr>
        <w:t xml:space="preserve">————————</w:t>
      </w:r>
    </w:p>
    <w:p>
      <w:pPr>
        <w:pStyle w:val="Heading4"/>
      </w:pPr>
      <w:r>
        <w:t xml:space="preserve">Angiostrongylosis in dogs with negative fecal and in-clinic rapid serological tests: 7 Cases (2013-2017).</w:t>
      </w:r>
    </w:p>
    <w:p/>
    <w:p>
      <w:pPr>
        <w:pStyle w:val="Normal"/>
      </w:pPr>
      <w:r>
        <w:rPr>
          <w:color w:val="323232"/>
        </w:rPr>
        <w:t xml:space="preserve">A Morgane Canonne, F Billen, B Losson, I Peters, M Schnyder, and C Clercx.</w:t>
      </w:r>
    </w:p>
    <w:p/>
    <w:p>
      <w:pPr>
        <w:pStyle w:val="Normal"/>
      </w:pPr>
      <w:r>
        <w:rPr>
          <w:color w:val="323232"/>
        </w:rPr>
        <w:t xml:space="preserve">BACKGROUND:Angiostrongylosis is considered as emerging disease in dogs in Belgium. Detection of first-stage larvae in feces using the Baermann method has an imperfect sensitivity.</w:t>
      </w:r>
    </w:p>
    <w:p/>
    <w:p>
      <w:pPr>
        <w:pStyle w:val="Normal"/>
      </w:pPr>
      <w:r>
        <w:rPr>
          <w:color w:val="323232"/>
        </w:rPr>
        <w:t xml:space="preserve">OBJECTIVES:Investigation of efficacy of noninvasive blood and fecal diagnostic tests in comparison with PCR on bronchoalveolar lavage (BAL) material in a small series of coughing or dyspnoeic dogs naturally infected with Angiostrongylus vasorum.</w:t>
      </w:r>
    </w:p>
    <w:p/>
    <w:p>
      <w:pPr>
        <w:pStyle w:val="Normal"/>
      </w:pPr>
      <w:r>
        <w:rPr>
          <w:color w:val="323232"/>
        </w:rPr>
        <w:t xml:space="preserve">ANIMALS:Seven dogs with angiostrongylosis.</w:t>
      </w:r>
    </w:p>
    <w:p/>
    <w:p>
      <w:pPr>
        <w:pStyle w:val="Normal"/>
      </w:pPr>
      <w:r>
        <w:rPr>
          <w:color w:val="323232"/>
        </w:rPr>
        <w:t xml:space="preserve">METHODS:Retrospective study. Dogs with cough, exercise intolerance and dyspnea of 2- to 8-week duration. Diagnostic methods used included Baermann analysis, AngioDetect rapid assay, ELISAs for detection of circulating antigen and specific antibodies and qPCR on BAL material.</w:t>
      </w:r>
    </w:p>
    <w:p/>
    <w:p>
      <w:pPr>
        <w:pStyle w:val="Normal"/>
      </w:pPr>
      <w:r>
        <w:rPr>
          <w:color w:val="323232"/>
        </w:rPr>
        <w:t xml:space="preserve">RESULTS:Baermann analysis, AngioDetect rapid assay, antigen ELISA, antibody ELISA, and qPCR on BAL material were positive in 3/7, 2/7, 3/6, 6/6, and 7/7 dogs, respectively. ELISA for antibodies or qPCR on BAL material were essential for definitive diagnosis in 3 dogs. Relative sensitivities of AngioDetect rapid assay, Baermann analysis, and ELISA for antigen detection were lower than 50% compared with ELISA for antibodies or qPCR on BAL material.</w:t>
      </w:r>
    </w:p>
    <w:p/>
    <w:p>
      <w:pPr>
        <w:pStyle w:val="Normal"/>
      </w:pPr>
      <w:r>
        <w:rPr>
          <w:color w:val="323232"/>
        </w:rPr>
        <w:t xml:space="preserve">CONCLUSION AND CLINICAL IMPORTANCE:In this small clinical series, Baermann analysis and AngioDetect rapid assay failed to confirm the diagnosis in some dogs. Therefore, ELISA for antibody detection and qPCR on BAL material should strongly be considered in clinically suspected dogs when antigen detection methods (AngioDetect or ELISA) and Baermann analysis are negative.</w:t>
      </w:r>
    </w:p>
    <w:p/>
    <w:p>
      <w:pPr>
        <w:pStyle w:val="Normal"/>
      </w:pPr>
      <w:r>
        <w:rPr>
          <w:color w:val="323232"/>
        </w:rPr>
        <w:t xml:space="preserve">J Vet Intern Med, 2018 vol. 32 (3) pp. 951-955.</w:t>
      </w:r>
    </w:p>
    <w:p>
      <w:r>
        <w:rPr>
          <w:rStyle w:val="Hyperlink"/>
        </w:rPr>
        <w:fldChar w:fldCharType="begin"/>
      </w:r>
      <w:r>
        <w:rPr>
          <w:rStyle w:val="Hyperlink"/>
        </w:rPr>
        <w:instrText xml:space="preserve"> HYPERLINK "http://dx.doi.org/10.1111/jvim.15092" </w:instrText>
      </w:r>
      <w:r>
        <w:rPr>
          <w:rStyle w:val="Hyperlink"/>
        </w:rPr>
      </w:r>
      <w:r>
        <w:rPr>
          <w:rStyle w:val="Hyperlink"/>
        </w:rPr>
        <w:fldChar w:fldCharType="separate"/>
      </w:r>
      <w:pPr>
        <w:pStyle w:val="Normal"/>
      </w:pPr>
      <w:r>
        <w:rPr>
          <w:rStyle w:val="Hyperlink"/>
        </w:rPr>
        <w:t xml:space="preserve">http://dx.doi.org/10.1111/jvim.15092</w:t>
      </w:r>
      <w:r>
        <w:rPr>
          <w:rStyle w:val="Hyperlink"/>
        </w:rPr>
        <w:fldChar w:fldCharType="end"/>
      </w:r>
    </w:p>
    <w:p>
      <w:pPr>
        <w:pStyle w:val="Normal"/>
      </w:pPr>
      <w:r>
        <w:rPr>
          <w:color w:val="323232"/>
        </w:rPr>
        <w:t xml:space="preserve">————————</w:t>
      </w:r>
    </w:p>
    <w:p>
      <w:pPr>
        <w:pStyle w:val="Heading4"/>
      </w:pPr>
      <w:r>
        <w:t xml:space="preserve">Effect of calibration methods on the accuracy of angiographic measurements during transcatheter procedures in dogs.</w:t>
      </w:r>
    </w:p>
    <w:p/>
    <w:p>
      <w:pPr>
        <w:pStyle w:val="Normal"/>
      </w:pPr>
      <w:r>
        <w:rPr>
          <w:color w:val="323232"/>
        </w:rPr>
        <w:t xml:space="preserve">Lauren E Markovic and Brian A Scansen.</w:t>
      </w:r>
    </w:p>
    <w:p/>
    <w:p>
      <w:pPr>
        <w:pStyle w:val="Normal"/>
      </w:pPr>
      <w:r>
        <w:rPr>
          <w:color w:val="323232"/>
        </w:rPr>
        <w:t xml:space="preserve">BACKGROUND:Different methods to perform reference calibration of an angiographic image exist; however, a prospective comparison of calibration methods has yet to be investigated in veterinary medicine.</w:t>
      </w:r>
    </w:p>
    <w:p/>
    <w:p>
      <w:pPr>
        <w:pStyle w:val="Normal"/>
      </w:pPr>
      <w:r>
        <w:rPr>
          <w:color w:val="323232"/>
        </w:rPr>
        <w:t xml:space="preserve">OBJECTIVE:To compare angiographic measurements using two commonly employed reference calibration methods, an esophageal pigtail marker catheter (EC) versus a radiopaque table ruler (TR).</w:t>
      </w:r>
    </w:p>
    <w:p/>
    <w:p>
      <w:pPr>
        <w:pStyle w:val="Normal"/>
      </w:pPr>
      <w:r>
        <w:rPr>
          <w:color w:val="323232"/>
        </w:rPr>
        <w:t xml:space="preserve">ANIMALS:Thirty-five client-owned dogs undergoing transcatheter intervention.</w:t>
      </w:r>
    </w:p>
    <w:p/>
    <w:p>
      <w:pPr>
        <w:pStyle w:val="Normal"/>
      </w:pPr>
      <w:r>
        <w:rPr>
          <w:color w:val="323232"/>
        </w:rPr>
        <w:t xml:space="preserve">METHODS:Prospective comparison study. Two reference calibration methods, EC and TR, were recorded in dogs undergoing transcatheter procedures from May 2016 to July 2017. Relevant measurements were performed in triplicate and averaged after image calibration to either EC or TR. Comparisons between methods were made by correlation, paired t-test, the method of Bland and Altman, and Passing-Bablok regression.</w:t>
      </w:r>
    </w:p>
    <w:p/>
    <w:p>
      <w:pPr>
        <w:pStyle w:val="Normal"/>
      </w:pPr>
      <w:r>
        <w:rPr>
          <w:color w:val="323232"/>
        </w:rPr>
        <w:t xml:space="preserve">RESULTS:A total of 39 angiographic structures were measured. Interventions included balloon pulmonary valvuloplasty (n</w:t>
      </w:r>
      <w:r>
        <w:rPr>
          <w:color w:val="323232"/>
        </w:rPr>
        <w:t xml:space="preserve"> </w:t>
      </w:r>
      <w:r>
        <w:rPr>
          <w:color w:val="323232"/>
        </w:rPr>
        <w:t xml:space="preserve">=</w:t>
      </w:r>
      <w:r>
        <w:rPr>
          <w:color w:val="323232"/>
        </w:rPr>
        <w:t xml:space="preserve"> </w:t>
      </w:r>
      <w:r>
        <w:rPr>
          <w:color w:val="323232"/>
        </w:rPr>
        <w:t xml:space="preserve">21), patent ductus arteriosus occlusion (n</w:t>
      </w:r>
      <w:r>
        <w:rPr>
          <w:color w:val="323232"/>
        </w:rPr>
        <w:t xml:space="preserve"> </w:t>
      </w:r>
      <w:r>
        <w:rPr>
          <w:color w:val="323232"/>
        </w:rPr>
        <w:t xml:space="preserve">=</w:t>
      </w:r>
      <w:r>
        <w:rPr>
          <w:color w:val="323232"/>
        </w:rPr>
        <w:t xml:space="preserve"> </w:t>
      </w:r>
      <w:r>
        <w:rPr>
          <w:color w:val="323232"/>
        </w:rPr>
        <w:t xml:space="preserve">11), subaortic or sub-pulmonary balloon dilatation (n</w:t>
      </w:r>
      <w:r>
        <w:rPr>
          <w:color w:val="323232"/>
        </w:rPr>
        <w:t xml:space="preserve"> </w:t>
      </w:r>
      <w:r>
        <w:rPr>
          <w:color w:val="323232"/>
        </w:rPr>
        <w:t xml:space="preserve">=</w:t>
      </w:r>
      <w:r>
        <w:rPr>
          <w:color w:val="323232"/>
        </w:rPr>
        <w:t xml:space="preserve"> </w:t>
      </w:r>
      <w:r>
        <w:rPr>
          <w:color w:val="323232"/>
        </w:rPr>
        <w:t xml:space="preserve">4), and cor triatriatum membranostomy (n</w:t>
      </w:r>
      <w:r>
        <w:rPr>
          <w:color w:val="323232"/>
        </w:rPr>
        <w:t xml:space="preserve"> </w:t>
      </w:r>
      <w:r>
        <w:rPr>
          <w:color w:val="323232"/>
        </w:rPr>
        <w:t xml:space="preserve">=</w:t>
      </w:r>
      <w:r>
        <w:rPr>
          <w:color w:val="323232"/>
        </w:rPr>
        <w:t xml:space="preserve"> </w:t>
      </w:r>
      <w:r>
        <w:rPr>
          <w:color w:val="323232"/>
        </w:rPr>
        <w:t xml:space="preserve">3). Angiographic measurements were larger when calibrated to EC versus TR (P</w:t>
      </w:r>
      <w:r>
        <w:rPr>
          <w:color w:val="323232"/>
        </w:rPr>
        <w:t xml:space="preserve"> </w:t>
      </w:r>
      <w:r>
        <w:rPr>
          <w:color w:val="323232"/>
        </w:rPr>
        <w:t xml:space="preserve">&lt;</w:t>
      </w:r>
      <w:r>
        <w:rPr>
          <w:color w:val="323232"/>
        </w:rPr>
        <w:t xml:space="preserve"> </w:t>
      </w:r>
      <w:r>
        <w:rPr>
          <w:color w:val="323232"/>
        </w:rPr>
        <w:t xml:space="preserve">.0001). The mean bias was 0.86 mm, with greater bias for larger measurements. The EC measurements were </w:t>
      </w:r>
      <w:r>
        <w:rPr>
          <w:color w:val="323232"/>
        </w:rPr>
        <w:t xml:space="preserve">∼</w:t>
      </w:r>
      <w:r>
        <w:rPr>
          <w:color w:val="323232"/>
        </w:rPr>
        <w:t xml:space="preserve">10% greater than TR based on regression analysis. Weight was correlated to the difference between methods (ρ</w:t>
      </w:r>
      <w:r>
        <w:rPr>
          <w:color w:val="323232"/>
        </w:rPr>
        <w:t xml:space="preserve"> </w:t>
      </w:r>
      <w:r>
        <w:rPr>
          <w:color w:val="323232"/>
        </w:rPr>
        <w:t xml:space="preserve">=</w:t>
      </w:r>
      <w:r>
        <w:rPr>
          <w:color w:val="323232"/>
        </w:rPr>
        <w:t xml:space="preserve"> </w:t>
      </w:r>
      <w:r>
        <w:rPr>
          <w:color w:val="323232"/>
        </w:rPr>
        <w:t xml:space="preserve">0.55, P</w:t>
      </w:r>
      <w:r>
        <w:rPr>
          <w:color w:val="323232"/>
        </w:rPr>
        <w:t xml:space="preserve"> </w:t>
      </w:r>
      <w:r>
        <w:rPr>
          <w:color w:val="323232"/>
        </w:rPr>
        <w:t xml:space="preserve">=</w:t>
      </w:r>
      <w:r>
        <w:rPr>
          <w:color w:val="323232"/>
        </w:rPr>
        <w:t xml:space="preserve"> </w:t>
      </w:r>
      <w:r>
        <w:rPr>
          <w:color w:val="323232"/>
        </w:rPr>
        <w:t xml:space="preserve">.0003).</w:t>
      </w:r>
    </w:p>
    <w:p/>
    <w:p>
      <w:pPr>
        <w:pStyle w:val="Normal"/>
      </w:pPr>
      <w:r>
        <w:rPr>
          <w:color w:val="323232"/>
        </w:rPr>
        <w:t xml:space="preserve">CONCLUSIONS AND CLINICAL IMPORTANCE:Angiographic image calibration using a ruler placed on the fluoroscopy table underestimates the size of a structure by </w:t>
      </w:r>
      <w:r>
        <w:rPr>
          <w:color w:val="323232"/>
        </w:rPr>
        <w:t xml:space="preserve">∼</w:t>
      </w:r>
      <w:r>
        <w:rPr>
          <w:color w:val="323232"/>
        </w:rPr>
        <w:t xml:space="preserve">10% as compared with a marker catheter placed within the esophagus. This effect is greatest when measuring larger structures such as the pulmonary valve annulus and in larger dogs.</w:t>
      </w:r>
    </w:p>
    <w:p/>
    <w:p>
      <w:pPr>
        <w:pStyle w:val="Normal"/>
      </w:pPr>
      <w:r>
        <w:rPr>
          <w:color w:val="323232"/>
        </w:rPr>
        <w:t xml:space="preserve">J Vet Intern Med, 2018 vol. 32 (3) pp. 956-961.</w:t>
      </w:r>
    </w:p>
    <w:p>
      <w:r>
        <w:rPr>
          <w:rStyle w:val="Hyperlink"/>
        </w:rPr>
        <w:fldChar w:fldCharType="begin"/>
      </w:r>
      <w:r>
        <w:rPr>
          <w:rStyle w:val="Hyperlink"/>
        </w:rPr>
        <w:instrText xml:space="preserve"> HYPERLINK "http://dx.doi.org/10.1111/jvim.15082" </w:instrText>
      </w:r>
      <w:r>
        <w:rPr>
          <w:rStyle w:val="Hyperlink"/>
        </w:rPr>
      </w:r>
      <w:r>
        <w:rPr>
          <w:rStyle w:val="Hyperlink"/>
        </w:rPr>
        <w:fldChar w:fldCharType="separate"/>
      </w:r>
      <w:pPr>
        <w:pStyle w:val="Normal"/>
      </w:pPr>
      <w:r>
        <w:rPr>
          <w:rStyle w:val="Hyperlink"/>
        </w:rPr>
        <w:t xml:space="preserve">http://dx.doi.org/10.1111/jvim.15082</w:t>
      </w:r>
      <w:r>
        <w:rPr>
          <w:rStyle w:val="Hyperlink"/>
        </w:rPr>
        <w:fldChar w:fldCharType="end"/>
      </w:r>
    </w:p>
    <w:p>
      <w:pPr>
        <w:pStyle w:val="Normal"/>
      </w:pPr>
      <w:r>
        <w:rPr>
          <w:color w:val="323232"/>
        </w:rPr>
        <w:t xml:space="preserve">————————</w:t>
      </w:r>
    </w:p>
    <w:p>
      <w:pPr>
        <w:pStyle w:val="Heading4"/>
      </w:pPr>
      <w:r>
        <w:t xml:space="preserve">Computed Tomographic Angiography of the Pancreas in Cats with Chronic Diabetes Mellitus Compared to Normal Cats.</w:t>
      </w:r>
    </w:p>
    <w:p/>
    <w:p>
      <w:pPr>
        <w:pStyle w:val="Normal"/>
      </w:pPr>
      <w:r>
        <w:rPr>
          <w:color w:val="323232"/>
        </w:rPr>
        <w:t xml:space="preserve">S Secrest, A Sharma, and A Bugbee.</w:t>
      </w:r>
    </w:p>
    <w:p/>
    <w:p>
      <w:pPr>
        <w:pStyle w:val="Normal"/>
      </w:pPr>
      <w:r>
        <w:rPr>
          <w:color w:val="323232"/>
        </w:rPr>
        <w:t xml:space="preserve">BACKGROUND:Diabetes mellitus (DM) is a common endocrinopathy in cats. No known diagnostic test or patient characteristic at the time of diagnosis can predict likely disease course, unlike in people in whom computed tomographic angiography (CTA) is used. No published data exist regarding the CTA appearance of the pancreas in cats with DM, and thus, it is unknown what if any CTA variables should be further assessed for associations with pancreatic endocrine function.</w:t>
      </w:r>
    </w:p>
    <w:p/>
    <w:p>
      <w:pPr>
        <w:pStyle w:val="Normal"/>
      </w:pPr>
      <w:r>
        <w:rPr>
          <w:color w:val="323232"/>
        </w:rPr>
        <w:t xml:space="preserve">HYPOTHESIS/OBJECTIVES:A significant difference in pancreatic attenuation, volume, and size will be identified between normal cats and those with chronic DM on CTA.</w:t>
      </w:r>
    </w:p>
    <w:p/>
    <w:p>
      <w:pPr>
        <w:pStyle w:val="Normal"/>
      </w:pPr>
      <w:r>
        <w:rPr>
          <w:color w:val="323232"/>
        </w:rPr>
        <w:t xml:space="preserve">ANIMALS:Ten healthy control cats and 15 cats with naturally occurring DM present for &gt;12 months.</w:t>
      </w:r>
    </w:p>
    <w:p/>
    <w:p>
      <w:pPr>
        <w:pStyle w:val="Normal"/>
      </w:pPr>
      <w:r>
        <w:rPr>
          <w:color w:val="323232"/>
        </w:rPr>
        <w:t xml:space="preserve">METHODS:Prospective cross-sectional study comparing pancreatic attenuation, enhancement pattern, size, volume, pancreatic volume-to-body weight ratio (V:BW), pancreatic arterial: portal phase ratio (A:P), time-to-arterial enhancement, and time-to-peak portal enhancement on CTA between sedated healthy control cats and those with chronic DM.</w:t>
      </w:r>
    </w:p>
    <w:p/>
    <w:p>
      <w:pPr>
        <w:pStyle w:val="Normal"/>
      </w:pPr>
      <w:r>
        <w:rPr>
          <w:color w:val="323232"/>
        </w:rPr>
        <w:t xml:space="preserve">RESULTS:The pancreas in cats with chronic DM was significantly larger, had higher volume, higher V:BW, and shorter time-to-peak portal enhancement on CTA when compared to normal cats.</w:t>
      </w:r>
    </w:p>
    <w:p/>
    <w:p>
      <w:pPr>
        <w:pStyle w:val="Normal"/>
      </w:pPr>
      <w:r>
        <w:rPr>
          <w:color w:val="323232"/>
        </w:rPr>
        <w:t xml:space="preserve">CONCLUSIONS AND CLINICAL IMPORTANCE:Peak portal enhancement time, pancreatic size, pancreatic volume, and V:BW can be used to differentiate normal sedated cats from those with chronic DM by CTA. These variables warrant further investigation to identify possible associations with endocrine function.</w:t>
      </w:r>
    </w:p>
    <w:p/>
    <w:p>
      <w:pPr>
        <w:pStyle w:val="Normal"/>
      </w:pPr>
      <w:r>
        <w:rPr>
          <w:color w:val="323232"/>
        </w:rPr>
        <w:t xml:space="preserve">J Vet Intern Med, 2018 vol. 32 (3) pp. 962-966.</w:t>
      </w:r>
    </w:p>
    <w:p>
      <w:r>
        <w:rPr>
          <w:rStyle w:val="Hyperlink"/>
        </w:rPr>
        <w:fldChar w:fldCharType="begin"/>
      </w:r>
      <w:r>
        <w:rPr>
          <w:rStyle w:val="Hyperlink"/>
        </w:rPr>
        <w:instrText xml:space="preserve"> HYPERLINK "http://dx.doi.org/10.1111/jvim.14899" </w:instrText>
      </w:r>
      <w:r>
        <w:rPr>
          <w:rStyle w:val="Hyperlink"/>
        </w:rPr>
      </w:r>
      <w:r>
        <w:rPr>
          <w:rStyle w:val="Hyperlink"/>
        </w:rPr>
        <w:fldChar w:fldCharType="separate"/>
      </w:r>
      <w:pPr>
        <w:pStyle w:val="Normal"/>
      </w:pPr>
      <w:r>
        <w:rPr>
          <w:rStyle w:val="Hyperlink"/>
        </w:rPr>
        <w:t xml:space="preserve">http://dx.doi.org/10.1111/jvim.14899</w:t>
      </w:r>
      <w:r>
        <w:rPr>
          <w:rStyle w:val="Hyperlink"/>
        </w:rPr>
        <w:fldChar w:fldCharType="end"/>
      </w:r>
    </w:p>
    <w:p>
      <w:pPr>
        <w:pStyle w:val="Normal"/>
      </w:pPr>
      <w:r>
        <w:rPr>
          <w:color w:val="323232"/>
        </w:rPr>
        <w:t xml:space="preserve">————————</w:t>
      </w:r>
    </w:p>
    <w:p>
      <w:pPr>
        <w:pStyle w:val="Heading4"/>
      </w:pPr>
      <w:r>
        <w:t xml:space="preserve">Glucose concentrations after insulin-induced hypoglycemia and glycemic variability in healthy and diabetic cats.</w:t>
      </w:r>
    </w:p>
    <w:p/>
    <w:p>
      <w:pPr>
        <w:pStyle w:val="Normal"/>
      </w:pPr>
      <w:r>
        <w:rPr>
          <w:color w:val="323232"/>
        </w:rPr>
        <w:t xml:space="preserve">Eric Zini, Elena Salesov, Perrine Dupont, Laura Moretto, Barbara Contiero, Thomas A Lutz, and Claudia E Reusch.</w:t>
      </w:r>
    </w:p>
    <w:p/>
    <w:p>
      <w:pPr>
        <w:pStyle w:val="Normal"/>
      </w:pPr>
      <w:r>
        <w:rPr>
          <w:color w:val="323232"/>
        </w:rPr>
        <w:t xml:space="preserve">BACKGROUND:Little information is available about posthypoglycemic hyperglycemia (PHH) in diabetic cats, and a causal link between hypoglycemia and subsequent hyperglycemia is not clear. Fluctuations in blood glucose concentrations might only represent high glycemic variability.</w:t>
      </w:r>
    </w:p>
    <w:p/>
    <w:p>
      <w:pPr>
        <w:pStyle w:val="Normal"/>
      </w:pPr>
      <w:r>
        <w:rPr>
          <w:color w:val="323232"/>
        </w:rPr>
        <w:t xml:space="preserve">HYPOTHESIS:Insulin induces PHH in healthy cats, and PHH is associated with poorly regulated diabetes and increased glycemic variability in diabetic cats.</w:t>
      </w:r>
    </w:p>
    <w:p/>
    <w:p>
      <w:pPr>
        <w:pStyle w:val="Normal"/>
      </w:pPr>
      <w:r>
        <w:rPr>
          <w:color w:val="323232"/>
        </w:rPr>
        <w:t xml:space="preserve">ANIMALS:Six healthy cats, 133 diabetic cats.</w:t>
      </w:r>
    </w:p>
    <w:p/>
    <w:p>
      <w:pPr>
        <w:pStyle w:val="Normal"/>
      </w:pPr>
      <w:r>
        <w:rPr>
          <w:color w:val="323232"/>
        </w:rPr>
        <w:t xml:space="preserve">METHODS:Insulin (protamine-zinc and degludec; 0.1-0.3 IU/ kg) administered to healthy cats. Blood glucose curves were generated with portable glucose meter to determine the percentage of curves with PHH. Data from insulin-treated diabetic cats with blood glucose curves showing hypoglycemia included data of cats with and without PHH. Post-hypoglycemic hyperglycemia was defined as blood glucose concentrations &lt;4 mmol</w:t>
      </w:r>
      <w:r>
        <w:rPr>
          <w:i w:val="1"/>
          <w:color w:val="323232"/>
        </w:rPr>
        <w:t xml:space="preserve">L followed by blood glucose concentrations &gt;15 mmol</w:t>
      </w:r>
      <w:r>
        <w:rPr>
          <w:color w:val="323232"/>
        </w:rPr>
        <w:t xml:space="preserve">L within 12 hours. Glycemic variability was calculated as the standard deviation of the blood glucose concentrations.</w:t>
      </w:r>
    </w:p>
    <w:p/>
    <w:p>
      <w:pPr>
        <w:pStyle w:val="Normal"/>
      </w:pPr>
      <w:r>
        <w:rPr>
          <w:color w:val="323232"/>
        </w:rPr>
        <w:t xml:space="preserve">RESULTS:In healthy cats, all insulin doses caused hypoglycemia but PHH was not observed; glycemic variability did not differ between insulin preparations. Among diabetic cats with hypoglycemia, 33 (25%) had PHH. Compared with cats without PHH, their daily insulin dose was higher (1.09</w:t>
      </w:r>
      <w:r>
        <w:rPr>
          <w:color w:val="323232"/>
        </w:rPr>
        <w:t xml:space="preserve"> </w:t>
      </w:r>
      <w:r>
        <w:rPr>
          <w:color w:val="323232"/>
        </w:rPr>
        <w:t xml:space="preserve">±</w:t>
      </w:r>
      <w:r>
        <w:rPr>
          <w:color w:val="323232"/>
        </w:rPr>
        <w:t xml:space="preserve"> </w:t>
      </w:r>
      <w:r>
        <w:rPr>
          <w:color w:val="323232"/>
        </w:rPr>
        <w:t xml:space="preserve">0.55 versus 0.65</w:t>
      </w:r>
      <w:r>
        <w:rPr>
          <w:color w:val="323232"/>
        </w:rPr>
        <w:t xml:space="preserve"> </w:t>
      </w:r>
      <w:r>
        <w:rPr>
          <w:color w:val="323232"/>
        </w:rPr>
        <w:t xml:space="preserve">±</w:t>
      </w:r>
      <w:r>
        <w:rPr>
          <w:color w:val="323232"/>
        </w:rPr>
        <w:t xml:space="preserve"> </w:t>
      </w:r>
      <w:r>
        <w:rPr>
          <w:color w:val="323232"/>
        </w:rPr>
        <w:t xml:space="preserve">0.56 IU/ kg; P</w:t>
      </w:r>
      <w:r>
        <w:rPr>
          <w:color w:val="323232"/>
        </w:rPr>
        <w:t xml:space="preserve"> </w:t>
      </w:r>
      <w:r>
        <w:rPr>
          <w:color w:val="323232"/>
        </w:rPr>
        <w:t xml:space="preserve">&lt;</w:t>
      </w:r>
      <w:r>
        <w:rPr>
          <w:color w:val="323232"/>
        </w:rPr>
        <w:t xml:space="preserve"> </w:t>
      </w:r>
      <w:r>
        <w:rPr>
          <w:color w:val="323232"/>
        </w:rPr>
        <w:t xml:space="preserve">.001), serum fructosamine concentration was higher (565</w:t>
      </w:r>
      <w:r>
        <w:rPr>
          <w:color w:val="323232"/>
        </w:rPr>
        <w:t xml:space="preserve"> </w:t>
      </w:r>
      <w:r>
        <w:rPr>
          <w:color w:val="323232"/>
        </w:rPr>
        <w:t xml:space="preserve">±</w:t>
      </w:r>
      <w:r>
        <w:rPr>
          <w:color w:val="323232"/>
        </w:rPr>
        <w:t xml:space="preserve"> </w:t>
      </w:r>
      <w:r>
        <w:rPr>
          <w:color w:val="323232"/>
        </w:rPr>
        <w:t xml:space="preserve">113 versus 430</w:t>
      </w:r>
      <w:r>
        <w:rPr>
          <w:color w:val="323232"/>
        </w:rPr>
        <w:t xml:space="preserve"> </w:t>
      </w:r>
      <w:r>
        <w:rPr>
          <w:color w:val="323232"/>
        </w:rPr>
        <w:t xml:space="preserve">±</w:t>
      </w:r>
      <w:r>
        <w:rPr>
          <w:color w:val="323232"/>
        </w:rPr>
        <w:t xml:space="preserve"> </w:t>
      </w:r>
      <w:r>
        <w:rPr>
          <w:color w:val="323232"/>
        </w:rPr>
        <w:t xml:space="preserve">112 µmol/ L; P</w:t>
      </w:r>
      <w:r>
        <w:rPr>
          <w:color w:val="323232"/>
        </w:rPr>
        <w:t xml:space="preserve"> </w:t>
      </w:r>
      <w:r>
        <w:rPr>
          <w:color w:val="323232"/>
        </w:rPr>
        <w:t xml:space="preserve">&lt;</w:t>
      </w:r>
      <w:r>
        <w:rPr>
          <w:color w:val="323232"/>
        </w:rPr>
        <w:t xml:space="preserve"> </w:t>
      </w:r>
      <w:r>
        <w:rPr>
          <w:color w:val="323232"/>
        </w:rPr>
        <w:t xml:space="preserve">.001), remission was less frequent (10% versus 56%; P</w:t>
      </w:r>
      <w:r>
        <w:rPr>
          <w:color w:val="323232"/>
        </w:rPr>
        <w:t xml:space="preserve"> </w:t>
      </w:r>
      <w:r>
        <w:rPr>
          <w:color w:val="323232"/>
        </w:rPr>
        <w:t xml:space="preserve">&lt;</w:t>
      </w:r>
      <w:r>
        <w:rPr>
          <w:color w:val="323232"/>
        </w:rPr>
        <w:t xml:space="preserve"> </w:t>
      </w:r>
      <w:r>
        <w:rPr>
          <w:color w:val="323232"/>
        </w:rPr>
        <w:t xml:space="preserve">.001), and glycemic variability was larger (8.1</w:t>
      </w:r>
      <w:r>
        <w:rPr>
          <w:color w:val="323232"/>
        </w:rPr>
        <w:t xml:space="preserve"> </w:t>
      </w:r>
      <w:r>
        <w:rPr>
          <w:color w:val="323232"/>
        </w:rPr>
        <w:t xml:space="preserve">±</w:t>
      </w:r>
      <w:r>
        <w:rPr>
          <w:color w:val="323232"/>
        </w:rPr>
        <w:t xml:space="preserve"> </w:t>
      </w:r>
      <w:r>
        <w:rPr>
          <w:color w:val="323232"/>
        </w:rPr>
        <w:t xml:space="preserve">2.4 mmol/ L versus 2.9</w:t>
      </w:r>
      <w:r>
        <w:rPr>
          <w:color w:val="323232"/>
        </w:rPr>
        <w:t xml:space="preserve"> </w:t>
      </w:r>
      <w:r>
        <w:rPr>
          <w:color w:val="323232"/>
        </w:rPr>
        <w:t xml:space="preserve">±</w:t>
      </w:r>
      <w:r>
        <w:rPr>
          <w:color w:val="323232"/>
        </w:rPr>
        <w:t xml:space="preserve"> </w:t>
      </w:r>
      <w:r>
        <w:rPr>
          <w:color w:val="323232"/>
        </w:rPr>
        <w:t xml:space="preserve">2.2 mmol/ L; P</w:t>
      </w:r>
      <w:r>
        <w:rPr>
          <w:color w:val="323232"/>
        </w:rPr>
        <w:t xml:space="preserve"> </w:t>
      </w:r>
      <w:r>
        <w:rPr>
          <w:color w:val="323232"/>
        </w:rPr>
        <w:t xml:space="preserve">&lt;</w:t>
      </w:r>
      <w:r>
        <w:rPr>
          <w:color w:val="323232"/>
        </w:rPr>
        <w:t xml:space="preserve"> </w:t>
      </w:r>
      <w:r>
        <w:rPr>
          <w:color w:val="323232"/>
        </w:rPr>
        <w:t xml:space="preserve">.001).</w:t>
      </w:r>
    </w:p>
    <w:p/>
    <w:p>
      <w:pPr>
        <w:pStyle w:val="Normal"/>
      </w:pPr>
      <w:r>
        <w:rPr>
          <w:color w:val="323232"/>
        </w:rPr>
        <w:t xml:space="preserve">CONCLUSIONS AND CLINICAL IMPORTANCE:Insulin-induced hypoglycemia did not cause PHH in healthy cats but it occurred in 25% of diabetic cats with hypoglycemia, particularly when diabetes was poorly controlled. Glycemic variability was increased in cats with PHH.</w:t>
      </w:r>
    </w:p>
    <w:p/>
    <w:p>
      <w:pPr>
        <w:pStyle w:val="Normal"/>
      </w:pPr>
      <w:r>
        <w:rPr>
          <w:color w:val="323232"/>
        </w:rPr>
        <w:t xml:space="preserve">J Vet Intern Med, 2018 vol. 32 (3) pp. 978-985.</w:t>
      </w:r>
    </w:p>
    <w:p>
      <w:r>
        <w:rPr>
          <w:rStyle w:val="Hyperlink"/>
        </w:rPr>
        <w:fldChar w:fldCharType="begin"/>
      </w:r>
      <w:r>
        <w:rPr>
          <w:rStyle w:val="Hyperlink"/>
        </w:rPr>
        <w:instrText xml:space="preserve"> HYPERLINK "http://dx.doi.org/10.1111/jvim.15134" </w:instrText>
      </w:r>
      <w:r>
        <w:rPr>
          <w:rStyle w:val="Hyperlink"/>
        </w:rPr>
      </w:r>
      <w:r>
        <w:rPr>
          <w:rStyle w:val="Hyperlink"/>
        </w:rPr>
        <w:fldChar w:fldCharType="separate"/>
      </w:r>
      <w:pPr>
        <w:pStyle w:val="Normal"/>
      </w:pPr>
      <w:r>
        <w:rPr>
          <w:rStyle w:val="Hyperlink"/>
        </w:rPr>
        <w:t xml:space="preserve">http://dx.doi.org/10.1111/jvim.15134</w:t>
      </w:r>
      <w:r>
        <w:rPr>
          <w:rStyle w:val="Hyperlink"/>
        </w:rPr>
        <w:fldChar w:fldCharType="end"/>
      </w:r>
    </w:p>
    <w:p>
      <w:pPr>
        <w:pStyle w:val="Normal"/>
      </w:pPr>
      <w:r>
        <w:rPr>
          <w:color w:val="323232"/>
        </w:rPr>
        <w:t xml:space="preserve">————————</w:t>
      </w:r>
    </w:p>
    <w:p>
      <w:pPr>
        <w:pStyle w:val="Heading4"/>
      </w:pPr>
      <w:r>
        <w:t xml:space="preserve">Determining optimal therapy of dogs with chronic enteropathy by measurement of serum citrulline.</w:t>
      </w:r>
    </w:p>
    <w:p/>
    <w:p>
      <w:pPr>
        <w:pStyle w:val="Normal"/>
      </w:pPr>
      <w:r>
        <w:rPr>
          <w:color w:val="323232"/>
        </w:rPr>
        <w:t xml:space="preserve">Magda Gerou-Ferriani, Rhiannon Allen, Peter-John M Noble, Alexander J German, Marco Caldin, and Daniel J Batchelor.</w:t>
      </w:r>
    </w:p>
    <w:p/>
    <w:p>
      <w:pPr>
        <w:pStyle w:val="Normal"/>
      </w:pPr>
      <w:r>
        <w:rPr>
          <w:color w:val="323232"/>
        </w:rPr>
        <w:t xml:space="preserve">BACKGROUND:Serum concentration of citrulline is a useful biomarker in human intestinal disease and indicates globally reduced enterocyte mass and absorptive function in various disease states.</w:t>
      </w:r>
    </w:p>
    <w:p/>
    <w:p>
      <w:pPr>
        <w:pStyle w:val="Normal"/>
      </w:pPr>
      <w:r>
        <w:rPr>
          <w:color w:val="323232"/>
        </w:rPr>
        <w:t xml:space="preserve">OBJECTIVES:To determine whether serum citrulline concentration is a biomarker in chronic enteropathy (CE) in dogs, to provide useful information regarding optimal treatment or to predict outcome.</w:t>
      </w:r>
    </w:p>
    <w:p/>
    <w:p>
      <w:pPr>
        <w:pStyle w:val="Normal"/>
      </w:pPr>
      <w:r>
        <w:rPr>
          <w:color w:val="323232"/>
        </w:rPr>
        <w:t xml:space="preserve">ANIMALS:Seventy-four dogs with CE and 83 breed- and age-matched hospital controls with no clinical signs of intestinal disease.</w:t>
      </w:r>
    </w:p>
    <w:p/>
    <w:p>
      <w:pPr>
        <w:pStyle w:val="Normal"/>
      </w:pPr>
      <w:r>
        <w:rPr>
          <w:color w:val="323232"/>
        </w:rPr>
        <w:t xml:space="preserve">METHODS:Retrospective study. Outcome was determined and dogs were categorized by response to treatment as having food-responsive enteropathy (FRE), antibiotic-responsive diarrhea (ARD), or idiopathic inflammatory bowel disease (IBD). Disease severity was quantified by the CIBDAI scoring index.</w:t>
      </w:r>
    </w:p>
    <w:p/>
    <w:p>
      <w:pPr>
        <w:pStyle w:val="Normal"/>
      </w:pPr>
      <w:r>
        <w:rPr>
          <w:color w:val="323232"/>
        </w:rPr>
        <w:t xml:space="preserve">RESULTS:Serum citrulline concentration did not differ between dogs with CE (median, 8.4 µg</w:t>
      </w:r>
      <w:r>
        <w:rPr>
          <w:i w:val="1"/>
          <w:color w:val="323232"/>
        </w:rPr>
        <w:t xml:space="preserve">mL, 5th-95th percentile 2.0-19.6) and controls (median, 8.1 µg</w:t>
      </w:r>
      <w:r>
        <w:rPr>
          <w:color w:val="323232"/>
        </w:rPr>
        <w:t xml:space="preserve">mL, 5th-95th percentile 2.2-19.7, P</w:t>
      </w:r>
      <w:r>
        <w:rPr>
          <w:color w:val="323232"/>
        </w:rPr>
        <w:t xml:space="preserve"> </w:t>
      </w:r>
      <w:r>
        <w:rPr>
          <w:color w:val="323232"/>
        </w:rPr>
        <w:t xml:space="preserve">=</w:t>
      </w:r>
      <w:r>
        <w:rPr>
          <w:color w:val="323232"/>
        </w:rPr>
        <w:t xml:space="preserve"> </w:t>
      </w:r>
      <w:r>
        <w:rPr>
          <w:color w:val="323232"/>
        </w:rPr>
        <w:t xml:space="preserve">.91). Serum citrulline concentration was similar between dogs with FRE (median, 9.1 µg</w:t>
      </w:r>
      <w:r>
        <w:rPr>
          <w:i w:val="1"/>
          <w:color w:val="323232"/>
        </w:rPr>
        <w:t xml:space="preserve">mL, 5th-95th percentile 2.0-18.9), ARD (median, 13.0 µg</w:t>
      </w:r>
      <w:r>
        <w:rPr>
          <w:color w:val="323232"/>
        </w:rPr>
        <w:t xml:space="preserve">mL, 5th-95th percentile 1.6-19.2), IBD (median, 8.4 µg/mL, 5th-95th percentile 2.1-21.0; P</w:t>
      </w:r>
      <w:r>
        <w:rPr>
          <w:color w:val="323232"/>
        </w:rPr>
        <w:t xml:space="preserve"> </w:t>
      </w:r>
      <w:r>
        <w:rPr>
          <w:color w:val="323232"/>
        </w:rPr>
        <w:t xml:space="preserve">=</w:t>
      </w:r>
      <w:r>
        <w:rPr>
          <w:color w:val="323232"/>
        </w:rPr>
        <w:t xml:space="preserve"> </w:t>
      </w:r>
      <w:r>
        <w:rPr>
          <w:color w:val="323232"/>
        </w:rPr>
        <w:t xml:space="preserve">.91). Serum citrulline did not correlate to CIBDAI or to serum albumin concentration.</w:t>
      </w:r>
    </w:p>
    <w:p/>
    <w:p>
      <w:pPr>
        <w:pStyle w:val="Normal"/>
      </w:pPr>
      <w:r>
        <w:rPr>
          <w:color w:val="323232"/>
        </w:rPr>
        <w:t xml:space="preserve">CONCLUSIONS AND CLINICAL IMPORTANCE:In our study, serum citrulline concentration was not associated with efficacy of treatment or outcome in dogs with CE.</w:t>
      </w:r>
    </w:p>
    <w:p/>
    <w:p>
      <w:pPr>
        <w:pStyle w:val="Normal"/>
      </w:pPr>
      <w:r>
        <w:rPr>
          <w:color w:val="323232"/>
        </w:rPr>
        <w:t xml:space="preserve">J Vet Intern Med, 2018 vol. 32 (3) pp. 993-998.</w:t>
      </w:r>
    </w:p>
    <w:p>
      <w:r>
        <w:rPr>
          <w:rStyle w:val="Hyperlink"/>
        </w:rPr>
        <w:fldChar w:fldCharType="begin"/>
      </w:r>
      <w:r>
        <w:rPr>
          <w:rStyle w:val="Hyperlink"/>
        </w:rPr>
        <w:instrText xml:space="preserve"> HYPERLINK "http://dx.doi.org/10.1111/jvim.15124" </w:instrText>
      </w:r>
      <w:r>
        <w:rPr>
          <w:rStyle w:val="Hyperlink"/>
        </w:rPr>
      </w:r>
      <w:r>
        <w:rPr>
          <w:rStyle w:val="Hyperlink"/>
        </w:rPr>
        <w:fldChar w:fldCharType="separate"/>
      </w:r>
      <w:pPr>
        <w:pStyle w:val="Normal"/>
      </w:pPr>
      <w:r>
        <w:rPr>
          <w:rStyle w:val="Hyperlink"/>
        </w:rPr>
        <w:t xml:space="preserve">http://dx.doi.org/10.1111/jvim.15124</w:t>
      </w:r>
      <w:r>
        <w:rPr>
          <w:rStyle w:val="Hyperlink"/>
        </w:rPr>
        <w:fldChar w:fldCharType="end"/>
      </w:r>
    </w:p>
    <w:p>
      <w:pPr>
        <w:pStyle w:val="Normal"/>
      </w:pPr>
      <w:r>
        <w:rPr>
          <w:color w:val="323232"/>
        </w:rPr>
        <w:t xml:space="preserve">————————</w:t>
      </w:r>
    </w:p>
    <w:p>
      <w:pPr>
        <w:pStyle w:val="Heading4"/>
      </w:pPr>
      <w:r>
        <w:t xml:space="preserve">Serologic and fecal markers to predict response to induction therapy in dogs with idiopathic inflammatory bowel disease.</w:t>
      </w:r>
    </w:p>
    <w:p/>
    <w:p>
      <w:pPr>
        <w:pStyle w:val="Normal"/>
      </w:pPr>
      <w:r>
        <w:rPr>
          <w:color w:val="323232"/>
        </w:rPr>
        <w:t xml:space="preserve">Cristiane C Otoni, Romy M Heilmann, Mercedes García-Sancho, Angel Sainz, Mark R Ackermann, Jan S Suchodolski, Jörg M Steiner, and Albert E Jergens.</w:t>
      </w:r>
    </w:p>
    <w:p/>
    <w:p>
      <w:pPr>
        <w:pStyle w:val="Normal"/>
      </w:pPr>
      <w:r>
        <w:rPr>
          <w:color w:val="323232"/>
        </w:rPr>
        <w:t xml:space="preserve">BACKGROUND:Little information is available of markers that assess the disease course in dogs with idiopathic inflammatory bowel disease (IBD).</w:t>
      </w:r>
    </w:p>
    <w:p/>
    <w:p>
      <w:pPr>
        <w:pStyle w:val="Normal"/>
      </w:pPr>
      <w:r>
        <w:rPr>
          <w:color w:val="323232"/>
        </w:rPr>
        <w:t xml:space="preserve">OBJECTIVES:Evaluate relationship between disease severity and serum and fecal biomarkers in dogs with idiopathic IBD before and after treatment.</w:t>
      </w:r>
    </w:p>
    <w:p/>
    <w:p>
      <w:pPr>
        <w:pStyle w:val="Normal"/>
      </w:pPr>
      <w:r>
        <w:rPr>
          <w:color w:val="323232"/>
        </w:rPr>
        <w:t xml:space="preserve">ANIMALS:Sixteen dogs with idioptahic IBD and 13 healthy dogs.</w:t>
      </w:r>
    </w:p>
    <w:p/>
    <w:p>
      <w:pPr>
        <w:pStyle w:val="Normal"/>
      </w:pPr>
      <w:r>
        <w:rPr>
          <w:color w:val="323232"/>
        </w:rPr>
        <w:t xml:space="preserve">METHODS:Prospective case control study. Canine IBD activity index (CIBDAI) clinical score, serum concentrations of C-reactive protein (CRP), perinuclear antineutrophil cytoplasmic antibodies (pANCA), and serum and fecal canine calprotectin (cCP) were measured before and after 21 days of treatment.</w:t>
      </w:r>
    </w:p>
    <w:p/>
    <w:p>
      <w:pPr>
        <w:pStyle w:val="Normal"/>
      </w:pPr>
      <w:r>
        <w:rPr>
          <w:color w:val="323232"/>
        </w:rPr>
        <w:t xml:space="preserve">RESULTS:Serum CRP (median 3.5 mg</w:t>
      </w:r>
      <w:r>
        <w:rPr>
          <w:i w:val="1"/>
          <w:color w:val="323232"/>
        </w:rPr>
        <w:t xml:space="preserve">L; range: 0.1-52.4 mg</w:t>
      </w:r>
      <w:r>
        <w:rPr>
          <w:color w:val="323232"/>
        </w:rPr>
        <w:t xml:space="preserve">L), fecal cCP (median 92.3 μg</w:t>
      </w:r>
      <w:r>
        <w:rPr>
          <w:i w:val="1"/>
          <w:color w:val="323232"/>
        </w:rPr>
        <w:t xml:space="preserve">g; range: 0.03-637.5 μg</w:t>
      </w:r>
      <w:r>
        <w:rPr>
          <w:color w:val="323232"/>
        </w:rPr>
        <w:t xml:space="preserve">g), and CIBDAI scores significantly increased in dogs with IBD before treatment compared with serum CRP (median 0.2 mg</w:t>
      </w:r>
      <w:r>
        <w:rPr>
          <w:i w:val="1"/>
          <w:color w:val="323232"/>
        </w:rPr>
        <w:t xml:space="preserve">L; range: 0.1-11.8 mg</w:t>
      </w:r>
      <w:r>
        <w:rPr>
          <w:color w:val="323232"/>
        </w:rPr>
        <w:t xml:space="preserve">L; P</w:t>
      </w:r>
      <w:r>
        <w:rPr>
          <w:color w:val="323232"/>
        </w:rPr>
        <w:t xml:space="preserve"> </w:t>
      </w:r>
      <w:r>
        <w:rPr>
          <w:color w:val="323232"/>
        </w:rPr>
        <w:t xml:space="preserve">&lt;</w:t>
      </w:r>
      <w:r>
        <w:rPr>
          <w:color w:val="323232"/>
        </w:rPr>
        <w:t xml:space="preserve"> </w:t>
      </w:r>
      <w:r>
        <w:rPr>
          <w:color w:val="323232"/>
        </w:rPr>
        <w:t xml:space="preserve">.001), fecal cCP (median 0.67 μg</w:t>
      </w:r>
      <w:r>
        <w:rPr>
          <w:i w:val="1"/>
          <w:color w:val="323232"/>
        </w:rPr>
        <w:t xml:space="preserve">g; range: 0.03-27.9 μg</w:t>
      </w:r>
      <w:r>
        <w:rPr>
          <w:color w:val="323232"/>
        </w:rPr>
        <w:t xml:space="preserve">g; P</w:t>
      </w:r>
      <w:r>
        <w:rPr>
          <w:color w:val="323232"/>
        </w:rPr>
        <w:t xml:space="preserve"> </w:t>
      </w:r>
      <w:r>
        <w:rPr>
          <w:color w:val="323232"/>
        </w:rPr>
        <w:t xml:space="preserve">&lt;</w:t>
      </w:r>
      <w:r>
        <w:rPr>
          <w:color w:val="323232"/>
        </w:rPr>
        <w:t xml:space="preserve"> </w:t>
      </w:r>
      <w:r>
        <w:rPr>
          <w:color w:val="323232"/>
        </w:rPr>
        <w:t xml:space="preserve">.001) and CIBDAI (P</w:t>
      </w:r>
      <w:r>
        <w:rPr>
          <w:color w:val="323232"/>
        </w:rPr>
        <w:t xml:space="preserve"> </w:t>
      </w:r>
      <w:r>
        <w:rPr>
          <w:color w:val="323232"/>
        </w:rPr>
        <w:t xml:space="preserve">&lt;</w:t>
      </w:r>
      <w:r>
        <w:rPr>
          <w:color w:val="323232"/>
        </w:rPr>
        <w:t xml:space="preserve"> </w:t>
      </w:r>
      <w:r>
        <w:rPr>
          <w:color w:val="323232"/>
        </w:rPr>
        <w:t xml:space="preserve">.001) after treatment. No significant associations between CIBDAI scores and before or after treatment serum biomarkers. There was a significant association between fecal cCP and CIBDAI scores before treatment (rho</w:t>
      </w:r>
      <w:r>
        <w:rPr>
          <w:color w:val="323232"/>
        </w:rPr>
        <w:t xml:space="preserve"> </w:t>
      </w:r>
      <w:r>
        <w:rPr>
          <w:color w:val="323232"/>
        </w:rPr>
        <w:t xml:space="preserve">=</w:t>
      </w:r>
      <w:r>
        <w:rPr>
          <w:color w:val="323232"/>
        </w:rPr>
        <w:t xml:space="preserve"> </w:t>
      </w:r>
      <w:r>
        <w:rPr>
          <w:color w:val="323232"/>
        </w:rPr>
        <w:t xml:space="preserve">0.60, P</w:t>
      </w:r>
      <w:r>
        <w:rPr>
          <w:color w:val="323232"/>
        </w:rPr>
        <w:t xml:space="preserve"> </w:t>
      </w:r>
      <w:r>
        <w:rPr>
          <w:color w:val="323232"/>
        </w:rPr>
        <w:t xml:space="preserve">=</w:t>
      </w:r>
      <w:r>
        <w:rPr>
          <w:color w:val="323232"/>
        </w:rPr>
        <w:t xml:space="preserve"> </w:t>
      </w:r>
      <w:r>
        <w:rPr>
          <w:color w:val="323232"/>
        </w:rPr>
        <w:t xml:space="preserve">.01). CRP and fecal cCP significantly decreased after treatment (median 3.5 mg</w:t>
      </w:r>
      <w:r>
        <w:rPr>
          <w:i w:val="1"/>
          <w:color w:val="323232"/>
        </w:rPr>
        <w:t xml:space="preserve">L v. 0.2 mg</w:t>
      </w:r>
      <w:r>
        <w:rPr>
          <w:color w:val="323232"/>
        </w:rPr>
        <w:t xml:space="preserve">L; P</w:t>
      </w:r>
      <w:r>
        <w:rPr>
          <w:color w:val="323232"/>
        </w:rPr>
        <w:t xml:space="preserve"> </w:t>
      </w:r>
      <w:r>
        <w:rPr>
          <w:color w:val="323232"/>
        </w:rPr>
        <w:t xml:space="preserve">&lt;</w:t>
      </w:r>
      <w:r>
        <w:rPr>
          <w:color w:val="323232"/>
        </w:rPr>
        <w:t xml:space="preserve"> </w:t>
      </w:r>
      <w:r>
        <w:rPr>
          <w:color w:val="323232"/>
        </w:rPr>
        <w:t xml:space="preserve">.001 and 92.3 μg</w:t>
      </w:r>
      <w:r>
        <w:rPr>
          <w:i w:val="1"/>
          <w:color w:val="323232"/>
        </w:rPr>
        <w:t xml:space="preserve">g v. 0.67 μg</w:t>
      </w:r>
      <w:r>
        <w:rPr>
          <w:color w:val="323232"/>
        </w:rPr>
        <w:t xml:space="preserve">g; P = .001, respectively).</w:t>
      </w:r>
    </w:p>
    <w:p/>
    <w:p>
      <w:pPr>
        <w:pStyle w:val="Normal"/>
      </w:pPr>
      <w:r>
        <w:rPr>
          <w:color w:val="323232"/>
        </w:rPr>
        <w:t xml:space="preserve">CONCLUSIONS AND CLINICAL IMPORTANCE:Our data indicate that measurement of fecal cCP concentration is a useful biomarker for noninvasive evaluation of intestinal inflammation. Dogs with severe signs of GI disease more often have abnormal markers than dogs having less severe disease.</w:t>
      </w:r>
    </w:p>
    <w:p/>
    <w:p>
      <w:pPr>
        <w:pStyle w:val="Normal"/>
      </w:pPr>
      <w:r>
        <w:rPr>
          <w:color w:val="323232"/>
        </w:rPr>
        <w:t xml:space="preserve">J Vet Intern Med, 2018 vol. 32 (3) pp. 999-1008.</w:t>
      </w:r>
    </w:p>
    <w:p>
      <w:r>
        <w:rPr>
          <w:rStyle w:val="Hyperlink"/>
        </w:rPr>
        <w:fldChar w:fldCharType="begin"/>
      </w:r>
      <w:r>
        <w:rPr>
          <w:rStyle w:val="Hyperlink"/>
        </w:rPr>
        <w:instrText xml:space="preserve"> HYPERLINK "http://dx.doi.org/10.1111/jvim.15123" </w:instrText>
      </w:r>
      <w:r>
        <w:rPr>
          <w:rStyle w:val="Hyperlink"/>
        </w:rPr>
      </w:r>
      <w:r>
        <w:rPr>
          <w:rStyle w:val="Hyperlink"/>
        </w:rPr>
        <w:fldChar w:fldCharType="separate"/>
      </w:r>
      <w:pPr>
        <w:pStyle w:val="Normal"/>
      </w:pPr>
      <w:r>
        <w:rPr>
          <w:rStyle w:val="Hyperlink"/>
        </w:rPr>
        <w:t xml:space="preserve">http://dx.doi.org/10.1111/jvim.15123</w:t>
      </w:r>
      <w:r>
        <w:rPr>
          <w:rStyle w:val="Hyperlink"/>
        </w:rPr>
        <w:fldChar w:fldCharType="end"/>
      </w:r>
    </w:p>
    <w:p>
      <w:pPr>
        <w:pStyle w:val="Normal"/>
      </w:pPr>
      <w:r>
        <w:rPr>
          <w:color w:val="323232"/>
        </w:rPr>
        <w:t xml:space="preserve">————————</w:t>
      </w:r>
    </w:p>
    <w:p>
      <w:pPr>
        <w:pStyle w:val="Heading4"/>
      </w:pPr>
      <w:r>
        <w:t xml:space="preserve">Evaluation of potential serum biomarkers of hepatic fibrosis and necroinflammatory activity in dogs with liver disease.</w:t>
      </w:r>
    </w:p>
    <w:p/>
    <w:p>
      <w:pPr>
        <w:pStyle w:val="Normal"/>
      </w:pPr>
      <w:r>
        <w:rPr>
          <w:color w:val="323232"/>
        </w:rPr>
        <w:t xml:space="preserve">Chantel Raghu, Joanne Ekena, John M Cullen, Craig B Webb, and Lauren A Trepanier.</w:t>
      </w:r>
    </w:p>
    <w:p/>
    <w:p>
      <w:pPr>
        <w:pStyle w:val="Normal"/>
      </w:pPr>
      <w:r>
        <w:rPr>
          <w:color w:val="323232"/>
        </w:rPr>
        <w:t xml:space="preserve">BACKGROUND:Serum interleukin 6 (IL-6), chemokine ligand 2 (CCL2), C-reactive protein (CRP), and the ratio of aspartate transaminase to alanine transaminase (AST:ALT) have been correlated with fibrosis and necroinflammatory activity in humans with various hepatopathies.</w:t>
      </w:r>
    </w:p>
    <w:p/>
    <w:p>
      <w:pPr>
        <w:pStyle w:val="Normal"/>
      </w:pPr>
      <w:r>
        <w:rPr>
          <w:color w:val="323232"/>
        </w:rPr>
        <w:t xml:space="preserve">HYPOTHESIS/OBJECTIVES:To determine whether increases in serum IL-6, CCL2, CRP, or AST:ALT were associated with moderate to severe fibrosis or necroinflammatory activity in dogs with various hepatopathies.</w:t>
      </w:r>
    </w:p>
    <w:p/>
    <w:p>
      <w:pPr>
        <w:pStyle w:val="Normal"/>
      </w:pPr>
      <w:r>
        <w:rPr>
          <w:color w:val="323232"/>
        </w:rPr>
        <w:t xml:space="preserve">ANIMALS:Forty-four client-owned dogs with clinical evidence of liver disease and 10 healthy purpose-bred dogs, all undergoing liver biopsies by laparoscopy or laparotomy.</w:t>
      </w:r>
    </w:p>
    <w:p/>
    <w:p>
      <w:pPr>
        <w:pStyle w:val="Normal"/>
      </w:pPr>
      <w:r>
        <w:rPr>
          <w:color w:val="323232"/>
        </w:rPr>
        <w:t xml:space="preserve">METHODS:Measurement of serum IL-6, CCL2, CRP, AST, and ALT before scheduled liver biopsy and evaluation of liver histopathology using the METAVIR scoring system used in human medicine, blinded to clinical presentation.</w:t>
      </w:r>
    </w:p>
    <w:p/>
    <w:p>
      <w:pPr>
        <w:pStyle w:val="Normal"/>
      </w:pPr>
      <w:r>
        <w:rPr>
          <w:color w:val="323232"/>
        </w:rPr>
        <w:t xml:space="preserve">RESULTS:Median serum IL-6 was approximately twice as high in dogs with high fibrosis scores (15.5 pg</w:t>
      </w:r>
      <w:r>
        <w:rPr>
          <w:i w:val="1"/>
          <w:color w:val="323232"/>
        </w:rPr>
        <w:t xml:space="preserve">mL; range, 1.4 to 235 pg</w:t>
      </w:r>
      <w:r>
        <w:rPr>
          <w:color w:val="323232"/>
        </w:rPr>
        <w:t xml:space="preserve">mL) compared to dogs with low fibrosis scores (7.6 pg</w:t>
      </w:r>
      <w:r>
        <w:rPr>
          <w:i w:val="1"/>
          <w:color w:val="323232"/>
        </w:rPr>
        <w:t xml:space="preserve">mL; range, 1.4 to 148.1 pg</w:t>
      </w:r>
      <w:r>
        <w:rPr>
          <w:color w:val="323232"/>
        </w:rPr>
        <w:t xml:space="preserve">mL), with marginal significance (P</w:t>
      </w:r>
      <w:r>
        <w:rPr>
          <w:color w:val="323232"/>
        </w:rPr>
        <w:t xml:space="preserve"> </w:t>
      </w:r>
      <w:r>
        <w:rPr>
          <w:color w:val="323232"/>
        </w:rPr>
        <w:t xml:space="preserve">=</w:t>
      </w:r>
      <w:r>
        <w:rPr>
          <w:color w:val="323232"/>
        </w:rPr>
        <w:t xml:space="preserve"> </w:t>
      </w:r>
      <w:r>
        <w:rPr>
          <w:color w:val="323232"/>
        </w:rPr>
        <w:t xml:space="preserve">.05). Median serum CCL2 was significantly higher in dogs with active necroinflammation (444 pg/ mL; range, 144 to 896 pg/ mL) compared to dogs without detectable necroinflammation (326 pg/ mL; range, 59 to 1692 pg/mL; P</w:t>
      </w:r>
      <w:r>
        <w:rPr>
          <w:color w:val="323232"/>
        </w:rPr>
        <w:t xml:space="preserve"> </w:t>
      </w:r>
      <w:r>
        <w:rPr>
          <w:color w:val="323232"/>
        </w:rPr>
        <w:t xml:space="preserve">=</w:t>
      </w:r>
      <w:r>
        <w:rPr>
          <w:color w:val="323232"/>
        </w:rPr>
        <w:t xml:space="preserve"> </w:t>
      </w:r>
      <w:r>
        <w:rPr>
          <w:color w:val="323232"/>
        </w:rPr>
        <w:t xml:space="preserve">.008), but with considerable overlap between groups. Neither serum CRP nor AST:ALT ratios were significantly different based on fibrosis or necroinflammatory scores.</w:t>
      </w:r>
    </w:p>
    <w:p/>
    <w:p>
      <w:pPr>
        <w:pStyle w:val="Normal"/>
      </w:pPr>
      <w:r>
        <w:rPr>
          <w:color w:val="323232"/>
        </w:rPr>
        <w:t xml:space="preserve">CONCLUSIONS AND CLINICAL IMPORTANCE:Because of substantial variability among dogs, single measurements of IL-6 and CCL2 have limited diagnostic utility for identifying fibrosis or necroinflammation, respectively, in dogs with various chronic liver diseases. The value of these biomarkers should be explored further in monitoring response to treatment in individual dogs with chronic hepatopathies.</w:t>
      </w:r>
    </w:p>
    <w:p/>
    <w:p>
      <w:pPr>
        <w:pStyle w:val="Normal"/>
      </w:pPr>
      <w:r>
        <w:rPr>
          <w:color w:val="323232"/>
        </w:rPr>
        <w:t xml:space="preserve">J Vet Intern Med, 2018 vol. 32 (3) pp. 1009-1018.</w:t>
      </w:r>
    </w:p>
    <w:p>
      <w:r>
        <w:rPr>
          <w:rStyle w:val="Hyperlink"/>
        </w:rPr>
        <w:fldChar w:fldCharType="begin"/>
      </w:r>
      <w:r>
        <w:rPr>
          <w:rStyle w:val="Hyperlink"/>
        </w:rPr>
        <w:instrText xml:space="preserve"> HYPERLINK "http://dx.doi.org/10.1111/jvim.15064" </w:instrText>
      </w:r>
      <w:r>
        <w:rPr>
          <w:rStyle w:val="Hyperlink"/>
        </w:rPr>
      </w:r>
      <w:r>
        <w:rPr>
          <w:rStyle w:val="Hyperlink"/>
        </w:rPr>
        <w:fldChar w:fldCharType="separate"/>
      </w:r>
      <w:pPr>
        <w:pStyle w:val="Normal"/>
      </w:pPr>
      <w:r>
        <w:rPr>
          <w:rStyle w:val="Hyperlink"/>
        </w:rPr>
        <w:t xml:space="preserve">http://dx.doi.org/10.1111/jvim.15064</w:t>
      </w:r>
      <w:r>
        <w:rPr>
          <w:rStyle w:val="Hyperlink"/>
        </w:rPr>
        <w:fldChar w:fldCharType="end"/>
      </w:r>
    </w:p>
    <w:p>
      <w:pPr>
        <w:pStyle w:val="Normal"/>
      </w:pPr>
      <w:r>
        <w:rPr>
          <w:color w:val="323232"/>
        </w:rPr>
        <w:t xml:space="preserve">————————</w:t>
      </w:r>
    </w:p>
    <w:p>
      <w:pPr>
        <w:pStyle w:val="Heading4"/>
      </w:pPr>
      <w:r>
        <w:t xml:space="preserve">Effect of interleukin-1β on occludin mRNA expression in the duodenal and colonic mucosa of dogs with inflammatory bowel disease.</w:t>
      </w:r>
    </w:p>
    <w:p/>
    <w:p>
      <w:pPr>
        <w:pStyle w:val="Normal"/>
      </w:pPr>
      <w:r>
        <w:rPr>
          <w:color w:val="323232"/>
        </w:rPr>
        <w:t xml:space="preserve">Misato Ogawa, Hironari Osada, Ayana Hasegawa, Hikaru Ohno, Nanako Yanuma, Kazuaki Sasaki, Minoru Shimoda, Junsuke Shirai, Hirotaka Kondo, and Keitaro Ohmori.</w:t>
      </w:r>
    </w:p>
    <w:p/>
    <w:p>
      <w:pPr>
        <w:pStyle w:val="Normal"/>
      </w:pPr>
      <w:r>
        <w:rPr>
          <w:color w:val="323232"/>
        </w:rPr>
        <w:t xml:space="preserve">BACKGROUND:Mucosal imbalance of interleukin (IL)-1β and IL-1 receptor antagonist (Ra) has been reported in the duodenal mucosa of dogs with inflammatory bowel disease (IBD). However, the imbalance in the colonic mucosa and its role in duodenitis and colitis in IBD of dogs remain unclear.</w:t>
      </w:r>
    </w:p>
    <w:p/>
    <w:p>
      <w:pPr>
        <w:pStyle w:val="Normal"/>
      </w:pPr>
      <w:r>
        <w:rPr>
          <w:color w:val="323232"/>
        </w:rPr>
        <w:t xml:space="preserve">OBJECTIVES:To measure the expression of IL-1β and IL-1Ra proteins in the colonic mucosa of dogs with IBD, and to determine the effect of IL-1β on expression of occludin (ocln) mRNA, a tight junction component, in the duodenal and colonic mucosa of dogs with IBD.</w:t>
      </w:r>
    </w:p>
    <w:p/>
    <w:p>
      <w:pPr>
        <w:pStyle w:val="Normal"/>
      </w:pPr>
      <w:r>
        <w:rPr>
          <w:color w:val="323232"/>
        </w:rPr>
        <w:t xml:space="preserve">ANIMALS:Twelve dogs with IBD and 6 healthy dogs.</w:t>
      </w:r>
    </w:p>
    <w:p/>
    <w:p>
      <w:pPr>
        <w:pStyle w:val="Normal"/>
      </w:pPr>
      <w:r>
        <w:rPr>
          <w:color w:val="323232"/>
        </w:rPr>
        <w:t xml:space="preserve">METHODS:IL-1β and IL-1 Ra proteins in the colonic mucosa were quantified by ELISA in 7 of the 12 dogs with IBD. Expression of ocln mRNA in the duodenal and colonic mucosa was examined in the 12 dogs by real-time PCR.</w:t>
      </w:r>
    </w:p>
    <w:p/>
    <w:p>
      <w:pPr>
        <w:pStyle w:val="Normal"/>
      </w:pPr>
      <w:r>
        <w:rPr>
          <w:color w:val="323232"/>
        </w:rPr>
        <w:t xml:space="preserve">RESULTS:The ratio of IL-1β to IL-1Ra in the colonic mucosa was significantly higher in dogs with IBD than in healthy dogs. The ex vivo experiment determined that IL-1β suppressed expression of ocln mRNA in the colonic mucosa, but not in the duodenal mucosa, of healthy dogs. Expression of ocln mRNA in the colonic mucosa, but not in the duodenal mucosa, was significantly lower in dogs with IBD than in healthy dogs.</w:t>
      </w:r>
    </w:p>
    <w:p/>
    <w:p>
      <w:pPr>
        <w:pStyle w:val="Normal"/>
      </w:pPr>
      <w:r>
        <w:rPr>
          <w:color w:val="323232"/>
        </w:rPr>
        <w:t xml:space="preserve">CONCLUSIONS AND CLINICAL IMPORTANCE:A relative increase in IL-1β may attenuate ocln expression, leading to intestinal barrier dysfunction and promotion of intestinal inflammation in the colonic mucosa, but not in the duodenal mucosa, of dogs with IBD.</w:t>
      </w:r>
    </w:p>
    <w:p/>
    <w:p>
      <w:pPr>
        <w:pStyle w:val="Normal"/>
      </w:pPr>
      <w:r>
        <w:rPr>
          <w:color w:val="323232"/>
        </w:rPr>
        <w:t xml:space="preserve">J Vet Intern Med, 2018 vol. 32 (3) pp. 1019-1025.</w:t>
      </w:r>
    </w:p>
    <w:p>
      <w:r>
        <w:rPr>
          <w:rStyle w:val="Hyperlink"/>
        </w:rPr>
        <w:fldChar w:fldCharType="begin"/>
      </w:r>
      <w:r>
        <w:rPr>
          <w:rStyle w:val="Hyperlink"/>
        </w:rPr>
        <w:instrText xml:space="preserve"> HYPERLINK "http://dx.doi.org/10.1111/jvim.15117" </w:instrText>
      </w:r>
      <w:r>
        <w:rPr>
          <w:rStyle w:val="Hyperlink"/>
        </w:rPr>
      </w:r>
      <w:r>
        <w:rPr>
          <w:rStyle w:val="Hyperlink"/>
        </w:rPr>
        <w:fldChar w:fldCharType="separate"/>
      </w:r>
      <w:pPr>
        <w:pStyle w:val="Normal"/>
      </w:pPr>
      <w:r>
        <w:rPr>
          <w:rStyle w:val="Hyperlink"/>
        </w:rPr>
        <w:t xml:space="preserve">http://dx.doi.org/10.1111/jvim.15117</w:t>
      </w:r>
      <w:r>
        <w:rPr>
          <w:rStyle w:val="Hyperlink"/>
        </w:rPr>
        <w:fldChar w:fldCharType="end"/>
      </w:r>
    </w:p>
    <w:p>
      <w:pPr>
        <w:pStyle w:val="Normal"/>
      </w:pPr>
      <w:r>
        <w:rPr>
          <w:color w:val="323232"/>
        </w:rPr>
        <w:t xml:space="preserve">————————</w:t>
      </w:r>
    </w:p>
    <w:p>
      <w:pPr>
        <w:pStyle w:val="Heading4"/>
      </w:pPr>
      <w:r>
        <w:t xml:space="preserve">Alterations in serum amino acid concentrations in dogs with protein-losing enteropathy.</w:t>
      </w:r>
    </w:p>
    <w:p/>
    <w:p>
      <w:pPr>
        <w:pStyle w:val="Normal"/>
      </w:pPr>
      <w:r>
        <w:rPr>
          <w:color w:val="323232"/>
        </w:rPr>
        <w:t xml:space="preserve">Aarti Kathrani, Karin Allenspach, Andrea J Fascetti, Jennifer A Larsen, and Edward J Hall.</w:t>
      </w:r>
    </w:p>
    <w:p/>
    <w:p>
      <w:pPr>
        <w:pStyle w:val="Normal"/>
      </w:pPr>
      <w:r>
        <w:rPr>
          <w:color w:val="323232"/>
        </w:rPr>
        <w:t xml:space="preserve">BACKGROUND:Certain amino acids are decreased in humans with inflammatory bowel disease (IBD) and supplementation with the same amino acids has shown beneficial effects in animal models of IBD. Currently, the amino acid status of dogs with protein-losing enteropathy (PLE) is unknown.</w:t>
      </w:r>
    </w:p>
    <w:p/>
    <w:p>
      <w:pPr>
        <w:pStyle w:val="Normal"/>
      </w:pPr>
      <w:r>
        <w:rPr>
          <w:color w:val="323232"/>
        </w:rPr>
        <w:t xml:space="preserve">HYPOTHESIS/OBJECTIVE:To determine if serum amino acid concentrations are abnormal in dogs with PLE and correlated with clinical and laboratory variables and outcome.</w:t>
      </w:r>
    </w:p>
    <w:p/>
    <w:p>
      <w:pPr>
        <w:pStyle w:val="Normal"/>
      </w:pPr>
      <w:r>
        <w:rPr>
          <w:color w:val="323232"/>
        </w:rPr>
        <w:t xml:space="preserve">ANIMALS:Thirty client-owned dogs diagnosed with PLE and 12 apparently healthy dogs seen at Bristol Veterinary School.</w:t>
      </w:r>
    </w:p>
    <w:p/>
    <w:p>
      <w:pPr>
        <w:pStyle w:val="Normal"/>
      </w:pPr>
      <w:r>
        <w:rPr>
          <w:color w:val="323232"/>
        </w:rPr>
        <w:t xml:space="preserve">METHODS:Retrospective study using stored residual serum from fasted dogs with PLE, collected at the time of diagnostic investigation and from apparently healthy dogs. Serum was analyzed for 30 amino acids using an automated high-performance liquid chromatography amino acid analyzer.</w:t>
      </w:r>
    </w:p>
    <w:p/>
    <w:p>
      <w:pPr>
        <w:pStyle w:val="Normal"/>
      </w:pPr>
      <w:r>
        <w:rPr>
          <w:color w:val="323232"/>
        </w:rPr>
        <w:t xml:space="preserve">RESULTS:Serum tryptophan concentrations were significantly decreased in dogs with PLE (median, 22 nmol</w:t>
      </w:r>
      <w:r>
        <w:rPr>
          <w:i w:val="1"/>
          <w:color w:val="323232"/>
        </w:rPr>
        <w:t xml:space="preserve">mL; range, 1-80 nmol</w:t>
      </w:r>
      <w:r>
        <w:rPr>
          <w:color w:val="323232"/>
        </w:rPr>
        <w:t xml:space="preserve">mL) compared with apparently healthy control dogs (median, 77.5</w:t>
      </w:r>
      <w:r>
        <w:rPr>
          <w:color w:val="323232"/>
        </w:rPr>
        <w:t xml:space="preserve"> </w:t>
      </w:r>
      <w:r>
        <w:rPr>
          <w:color w:val="323232"/>
        </w:rPr>
        <w:t xml:space="preserve">nmol</w:t>
      </w:r>
      <w:r>
        <w:rPr>
          <w:i w:val="1"/>
          <w:color w:val="323232"/>
        </w:rPr>
        <w:t xml:space="preserve">mL; range, 42-135 nmol</w:t>
      </w:r>
      <w:r>
        <w:rPr>
          <w:color w:val="323232"/>
        </w:rPr>
        <w:t xml:space="preserve">mL, P</w:t>
      </w:r>
      <w:r>
        <w:rPr>
          <w:color w:val="323232"/>
        </w:rPr>
        <w:t xml:space="preserve"> </w:t>
      </w:r>
      <w:r>
        <w:rPr>
          <w:color w:val="323232"/>
        </w:rPr>
        <w:t xml:space="preserve">&lt;</w:t>
      </w:r>
      <w:r>
        <w:rPr>
          <w:color w:val="323232"/>
        </w:rPr>
        <w:t xml:space="preserve"> </w:t>
      </w:r>
      <w:r>
        <w:rPr>
          <w:color w:val="323232"/>
        </w:rPr>
        <w:t xml:space="preserve">.001). There were no significant differences in the remaining 29 serum amino acids between dogs with PLE and apparently healthy. Serum tryptophan concentrations were also significantly correlated with serum albumin concentrations in dogs with PLE (P</w:t>
      </w:r>
      <w:r>
        <w:rPr>
          <w:color w:val="323232"/>
        </w:rPr>
        <w:t xml:space="preserve"> </w:t>
      </w:r>
      <w:r>
        <w:rPr>
          <w:color w:val="323232"/>
        </w:rPr>
        <w:t xml:space="preserve">=</w:t>
      </w:r>
      <w:r>
        <w:rPr>
          <w:color w:val="323232"/>
        </w:rPr>
        <w:t xml:space="preserve"> </w:t>
      </w:r>
      <w:r>
        <w:rPr>
          <w:color w:val="323232"/>
        </w:rPr>
        <w:t xml:space="preserve">.001, R2 =</w:t>
      </w:r>
      <w:r>
        <w:rPr>
          <w:color w:val="323232"/>
        </w:rPr>
        <w:t xml:space="preserve"> </w:t>
      </w:r>
      <w:r>
        <w:rPr>
          <w:color w:val="323232"/>
        </w:rPr>
        <w:t xml:space="preserve">0.506).</w:t>
      </w:r>
    </w:p>
    <w:p/>
    <w:p>
      <w:pPr>
        <w:pStyle w:val="Normal"/>
      </w:pPr>
      <w:r>
        <w:rPr>
          <w:color w:val="323232"/>
        </w:rPr>
        <w:t xml:space="preserve">CONCLUSIONS AND CLINICAL IMPORTANCE:Decreased serum tryptophan concentration might play a role in the pathogenesis of canine PLE or be a consequence of the disease.</w:t>
      </w:r>
    </w:p>
    <w:p/>
    <w:p>
      <w:pPr>
        <w:pStyle w:val="Normal"/>
      </w:pPr>
      <w:r>
        <w:rPr>
          <w:color w:val="323232"/>
        </w:rPr>
        <w:t xml:space="preserve">J Vet Intern Med, 2018 vol. 32 (3) pp. 1026-1032.</w:t>
      </w:r>
    </w:p>
    <w:p>
      <w:r>
        <w:rPr>
          <w:rStyle w:val="Hyperlink"/>
        </w:rPr>
        <w:fldChar w:fldCharType="begin"/>
      </w:r>
      <w:r>
        <w:rPr>
          <w:rStyle w:val="Hyperlink"/>
        </w:rPr>
        <w:instrText xml:space="preserve"> HYPERLINK "http://dx.doi.org/10.1111/jvim.15116" </w:instrText>
      </w:r>
      <w:r>
        <w:rPr>
          <w:rStyle w:val="Hyperlink"/>
        </w:rPr>
      </w:r>
      <w:r>
        <w:rPr>
          <w:rStyle w:val="Hyperlink"/>
        </w:rPr>
        <w:fldChar w:fldCharType="separate"/>
      </w:r>
      <w:pPr>
        <w:pStyle w:val="Normal"/>
      </w:pPr>
      <w:r>
        <w:rPr>
          <w:rStyle w:val="Hyperlink"/>
        </w:rPr>
        <w:t xml:space="preserve">http://dx.doi.org/10.1111/jvim.15116</w:t>
      </w:r>
      <w:r>
        <w:rPr>
          <w:rStyle w:val="Hyperlink"/>
        </w:rPr>
        <w:fldChar w:fldCharType="end"/>
      </w:r>
    </w:p>
    <w:p>
      <w:pPr>
        <w:pStyle w:val="Normal"/>
      </w:pPr>
      <w:r>
        <w:rPr>
          <w:color w:val="323232"/>
        </w:rPr>
        <w:t xml:space="preserve">————————</w:t>
      </w:r>
    </w:p>
    <w:p>
      <w:pPr>
        <w:pStyle w:val="Heading4"/>
      </w:pPr>
      <w:r>
        <w:t xml:space="preserve">Development and implementation of a novel immune thrombocytopenia bleeding score for dogs.</w:t>
      </w:r>
    </w:p>
    <w:p/>
    <w:p>
      <w:pPr>
        <w:pStyle w:val="Normal"/>
      </w:pPr>
      <w:r>
        <w:rPr>
          <w:color w:val="323232"/>
        </w:rPr>
        <w:t xml:space="preserve">Kelly M Makielski, Marjory B Brooks, Chong Wang, Jonah N Cullen, Annette M O'Connor, and Dana N LeVine.</w:t>
      </w:r>
    </w:p>
    <w:p/>
    <w:p>
      <w:pPr>
        <w:pStyle w:val="Normal"/>
      </w:pPr>
      <w:r>
        <w:rPr>
          <w:color w:val="323232"/>
        </w:rPr>
        <w:t xml:space="preserve">BACKGROUND:A method of quantifying clinical bleeding in dogs with immune thrombocytopenia (ITP) is needed because ITP patients have variable bleeding tendencies that inconsistently correlate with platelet count. A scoring system will facilitate patient comparisons and allow stratification based on bleeding severity in clinical trials.</w:t>
      </w:r>
    </w:p>
    <w:p/>
    <w:p>
      <w:pPr>
        <w:pStyle w:val="Normal"/>
      </w:pPr>
      <w:r>
        <w:rPr>
          <w:color w:val="323232"/>
        </w:rPr>
        <w:t xml:space="preserve">HYPOTHESIS/OBJECTIVES:To develop and evaluate a bleeding assessment tool for dogs, and a training course for improving its consistent implementation.</w:t>
      </w:r>
    </w:p>
    <w:p/>
    <w:p>
      <w:pPr>
        <w:pStyle w:val="Normal"/>
      </w:pPr>
      <w:r>
        <w:rPr>
          <w:color w:val="323232"/>
        </w:rPr>
        <w:t xml:space="preserve">ANIMALS:Client-owned dogs (n</w:t>
      </w:r>
      <w:r>
        <w:rPr>
          <w:color w:val="323232"/>
        </w:rPr>
        <w:t xml:space="preserve"> </w:t>
      </w:r>
      <w:r>
        <w:rPr>
          <w:color w:val="323232"/>
        </w:rPr>
        <w:t xml:space="preserve">=</w:t>
      </w:r>
      <w:r>
        <w:rPr>
          <w:color w:val="323232"/>
        </w:rPr>
        <w:t xml:space="preserve"> </w:t>
      </w:r>
      <w:r>
        <w:rPr>
          <w:color w:val="323232"/>
        </w:rPr>
        <w:t xml:space="preserve">61) with platelet counts &lt;50,000/μL; 34 classified as primary ITP, 17 as secondary ITP, and 10 as non-ITP.</w:t>
      </w:r>
    </w:p>
    <w:p/>
    <w:p>
      <w:pPr>
        <w:pStyle w:val="Normal"/>
      </w:pPr>
      <w:r>
        <w:rPr>
          <w:color w:val="323232"/>
        </w:rPr>
        <w:t xml:space="preserve">METHODS:A novel bleeding assessment tool, DOGiBAT, comprising bleeding grades from 0 (none) to 2 (severe) at 9 anatomic sites, was developed. Clinicians and technicians completed a training course and quiz before scoring thrombocytopenic patients. The training course was assessed by randomizing student volunteers to take the quiz with or without prior training. A logistic regression model assessed the association between training and quiz performance. The correlation of DOGiBAT score with platelet count and outcome measures was assessed in the thrombocytopenic dogs.</w:t>
      </w:r>
    </w:p>
    <w:p/>
    <w:p>
      <w:pPr>
        <w:pStyle w:val="Normal"/>
      </w:pPr>
      <w:r>
        <w:rPr>
          <w:color w:val="323232"/>
        </w:rPr>
        <w:t xml:space="preserve">RESULTS:Clinicians and technicians consistently applied the DOGiBAT, correctly scoring all quiz cases. The odds of trained students answering correctly were higher than those of untrained students (P</w:t>
      </w:r>
      <w:r>
        <w:rPr>
          <w:color w:val="323232"/>
        </w:rPr>
        <w:t xml:space="preserve"> </w:t>
      </w:r>
      <w:r>
        <w:rPr>
          <w:color w:val="323232"/>
        </w:rPr>
        <w:t xml:space="preserve">&lt;</w:t>
      </w:r>
      <w:r>
        <w:rPr>
          <w:color w:val="323232"/>
        </w:rPr>
        <w:t xml:space="preserve"> </w:t>
      </w:r>
      <w:r>
        <w:rPr>
          <w:color w:val="323232"/>
        </w:rPr>
        <w:t xml:space="preserve">.0001). In clinical cases, DOGiBAT score and platelet count were inversely correlated (rs </w:t>
      </w:r>
      <w:r>
        <w:rPr>
          <w:color w:val="323232"/>
        </w:rPr>
        <w:t xml:space="preserve"> </w:t>
      </w:r>
      <w:r>
        <w:rPr>
          <w:color w:val="323232"/>
        </w:rPr>
        <w:t xml:space="preserve">=</w:t>
      </w:r>
      <w:r>
        <w:rPr>
          <w:color w:val="323232"/>
        </w:rPr>
        <w:t xml:space="preserve"> </w:t>
      </w:r>
      <w:r>
        <w:rPr>
          <w:color w:val="323232"/>
        </w:rPr>
        <w:t xml:space="preserve">-0.527, P</w:t>
      </w:r>
      <w:r>
        <w:rPr>
          <w:color w:val="323232"/>
        </w:rPr>
        <w:t xml:space="preserve"> </w:t>
      </w:r>
      <w:r>
        <w:rPr>
          <w:color w:val="323232"/>
        </w:rPr>
        <w:t xml:space="preserve">&lt;</w:t>
      </w:r>
      <w:r>
        <w:rPr>
          <w:color w:val="323232"/>
        </w:rPr>
        <w:t xml:space="preserve"> </w:t>
      </w:r>
      <w:r>
        <w:rPr>
          <w:color w:val="323232"/>
        </w:rPr>
        <w:t xml:space="preserve">.0001), and DOGiBAT directly correlated with transfusion requirements (rs </w:t>
      </w:r>
      <w:r>
        <w:rPr>
          <w:color w:val="323232"/>
        </w:rPr>
        <w:t xml:space="preserve"> </w:t>
      </w:r>
      <w:r>
        <w:rPr>
          <w:color w:val="323232"/>
        </w:rPr>
        <w:t xml:space="preserve">=</w:t>
      </w:r>
      <w:r>
        <w:rPr>
          <w:color w:val="323232"/>
        </w:rPr>
        <w:t xml:space="preserve"> </w:t>
      </w:r>
      <w:r>
        <w:rPr>
          <w:color w:val="323232"/>
        </w:rPr>
        <w:t xml:space="preserve">0.512, P</w:t>
      </w:r>
      <w:r>
        <w:rPr>
          <w:color w:val="323232"/>
        </w:rPr>
        <w:t xml:space="preserve"> </w:t>
      </w:r>
      <w:r>
        <w:rPr>
          <w:color w:val="323232"/>
        </w:rPr>
        <w:t xml:space="preserve">&lt;</w:t>
      </w:r>
      <w:r>
        <w:rPr>
          <w:color w:val="323232"/>
        </w:rPr>
        <w:t xml:space="preserve"> </w:t>
      </w:r>
      <w:r>
        <w:rPr>
          <w:color w:val="323232"/>
        </w:rPr>
        <w:t xml:space="preserve">.0001) and hospitalization duration (rs </w:t>
      </w:r>
      <w:r>
        <w:rPr>
          <w:color w:val="323232"/>
        </w:rPr>
        <w:t xml:space="preserve"> </w:t>
      </w:r>
      <w:r>
        <w:rPr>
          <w:color w:val="323232"/>
        </w:rPr>
        <w:t xml:space="preserve">=</w:t>
      </w:r>
      <w:r>
        <w:rPr>
          <w:color w:val="323232"/>
        </w:rPr>
        <w:t xml:space="preserve"> </w:t>
      </w:r>
      <w:r>
        <w:rPr>
          <w:color w:val="323232"/>
        </w:rPr>
        <w:t xml:space="preserve">0.35, P</w:t>
      </w:r>
      <w:r>
        <w:rPr>
          <w:color w:val="323232"/>
        </w:rPr>
        <w:t xml:space="preserve"> </w:t>
      </w:r>
      <w:r>
        <w:rPr>
          <w:color w:val="323232"/>
        </w:rPr>
        <w:t xml:space="preserve">=</w:t>
      </w:r>
      <w:r>
        <w:rPr>
          <w:color w:val="323232"/>
        </w:rPr>
        <w:t xml:space="preserve"> </w:t>
      </w:r>
      <w:r>
        <w:rPr>
          <w:color w:val="323232"/>
        </w:rPr>
        <w:t xml:space="preserve">.006).</w:t>
      </w:r>
    </w:p>
    <w:p/>
    <w:p>
      <w:pPr>
        <w:pStyle w:val="Normal"/>
      </w:pPr>
      <w:r>
        <w:rPr>
          <w:color w:val="323232"/>
        </w:rPr>
        <w:t xml:space="preserve">CONCLUSIONS AND CLINICAL IMPORTANCE:The DOGiBAT and assessment quiz are simple tools to standardize evaluation of bleeding severity. With further validation, the DOGiBAT may provide a clinically relevant metric to characterize ITP severity and monitor response in treatment trials.</w:t>
      </w:r>
    </w:p>
    <w:p/>
    <w:p>
      <w:pPr>
        <w:pStyle w:val="Normal"/>
      </w:pPr>
      <w:r>
        <w:rPr>
          <w:color w:val="323232"/>
        </w:rPr>
        <w:t xml:space="preserve">J Vet Intern Med, 2018 vol. 32 (3) pp. 1041-1050.</w:t>
      </w:r>
    </w:p>
    <w:p>
      <w:r>
        <w:rPr>
          <w:rStyle w:val="Hyperlink"/>
        </w:rPr>
        <w:fldChar w:fldCharType="begin"/>
      </w:r>
      <w:r>
        <w:rPr>
          <w:rStyle w:val="Hyperlink"/>
        </w:rPr>
        <w:instrText xml:space="preserve"> HYPERLINK "http://dx.doi.org/10.1111/jvim.15089" </w:instrText>
      </w:r>
      <w:r>
        <w:rPr>
          <w:rStyle w:val="Hyperlink"/>
        </w:rPr>
      </w:r>
      <w:r>
        <w:rPr>
          <w:rStyle w:val="Hyperlink"/>
        </w:rPr>
        <w:fldChar w:fldCharType="separate"/>
      </w:r>
      <w:pPr>
        <w:pStyle w:val="Normal"/>
      </w:pPr>
      <w:r>
        <w:rPr>
          <w:rStyle w:val="Hyperlink"/>
        </w:rPr>
        <w:t xml:space="preserve">http://dx.doi.org/10.1111/jvim.15089</w:t>
      </w:r>
      <w:r>
        <w:rPr>
          <w:rStyle w:val="Hyperlink"/>
        </w:rPr>
        <w:fldChar w:fldCharType="end"/>
      </w:r>
    </w:p>
    <w:p>
      <w:pPr>
        <w:pStyle w:val="Normal"/>
      </w:pPr>
      <w:r>
        <w:rPr>
          <w:color w:val="323232"/>
        </w:rPr>
        <w:t xml:space="preserve">————————</w:t>
      </w:r>
    </w:p>
    <w:p>
      <w:pPr>
        <w:pStyle w:val="Heading4"/>
      </w:pPr>
      <w:r>
        <w:t xml:space="preserve">In vitro assessment of quality of citrate-phosphate-dextrose-adenine-1 preserved feline blood collected by a commercial closed system.</w:t>
      </w:r>
    </w:p>
    <w:p/>
    <w:p>
      <w:pPr>
        <w:pStyle w:val="Normal"/>
      </w:pPr>
      <w:r>
        <w:rPr>
          <w:color w:val="323232"/>
        </w:rPr>
        <w:t xml:space="preserve">Chiara Crestani, Annalisa Stefani, Antonio Carminato, Angelica Cro, Katia Capello, Michela Corrò, Elisa Bozzato, Franco Mutinelli, and Marta Vascellari.</w:t>
      </w:r>
    </w:p>
    <w:p/>
    <w:p>
      <w:pPr>
        <w:pStyle w:val="Normal"/>
      </w:pPr>
      <w:r>
        <w:rPr>
          <w:color w:val="323232"/>
        </w:rPr>
        <w:t xml:space="preserve">BACKGROUND:Optimal procedure for storage of feline blood is needed. Open-collection systems have been employed in feline medicine, thus limiting the possibility for storage.</w:t>
      </w:r>
    </w:p>
    <w:p/>
    <w:p>
      <w:pPr>
        <w:pStyle w:val="Normal"/>
      </w:pPr>
      <w:r>
        <w:rPr>
          <w:color w:val="323232"/>
        </w:rPr>
        <w:t xml:space="preserve">OBJECTIVES:To evaluate indicators of quality of feline blood stored for 35 days at +4°C in a closed-collection system specifically designed for cats.</w:t>
      </w:r>
    </w:p>
    <w:p/>
    <w:p>
      <w:pPr>
        <w:pStyle w:val="Normal"/>
      </w:pPr>
      <w:r>
        <w:rPr>
          <w:color w:val="323232"/>
        </w:rPr>
        <w:t xml:space="preserve">ANIMALS:Eight healthy adult European domestic shorthair cats with a weight of 5-6.8 kg.</w:t>
      </w:r>
    </w:p>
    <w:p/>
    <w:p>
      <w:pPr>
        <w:pStyle w:val="Normal"/>
      </w:pPr>
      <w:r>
        <w:rPr>
          <w:color w:val="323232"/>
        </w:rPr>
        <w:t xml:space="preserve">METHODS:This is a case series study. A bacteriological test, CBC, blood smear, pH, osmotic fragility, 2,3-diphosphoglycerate (2,3-DPG), and adenosine triphosphate (ATP) measurement were performed weekly on whole blood (WB) units from day 1 to day 35 after donation. The hemolysis index, lactate and potassium concentrations, prothrombin time (PT), activated partial thromboplastin time (aPTT), and fibrinogen were measured on plasma aliquots.</w:t>
      </w:r>
    </w:p>
    <w:p/>
    <w:p>
      <w:pPr>
        <w:pStyle w:val="Normal"/>
      </w:pPr>
      <w:r>
        <w:rPr>
          <w:color w:val="323232"/>
        </w:rPr>
        <w:t xml:space="preserve">RESULTS:One out of eight blood units (BUs) had bacterial growth (Serratia marcescens) at day 35. No significant differences were found regarding CBC, morphology, pH, and osmotic fragility. Despite high inter-individual variability and low starting levels, significant decreases in the mean concentrations of 2,3-DPG (T0 1.99 mmol/ g Hb, SD 0.52, T35 1.25 mmol/ g Hb, SD 1.43; P</w:t>
      </w:r>
      <w:r>
        <w:rPr>
          <w:color w:val="323232"/>
        </w:rPr>
        <w:t xml:space="preserve"> </w:t>
      </w:r>
      <w:r>
        <w:rPr>
          <w:color w:val="323232"/>
        </w:rPr>
        <w:t xml:space="preserve">=</w:t>
      </w:r>
      <w:r>
        <w:rPr>
          <w:color w:val="323232"/>
        </w:rPr>
        <w:t xml:space="preserve"> </w:t>
      </w:r>
      <w:r>
        <w:rPr>
          <w:color w:val="323232"/>
        </w:rPr>
        <w:t xml:space="preserve">.003) and ATP (T0 1.45 mmol/ g Hb, SD 0.71, T35 0.62 mmol/ g Hb, SD 0.51; P</w:t>
      </w:r>
      <w:r>
        <w:rPr>
          <w:color w:val="323232"/>
        </w:rPr>
        <w:t xml:space="preserve"> </w:t>
      </w:r>
      <w:r>
        <w:rPr>
          <w:color w:val="323232"/>
        </w:rPr>
        <w:t xml:space="preserve">&lt;</w:t>
      </w:r>
      <w:r>
        <w:rPr>
          <w:color w:val="323232"/>
        </w:rPr>
        <w:t xml:space="preserve"> </w:t>
      </w:r>
      <w:r>
        <w:rPr>
          <w:color w:val="323232"/>
        </w:rPr>
        <w:t xml:space="preserve">.001) were detected during the study, as opposed to an increase in hemolysis (T0 0.11 mmol/ L, SD 0.07, T35 0.84 mmol/ L, SD 0.19; P</w:t>
      </w:r>
      <w:r>
        <w:rPr>
          <w:color w:val="323232"/>
        </w:rPr>
        <w:t xml:space="preserve"> </w:t>
      </w:r>
      <w:r>
        <w:rPr>
          <w:color w:val="323232"/>
        </w:rPr>
        <w:t xml:space="preserve">&lt;</w:t>
      </w:r>
      <w:r>
        <w:rPr>
          <w:color w:val="323232"/>
        </w:rPr>
        <w:t xml:space="preserve"> </w:t>
      </w:r>
      <w:r>
        <w:rPr>
          <w:color w:val="323232"/>
        </w:rPr>
        <w:t xml:space="preserve">.001), lactate (T0 3.30 mmol/ L, SD 0.86, T35 13.36 mmol/ L, SD 2.90; P</w:t>
      </w:r>
      <w:r>
        <w:rPr>
          <w:color w:val="323232"/>
        </w:rPr>
        <w:t xml:space="preserve"> </w:t>
      </w:r>
      <w:r>
        <w:rPr>
          <w:color w:val="323232"/>
        </w:rPr>
        <w:t xml:space="preserve">&lt;</w:t>
      </w:r>
      <w:r>
        <w:rPr>
          <w:color w:val="323232"/>
        </w:rPr>
        <w:t xml:space="preserve"> </w:t>
      </w:r>
      <w:r>
        <w:rPr>
          <w:color w:val="323232"/>
        </w:rPr>
        <w:t xml:space="preserve">.001), and potassium (T0 3.10 mmol/ L, SD 0.21, T35 4.12 mmol/ L, SD 0.35; P</w:t>
      </w:r>
      <w:r>
        <w:rPr>
          <w:color w:val="323232"/>
        </w:rPr>
        <w:t xml:space="preserve"> </w:t>
      </w:r>
      <w:r>
        <w:rPr>
          <w:color w:val="323232"/>
        </w:rPr>
        <w:t xml:space="preserve">&lt;</w:t>
      </w:r>
      <w:r>
        <w:rPr>
          <w:color w:val="323232"/>
        </w:rPr>
        <w:t xml:space="preserve"> </w:t>
      </w:r>
      <w:r>
        <w:rPr>
          <w:color w:val="323232"/>
        </w:rPr>
        <w:t xml:space="preserve">.001) concentrations.</w:t>
      </w:r>
    </w:p>
    <w:p/>
    <w:p>
      <w:pPr>
        <w:pStyle w:val="Normal"/>
      </w:pPr>
      <w:r>
        <w:rPr>
          <w:color w:val="323232"/>
        </w:rPr>
        <w:t xml:space="preserve">CONCLUSIONS AND CLINICAL IMPORTANCE:The commercial BU kit is appropriate for blood collection and conservation of WB in cats. The maintenance of WB quality indicators during storage is essential for future improvements of feline transfusion medicine.</w:t>
      </w:r>
    </w:p>
    <w:p/>
    <w:p>
      <w:pPr>
        <w:pStyle w:val="Normal"/>
      </w:pPr>
      <w:r>
        <w:rPr>
          <w:color w:val="323232"/>
        </w:rPr>
        <w:t xml:space="preserve">J Vet Intern Med, 2018 vol. 32 (3), 2 pp. 1051-1059.</w:t>
      </w:r>
    </w:p>
    <w:p>
      <w:r>
        <w:rPr>
          <w:rStyle w:val="Hyperlink"/>
        </w:rPr>
        <w:fldChar w:fldCharType="begin"/>
      </w:r>
      <w:r>
        <w:rPr>
          <w:rStyle w:val="Hyperlink"/>
        </w:rPr>
        <w:instrText xml:space="preserve"> HYPERLINK "http://dx.doi.org/10.1111/jvim.15056" </w:instrText>
      </w:r>
      <w:r>
        <w:rPr>
          <w:rStyle w:val="Hyperlink"/>
        </w:rPr>
      </w:r>
      <w:r>
        <w:rPr>
          <w:rStyle w:val="Hyperlink"/>
        </w:rPr>
        <w:fldChar w:fldCharType="separate"/>
      </w:r>
      <w:pPr>
        <w:pStyle w:val="Normal"/>
      </w:pPr>
      <w:r>
        <w:rPr>
          <w:rStyle w:val="Hyperlink"/>
        </w:rPr>
        <w:t xml:space="preserve">http://dx.doi.org/10.1111/jvim.15056</w:t>
      </w:r>
      <w:r>
        <w:rPr>
          <w:rStyle w:val="Hyperlink"/>
        </w:rPr>
        <w:fldChar w:fldCharType="end"/>
      </w:r>
    </w:p>
    <w:p>
      <w:pPr>
        <w:pStyle w:val="Normal"/>
      </w:pPr>
      <w:r>
        <w:rPr>
          <w:color w:val="323232"/>
        </w:rPr>
        <w:t xml:space="preserve">————————</w:t>
      </w:r>
    </w:p>
    <w:p>
      <w:pPr>
        <w:pStyle w:val="Heading4"/>
      </w:pPr>
      <w:r>
        <w:t xml:space="preserve">Effect of cross-match on packed cell volume after transfusion of packed red blood cells in transfusion-naïve anemic cats.</w:t>
      </w:r>
    </w:p>
    <w:p/>
    <w:p>
      <w:pPr>
        <w:pStyle w:val="Normal"/>
      </w:pPr>
      <w:r>
        <w:rPr>
          <w:color w:val="323232"/>
        </w:rPr>
        <w:t xml:space="preserve">Brittany Sylvane, Jennifer Prittie, Ann E Hohenhaus, and Erik Tozier.</w:t>
      </w:r>
    </w:p>
    <w:p/>
    <w:p>
      <w:pPr>
        <w:pStyle w:val="Normal"/>
      </w:pPr>
      <w:r>
        <w:rPr>
          <w:color w:val="323232"/>
        </w:rPr>
        <w:t xml:space="preserve">BACKGROUND:Novel feline RBC antigens might contribute to decreased efficacy of RBC transfusion and increased incidence of acute transfusion reactions (ATR).</w:t>
      </w:r>
    </w:p>
    <w:p/>
    <w:p>
      <w:pPr>
        <w:pStyle w:val="Normal"/>
      </w:pPr>
      <w:r>
        <w:rPr>
          <w:color w:val="323232"/>
        </w:rPr>
        <w:t xml:space="preserve">OBJECTIVES:To examine the effect of major cross-match in transfusion-naïve anemic cats on the incidence of acute immunologic transfusion reaction and transfusion efficacy for up to 24 hours after transfusion.</w:t>
      </w:r>
    </w:p>
    <w:p/>
    <w:p>
      <w:pPr>
        <w:pStyle w:val="Normal"/>
      </w:pPr>
      <w:r>
        <w:rPr>
          <w:color w:val="323232"/>
        </w:rPr>
        <w:t xml:space="preserve">ANIMALS:Forty-eight client owned transfusion-naïve anemic cats.</w:t>
      </w:r>
    </w:p>
    <w:p/>
    <w:p>
      <w:pPr>
        <w:pStyle w:val="Normal"/>
      </w:pPr>
      <w:r>
        <w:rPr>
          <w:color w:val="323232"/>
        </w:rPr>
        <w:t xml:space="preserve">METHODS:Prospective, randomized, controlled study. All transfusion-naïve cats receiving packed red blood cells (pRBC) transfusions from January 2016 to August 2017 were eligible for inclusion. Cats in the study group received cross-match and blood type compatible pRBCs and cats in the control group received noncross-matched blood type compatible pRBCs. Incidence of ATR and change in PCV after transfusion was recorded.</w:t>
      </w:r>
    </w:p>
    <w:p/>
    <w:p>
      <w:pPr>
        <w:pStyle w:val="Normal"/>
      </w:pPr>
      <w:r>
        <w:rPr>
          <w:color w:val="323232"/>
        </w:rPr>
        <w:t xml:space="preserve">RESULTS:No significant difference in incidence of transfusion reactions between cross-matched and noncross-matched groups (CM+ 4/24; 17%, CM- 7/24; 29%, P</w:t>
      </w:r>
      <w:r>
        <w:rPr>
          <w:color w:val="323232"/>
        </w:rPr>
        <w:t xml:space="preserve"> </w:t>
      </w:r>
      <w:r>
        <w:rPr>
          <w:color w:val="323232"/>
        </w:rPr>
        <w:t xml:space="preserve">=</w:t>
      </w:r>
      <w:r>
        <w:rPr>
          <w:color w:val="323232"/>
        </w:rPr>
        <w:t xml:space="preserve"> </w:t>
      </w:r>
      <w:r>
        <w:rPr>
          <w:color w:val="323232"/>
        </w:rPr>
        <w:t xml:space="preserve">.16). No significant difference between groups in mean change in PCV after transfusion scaled to dose of pRBCs administered at any time point after transfusion (immediate: CM+ 0.62</w:t>
      </w:r>
      <w:r>
        <w:rPr>
          <w:color w:val="323232"/>
        </w:rPr>
        <w:t xml:space="preserve"> </w:t>
      </w:r>
      <w:r>
        <w:rPr>
          <w:color w:val="323232"/>
        </w:rPr>
        <w:t xml:space="preserve">±</w:t>
      </w:r>
      <w:r>
        <w:rPr>
          <w:color w:val="323232"/>
        </w:rPr>
        <w:t xml:space="preserve"> </w:t>
      </w:r>
      <w:r>
        <w:rPr>
          <w:color w:val="323232"/>
        </w:rPr>
        <w:t xml:space="preserve">0.59, CM- 0.75</w:t>
      </w:r>
      <w:r>
        <w:rPr>
          <w:color w:val="323232"/>
        </w:rPr>
        <w:t xml:space="preserve"> </w:t>
      </w:r>
      <w:r>
        <w:rPr>
          <w:color w:val="323232"/>
        </w:rPr>
        <w:t xml:space="preserve">±</w:t>
      </w:r>
      <w:r>
        <w:rPr>
          <w:color w:val="323232"/>
        </w:rPr>
        <w:t xml:space="preserve"> </w:t>
      </w:r>
      <w:r>
        <w:rPr>
          <w:color w:val="323232"/>
        </w:rPr>
        <w:t xml:space="preserve">0.48, P</w:t>
      </w:r>
      <w:r>
        <w:rPr>
          <w:color w:val="323232"/>
        </w:rPr>
        <w:t xml:space="preserve"> </w:t>
      </w:r>
      <w:r>
        <w:rPr>
          <w:color w:val="323232"/>
        </w:rPr>
        <w:t xml:space="preserve">=</w:t>
      </w:r>
      <w:r>
        <w:rPr>
          <w:color w:val="323232"/>
        </w:rPr>
        <w:t xml:space="preserve"> </w:t>
      </w:r>
      <w:r>
        <w:rPr>
          <w:color w:val="323232"/>
        </w:rPr>
        <w:t xml:space="preserve">.41; 1 hour: CM+ 0.60</w:t>
      </w:r>
      <w:r>
        <w:rPr>
          <w:color w:val="323232"/>
        </w:rPr>
        <w:t xml:space="preserve"> </w:t>
      </w:r>
      <w:r>
        <w:rPr>
          <w:color w:val="323232"/>
        </w:rPr>
        <w:t xml:space="preserve">±</w:t>
      </w:r>
      <w:r>
        <w:rPr>
          <w:color w:val="323232"/>
        </w:rPr>
        <w:t xml:space="preserve"> </w:t>
      </w:r>
      <w:r>
        <w:rPr>
          <w:color w:val="323232"/>
        </w:rPr>
        <w:t xml:space="preserve">0.66, CM- 0.74</w:t>
      </w:r>
      <w:r>
        <w:rPr>
          <w:color w:val="323232"/>
        </w:rPr>
        <w:t xml:space="preserve"> </w:t>
      </w:r>
      <w:r>
        <w:rPr>
          <w:color w:val="323232"/>
        </w:rPr>
        <w:t xml:space="preserve">±</w:t>
      </w:r>
      <w:r>
        <w:rPr>
          <w:color w:val="323232"/>
        </w:rPr>
        <w:t xml:space="preserve"> </w:t>
      </w:r>
      <w:r>
        <w:rPr>
          <w:color w:val="323232"/>
        </w:rPr>
        <w:t xml:space="preserve">0.53, P</w:t>
      </w:r>
      <w:r>
        <w:rPr>
          <w:color w:val="323232"/>
        </w:rPr>
        <w:t xml:space="preserve"> </w:t>
      </w:r>
      <w:r>
        <w:rPr>
          <w:color w:val="323232"/>
        </w:rPr>
        <w:t xml:space="preserve">=</w:t>
      </w:r>
      <w:r>
        <w:rPr>
          <w:color w:val="323232"/>
        </w:rPr>
        <w:t xml:space="preserve"> </w:t>
      </w:r>
      <w:r>
        <w:rPr>
          <w:color w:val="323232"/>
        </w:rPr>
        <w:t xml:space="preserve">.43; 12 hours: CM+ 0.70</w:t>
      </w:r>
      <w:r>
        <w:rPr>
          <w:color w:val="323232"/>
        </w:rPr>
        <w:t xml:space="preserve"> </w:t>
      </w:r>
      <w:r>
        <w:rPr>
          <w:color w:val="323232"/>
        </w:rPr>
        <w:t xml:space="preserve">±</w:t>
      </w:r>
      <w:r>
        <w:rPr>
          <w:color w:val="323232"/>
        </w:rPr>
        <w:t xml:space="preserve"> </w:t>
      </w:r>
      <w:r>
        <w:rPr>
          <w:color w:val="323232"/>
        </w:rPr>
        <w:t xml:space="preserve">0.55, CM- 0.66</w:t>
      </w:r>
      <w:r>
        <w:rPr>
          <w:color w:val="323232"/>
        </w:rPr>
        <w:t xml:space="preserve"> </w:t>
      </w:r>
      <w:r>
        <w:rPr>
          <w:color w:val="323232"/>
        </w:rPr>
        <w:t xml:space="preserve">±</w:t>
      </w:r>
      <w:r>
        <w:rPr>
          <w:color w:val="323232"/>
        </w:rPr>
        <w:t xml:space="preserve"> </w:t>
      </w:r>
      <w:r>
        <w:rPr>
          <w:color w:val="323232"/>
        </w:rPr>
        <w:t xml:space="preserve">0.60, P</w:t>
      </w:r>
      <w:r>
        <w:rPr>
          <w:color w:val="323232"/>
        </w:rPr>
        <w:t xml:space="preserve"> </w:t>
      </w:r>
      <w:r>
        <w:rPr>
          <w:color w:val="323232"/>
        </w:rPr>
        <w:t xml:space="preserve">=</w:t>
      </w:r>
      <w:r>
        <w:rPr>
          <w:color w:val="323232"/>
        </w:rPr>
        <w:t xml:space="preserve"> </w:t>
      </w:r>
      <w:r>
        <w:rPr>
          <w:color w:val="323232"/>
        </w:rPr>
        <w:t xml:space="preserve">.81; 24 hours: CM+ 0.64</w:t>
      </w:r>
      <w:r>
        <w:rPr>
          <w:color w:val="323232"/>
        </w:rPr>
        <w:t xml:space="preserve"> </w:t>
      </w:r>
      <w:r>
        <w:rPr>
          <w:color w:val="323232"/>
        </w:rPr>
        <w:t xml:space="preserve">±</w:t>
      </w:r>
      <w:r>
        <w:rPr>
          <w:color w:val="323232"/>
        </w:rPr>
        <w:t xml:space="preserve"> </w:t>
      </w:r>
      <w:r>
        <w:rPr>
          <w:color w:val="323232"/>
        </w:rPr>
        <w:t xml:space="preserve">0.71, CM- 0.55</w:t>
      </w:r>
      <w:r>
        <w:rPr>
          <w:color w:val="323232"/>
        </w:rPr>
        <w:t xml:space="preserve"> </w:t>
      </w:r>
      <w:r>
        <w:rPr>
          <w:color w:val="323232"/>
        </w:rPr>
        <w:t xml:space="preserve">±</w:t>
      </w:r>
      <w:r>
        <w:rPr>
          <w:color w:val="323232"/>
        </w:rPr>
        <w:t xml:space="preserve"> </w:t>
      </w:r>
      <w:r>
        <w:rPr>
          <w:color w:val="323232"/>
        </w:rPr>
        <w:t xml:space="preserve">0.48, P</w:t>
      </w:r>
      <w:r>
        <w:rPr>
          <w:color w:val="323232"/>
        </w:rPr>
        <w:t xml:space="preserve"> </w:t>
      </w:r>
      <w:r>
        <w:rPr>
          <w:color w:val="323232"/>
        </w:rPr>
        <w:t xml:space="preserve">=</w:t>
      </w:r>
      <w:r>
        <w:rPr>
          <w:color w:val="323232"/>
        </w:rPr>
        <w:t xml:space="preserve"> </w:t>
      </w:r>
      <w:r>
        <w:rPr>
          <w:color w:val="323232"/>
        </w:rPr>
        <w:t xml:space="preserve">.70).</w:t>
      </w:r>
    </w:p>
    <w:p/>
    <w:p>
      <w:pPr>
        <w:pStyle w:val="Normal"/>
      </w:pPr>
      <w:r>
        <w:rPr>
          <w:color w:val="323232"/>
        </w:rPr>
        <w:t xml:space="preserve">CONCLUSIONS AND CLINICAL IMPORTANCE:Our results do not support use of the major cross-match test to increase efficacy of, and to decrease adverse events associated with, RBC transfusion in AB blood typed transfusion-naïve cats.</w:t>
      </w:r>
    </w:p>
    <w:p/>
    <w:p>
      <w:pPr>
        <w:pStyle w:val="Normal"/>
      </w:pPr>
      <w:r>
        <w:rPr>
          <w:color w:val="323232"/>
        </w:rPr>
        <w:t xml:space="preserve">J Vet Intern Med, 2018 vol. 32 (3), 7 pp. 1077-1083.</w:t>
      </w:r>
    </w:p>
    <w:p>
      <w:r>
        <w:rPr>
          <w:rStyle w:val="Hyperlink"/>
        </w:rPr>
        <w:fldChar w:fldCharType="begin"/>
      </w:r>
      <w:r>
        <w:rPr>
          <w:rStyle w:val="Hyperlink"/>
        </w:rPr>
        <w:instrText xml:space="preserve"> HYPERLINK "http://dx.doi.org/10.1111/jvim.15120" </w:instrText>
      </w:r>
      <w:r>
        <w:rPr>
          <w:rStyle w:val="Hyperlink"/>
        </w:rPr>
      </w:r>
      <w:r>
        <w:rPr>
          <w:rStyle w:val="Hyperlink"/>
        </w:rPr>
        <w:fldChar w:fldCharType="separate"/>
      </w:r>
      <w:pPr>
        <w:pStyle w:val="Normal"/>
      </w:pPr>
      <w:r>
        <w:rPr>
          <w:rStyle w:val="Hyperlink"/>
        </w:rPr>
        <w:t xml:space="preserve">http://dx.doi.org/10.1111/jvim.15120</w:t>
      </w:r>
      <w:r>
        <w:rPr>
          <w:rStyle w:val="Hyperlink"/>
        </w:rPr>
        <w:fldChar w:fldCharType="end"/>
      </w:r>
    </w:p>
    <w:p>
      <w:pPr>
        <w:pStyle w:val="Normal"/>
      </w:pPr>
      <w:r>
        <w:rPr>
          <w:color w:val="323232"/>
        </w:rPr>
        <w:t xml:space="preserve">————————</w:t>
      </w:r>
    </w:p>
    <w:p>
      <w:pPr>
        <w:pStyle w:val="Heading4"/>
      </w:pPr>
      <w:r>
        <w:t xml:space="preserve">Incidence of and associated factors for bacterial colonization of intravenous catheters removed from dogs in response to clinical complications.</w:t>
      </w:r>
    </w:p>
    <w:p/>
    <w:p>
      <w:pPr>
        <w:pStyle w:val="Normal"/>
      </w:pPr>
      <w:r>
        <w:rPr>
          <w:color w:val="323232"/>
        </w:rPr>
        <w:t xml:space="preserve">Pedro Jose Guzmán Ramos, Cristina Fernández Pérez, Tania Ayllón Santiago, M Rosario Baquero Artigao, and Gustavo Ortiz-Díez.</w:t>
      </w:r>
    </w:p>
    <w:p/>
    <w:p>
      <w:pPr>
        <w:pStyle w:val="Normal"/>
      </w:pPr>
      <w:r>
        <w:rPr>
          <w:color w:val="323232"/>
        </w:rPr>
        <w:t xml:space="preserve">BACKGROUND:Infection rate associated with intravenous (IV) catheter placement is emerging as an important issue in small animal veterinary medicine, mostly because of the economic costs associated with these infections. Identification of possible associated factors may provide useful information for the surveillance and prevention of such infections.</w:t>
      </w:r>
    </w:p>
    <w:p/>
    <w:p>
      <w:pPr>
        <w:pStyle w:val="Normal"/>
      </w:pPr>
      <w:r>
        <w:rPr>
          <w:color w:val="323232"/>
        </w:rPr>
        <w:t xml:space="preserve">OBJECTIVES:To determine the incidence of positive bacterial cultures obtained from IV catheters used in dogs hospitalized for at least 48 hours and removed because of clinical complication. To identify the bacteria involved and factors associated with bacterial colonization.</w:t>
      </w:r>
    </w:p>
    <w:p/>
    <w:p>
      <w:pPr>
        <w:pStyle w:val="Normal"/>
      </w:pPr>
      <w:r>
        <w:rPr>
          <w:color w:val="323232"/>
        </w:rPr>
        <w:t xml:space="preserve">ANIMALS:One-hundred eighty-two dogs that underwent IV catheterization from January 2015 to July 2015 at the Veterinary Teaching Hospital of Alfonso X el Sabio University of Madrid were enrolled in the study.</w:t>
      </w:r>
    </w:p>
    <w:p/>
    <w:p>
      <w:pPr>
        <w:pStyle w:val="Normal"/>
      </w:pPr>
      <w:r>
        <w:rPr>
          <w:color w:val="323232"/>
        </w:rPr>
        <w:t xml:space="preserve">RESULTS:The bacterial colonization rate of all IV catheters removed in response to clinical complications was 39.6%, the cumulative proportion of catheters that remained in place at 24, 48, and 72 hours after placement was 89.5, 78, and 59.4%, respectively. Multivariable Cox proportional hazards regression indicated significant associations for staff who performed catheterization (junior, P</w:t>
      </w:r>
      <w:r>
        <w:rPr>
          <w:color w:val="323232"/>
        </w:rPr>
        <w:t xml:space="preserve"> </w:t>
      </w:r>
      <w:r>
        <w:rPr>
          <w:color w:val="323232"/>
        </w:rPr>
        <w:t xml:space="preserve">=</w:t>
      </w:r>
      <w:r>
        <w:rPr>
          <w:color w:val="323232"/>
        </w:rPr>
        <w:t xml:space="preserve"> </w:t>
      </w:r>
      <w:r>
        <w:rPr>
          <w:color w:val="323232"/>
        </w:rPr>
        <w:t xml:space="preserve">.002; student, P</w:t>
      </w:r>
      <w:r>
        <w:rPr>
          <w:color w:val="323232"/>
        </w:rPr>
        <w:t xml:space="preserve"> </w:t>
      </w:r>
      <w:r>
        <w:rPr>
          <w:color w:val="323232"/>
        </w:rPr>
        <w:t xml:space="preserve">=</w:t>
      </w:r>
      <w:r>
        <w:rPr>
          <w:color w:val="323232"/>
        </w:rPr>
        <w:t xml:space="preserve"> </w:t>
      </w:r>
      <w:r>
        <w:rPr>
          <w:color w:val="323232"/>
        </w:rPr>
        <w:t xml:space="preserve">.034) and use of steroidal anti-inflammatory drugs (P</w:t>
      </w:r>
      <w:r>
        <w:rPr>
          <w:color w:val="323232"/>
        </w:rPr>
        <w:t xml:space="preserve"> </w:t>
      </w:r>
      <w:r>
        <w:rPr>
          <w:color w:val="323232"/>
        </w:rPr>
        <w:t xml:space="preserve">=</w:t>
      </w:r>
      <w:r>
        <w:rPr>
          <w:color w:val="323232"/>
        </w:rPr>
        <w:t xml:space="preserve"> </w:t>
      </w:r>
      <w:r>
        <w:rPr>
          <w:color w:val="323232"/>
        </w:rPr>
        <w:t xml:space="preserve">.036). The most frequently isolated bacterium was Acinetobacter spp. (21.7%).</w:t>
      </w:r>
    </w:p>
    <w:p/>
    <w:p>
      <w:pPr>
        <w:pStyle w:val="Normal"/>
      </w:pPr>
      <w:r>
        <w:rPr>
          <w:color w:val="323232"/>
        </w:rPr>
        <w:t xml:space="preserve">CONCLUSIONS AND CLINICAL IMPORTANCE:The bacterial colonization incidence related to IV catheter placement was slightly higher than the incidence described in other veterinary studies. Associated factors not previously described in veterinary medicine were found. The most frequently isolated organism was Acinetobacter spp., indicating its importance as an emerging pathogen in catheter colonization.</w:t>
      </w:r>
    </w:p>
    <w:p/>
    <w:p>
      <w:pPr>
        <w:pStyle w:val="Normal"/>
      </w:pPr>
      <w:r>
        <w:rPr>
          <w:color w:val="323232"/>
        </w:rPr>
        <w:t xml:space="preserve">J Vet Intern Med, 2018 vol. 32 (3), 2 pp. 1084-1091.</w:t>
      </w:r>
    </w:p>
    <w:p>
      <w:r>
        <w:rPr>
          <w:rStyle w:val="Hyperlink"/>
        </w:rPr>
        <w:fldChar w:fldCharType="begin"/>
      </w:r>
      <w:r>
        <w:rPr>
          <w:rStyle w:val="Hyperlink"/>
        </w:rPr>
        <w:instrText xml:space="preserve"> HYPERLINK "http://dx.doi.org/10.1111/jvim.15118" </w:instrText>
      </w:r>
      <w:r>
        <w:rPr>
          <w:rStyle w:val="Hyperlink"/>
        </w:rPr>
      </w:r>
      <w:r>
        <w:rPr>
          <w:rStyle w:val="Hyperlink"/>
        </w:rPr>
        <w:fldChar w:fldCharType="separate"/>
      </w:r>
      <w:pPr>
        <w:pStyle w:val="Normal"/>
      </w:pPr>
      <w:r>
        <w:rPr>
          <w:rStyle w:val="Hyperlink"/>
        </w:rPr>
        <w:t xml:space="preserve">http://dx.doi.org/10.1111/jvim.15118</w:t>
      </w:r>
      <w:r>
        <w:rPr>
          <w:rStyle w:val="Hyperlink"/>
        </w:rPr>
        <w:fldChar w:fldCharType="end"/>
      </w:r>
    </w:p>
    <w:p>
      <w:pPr>
        <w:pStyle w:val="Normal"/>
      </w:pPr>
      <w:r>
        <w:rPr>
          <w:color w:val="323232"/>
        </w:rPr>
        <w:t xml:space="preserve">————————</w:t>
      </w:r>
    </w:p>
    <w:p>
      <w:pPr>
        <w:pStyle w:val="Heading4"/>
      </w:pPr>
      <w:r>
        <w:t xml:space="preserve">Barriers to and enablers of implementing antimicrobial stewardship programs in veterinary practices.</w:t>
      </w:r>
    </w:p>
    <w:p/>
    <w:p>
      <w:pPr>
        <w:pStyle w:val="Normal"/>
      </w:pPr>
      <w:r>
        <w:rPr>
          <w:color w:val="323232"/>
        </w:rPr>
        <w:t xml:space="preserve">Laura Y Hardefeldt, J R Gilkerson, H Billman-Jacobe, M A Stevenson, K Thursky, K E Bailey, and G F Browning.</w:t>
      </w:r>
    </w:p>
    <w:p/>
    <w:p>
      <w:pPr>
        <w:pStyle w:val="Normal"/>
      </w:pPr>
      <w:r>
        <w:rPr>
          <w:color w:val="323232"/>
        </w:rPr>
        <w:t xml:space="preserve">BACKGROUND:Antimicrobial stewardship (AMS) programs are yet to be widely implemented in veterinary practice and medical programs are unlikely to be directly applicable to veterinary settings.</w:t>
      </w:r>
    </w:p>
    <w:p/>
    <w:p>
      <w:pPr>
        <w:pStyle w:val="Normal"/>
      </w:pPr>
      <w:r>
        <w:rPr>
          <w:color w:val="323232"/>
        </w:rPr>
        <w:t xml:space="preserve">OBJECTIVE:To gain an in-depth understanding of the factors that influence effective AMS in veterinary practices in Australia.</w:t>
      </w:r>
    </w:p>
    <w:p/>
    <w:p>
      <w:pPr>
        <w:pStyle w:val="Normal"/>
      </w:pPr>
      <w:r>
        <w:rPr>
          <w:color w:val="323232"/>
        </w:rPr>
        <w:t xml:space="preserve">METHODS:A concurrent explanatory mixed methods design was used. The quantitative phase of the study consisted of an online questionnaire to assess veterinarians' attitudes to antimicrobial resistance (AMR) and antimicrobial use in animals, and the extent to which AMS currently is implemented (knowingly or unknowingly). The qualitative phase used semi-structured interviews to gain an understanding of the barriers to and enablers of AMS in veterinary practices. Data were collected and entered into NVivo v.11, openly coded and analyzed according to mixed methods data analysis principles.</w:t>
      </w:r>
    </w:p>
    <w:p/>
    <w:p>
      <w:pPr>
        <w:pStyle w:val="Normal"/>
      </w:pPr>
      <w:r>
        <w:rPr>
          <w:color w:val="323232"/>
        </w:rPr>
        <w:t xml:space="preserve">RESULTS:Companion animal, equine, and bovine veterinarians participated in the study. Veterinary practices rarely had antimicrobial prescribing policies. The key barriers were a lack of AMS governance structures, client expectations and competition between practices, cost of microbiological testing, and lack of access to education, training and AMS resources. The enablers were concern for the role of veterinary antimicrobial use in development of AMR in humans, a sense of pride in the service provided, and preparedness to change prescribing practices.</w:t>
      </w:r>
    </w:p>
    <w:p/>
    <w:p>
      <w:pPr>
        <w:pStyle w:val="Normal"/>
      </w:pPr>
      <w:r>
        <w:rPr>
          <w:color w:val="323232"/>
        </w:rPr>
        <w:t xml:space="preserve">CONCLUSION AND CLINICAL IMPORTANCE:Our study can guide development and establishment of AMS programs in veterinary practices by defining the major issues that influence the prescribing behavior of veterinarians.</w:t>
      </w:r>
    </w:p>
    <w:p/>
    <w:p>
      <w:pPr>
        <w:pStyle w:val="Normal"/>
      </w:pPr>
      <w:r>
        <w:rPr>
          <w:color w:val="323232"/>
        </w:rPr>
        <w:t xml:space="preserve">J Vet Intern Med, 2018 vol. 32 (3), 3 pp. 1092-1099.</w:t>
      </w:r>
    </w:p>
    <w:p>
      <w:r>
        <w:rPr>
          <w:rStyle w:val="Hyperlink"/>
        </w:rPr>
        <w:fldChar w:fldCharType="begin"/>
      </w:r>
      <w:r>
        <w:rPr>
          <w:rStyle w:val="Hyperlink"/>
        </w:rPr>
        <w:instrText xml:space="preserve"> HYPERLINK "http://dx.doi.org/10.1111/jvim.15083" </w:instrText>
      </w:r>
      <w:r>
        <w:rPr>
          <w:rStyle w:val="Hyperlink"/>
        </w:rPr>
      </w:r>
      <w:r>
        <w:rPr>
          <w:rStyle w:val="Hyperlink"/>
        </w:rPr>
        <w:fldChar w:fldCharType="separate"/>
      </w:r>
      <w:pPr>
        <w:pStyle w:val="Normal"/>
      </w:pPr>
      <w:r>
        <w:rPr>
          <w:rStyle w:val="Hyperlink"/>
        </w:rPr>
        <w:t xml:space="preserve">http://dx.doi.org/10.1111/jvim.15083</w:t>
      </w:r>
      <w:r>
        <w:rPr>
          <w:rStyle w:val="Hyperlink"/>
        </w:rPr>
        <w:fldChar w:fldCharType="end"/>
      </w:r>
    </w:p>
    <w:p>
      <w:pPr>
        <w:pStyle w:val="Normal"/>
      </w:pPr>
      <w:r>
        <w:rPr>
          <w:color w:val="323232"/>
        </w:rPr>
        <w:t xml:space="preserve">————————</w:t>
      </w:r>
    </w:p>
    <w:p>
      <w:pPr>
        <w:pStyle w:val="Heading4"/>
      </w:pPr>
      <w:r>
        <w:t xml:space="preserve">Detection and seroprevalence of morbillivirus and other paramyxoviruses in geriatric cats with and without evidence of azotemic chronic kidney disease.</w:t>
      </w:r>
    </w:p>
    <w:p/>
    <w:p>
      <w:pPr>
        <w:pStyle w:val="Normal"/>
      </w:pPr>
      <w:r>
        <w:rPr>
          <w:color w:val="323232"/>
        </w:rPr>
        <w:t xml:space="preserve">Katie Elizabeth McCallum, Sam Stubbs, Nicholas Hope, Ian Mickleburgh, Dave Dight, Laurence Tiley, and Tim L Williams.</w:t>
      </w:r>
    </w:p>
    <w:p/>
    <w:p>
      <w:pPr>
        <w:pStyle w:val="Normal"/>
      </w:pPr>
      <w:r>
        <w:rPr>
          <w:color w:val="323232"/>
        </w:rPr>
        <w:t xml:space="preserve">BACKGROUND:Feline morbillivirus (FeMV) is associated with the presence of tubulo-interstitial nephritis (TIN) in cats, however the seroprevalence of FeMV in the UK and the association between the presence of FeMV and renal azotemia is unknown HYPOTHESIS/OBJECTIVES: To identify whether paramyxoviruses are present in urine samples of geriatric cats and to develop an assay to assess FeMV seroprevalence. To investigate the relationship between both urinary paramyxovirus (including FeMV) excretion and FeMV seroprevalence and azotemic chronic kidney disease (CKD).</w:t>
      </w:r>
    </w:p>
    <w:p/>
    <w:p>
      <w:pPr>
        <w:pStyle w:val="Normal"/>
      </w:pPr>
      <w:r>
        <w:rPr>
          <w:color w:val="323232"/>
        </w:rPr>
        <w:t xml:space="preserve">ANIMALS:Seventy-nine cats (40 for FeMV detection; 72 for seroprevalence).</w:t>
      </w:r>
    </w:p>
    <w:p/>
    <w:p>
      <w:pPr>
        <w:pStyle w:val="Normal"/>
      </w:pPr>
      <w:r>
        <w:rPr>
          <w:color w:val="323232"/>
        </w:rPr>
        <w:t xml:space="preserve">METHODS:Retrospective cross-sectional, case control study. Viral RNA was extracted from urine for RT-PCR. PCR products were sequenced for virus identification and comparison. The FeMV N protein gene was cloned and partially purified for use as an antigen to screen cat sera for anti-FeMV antibodies by Western Blot.</w:t>
      </w:r>
    </w:p>
    <w:p/>
    <w:p>
      <w:pPr>
        <w:pStyle w:val="Normal"/>
      </w:pPr>
      <w:r>
        <w:rPr>
          <w:color w:val="323232"/>
        </w:rPr>
        <w:t xml:space="preserve">RESULTS:Feline morbillivirus RNA from five distinct morbilliviruses were identified. Detection was not significantly different between azotemic CKD (1/16) and nonazotemic groups (4/24; P</w:t>
      </w:r>
      <w:r>
        <w:rPr>
          <w:color w:val="323232"/>
        </w:rPr>
        <w:t xml:space="preserve"> </w:t>
      </w:r>
      <w:r>
        <w:rPr>
          <w:color w:val="323232"/>
        </w:rPr>
        <w:t xml:space="preserve">=</w:t>
      </w:r>
      <w:r>
        <w:rPr>
          <w:color w:val="323232"/>
        </w:rPr>
        <w:t xml:space="preserve"> </w:t>
      </w:r>
      <w:r>
        <w:rPr>
          <w:color w:val="323232"/>
        </w:rPr>
        <w:t xml:space="preserve">.36). Three distinct, non-FeMV paramyxoviruses were present in the nonazotemic group but their absence from the azotemic group was not statistically significant (P</w:t>
      </w:r>
      <w:r>
        <w:rPr>
          <w:color w:val="323232"/>
        </w:rPr>
        <w:t xml:space="preserve"> </w:t>
      </w:r>
      <w:r>
        <w:rPr>
          <w:color w:val="323232"/>
        </w:rPr>
        <w:t xml:space="preserve">=</w:t>
      </w:r>
      <w:r>
        <w:rPr>
          <w:color w:val="323232"/>
        </w:rPr>
        <w:t xml:space="preserve"> </w:t>
      </w:r>
      <w:r>
        <w:rPr>
          <w:color w:val="323232"/>
        </w:rPr>
        <w:t xml:space="preserve">.15). 6/14 (43%) azotemic cats and 40/55 (73%) nonazotemic cats were seropositive (P</w:t>
      </w:r>
      <w:r>
        <w:rPr>
          <w:color w:val="323232"/>
        </w:rPr>
        <w:t xml:space="preserve"> </w:t>
      </w:r>
      <w:r>
        <w:rPr>
          <w:color w:val="323232"/>
        </w:rPr>
        <w:t xml:space="preserve">=</w:t>
      </w:r>
      <w:r>
        <w:rPr>
          <w:color w:val="323232"/>
        </w:rPr>
        <w:t xml:space="preserve"> </w:t>
      </w:r>
      <w:r>
        <w:rPr>
          <w:color w:val="323232"/>
        </w:rPr>
        <w:t xml:space="preserve">.06).</w:t>
      </w:r>
    </w:p>
    <w:p/>
    <w:p>
      <w:pPr>
        <w:pStyle w:val="Normal"/>
      </w:pPr>
      <w:r>
        <w:rPr>
          <w:color w:val="323232"/>
        </w:rPr>
        <w:t xml:space="preserve">CONCLUSIONS AND CLINICAL IMPORTANCE:Feline morbillivirus was detected in cats in the UK for the First time. However, there was no association between virus prevalence or seropositivity and azotemic CKD. These data do not support the hypothesis that FeMV infection is associated with the development of azotemic CKD in cats in the UK.</w:t>
      </w:r>
    </w:p>
    <w:p/>
    <w:p>
      <w:pPr>
        <w:pStyle w:val="Normal"/>
      </w:pPr>
      <w:r>
        <w:rPr>
          <w:color w:val="323232"/>
        </w:rPr>
        <w:t xml:space="preserve">J Vet Intern Med, 2018 vol. 32 (3), 2 pp. 1100-1108.</w:t>
      </w:r>
    </w:p>
    <w:p>
      <w:r>
        <w:rPr>
          <w:rStyle w:val="Hyperlink"/>
        </w:rPr>
        <w:fldChar w:fldCharType="begin"/>
      </w:r>
      <w:r>
        <w:rPr>
          <w:rStyle w:val="Hyperlink"/>
        </w:rPr>
        <w:instrText xml:space="preserve"> HYPERLINK "http://dx.doi.org/10.1111/jvim.15097" </w:instrText>
      </w:r>
      <w:r>
        <w:rPr>
          <w:rStyle w:val="Hyperlink"/>
        </w:rPr>
      </w:r>
      <w:r>
        <w:rPr>
          <w:rStyle w:val="Hyperlink"/>
        </w:rPr>
        <w:fldChar w:fldCharType="separate"/>
      </w:r>
      <w:pPr>
        <w:pStyle w:val="Normal"/>
      </w:pPr>
      <w:r>
        <w:rPr>
          <w:rStyle w:val="Hyperlink"/>
        </w:rPr>
        <w:t xml:space="preserve">http://dx.doi.org/10.1111/jvim.15097</w:t>
      </w:r>
      <w:r>
        <w:rPr>
          <w:rStyle w:val="Hyperlink"/>
        </w:rPr>
        <w:fldChar w:fldCharType="end"/>
      </w:r>
    </w:p>
    <w:p>
      <w:pPr>
        <w:pStyle w:val="Normal"/>
      </w:pPr>
      <w:r>
        <w:rPr>
          <w:color w:val="323232"/>
        </w:rPr>
        <w:t xml:space="preserve">————————</w:t>
      </w:r>
    </w:p>
    <w:p>
      <w:pPr>
        <w:pStyle w:val="Heading4"/>
      </w:pPr>
      <w:r>
        <w:t xml:space="preserve">Effects of fenoldopam on kidney function parameters and its therapeutic efficacy in the management of acute kidney injury in dogs with heatstroke.</w:t>
      </w:r>
    </w:p>
    <w:p/>
    <w:p>
      <w:pPr>
        <w:pStyle w:val="Normal"/>
      </w:pPr>
      <w:r>
        <w:rPr>
          <w:color w:val="323232"/>
        </w:rPr>
        <w:t xml:space="preserve">Gilad Segev, Yaron Bruchim, Noga Berl, Adar Cohen, and Itamar Aroch.</w:t>
      </w:r>
    </w:p>
    <w:p/>
    <w:p>
      <w:pPr>
        <w:pStyle w:val="Normal"/>
      </w:pPr>
      <w:r>
        <w:rPr>
          <w:color w:val="323232"/>
        </w:rPr>
        <w:t xml:space="preserve">BACKGROUND:Acute kidney injury (AKI) is common in dogs, but evidence of efficacy of its treatment is lacking.</w:t>
      </w:r>
    </w:p>
    <w:p/>
    <w:p>
      <w:pPr>
        <w:pStyle w:val="Normal"/>
      </w:pPr>
      <w:r>
        <w:rPr>
          <w:color w:val="323232"/>
        </w:rPr>
        <w:t xml:space="preserve">OBJECTIVE:To evaluate the efficacy of fenoldopam in the management of AKI.</w:t>
      </w:r>
    </w:p>
    <w:p/>
    <w:p>
      <w:pPr>
        <w:pStyle w:val="Normal"/>
      </w:pPr>
      <w:r>
        <w:rPr>
          <w:color w:val="323232"/>
        </w:rPr>
        <w:t xml:space="preserve">ANIMALS:Forty dogs with naturally occurring heatstroke.</w:t>
      </w:r>
    </w:p>
    <w:p/>
    <w:p>
      <w:pPr>
        <w:pStyle w:val="Normal"/>
      </w:pPr>
      <w:r>
        <w:rPr>
          <w:color w:val="323232"/>
        </w:rPr>
        <w:t xml:space="preserve">METHODS:Dogs were prospectively enrolled and divided into treatment and the placebo groups (fenoldopam, constant rate infusion [CRI] of 0.1 µg</w:t>
      </w:r>
      <w:r>
        <w:rPr>
          <w:i w:val="1"/>
          <w:color w:val="323232"/>
        </w:rPr>
        <w:t xml:space="preserve">kg</w:t>
      </w:r>
      <w:r>
        <w:rPr>
          <w:color w:val="323232"/>
        </w:rPr>
        <w:t xml:space="preserve">min or saline, respectively). Urine production (UP) was measured using a closed system. Urinary clearances were performed at 4, 12, and 24 hours after presentation to estimate the effect of fenoldopam on UP, glomerular filtration rate (GFR) and sodium fractional excretion (NaFE).</w:t>
      </w:r>
    </w:p>
    <w:p/>
    <w:p>
      <w:pPr>
        <w:pStyle w:val="Normal"/>
      </w:pPr>
      <w:r>
        <w:rPr>
          <w:color w:val="323232"/>
        </w:rPr>
        <w:t xml:space="preserve">RESULTS:At presentation, severity of heatstroke, based on a previously developed scoring system, was similar between the study groups, but was significantly worse in nonsurvivors compared with survivors. Fenoldopam administration was not associated with hypotension. Overt AKI was diagnosed, based on the International Renal Interest Society guidelines in 22/40 (55%) of the dogs. Overall, 14/40 dogs (35%) died, with no significant (P</w:t>
      </w:r>
      <w:r>
        <w:rPr>
          <w:color w:val="323232"/>
        </w:rPr>
        <w:t xml:space="preserve"> </w:t>
      </w:r>
      <w:r>
        <w:rPr>
          <w:color w:val="323232"/>
        </w:rPr>
        <w:t xml:space="preserve">=</w:t>
      </w:r>
      <w:r>
        <w:rPr>
          <w:color w:val="323232"/>
        </w:rPr>
        <w:t xml:space="preserve"> </w:t>
      </w:r>
      <w:r>
        <w:rPr>
          <w:color w:val="323232"/>
        </w:rPr>
        <w:t xml:space="preserve">.507) mortality rate difference between the fenoldopam (6/20 dogs; 30%) and placebo (8/20; 40%) groups. The proportion of dogs with AKI did not differ between the fenoldopam and the placebo groups (9/20; 45% versus 13/20; 65%, respectively; P</w:t>
      </w:r>
      <w:r>
        <w:rPr>
          <w:color w:val="323232"/>
        </w:rPr>
        <w:t xml:space="preserve"> </w:t>
      </w:r>
      <w:r>
        <w:rPr>
          <w:color w:val="323232"/>
        </w:rPr>
        <w:t xml:space="preserve">=</w:t>
      </w:r>
      <w:r>
        <w:rPr>
          <w:color w:val="323232"/>
        </w:rPr>
        <w:t xml:space="preserve"> </w:t>
      </w:r>
      <w:r>
        <w:rPr>
          <w:color w:val="323232"/>
        </w:rPr>
        <w:t xml:space="preserve">.204). There were no differences in UP, GFR, and NaFE between the fenoldopam and the placebo groups.</w:t>
      </w:r>
    </w:p>
    <w:p/>
    <w:p>
      <w:pPr>
        <w:pStyle w:val="Normal"/>
      </w:pPr>
      <w:r>
        <w:rPr>
          <w:color w:val="323232"/>
        </w:rPr>
        <w:t xml:space="preserve">CONCLUSION AND CLINICAL IMPORTANCE:Fenoldopam CRI at 0.1 µg</w:t>
      </w:r>
      <w:r>
        <w:rPr>
          <w:i w:val="1"/>
          <w:color w:val="323232"/>
        </w:rPr>
        <w:t xml:space="preserve">kg</w:t>
      </w:r>
      <w:r>
        <w:rPr>
          <w:color w:val="323232"/>
        </w:rPr>
        <w:t xml:space="preserve">min did not have a clinically relevant effect on kidney function parameters in dogs with severe heatstroke-associated AKI.</w:t>
      </w:r>
    </w:p>
    <w:p/>
    <w:p>
      <w:pPr>
        <w:pStyle w:val="Normal"/>
      </w:pPr>
      <w:r>
        <w:rPr>
          <w:color w:val="323232"/>
        </w:rPr>
        <w:t xml:space="preserve">J Vet Intern Med, 2018 vol. 32 (3) pp. 1109-1115.</w:t>
      </w:r>
    </w:p>
    <w:p>
      <w:r>
        <w:rPr>
          <w:rStyle w:val="Hyperlink"/>
        </w:rPr>
        <w:fldChar w:fldCharType="begin"/>
      </w:r>
      <w:r>
        <w:rPr>
          <w:rStyle w:val="Hyperlink"/>
        </w:rPr>
        <w:instrText xml:space="preserve"> HYPERLINK "http://dx.doi.org/10.1111/jvim.15081" </w:instrText>
      </w:r>
      <w:r>
        <w:rPr>
          <w:rStyle w:val="Hyperlink"/>
        </w:rPr>
      </w:r>
      <w:r>
        <w:rPr>
          <w:rStyle w:val="Hyperlink"/>
        </w:rPr>
        <w:fldChar w:fldCharType="separate"/>
      </w:r>
      <w:pPr>
        <w:pStyle w:val="Normal"/>
      </w:pPr>
      <w:r>
        <w:rPr>
          <w:rStyle w:val="Hyperlink"/>
        </w:rPr>
        <w:t xml:space="preserve">http://dx.doi.org/10.1111/jvim.15081</w:t>
      </w:r>
      <w:r>
        <w:rPr>
          <w:rStyle w:val="Hyperlink"/>
        </w:rPr>
        <w:fldChar w:fldCharType="end"/>
      </w:r>
    </w:p>
    <w:p>
      <w:pPr>
        <w:pStyle w:val="Normal"/>
      </w:pPr>
      <w:r>
        <w:rPr>
          <w:color w:val="323232"/>
        </w:rPr>
        <w:t xml:space="preserve">————————</w:t>
      </w:r>
    </w:p>
    <w:p>
      <w:pPr>
        <w:pStyle w:val="Heading4"/>
      </w:pPr>
      <w:r>
        <w:t xml:space="preserve">Transcranial magnetic motor evoked potentials and magnetic resonance imaging findings in paraplegic dogs with recovery of motor function.</w:t>
      </w:r>
    </w:p>
    <w:p/>
    <w:p>
      <w:pPr>
        <w:pStyle w:val="Normal"/>
      </w:pPr>
      <w:r>
        <w:rPr>
          <w:color w:val="323232"/>
        </w:rPr>
        <w:t xml:space="preserve">Johannes S Siedenburg, Adriano Wang-Leandro, Hanna-Luise Amendt, Karl Rohn, Andrea Tipold, and Veronika M Stein.</w:t>
      </w:r>
    </w:p>
    <w:p/>
    <w:p>
      <w:pPr>
        <w:pStyle w:val="Normal"/>
      </w:pPr>
      <w:r>
        <w:rPr>
          <w:color w:val="323232"/>
        </w:rPr>
        <w:t xml:space="preserve">BACKGROUND:Transcranial magnetic motor evoked potentials (TMMEP) are associated with severity of clinical signs and magnetic resonance imaging (MRI) findings in dogs with spinal cord disease.</w:t>
      </w:r>
    </w:p>
    <w:p/>
    <w:p>
      <w:pPr>
        <w:pStyle w:val="Normal"/>
      </w:pPr>
      <w:r>
        <w:rPr>
          <w:color w:val="323232"/>
        </w:rPr>
        <w:t xml:space="preserve">HYPOTHESIS:That in initially paraplegic dogs with thoracolumbar intervertebral disc herniation (IVDH), MRI findings before surgery and TMMEPs obtained after decompressive surgery are associated with long-term neurological status and correlate with each other.</w:t>
      </w:r>
    </w:p>
    <w:p/>
    <w:p>
      <w:pPr>
        <w:pStyle w:val="Normal"/>
      </w:pPr>
      <w:r>
        <w:rPr>
          <w:color w:val="323232"/>
        </w:rPr>
        <w:t xml:space="preserve">ANIMALS:Seventeen client-owned paraplegic dogs with acute thoracolumbar IVDH.</w:t>
      </w:r>
    </w:p>
    <w:p/>
    <w:p>
      <w:pPr>
        <w:pStyle w:val="Normal"/>
      </w:pPr>
      <w:r>
        <w:rPr>
          <w:color w:val="323232"/>
        </w:rPr>
        <w:t xml:space="preserve">METHODS:Prospective observational study. TMMEPs were obtained from pelvic limbs and MRI (3T) of the spinal cord was performed at initial clinical presentation. Follow-up studies were performed</w:t>
      </w:r>
      <w:r>
        <w:rPr>
          <w:color w:val="323232"/>
        </w:rPr>
        <w:t xml:space="preserve"> </w:t>
      </w:r>
      <w:r>
        <w:rPr>
          <w:color w:val="323232"/>
        </w:rPr>
        <w:t xml:space="preserve">≤</w:t>
      </w:r>
      <w:r>
        <w:rPr>
          <w:color w:val="323232"/>
        </w:rPr>
        <w:t xml:space="preserve"> </w:t>
      </w:r>
      <w:r>
        <w:rPr>
          <w:color w:val="323232"/>
        </w:rPr>
        <w:t xml:space="preserve">2 days after reappearance of motor function and 3 months later. Ratios of compression length, intramedullary hyperintensities' length (T2-weighted hyperintensity length ratio [T2WLR]), and lesion extension (T2-weighted-lesion extension ratio) in relation to the length of the 2nd lumbar vertebral body were calculated.</w:t>
      </w:r>
    </w:p>
    <w:p/>
    <w:p>
      <w:pPr>
        <w:pStyle w:val="Normal"/>
      </w:pPr>
      <w:r>
        <w:rPr>
          <w:color w:val="323232"/>
        </w:rPr>
        <w:t xml:space="preserve">RESULTS:TMMEPs could be elicited in 10/17 (59%) dogs at 1st and in 16/17 (94%) dogs at 2nd follow-up. Comparison of TMMEPs of 1st and 2nd follow-up showed significantly increased amplitudes (median from 0.19 to 0.45 mV) and decreased latencies (from 69.38 to 40.26 ms; P</w:t>
      </w:r>
      <w:r>
        <w:rPr>
          <w:color w:val="323232"/>
        </w:rPr>
        <w:t xml:space="preserve"> </w:t>
      </w:r>
      <w:r>
        <w:rPr>
          <w:color w:val="323232"/>
        </w:rPr>
        <w:t xml:space="preserve">=</w:t>
      </w:r>
      <w:r>
        <w:rPr>
          <w:color w:val="323232"/>
        </w:rPr>
        <w:t xml:space="preserve"> </w:t>
      </w:r>
      <w:r>
        <w:rPr>
          <w:color w:val="323232"/>
        </w:rPr>
        <w:t xml:space="preserve">.01 and .001, respectively). At 2nd follow-up latencies were significantly associated with ambulatory status (P</w:t>
      </w:r>
      <w:r>
        <w:rPr>
          <w:color w:val="323232"/>
        </w:rPr>
        <w:t xml:space="preserve"> </w:t>
      </w:r>
      <w:r>
        <w:rPr>
          <w:color w:val="323232"/>
        </w:rPr>
        <w:t xml:space="preserve">=</w:t>
      </w:r>
      <w:r>
        <w:rPr>
          <w:color w:val="323232"/>
        </w:rPr>
        <w:t xml:space="preserve"> </w:t>
      </w:r>
      <w:r>
        <w:rPr>
          <w:color w:val="323232"/>
        </w:rPr>
        <w:t xml:space="preserve">.024). T2WLR obtained before surgery correlated with latencies at 2nd follow-up (P</w:t>
      </w:r>
      <w:r>
        <w:rPr>
          <w:color w:val="323232"/>
        </w:rPr>
        <w:t xml:space="preserve"> </w:t>
      </w:r>
      <w:r>
        <w:rPr>
          <w:color w:val="323232"/>
        </w:rPr>
        <w:t xml:space="preserve">=</w:t>
      </w:r>
      <w:r>
        <w:rPr>
          <w:color w:val="323232"/>
        </w:rPr>
        <w:t xml:space="preserve"> </w:t>
      </w:r>
      <w:r>
        <w:rPr>
          <w:color w:val="323232"/>
        </w:rPr>
        <w:t xml:space="preserve">.04).</w:t>
      </w:r>
    </w:p>
    <w:p/>
    <w:p>
      <w:pPr>
        <w:pStyle w:val="Normal"/>
      </w:pPr>
      <w:r>
        <w:rPr>
          <w:color w:val="323232"/>
        </w:rPr>
        <w:t xml:space="preserve">CONCLUSIONS:TMMEP reflect motor function recovery after severe spinal cord injury.</w:t>
      </w:r>
    </w:p>
    <w:p/>
    <w:p>
      <w:pPr>
        <w:pStyle w:val="Normal"/>
      </w:pPr>
      <w:r>
        <w:rPr>
          <w:color w:val="323232"/>
        </w:rPr>
        <w:t xml:space="preserve">J Vet Intern Med, 2018 vol. 32 (3) pp. 1116-1125.</w:t>
      </w:r>
    </w:p>
    <w:p>
      <w:r>
        <w:rPr>
          <w:rStyle w:val="Hyperlink"/>
        </w:rPr>
        <w:fldChar w:fldCharType="begin"/>
      </w:r>
      <w:r>
        <w:rPr>
          <w:rStyle w:val="Hyperlink"/>
        </w:rPr>
        <w:instrText xml:space="preserve"> HYPERLINK "http://dx.doi.org/10.1111/jvim.15058" </w:instrText>
      </w:r>
      <w:r>
        <w:rPr>
          <w:rStyle w:val="Hyperlink"/>
        </w:rPr>
      </w:r>
      <w:r>
        <w:rPr>
          <w:rStyle w:val="Hyperlink"/>
        </w:rPr>
        <w:fldChar w:fldCharType="separate"/>
      </w:r>
      <w:pPr>
        <w:pStyle w:val="Normal"/>
      </w:pPr>
      <w:r>
        <w:rPr>
          <w:rStyle w:val="Hyperlink"/>
        </w:rPr>
        <w:t xml:space="preserve">http://dx.doi.org/10.1111/jvim.15058</w:t>
      </w:r>
      <w:r>
        <w:rPr>
          <w:rStyle w:val="Hyperlink"/>
        </w:rPr>
        <w:fldChar w:fldCharType="end"/>
      </w:r>
    </w:p>
    <w:p>
      <w:pPr>
        <w:pStyle w:val="Normal"/>
      </w:pPr>
      <w:r>
        <w:rPr>
          <w:color w:val="323232"/>
        </w:rPr>
        <w:t xml:space="preserve">————————</w:t>
      </w:r>
    </w:p>
    <w:p>
      <w:pPr>
        <w:pStyle w:val="Heading4"/>
      </w:pPr>
      <w:r>
        <w:t xml:space="preserve">Kinetic and kinematic follow-up gait analysis in Doberman Pinschers with cervical spondylomyelopathy treated medically and surgically.</w:t>
      </w:r>
    </w:p>
    <w:p/>
    <w:p>
      <w:pPr>
        <w:pStyle w:val="Normal"/>
      </w:pPr>
      <w:r>
        <w:rPr>
          <w:color w:val="323232"/>
        </w:rPr>
        <w:t xml:space="preserve">Kari D Foss, Rebecca L Smith, and Ronaldo C da Costa.</w:t>
      </w:r>
    </w:p>
    <w:p/>
    <w:p>
      <w:pPr>
        <w:pStyle w:val="Normal"/>
      </w:pPr>
      <w:r>
        <w:rPr>
          <w:color w:val="323232"/>
        </w:rPr>
        <w:t xml:space="preserve">BACKGROUND:The efficacy of treatment of dogs with cervical spondylomyelopathy (CSM) is commonly based on the owner's and clinician's perception of the gait, which is highly subjective and suffers from observer bias.</w:t>
      </w:r>
    </w:p>
    <w:p/>
    <w:p>
      <w:pPr>
        <w:pStyle w:val="Normal"/>
      </w:pPr>
      <w:r>
        <w:rPr>
          <w:color w:val="323232"/>
        </w:rPr>
        <w:t xml:space="preserve">HYPOTHESIS/OBJECTIVES:To compare selected kinetic and kinematic parameters before and after treatments and to correlate the findings of gait analysis to clinical outcome.</w:t>
      </w:r>
    </w:p>
    <w:p/>
    <w:p>
      <w:pPr>
        <w:pStyle w:val="Normal"/>
      </w:pPr>
      <w:r>
        <w:rPr>
          <w:color w:val="323232"/>
        </w:rPr>
        <w:t xml:space="preserve">ANIMALS:Eight Doberman Pinschers with CSM confirmed by magnetic resonsance imaging.</w:t>
      </w:r>
    </w:p>
    <w:p/>
    <w:p>
      <w:pPr>
        <w:pStyle w:val="Normal"/>
      </w:pPr>
      <w:r>
        <w:rPr>
          <w:color w:val="323232"/>
        </w:rPr>
        <w:t xml:space="preserve">METHODS:Patients were prospectively studied and treated with either medical management (n</w:t>
      </w:r>
      <w:r>
        <w:rPr>
          <w:color w:val="323232"/>
        </w:rPr>
        <w:t xml:space="preserve"> </w:t>
      </w:r>
      <w:r>
        <w:rPr>
          <w:color w:val="323232"/>
        </w:rPr>
        <w:t xml:space="preserve">=</w:t>
      </w:r>
      <w:r>
        <w:rPr>
          <w:color w:val="323232"/>
        </w:rPr>
        <w:t xml:space="preserve"> </w:t>
      </w:r>
      <w:r>
        <w:rPr>
          <w:color w:val="323232"/>
        </w:rPr>
        <w:t xml:space="preserve">5) or surgery (n</w:t>
      </w:r>
      <w:r>
        <w:rPr>
          <w:color w:val="323232"/>
        </w:rPr>
        <w:t xml:space="preserve"> </w:t>
      </w:r>
      <w:r>
        <w:rPr>
          <w:color w:val="323232"/>
        </w:rPr>
        <w:t xml:space="preserve">=</w:t>
      </w:r>
      <w:r>
        <w:rPr>
          <w:color w:val="323232"/>
        </w:rPr>
        <w:t xml:space="preserve"> </w:t>
      </w:r>
      <w:r>
        <w:rPr>
          <w:color w:val="323232"/>
        </w:rPr>
        <w:t xml:space="preserve">3). Force plate analysis and 3-D kinematic motion capture were performed at initial presentation and approximately 8 weeks later. Force plate parameters evaluated included peak vertical force (PVF). Kinematic parameters measured included number of pelvic limb strides, stifle flexion and extension, maximum and minimum thoracic limb distance, truncal sway, and thoracic limb stride duration.</w:t>
      </w:r>
    </w:p>
    <w:p/>
    <w:p>
      <w:pPr>
        <w:pStyle w:val="Normal"/>
      </w:pPr>
      <w:r>
        <w:rPr>
          <w:color w:val="323232"/>
        </w:rPr>
        <w:t xml:space="preserve">RESULTS:Kinematic analysis showed that deviation of the spine to the right (truncal sway) was significantly smaller (P</w:t>
      </w:r>
      <w:r>
        <w:rPr>
          <w:color w:val="323232"/>
        </w:rPr>
        <w:t xml:space="preserve"> </w:t>
      </w:r>
      <w:r>
        <w:rPr>
          <w:color w:val="323232"/>
        </w:rPr>
        <w:t xml:space="preserve">&lt;</w:t>
      </w:r>
      <w:r>
        <w:rPr>
          <w:color w:val="323232"/>
        </w:rPr>
        <w:t xml:space="preserve"> </w:t>
      </w:r>
      <w:r>
        <w:rPr>
          <w:color w:val="323232"/>
        </w:rPr>
        <w:t xml:space="preserve">.001) and the degree of right stifle flexion was significantly larger (P</w:t>
      </w:r>
      <w:r>
        <w:rPr>
          <w:color w:val="323232"/>
        </w:rPr>
        <w:t xml:space="preserve"> </w:t>
      </w:r>
      <w:r>
        <w:rPr>
          <w:color w:val="323232"/>
        </w:rPr>
        <w:t xml:space="preserve">=</w:t>
      </w:r>
      <w:r>
        <w:rPr>
          <w:color w:val="323232"/>
        </w:rPr>
        <w:t xml:space="preserve"> </w:t>
      </w:r>
      <w:r>
        <w:rPr>
          <w:color w:val="323232"/>
        </w:rPr>
        <w:t xml:space="preserve">.029) after treatment. Force plate analysis indicated that PVF was significantly different after treatment (P</w:t>
      </w:r>
      <w:r>
        <w:rPr>
          <w:color w:val="323232"/>
        </w:rPr>
        <w:t xml:space="preserve"> </w:t>
      </w:r>
      <w:r>
        <w:rPr>
          <w:color w:val="323232"/>
        </w:rPr>
        <w:t xml:space="preserve">=</w:t>
      </w:r>
      <w:r>
        <w:rPr>
          <w:color w:val="323232"/>
        </w:rPr>
        <w:t xml:space="preserve"> </w:t>
      </w:r>
      <w:r>
        <w:rPr>
          <w:color w:val="323232"/>
        </w:rPr>
        <w:t xml:space="preserve">.049) and the difference of the PVF also was significantly larger (P</w:t>
      </w:r>
      <w:r>
        <w:rPr>
          <w:color w:val="323232"/>
        </w:rPr>
        <w:t xml:space="preserve"> </w:t>
      </w:r>
      <w:r>
        <w:rPr>
          <w:color w:val="323232"/>
        </w:rPr>
        <w:t xml:space="preserve">=</w:t>
      </w:r>
      <w:r>
        <w:rPr>
          <w:color w:val="323232"/>
        </w:rPr>
        <w:t xml:space="preserve"> </w:t>
      </w:r>
      <w:r>
        <w:rPr>
          <w:color w:val="323232"/>
        </w:rPr>
        <w:t xml:space="preserve">.027). However, no correlation was found with either method of gait analysis and clinical recovery.</w:t>
      </w:r>
    </w:p>
    <w:p/>
    <w:p>
      <w:pPr>
        <w:pStyle w:val="Normal"/>
      </w:pPr>
      <w:r>
        <w:rPr>
          <w:color w:val="323232"/>
        </w:rPr>
        <w:t xml:space="preserve">CONCLUSIONS AND CLINICAL IMPORTANCE:Kinetic and kinematic gait analysis were able to detect differences in dogs with CSM before and after treatment. A correlation of gait analysis to clinical improvement could not be determined.</w:t>
      </w:r>
    </w:p>
    <w:p/>
    <w:p>
      <w:pPr>
        <w:pStyle w:val="Normal"/>
      </w:pPr>
      <w:r>
        <w:rPr>
          <w:color w:val="323232"/>
        </w:rPr>
        <w:t xml:space="preserve">J Vet Intern Med, 2018 vol. 32 (3), 3 pp. 1126-1132.</w:t>
      </w:r>
    </w:p>
    <w:p>
      <w:r>
        <w:rPr>
          <w:rStyle w:val="Hyperlink"/>
        </w:rPr>
        <w:fldChar w:fldCharType="begin"/>
      </w:r>
      <w:r>
        <w:rPr>
          <w:rStyle w:val="Hyperlink"/>
        </w:rPr>
        <w:instrText xml:space="preserve"> HYPERLINK "http://dx.doi.org/10.1111/jvim.15096" </w:instrText>
      </w:r>
      <w:r>
        <w:rPr>
          <w:rStyle w:val="Hyperlink"/>
        </w:rPr>
      </w:r>
      <w:r>
        <w:rPr>
          <w:rStyle w:val="Hyperlink"/>
        </w:rPr>
        <w:fldChar w:fldCharType="separate"/>
      </w:r>
      <w:pPr>
        <w:pStyle w:val="Normal"/>
      </w:pPr>
      <w:r>
        <w:rPr>
          <w:rStyle w:val="Hyperlink"/>
        </w:rPr>
        <w:t xml:space="preserve">http://dx.doi.org/10.1111/jvim.15096</w:t>
      </w:r>
      <w:r>
        <w:rPr>
          <w:rStyle w:val="Hyperlink"/>
        </w:rPr>
        <w:fldChar w:fldCharType="end"/>
      </w:r>
    </w:p>
    <w:p>
      <w:pPr>
        <w:pStyle w:val="Normal"/>
      </w:pPr>
      <w:r>
        <w:rPr>
          <w:color w:val="323232"/>
        </w:rPr>
        <w:t xml:space="preserve">————————</w:t>
      </w:r>
    </w:p>
    <w:p>
      <w:pPr>
        <w:pStyle w:val="Heading4"/>
      </w:pPr>
      <w:r>
        <w:t xml:space="preserve">A randomized, blinded, prospective clinical trial of postoperative rehabilitation in dogs after surgical decompression of acute thoracolumbar intervertebral disc herniation.</w:t>
      </w:r>
    </w:p>
    <w:p/>
    <w:p>
      <w:pPr>
        <w:pStyle w:val="Normal"/>
      </w:pPr>
      <w:r>
        <w:rPr>
          <w:color w:val="323232"/>
        </w:rPr>
        <w:t xml:space="preserve">Natalia Zidan, Cory Sims, Joe Fenn, Kim Williams, Emily Griffith, Peter J Early, Chris L Mariani, Karen R Munana, Julien Guevar, and Natasha J Olby.</w:t>
      </w:r>
    </w:p>
    <w:p/>
    <w:p>
      <w:pPr>
        <w:pStyle w:val="Normal"/>
      </w:pPr>
      <w:r>
        <w:rPr>
          <w:color w:val="323232"/>
        </w:rPr>
        <w:t xml:space="preserve">BACKGROUND:Experimental evidence shows benefit of rehabilitation after spinal cord injury (SCI) but there are limited objective data on the effect of rehabilitation on recovery of dogs after surgery for acute thoracolumbar intervertebral disc herniations (TL-IVDH).</w:t>
      </w:r>
    </w:p>
    <w:p/>
    <w:p>
      <w:pPr>
        <w:pStyle w:val="Normal"/>
      </w:pPr>
      <w:r>
        <w:rPr>
          <w:color w:val="323232"/>
        </w:rPr>
        <w:t xml:space="preserve">OBJECTIVE:Compare the effect of basic and intensive post-operative rehabilitation programs on recovery of locomotion in dogs with acute TL-IVDH in a randomized, blinded, prospective clinical trial.</w:t>
      </w:r>
    </w:p>
    <w:p/>
    <w:p>
      <w:pPr>
        <w:pStyle w:val="Normal"/>
      </w:pPr>
      <w:r>
        <w:rPr>
          <w:color w:val="323232"/>
        </w:rPr>
        <w:t xml:space="preserve">ANIMALS:Thirty non-ambulatory paraparetic or paraplegic (with pain perception) dogs after decompressive surgery for TL-IVDH.</w:t>
      </w:r>
    </w:p>
    <w:p/>
    <w:p>
      <w:pPr>
        <w:pStyle w:val="Normal"/>
      </w:pPr>
      <w:r>
        <w:rPr>
          <w:color w:val="323232"/>
        </w:rPr>
        <w:t xml:space="preserve">METHODS:Blinded, prospective clinical trial. Dogs were randomized (1:1) to a basic or intensive 14-day in-house rehabilitation protocol. Fourteen-day open field gait score (OFS) and coordination (regulatory index, RI) were primary outcomes. Secondary measures of gait, post-operative pain, and weight were compared at 14 and 42 days.</w:t>
      </w:r>
    </w:p>
    <w:p/>
    <w:p>
      <w:pPr>
        <w:pStyle w:val="Normal"/>
      </w:pPr>
      <w:r>
        <w:rPr>
          <w:color w:val="323232"/>
        </w:rPr>
        <w:t xml:space="preserve">RESULTS:Of 50 dogs assessed, 32 met inclusion criteria and 30 completed the protocol. There were no adverse events associated with rehabilitation. Median time to walking was 7.5 (2 - 37) days. Mean change in OFS by day 14 was 6.13 (confidence intervals: 4.88, 7.39, basic) versus 5.73 (4.94, 6.53, intensive) representing a treatment effect of -0.4 (-1.82, 1.02) which was not significant, P=.57. RI on day 14 was 55.13 (36.88, 73.38, basic) versus 51.65 (30.98, 72.33, intensive), a non-significant treatment effect of -3.47 (-29.81, 22.87), P</w:t>
      </w:r>
      <w:r>
        <w:rPr>
          <w:color w:val="323232"/>
        </w:rPr>
        <w:t xml:space="preserve"> </w:t>
      </w:r>
      <w:r>
        <w:rPr>
          <w:color w:val="323232"/>
        </w:rPr>
        <w:t xml:space="preserve">=</w:t>
      </w:r>
      <w:r>
        <w:rPr>
          <w:color w:val="323232"/>
        </w:rPr>
        <w:t xml:space="preserve"> </w:t>
      </w:r>
      <w:r>
        <w:rPr>
          <w:color w:val="323232"/>
        </w:rPr>
        <w:t xml:space="preserve">.79. There were no differences in secondary outcomes between groups.</w:t>
      </w:r>
    </w:p>
    <w:p/>
    <w:p>
      <w:pPr>
        <w:pStyle w:val="Normal"/>
      </w:pPr>
      <w:r>
        <w:rPr>
          <w:color w:val="323232"/>
        </w:rPr>
        <w:t xml:space="preserve">CONCLUSIONS:Early postoperative rehabilitation after surgery for TL-IVDH is safe but doesn't improve rate or level of recovery in dogs with incomplete SCI.</w:t>
      </w:r>
    </w:p>
    <w:p/>
    <w:p>
      <w:pPr>
        <w:pStyle w:val="Normal"/>
      </w:pPr>
      <w:r>
        <w:rPr>
          <w:color w:val="323232"/>
        </w:rPr>
        <w:t xml:space="preserve">J Vet Intern Med, 2018 vol. 32 (3) pp. 1133-1144.</w:t>
      </w:r>
    </w:p>
    <w:p>
      <w:r>
        <w:rPr>
          <w:rStyle w:val="Hyperlink"/>
        </w:rPr>
        <w:fldChar w:fldCharType="begin"/>
      </w:r>
      <w:r>
        <w:rPr>
          <w:rStyle w:val="Hyperlink"/>
        </w:rPr>
        <w:instrText xml:space="preserve"> HYPERLINK "http://dx.doi.org/10.1111/jvim.15086" </w:instrText>
      </w:r>
      <w:r>
        <w:rPr>
          <w:rStyle w:val="Hyperlink"/>
        </w:rPr>
      </w:r>
      <w:r>
        <w:rPr>
          <w:rStyle w:val="Hyperlink"/>
        </w:rPr>
        <w:fldChar w:fldCharType="separate"/>
      </w:r>
      <w:pPr>
        <w:pStyle w:val="Normal"/>
      </w:pPr>
      <w:r>
        <w:rPr>
          <w:rStyle w:val="Hyperlink"/>
        </w:rPr>
        <w:t xml:space="preserve">http://dx.doi.org/10.1111/jvim.15086</w:t>
      </w:r>
      <w:r>
        <w:rPr>
          <w:rStyle w:val="Hyperlink"/>
        </w:rPr>
        <w:fldChar w:fldCharType="end"/>
      </w:r>
    </w:p>
    <w:p>
      <w:pPr>
        <w:pStyle w:val="Normal"/>
      </w:pPr>
      <w:r>
        <w:rPr>
          <w:color w:val="323232"/>
        </w:rPr>
        <w:t xml:space="preserve">————————</w:t>
      </w:r>
    </w:p>
    <w:p>
      <w:pPr>
        <w:pStyle w:val="Heading4"/>
      </w:pPr>
      <w:r>
        <w:t xml:space="preserve">Serum levetiracetam concentrations and adverse events after multiple dose extended release levetiracetam administration to healthy cats.</w:t>
      </w:r>
    </w:p>
    <w:p/>
    <w:p>
      <w:pPr>
        <w:pStyle w:val="Normal"/>
      </w:pPr>
      <w:r>
        <w:rPr>
          <w:color w:val="323232"/>
        </w:rPr>
        <w:t xml:space="preserve">Heidi Barnes Heller, Martin Granick, Mathew Van Hesteren, and Dawn M Boothe.</w:t>
      </w:r>
    </w:p>
    <w:p/>
    <w:p>
      <w:pPr>
        <w:pStyle w:val="Normal"/>
      </w:pPr>
      <w:r>
        <w:rPr>
          <w:color w:val="323232"/>
        </w:rPr>
        <w:t xml:space="preserve">BACKGROUND:Multiple dose administration of antiepileptic drugs to cats presents a challenge for owners. Extended release levetiracetam (XRL) has once daily recommended dosing interval, but multiple dose administration of XRL has not been evaluated in cats.</w:t>
      </w:r>
    </w:p>
    <w:p/>
    <w:p>
      <w:pPr>
        <w:pStyle w:val="Normal"/>
      </w:pPr>
      <w:r>
        <w:rPr>
          <w:color w:val="323232"/>
        </w:rPr>
        <w:t xml:space="preserve">OBJECTIVE:Evaluate serum levetiracetam concentrations and adverse clinical effects after 11 days of once daily XRL administration to healthy cats.</w:t>
      </w:r>
    </w:p>
    <w:p/>
    <w:p>
      <w:pPr>
        <w:pStyle w:val="Normal"/>
      </w:pPr>
      <w:r>
        <w:rPr>
          <w:color w:val="323232"/>
        </w:rPr>
        <w:t xml:space="preserve">ANIMALS:Nine healthy privately owned cats, body weight</w:t>
      </w:r>
      <w:r>
        <w:rPr>
          <w:color w:val="323232"/>
        </w:rPr>
        <w:t xml:space="preserve"> </w:t>
      </w:r>
      <w:r>
        <w:rPr>
          <w:color w:val="323232"/>
        </w:rPr>
        <w:t xml:space="preserve">≥</w:t>
      </w:r>
      <w:r>
        <w:rPr>
          <w:color w:val="323232"/>
        </w:rPr>
        <w:t xml:space="preserve"> </w:t>
      </w:r>
      <w:r>
        <w:rPr>
          <w:color w:val="323232"/>
        </w:rPr>
        <w:t xml:space="preserve">5 kg METHODS: Extended release levetiracetam (500 mg/cat) was administered PO q24h for 10 days. On day 11, blood was collected at trough, 4, 6, and 8 hours after tablet administration. Owners maintained records of adverse effects throughout study. Levetiracetam was quantitated in serum using immunoassay validated in cats.</w:t>
      </w:r>
    </w:p>
    <w:p/>
    <w:p>
      <w:pPr>
        <w:pStyle w:val="Normal"/>
      </w:pPr>
      <w:r>
        <w:rPr>
          <w:color w:val="323232"/>
        </w:rPr>
        <w:t xml:space="preserve">RESULTS:Median dose 94.3 mg/ kg q24h. Median (range) trough, 4, 6, and 8 hour serum levetiracetam concentrations were 7.0 (2.3-14.1), 82.6 (7.8-125.3), 92.3 (13.3-97.3), and 72 (22.8-96.4) μg/mL, respectively. Peak was not observed in 4 cats because of missed samples (n</w:t>
      </w:r>
      <w:r>
        <w:rPr>
          <w:color w:val="323232"/>
        </w:rPr>
        <w:t xml:space="preserve"> </w:t>
      </w:r>
      <w:r>
        <w:rPr>
          <w:color w:val="323232"/>
        </w:rPr>
        <w:t xml:space="preserve">=</w:t>
      </w:r>
      <w:r>
        <w:rPr>
          <w:color w:val="323232"/>
        </w:rPr>
        <w:t xml:space="preserve"> </w:t>
      </w:r>
      <w:r>
        <w:rPr>
          <w:color w:val="323232"/>
        </w:rPr>
        <w:t xml:space="preserve">2) and failure to reach maximal concentration (Cmax ) by 8 hours (n</w:t>
      </w:r>
      <w:r>
        <w:rPr>
          <w:color w:val="323232"/>
        </w:rPr>
        <w:t xml:space="preserve"> </w:t>
      </w:r>
      <w:r>
        <w:rPr>
          <w:color w:val="323232"/>
        </w:rPr>
        <w:t xml:space="preserve">=</w:t>
      </w:r>
      <w:r>
        <w:rPr>
          <w:color w:val="323232"/>
        </w:rPr>
        <w:t xml:space="preserve"> </w:t>
      </w:r>
      <w:r>
        <w:rPr>
          <w:color w:val="323232"/>
        </w:rPr>
        <w:t xml:space="preserve">2). Median time of maximal concentration (Tmax ) for the remaining 5 cats 5.2 (range 4-6) hours. Adverse effects were minimal and included ataxia (n</w:t>
      </w:r>
      <w:r>
        <w:rPr>
          <w:color w:val="323232"/>
        </w:rPr>
        <w:t xml:space="preserve"> </w:t>
      </w:r>
      <w:r>
        <w:rPr>
          <w:color w:val="323232"/>
        </w:rPr>
        <w:t xml:space="preserve">=</w:t>
      </w:r>
      <w:r>
        <w:rPr>
          <w:color w:val="323232"/>
        </w:rPr>
        <w:t xml:space="preserve"> </w:t>
      </w:r>
      <w:r>
        <w:rPr>
          <w:color w:val="323232"/>
        </w:rPr>
        <w:t xml:space="preserve">1), sedation (n</w:t>
      </w:r>
      <w:r>
        <w:rPr>
          <w:color w:val="323232"/>
        </w:rPr>
        <w:t xml:space="preserve"> </w:t>
      </w:r>
      <w:r>
        <w:rPr>
          <w:color w:val="323232"/>
        </w:rPr>
        <w:t xml:space="preserve">=</w:t>
      </w:r>
      <w:r>
        <w:rPr>
          <w:color w:val="323232"/>
        </w:rPr>
        <w:t xml:space="preserve"> </w:t>
      </w:r>
      <w:r>
        <w:rPr>
          <w:color w:val="323232"/>
        </w:rPr>
        <w:t xml:space="preserve">1), and vomiting or regurgitation (n</w:t>
      </w:r>
      <w:r>
        <w:rPr>
          <w:color w:val="323232"/>
        </w:rPr>
        <w:t xml:space="preserve"> </w:t>
      </w:r>
      <w:r>
        <w:rPr>
          <w:color w:val="323232"/>
        </w:rPr>
        <w:t xml:space="preserve">=</w:t>
      </w:r>
      <w:r>
        <w:rPr>
          <w:color w:val="323232"/>
        </w:rPr>
        <w:t xml:space="preserve"> </w:t>
      </w:r>
      <w:r>
        <w:rPr>
          <w:color w:val="323232"/>
        </w:rPr>
        <w:t xml:space="preserve">1). All signs resolved without dose adjustment or additional treatment.</w:t>
      </w:r>
    </w:p>
    <w:p/>
    <w:p>
      <w:pPr>
        <w:pStyle w:val="Normal"/>
      </w:pPr>
      <w:r>
        <w:rPr>
          <w:color w:val="323232"/>
        </w:rPr>
        <w:t xml:space="preserve">CONCLUSIONS AND CLINICAL IMPORTANCE:Mean trough serum levetiracetam concentrations were ≥5 μg</w:t>
      </w:r>
      <w:r>
        <w:rPr>
          <w:i w:val="1"/>
          <w:color w:val="323232"/>
        </w:rPr>
        <w:t xml:space="preserve">mL and adverse effects were minimal throughout dosing period, indicating that the drug was well tolerated. Once daily XRL (500 mg</w:t>
      </w:r>
      <w:r>
        <w:rPr>
          <w:color w:val="323232"/>
        </w:rPr>
        <w:t xml:space="preserve">cat) administration may provide an easier alternative to 3 times daily dosing of intermediate-release levetiracetam for epileptic cats.</w:t>
      </w:r>
    </w:p>
    <w:p/>
    <w:p>
      <w:pPr>
        <w:pStyle w:val="Normal"/>
      </w:pPr>
      <w:r>
        <w:rPr>
          <w:color w:val="323232"/>
        </w:rPr>
        <w:t xml:space="preserve">J Vet Intern Med, 2018 vol. 32 (3) pp. 1145-1148.</w:t>
      </w:r>
    </w:p>
    <w:p>
      <w:r>
        <w:rPr>
          <w:rStyle w:val="Hyperlink"/>
        </w:rPr>
        <w:fldChar w:fldCharType="begin"/>
      </w:r>
      <w:r>
        <w:rPr>
          <w:rStyle w:val="Hyperlink"/>
        </w:rPr>
        <w:instrText xml:space="preserve"> HYPERLINK "http://dx.doi.org/10.1111/jvim.15129" </w:instrText>
      </w:r>
      <w:r>
        <w:rPr>
          <w:rStyle w:val="Hyperlink"/>
        </w:rPr>
      </w:r>
      <w:r>
        <w:rPr>
          <w:rStyle w:val="Hyperlink"/>
        </w:rPr>
        <w:fldChar w:fldCharType="separate"/>
      </w:r>
      <w:pPr>
        <w:pStyle w:val="Normal"/>
      </w:pPr>
      <w:r>
        <w:rPr>
          <w:rStyle w:val="Hyperlink"/>
        </w:rPr>
        <w:t xml:space="preserve">http://dx.doi.org/10.1111/jvim.15129</w:t>
      </w:r>
      <w:r>
        <w:rPr>
          <w:rStyle w:val="Hyperlink"/>
        </w:rPr>
        <w:fldChar w:fldCharType="end"/>
      </w:r>
    </w:p>
    <w:p>
      <w:pPr>
        <w:pStyle w:val="Normal"/>
      </w:pPr>
      <w:r>
        <w:rPr>
          <w:color w:val="323232"/>
        </w:rPr>
        <w:t xml:space="preserve">————————</w:t>
      </w:r>
    </w:p>
    <w:p>
      <w:pPr>
        <w:pStyle w:val="Heading4"/>
      </w:pPr>
      <w:r>
        <w:t xml:space="preserve">Association between indoor air pollution and respiratory disease in companion dogs and cats.</w:t>
      </w:r>
    </w:p>
    <w:p/>
    <w:p>
      <w:pPr>
        <w:pStyle w:val="Normal"/>
      </w:pPr>
      <w:r>
        <w:rPr>
          <w:color w:val="323232"/>
        </w:rPr>
        <w:t xml:space="preserve">Chung-Hui Lin, Pei-Ying Lo, Huey-Dong Wu, Chinhao Chang, and Lih-Chiann Wang.</w:t>
      </w:r>
    </w:p>
    <w:p/>
    <w:p>
      <w:pPr>
        <w:pStyle w:val="Normal"/>
      </w:pPr>
      <w:r>
        <w:rPr>
          <w:color w:val="323232"/>
        </w:rPr>
        <w:t xml:space="preserve">BACKGROUND:Indoor air pollution (IAP) leads to important respiratory morbidity and mortality in humans. Companion dogs and cats share the same household environment with their owners and are exposed to IAP.</w:t>
      </w:r>
    </w:p>
    <w:p/>
    <w:p>
      <w:pPr>
        <w:pStyle w:val="Normal"/>
      </w:pPr>
      <w:r>
        <w:rPr>
          <w:color w:val="323232"/>
        </w:rPr>
        <w:t xml:space="preserve">HYPOTHESIS:Pets with respiratory disease are more commonly exposed to indoor air pollutants in their homes and to worse air quality than pets without respiratory disease.</w:t>
      </w:r>
    </w:p>
    <w:p/>
    <w:p>
      <w:pPr>
        <w:pStyle w:val="Normal"/>
      </w:pPr>
      <w:r>
        <w:rPr>
          <w:color w:val="323232"/>
        </w:rPr>
        <w:t xml:space="preserve">ANIMALS:Three hundred and forty-eight animals (230 dogs and 118 cats) were recruited.</w:t>
      </w:r>
    </w:p>
    <w:p/>
    <w:p>
      <w:pPr>
        <w:pStyle w:val="Normal"/>
      </w:pPr>
      <w:r>
        <w:rPr>
          <w:color w:val="323232"/>
        </w:rPr>
        <w:t xml:space="preserve">METHODS:Dogs and cats attending the National Taiwan University Veterinary Hospital were prospectively enrolled over a 12-month period. Questionnaires were collected from pet owners regarding the status of signs of respiratory problem of animals and air pollutants in their homes. Clinical assessment was performed by veterinarians on all animals included in the case-control study and the presence/absence of respiratory disease and diagnoses were recorded. Individual exposure to particulate matter of 2.5 μm or less (PM2.5) was estimated in the domestic microenvironment of the animals.</w:t>
      </w:r>
    </w:p>
    <w:p/>
    <w:p>
      <w:pPr>
        <w:pStyle w:val="Normal"/>
      </w:pPr>
      <w:r>
        <w:rPr>
          <w:color w:val="323232"/>
        </w:rPr>
        <w:t xml:space="preserve">RESULTS:Dogs with respiratory disease were more commonly exposed to incense burning than control dogs (30 versus 13%, P</w:t>
      </w:r>
      <w:r>
        <w:rPr>
          <w:color w:val="323232"/>
        </w:rPr>
        <w:t xml:space="preserve"> </w:t>
      </w:r>
      <w:r>
        <w:rPr>
          <w:color w:val="323232"/>
        </w:rPr>
        <w:t xml:space="preserve">=</w:t>
      </w:r>
      <w:r>
        <w:rPr>
          <w:color w:val="323232"/>
        </w:rPr>
        <w:t xml:space="preserve"> </w:t>
      </w:r>
      <w:r>
        <w:rPr>
          <w:color w:val="323232"/>
        </w:rPr>
        <w:t xml:space="preserve">.045), but household PM2.5 level was not different between dogs with and without respiratory disease [median 30.8 μg</w:t>
      </w:r>
      <w:r>
        <w:rPr>
          <w:i w:val="1"/>
          <w:color w:val="323232"/>
        </w:rPr>
        <w:t xml:space="preserve">m3 , range 10.8-214.2 versus median 38.2 μg</w:t>
      </w:r>
      <w:r>
        <w:rPr>
          <w:color w:val="323232"/>
        </w:rPr>
        <w:t xml:space="preserve">m3 , range 5.4-69.4, P</w:t>
      </w:r>
      <w:r>
        <w:rPr>
          <w:color w:val="323232"/>
        </w:rPr>
        <w:t xml:space="preserve"> </w:t>
      </w:r>
      <w:r>
        <w:rPr>
          <w:color w:val="323232"/>
        </w:rPr>
        <w:t xml:space="preserve">=</w:t>
      </w:r>
      <w:r>
        <w:rPr>
          <w:color w:val="323232"/>
        </w:rPr>
        <w:t xml:space="preserve"> </w:t>
      </w:r>
      <w:r>
        <w:rPr>
          <w:color w:val="323232"/>
        </w:rPr>
        <w:t xml:space="preserve">.57]. Signalment factors (age, body weight, and body condition score) instead of IAP factors were associated with respiratory disease in dogs using multivariable logistic regression. In contrast, household PM2.5 level was significantly higher in cats with respiratory disease than in control cats [median 38.6 μg</w:t>
      </w:r>
      <w:r>
        <w:rPr>
          <w:i w:val="1"/>
          <w:color w:val="323232"/>
        </w:rPr>
        <w:t xml:space="preserve">m3 , range 17.8-131.2 versus median 27.4 μg</w:t>
      </w:r>
      <w:r>
        <w:rPr>
          <w:color w:val="323232"/>
        </w:rPr>
        <w:t xml:space="preserve">m3 , range 15.4-70.0, P</w:t>
      </w:r>
      <w:r>
        <w:rPr>
          <w:color w:val="323232"/>
        </w:rPr>
        <w:t xml:space="preserve"> </w:t>
      </w:r>
      <w:r>
        <w:rPr>
          <w:color w:val="323232"/>
        </w:rPr>
        <w:t xml:space="preserve">=</w:t>
      </w:r>
      <w:r>
        <w:rPr>
          <w:color w:val="323232"/>
        </w:rPr>
        <w:t xml:space="preserve"> </w:t>
      </w:r>
      <w:r>
        <w:rPr>
          <w:color w:val="323232"/>
        </w:rPr>
        <w:t xml:space="preserve">.017]. Cats living in households with PM2.5</w:t>
      </w:r>
      <w:r>
        <w:rPr>
          <w:color w:val="323232"/>
        </w:rPr>
        <w:t xml:space="preserve"> </w:t>
      </w:r>
      <w:r>
        <w:rPr>
          <w:color w:val="323232"/>
        </w:rPr>
        <w:t xml:space="preserve">&gt;</w:t>
      </w:r>
      <w:r>
        <w:rPr>
          <w:color w:val="323232"/>
        </w:rPr>
        <w:t xml:space="preserve"> </w:t>
      </w:r>
      <w:r>
        <w:rPr>
          <w:color w:val="323232"/>
        </w:rPr>
        <w:t xml:space="preserve">35 μg/m3 were more likely to have respiratory disease than those living in households with acceptable levels of PM2.5 (OR</w:t>
      </w:r>
      <w:r>
        <w:rPr>
          <w:color w:val="323232"/>
        </w:rPr>
        <w:t xml:space="preserve"> </w:t>
      </w:r>
      <w:r>
        <w:rPr>
          <w:color w:val="323232"/>
        </w:rPr>
        <w:t xml:space="preserve">=</w:t>
      </w:r>
      <w:r>
        <w:rPr>
          <w:color w:val="323232"/>
        </w:rPr>
        <w:t xml:space="preserve"> </w:t>
      </w:r>
      <w:r>
        <w:rPr>
          <w:color w:val="323232"/>
        </w:rPr>
        <w:t xml:space="preserve">4.13, 95% CI 1.12-15.27, P</w:t>
      </w:r>
      <w:r>
        <w:rPr>
          <w:color w:val="323232"/>
        </w:rPr>
        <w:t xml:space="preserve"> </w:t>
      </w:r>
      <w:r>
        <w:rPr>
          <w:color w:val="323232"/>
        </w:rPr>
        <w:t xml:space="preserve">=</w:t>
      </w:r>
      <w:r>
        <w:rPr>
          <w:color w:val="323232"/>
        </w:rPr>
        <w:t xml:space="preserve"> </w:t>
      </w:r>
      <w:r>
        <w:rPr>
          <w:color w:val="323232"/>
        </w:rPr>
        <w:t xml:space="preserve">.03).</w:t>
      </w:r>
    </w:p>
    <w:p/>
    <w:p>
      <w:pPr>
        <w:pStyle w:val="Normal"/>
      </w:pPr>
      <w:r>
        <w:rPr>
          <w:color w:val="323232"/>
        </w:rPr>
        <w:t xml:space="preserve">CONCLUSIONS AND CLINICAL IMPORTANCE:The link between IAP and respiratory disease in dogs is complicated. An unacceptable level of household PM2.5 (&gt;35 μg/m3 ) is significantly associated with respiratory disease in cats. The effect of IAP on the respiratory health of companion animals warrants further attention.</w:t>
      </w:r>
    </w:p>
    <w:p/>
    <w:p>
      <w:pPr>
        <w:pStyle w:val="Normal"/>
      </w:pPr>
      <w:r>
        <w:rPr>
          <w:color w:val="323232"/>
        </w:rPr>
        <w:t xml:space="preserve">J Vet Intern Med, 2018 vol. 32 (3), 1 pp. 1259-1267.</w:t>
      </w:r>
    </w:p>
    <w:p>
      <w:r>
        <w:rPr>
          <w:rStyle w:val="Hyperlink"/>
        </w:rPr>
        <w:fldChar w:fldCharType="begin"/>
      </w:r>
      <w:r>
        <w:rPr>
          <w:rStyle w:val="Hyperlink"/>
        </w:rPr>
        <w:instrText xml:space="preserve"> HYPERLINK "http://dx.doi.org/10.1111/jvim.15143" </w:instrText>
      </w:r>
      <w:r>
        <w:rPr>
          <w:rStyle w:val="Hyperlink"/>
        </w:rPr>
      </w:r>
      <w:r>
        <w:rPr>
          <w:rStyle w:val="Hyperlink"/>
        </w:rPr>
        <w:fldChar w:fldCharType="separate"/>
      </w:r>
      <w:pPr>
        <w:pStyle w:val="Normal"/>
      </w:pPr>
      <w:r>
        <w:rPr>
          <w:rStyle w:val="Hyperlink"/>
        </w:rPr>
        <w:t xml:space="preserve">http://dx.doi.org/10.1111/jvim.15143</w:t>
      </w:r>
      <w:r>
        <w:rPr>
          <w:rStyle w:val="Hyperlink"/>
        </w:rPr>
        <w:fldChar w:fldCharType="end"/>
      </w:r>
    </w:p>
    <w:p>
      <w:pPr>
        <w:pStyle w:val="Normal"/>
      </w:pPr>
      <w:r>
        <w:rPr>
          <w:color w:val="323232"/>
        </w:rPr>
        <w:t xml:space="preserve">————————</w:t>
      </w:r>
    </w:p>
    <w:p>
      <w:pPr>
        <w:pStyle w:val="Heading4"/>
      </w:pPr>
      <w:r>
        <w:t xml:space="preserve">Acute echocardiographic effects of sotalol on ventricular systolic function in dogs with ventricular arrhythmias.</w:t>
      </w:r>
    </w:p>
    <w:p/>
    <w:p>
      <w:pPr>
        <w:pStyle w:val="Normal"/>
      </w:pPr>
      <w:r>
        <w:rPr>
          <w:color w:val="323232"/>
        </w:rPr>
        <w:t xml:space="preserve">Lance C Visser, Joanna L Kaplan, Satoko Nishimura, Catherine T Gunther-Harrington, Catherine Bélanger, Maureen S Oldach, Joshua A Stern, and Mikaela S Mueller.</w:t>
      </w:r>
    </w:p>
    <w:p/>
    <w:p>
      <w:pPr>
        <w:pStyle w:val="Normal"/>
      </w:pPr>
      <w:r>
        <w:rPr>
          <w:color w:val="323232"/>
        </w:rPr>
        <w:t xml:space="preserve">BACKGROUND:Sotalol is a commonly used antiarrhythmic drug that may alter ventricular function.</w:t>
      </w:r>
    </w:p>
    <w:p/>
    <w:p>
      <w:pPr>
        <w:pStyle w:val="Normal"/>
      </w:pPr>
      <w:r>
        <w:rPr>
          <w:color w:val="323232"/>
        </w:rPr>
        <w:t xml:space="preserve">OBJECTIVE:To determine the effect of sotalol on echocardiographic indices of ventricular systolic function in dogs with ventricular arrhythmias.</w:t>
      </w:r>
    </w:p>
    <w:p/>
    <w:p>
      <w:pPr>
        <w:pStyle w:val="Normal"/>
      </w:pPr>
      <w:r>
        <w:rPr>
          <w:color w:val="323232"/>
        </w:rPr>
        <w:t xml:space="preserve">ANIMALS:Thirty-five client-owned dogs with ventricular arrhythmias.</w:t>
      </w:r>
    </w:p>
    <w:p/>
    <w:p>
      <w:pPr>
        <w:pStyle w:val="Normal"/>
      </w:pPr>
      <w:r>
        <w:rPr>
          <w:color w:val="323232"/>
        </w:rPr>
        <w:t xml:space="preserve">METHODS:Dogs with ventricular arrhythmias (n</w:t>
      </w:r>
      <w:r>
        <w:rPr>
          <w:color w:val="323232"/>
        </w:rPr>
        <w:t xml:space="preserve"> </w:t>
      </w:r>
      <w:r>
        <w:rPr>
          <w:color w:val="323232"/>
        </w:rPr>
        <w:t xml:space="preserve">=</w:t>
      </w:r>
      <w:r>
        <w:rPr>
          <w:color w:val="323232"/>
        </w:rPr>
        <w:t xml:space="preserve"> </w:t>
      </w:r>
      <w:r>
        <w:rPr>
          <w:color w:val="323232"/>
        </w:rPr>
        <w:t xml:space="preserve">27) had an echocardiogram and 5-minute ECG performed at baseline and 2-4 hours post-sotalol (2-2.5 mg/kg PO once). Eight additional dogs underwent the same protocol but did not receive sotalol (within-day variability controls). Left ventricular (LV) internal dimension at end-systole normalized to bodyweight (LVIDs_N), LV ejection fraction (LV EF), LV shortening area, LV fractional shortening, tricuspid annular plane systolic excursion (TAPSE), and right ventricular systolic myocardial velocity were evaluated as indices of systolic function.</w:t>
      </w:r>
    </w:p>
    <w:p/>
    <w:p>
      <w:pPr>
        <w:pStyle w:val="Normal"/>
      </w:pPr>
      <w:r>
        <w:rPr>
          <w:color w:val="323232"/>
        </w:rPr>
        <w:t xml:space="preserve">RESULTS:All indices except TAPSE had mild decreases in systolic function post-sotalol (all P</w:t>
      </w:r>
      <w:r>
        <w:rPr>
          <w:color w:val="323232"/>
        </w:rPr>
        <w:t xml:space="preserve"> </w:t>
      </w:r>
      <w:r>
        <w:rPr>
          <w:color w:val="323232"/>
        </w:rPr>
        <w:t xml:space="preserve">≤</w:t>
      </w:r>
      <w:r>
        <w:rPr>
          <w:color w:val="323232"/>
        </w:rPr>
        <w:t xml:space="preserve"> </w:t>
      </w:r>
      <w:r>
        <w:rPr>
          <w:color w:val="323232"/>
        </w:rPr>
        <w:t xml:space="preserve">.0007) compared with baseline but only the percent change in LVIDs_N and LV EF were significantly (P</w:t>
      </w:r>
      <w:r>
        <w:rPr>
          <w:color w:val="323232"/>
        </w:rPr>
        <w:t xml:space="preserve"> </w:t>
      </w:r>
      <w:r>
        <w:rPr>
          <w:color w:val="323232"/>
        </w:rPr>
        <w:t xml:space="preserve">≤</w:t>
      </w:r>
      <w:r>
        <w:rPr>
          <w:color w:val="323232"/>
        </w:rPr>
        <w:t xml:space="preserve"> </w:t>
      </w:r>
      <w:r>
        <w:rPr>
          <w:color w:val="323232"/>
        </w:rPr>
        <w:t xml:space="preserve">.0079) different from the percent change of the same indices in control dogs. Sinus heart rate, ventricular premature complexes/5-minutes, and arrhythmia grade also were decreased post-sotalol (all P</w:t>
      </w:r>
      <w:r>
        <w:rPr>
          <w:color w:val="323232"/>
        </w:rPr>
        <w:t xml:space="preserve"> </w:t>
      </w:r>
      <w:r>
        <w:rPr>
          <w:color w:val="323232"/>
        </w:rPr>
        <w:t xml:space="preserve">≤</w:t>
      </w:r>
      <w:r>
        <w:rPr>
          <w:color w:val="323232"/>
        </w:rPr>
        <w:t xml:space="preserve"> </w:t>
      </w:r>
      <w:r>
        <w:rPr>
          <w:color w:val="323232"/>
        </w:rPr>
        <w:t xml:space="preserve">.01) compared with baseline when assessed by a 5-minutes ECG. No dog experienced an adverse event post-sotalol, including dogs with systolic dysfunction or atrial enlargement.</w:t>
      </w:r>
    </w:p>
    <w:p/>
    <w:p>
      <w:pPr>
        <w:pStyle w:val="Normal"/>
      </w:pPr>
      <w:r>
        <w:rPr>
          <w:color w:val="323232"/>
        </w:rPr>
        <w:t xml:space="preserve">CONCLUSIONS AND CLINICAL IMPORTANCE:A single dose of sotalol may cause a mild decrease in LV systolic function in dogs with ventricular arrhythmias. Sotalol appears to be well tolerated, even in dogs with atrial enlargement or systolic dysfunction.</w:t>
      </w:r>
    </w:p>
    <w:p/>
    <w:p>
      <w:pPr>
        <w:pStyle w:val="Normal"/>
      </w:pPr>
      <w:r>
        <w:rPr>
          <w:color w:val="323232"/>
        </w:rPr>
        <w:t xml:space="preserve">J Vet Intern Med, 2018 vol. 32 (4), 15 pp. 1299-1307.</w:t>
      </w:r>
    </w:p>
    <w:p>
      <w:r>
        <w:rPr>
          <w:rStyle w:val="Hyperlink"/>
        </w:rPr>
        <w:fldChar w:fldCharType="begin"/>
      </w:r>
      <w:r>
        <w:rPr>
          <w:rStyle w:val="Hyperlink"/>
        </w:rPr>
        <w:instrText xml:space="preserve"> HYPERLINK "http://dx.doi.org/10.1111/jvim.15224" </w:instrText>
      </w:r>
      <w:r>
        <w:rPr>
          <w:rStyle w:val="Hyperlink"/>
        </w:rPr>
      </w:r>
      <w:r>
        <w:rPr>
          <w:rStyle w:val="Hyperlink"/>
        </w:rPr>
        <w:fldChar w:fldCharType="separate"/>
      </w:r>
      <w:pPr>
        <w:pStyle w:val="Normal"/>
      </w:pPr>
      <w:r>
        <w:rPr>
          <w:rStyle w:val="Hyperlink"/>
        </w:rPr>
        <w:t xml:space="preserve">http://dx.doi.org/10.1111/jvim.15224</w:t>
      </w:r>
      <w:r>
        <w:rPr>
          <w:rStyle w:val="Hyperlink"/>
        </w:rPr>
        <w:fldChar w:fldCharType="end"/>
      </w:r>
    </w:p>
    <w:p>
      <w:pPr>
        <w:pStyle w:val="Normal"/>
      </w:pPr>
      <w:r>
        <w:rPr>
          <w:color w:val="323232"/>
        </w:rPr>
        <w:t xml:space="preserve">————————</w:t>
      </w:r>
    </w:p>
    <w:p>
      <w:pPr>
        <w:pStyle w:val="Heading4"/>
      </w:pPr>
      <w:r>
        <w:t xml:space="preserve">Establishment of reference values of the caudal vena cava by fast-ultrasonography through different views in healthy dogs.</w:t>
      </w:r>
    </w:p>
    <w:p/>
    <w:p>
      <w:pPr>
        <w:pStyle w:val="Normal"/>
      </w:pPr>
      <w:r>
        <w:rPr>
          <w:color w:val="323232"/>
        </w:rPr>
        <w:t xml:space="preserve">Elodie Darnis, Søren Boysen, Anne-Christine Merveille, Loïc Desquilbet, Serge Chalhoub, and Kris Gommeren.</w:t>
      </w:r>
    </w:p>
    <w:p/>
    <w:p>
      <w:pPr>
        <w:pStyle w:val="Normal"/>
      </w:pPr>
      <w:r>
        <w:rPr>
          <w:color w:val="323232"/>
        </w:rPr>
        <w:t xml:space="preserve">BACKGROUND:Clinical assessment of intravascular volume status is challenging. In humans, ultrasonographic assessment of the inferior vena cava diameter, directly or as a ratio to the aortic diameter is used to estimate intravascular volume status.</w:t>
      </w:r>
    </w:p>
    <w:p/>
    <w:p>
      <w:pPr>
        <w:pStyle w:val="Normal"/>
      </w:pPr>
      <w:r>
        <w:rPr>
          <w:color w:val="323232"/>
        </w:rPr>
        <w:t xml:space="preserve">OBJECTIVES:To ultrasonographically obtain reference values (RV) for caudal vena cava diameter (CVCD ), area (CVCa ) and aortic ratios using 3 views in awake healthy dogs.</w:t>
      </w:r>
    </w:p>
    <w:p/>
    <w:p>
      <w:pPr>
        <w:pStyle w:val="Normal"/>
      </w:pPr>
      <w:r>
        <w:rPr>
          <w:color w:val="323232"/>
        </w:rPr>
        <w:t xml:space="preserve">ANIMALS:One hundred and twenty-six healthy adult dogs from clients, students, faculty, or staff.</w:t>
      </w:r>
    </w:p>
    <w:p/>
    <w:p>
      <w:pPr>
        <w:pStyle w:val="Normal"/>
      </w:pPr>
      <w:r>
        <w:rPr>
          <w:color w:val="323232"/>
        </w:rPr>
        <w:t xml:space="preserve">METHODS:Prospective, multicenter, observational study. Two observer pairs evaluated CVCD by a longitudinal subxiphoid view (SV), a transverse 11th-13th right hepatic intercostal view (HV), and a longitudinal right paralumbar view (PV). Inter-rater agreements were estimated using concordance correlation coefficients (CCC). For body weight (BW)-dependent variables, RVs were calculated using allometric scaling for variables with a CCC</w:t>
      </w:r>
      <w:r>
        <w:rPr>
          <w:color w:val="323232"/>
        </w:rPr>
        <w:t xml:space="preserve"> </w:t>
      </w:r>
      <w:r>
        <w:rPr>
          <w:color w:val="323232"/>
        </w:rPr>
        <w:t xml:space="preserve">≥</w:t>
      </w:r>
      <w:r>
        <w:rPr>
          <w:color w:val="323232"/>
        </w:rPr>
        <w:t xml:space="preserve"> </w:t>
      </w:r>
      <w:r>
        <w:rPr>
          <w:color w:val="323232"/>
        </w:rPr>
        <w:t xml:space="preserve">0.7.</w:t>
      </w:r>
    </w:p>
    <w:p/>
    <w:p>
      <w:pPr>
        <w:pStyle w:val="Normal"/>
      </w:pPr>
      <w:r>
        <w:rPr>
          <w:color w:val="323232"/>
        </w:rPr>
        <w:t xml:space="preserve">RESULTS:The CCC was ≤0.43 for the CVC/aorta ratio at the PV and ≤0.43 in both inspiration and expiration for CVC at the SV. The RVs using allometric scaling for CVCa at the HV for inspiration, expiration, and for CVCD at the PV were 6.16 × BW0.762 , 7.24 × BW0.787 , 2.79 × BW0.390 , respectively.</w:t>
      </w:r>
    </w:p>
    <w:p/>
    <w:p>
      <w:pPr>
        <w:pStyle w:val="Normal"/>
      </w:pPr>
      <w:r>
        <w:rPr>
          <w:color w:val="323232"/>
        </w:rPr>
        <w:t xml:space="preserve">CONCLUSIONS AND CLINICAL IMPORTANCE:The CVCD , measured at the HV and PV in healthy awake dogs of various breeds has good inter-rater agreement suggesting these sites are reliable in measuring CVCD . Established RVs for CVCD for these sites need further comparison to results obtained in hypovolemic and hypervolemic dogs to determine their usefulness to evaluate volume status in dogs.</w:t>
      </w:r>
    </w:p>
    <w:p/>
    <w:p>
      <w:pPr>
        <w:pStyle w:val="Normal"/>
      </w:pPr>
      <w:r>
        <w:rPr>
          <w:color w:val="323232"/>
        </w:rPr>
        <w:t xml:space="preserve">J Vet Intern Med, 2018 vol. 32 (4) pp. 1308-1318.</w:t>
      </w:r>
    </w:p>
    <w:p>
      <w:r>
        <w:rPr>
          <w:rStyle w:val="Hyperlink"/>
        </w:rPr>
        <w:fldChar w:fldCharType="begin"/>
      </w:r>
      <w:r>
        <w:rPr>
          <w:rStyle w:val="Hyperlink"/>
        </w:rPr>
        <w:instrText xml:space="preserve"> HYPERLINK "http://dx.doi.org/10.1111/jvim.15136" </w:instrText>
      </w:r>
      <w:r>
        <w:rPr>
          <w:rStyle w:val="Hyperlink"/>
        </w:rPr>
      </w:r>
      <w:r>
        <w:rPr>
          <w:rStyle w:val="Hyperlink"/>
        </w:rPr>
        <w:fldChar w:fldCharType="separate"/>
      </w:r>
      <w:pPr>
        <w:pStyle w:val="Normal"/>
      </w:pPr>
      <w:r>
        <w:rPr>
          <w:rStyle w:val="Hyperlink"/>
        </w:rPr>
        <w:t xml:space="preserve">http://dx.doi.org/10.1111/jvim.15136</w:t>
      </w:r>
      <w:r>
        <w:rPr>
          <w:rStyle w:val="Hyperlink"/>
        </w:rPr>
        <w:fldChar w:fldCharType="end"/>
      </w:r>
    </w:p>
    <w:p>
      <w:pPr>
        <w:pStyle w:val="Normal"/>
      </w:pPr>
      <w:r>
        <w:rPr>
          <w:color w:val="323232"/>
        </w:rPr>
        <w:t xml:space="preserve">————————</w:t>
      </w:r>
    </w:p>
    <w:p>
      <w:pPr>
        <w:pStyle w:val="Heading4"/>
      </w:pPr>
      <w:r>
        <w:t xml:space="preserve">Use of basal and TRH-stimulated plasma growth hormone concentrations to differentiate between primary hypothyroidism and nonthyroidal illness in dogs.</w:t>
      </w:r>
    </w:p>
    <w:p/>
    <w:p>
      <w:pPr>
        <w:pStyle w:val="Normal"/>
      </w:pPr>
      <w:r>
        <w:rPr>
          <w:color w:val="323232"/>
        </w:rPr>
        <w:t xml:space="preserve">Tera Pijnacker, Hans S Kooistra, Cathelijne F Vermeulen, Merel van der Vinne, Marrit Prins, Sara Galac, and Jan A Mol.</w:t>
      </w:r>
    </w:p>
    <w:p/>
    <w:p>
      <w:pPr>
        <w:pStyle w:val="Normal"/>
      </w:pPr>
      <w:r>
        <w:rPr>
          <w:color w:val="323232"/>
        </w:rPr>
        <w:t xml:space="preserve">BACKGROUND:A low plasma total thyroxine (TT4 ) concentration in combination with a plasma TSH concentration within reference range does not distinguish between hypothyroidism and nonthyroidal illness (NTI) in dogs. Hypothyroidism is associated with TSH-releasing hormone (TRH)-induced increased release of growth hormone (GH).</w:t>
      </w:r>
    </w:p>
    <w:p/>
    <w:p>
      <w:pPr>
        <w:pStyle w:val="Normal"/>
      </w:pPr>
      <w:r>
        <w:rPr>
          <w:color w:val="323232"/>
        </w:rPr>
        <w:t xml:space="preserve">HYPOTHESIS:Basal and TRH-induced plasma GH concentrations can be used to distinguish hypothyroid dogs from NTI dogs.</w:t>
      </w:r>
    </w:p>
    <w:p/>
    <w:p>
      <w:pPr>
        <w:pStyle w:val="Normal"/>
      </w:pPr>
      <w:r>
        <w:rPr>
          <w:color w:val="323232"/>
        </w:rPr>
        <w:t xml:space="preserve">ANIMALS:Twenty-one dogs with signs consistent with hypothyroidism, a low plasma TT4 concentration, and a plasma TSH concentration within reference interval.</w:t>
      </w:r>
    </w:p>
    <w:p/>
    <w:p>
      <w:pPr>
        <w:pStyle w:val="Normal"/>
      </w:pPr>
      <w:r>
        <w:rPr>
          <w:color w:val="323232"/>
        </w:rPr>
        <w:t xml:space="preserve">METHODS:Case control study. Thyroid scintigraphy was performed to classify dogs as having hypothyroidism or NTI. All dogs underwent a TRH stimulation test with measurement of plasma concentrations of GH and TSH before and 30 and 45 minutes after IV administration of TRH.</w:t>
      </w:r>
    </w:p>
    <w:p/>
    <w:p>
      <w:pPr>
        <w:pStyle w:val="Normal"/>
      </w:pPr>
      <w:r>
        <w:rPr>
          <w:color w:val="323232"/>
        </w:rPr>
        <w:t xml:space="preserve">RESULTS:Eleven of the dogs were classified as hypothyroid and 10 as having NTI. Basal plasma GH concentration in the hypothyroid dogs (3.2 μg</w:t>
      </w:r>
      <w:r>
        <w:rPr>
          <w:i w:val="1"/>
          <w:color w:val="323232"/>
        </w:rPr>
        <w:t xml:space="preserve">l; range, 2.0 to 12.5 μg</w:t>
      </w:r>
      <w:r>
        <w:rPr>
          <w:color w:val="323232"/>
        </w:rPr>
        <w:t xml:space="preserve">l) was significantly higher (p&lt;0.001) than that in the NTI dogs (.73 μg</w:t>
      </w:r>
      <w:r>
        <w:rPr>
          <w:i w:val="1"/>
          <w:color w:val="323232"/>
        </w:rPr>
        <w:t xml:space="preserve">l; range, .45 to 2.3 μg</w:t>
      </w:r>
      <w:r>
        <w:rPr>
          <w:color w:val="323232"/>
        </w:rPr>
        <w:t xml:space="preserve">l), with minimal overlap, and increased (p=.009) after TRH administration in hypothyroid dogs, whereas it did not change in NTI dogs. At T=45, plasma GH concentrations in hypothyroid dogs and NTI dogs did not overlap. The plasma TSH concentration did not change significantly after TRH administration in hypothyroid dogs, whereas it increased (p&lt;.001) in NTI dogs. At T=45, there was no overlap in percentage TSH increase from baseline between hypothyroid dogs.</w:t>
      </w:r>
    </w:p>
    <w:p/>
    <w:p>
      <w:pPr>
        <w:pStyle w:val="Normal"/>
      </w:pPr>
      <w:r>
        <w:rPr>
          <w:color w:val="323232"/>
        </w:rPr>
        <w:t xml:space="preserve">CONCLUSIONS AND CLINICAL IMPORTANCE:Measurement of basal plasma GH concentration and concentrations of GH and TSH after TRH stimulation can distinguish between hypothyroidism and NTI in dogs.</w:t>
      </w:r>
    </w:p>
    <w:p/>
    <w:p>
      <w:pPr>
        <w:pStyle w:val="Normal"/>
      </w:pPr>
      <w:r>
        <w:rPr>
          <w:color w:val="323232"/>
        </w:rPr>
        <w:t xml:space="preserve">J Vet Intern Med, 2018 vol. 32 (4), 2 pp. 1319-1324.</w:t>
      </w:r>
    </w:p>
    <w:p>
      <w:r>
        <w:rPr>
          <w:rStyle w:val="Hyperlink"/>
        </w:rPr>
        <w:fldChar w:fldCharType="begin"/>
      </w:r>
      <w:r>
        <w:rPr>
          <w:rStyle w:val="Hyperlink"/>
        </w:rPr>
        <w:instrText xml:space="preserve"> HYPERLINK "http://dx.doi.org/10.1111/jvim.15139" </w:instrText>
      </w:r>
      <w:r>
        <w:rPr>
          <w:rStyle w:val="Hyperlink"/>
        </w:rPr>
      </w:r>
      <w:r>
        <w:rPr>
          <w:rStyle w:val="Hyperlink"/>
        </w:rPr>
        <w:fldChar w:fldCharType="separate"/>
      </w:r>
      <w:pPr>
        <w:pStyle w:val="Normal"/>
      </w:pPr>
      <w:r>
        <w:rPr>
          <w:rStyle w:val="Hyperlink"/>
        </w:rPr>
        <w:t xml:space="preserve">http://dx.doi.org/10.1111/jvim.15139</w:t>
      </w:r>
      <w:r>
        <w:rPr>
          <w:rStyle w:val="Hyperlink"/>
        </w:rPr>
        <w:fldChar w:fldCharType="end"/>
      </w:r>
    </w:p>
    <w:p>
      <w:pPr>
        <w:pStyle w:val="Normal"/>
      </w:pPr>
      <w:r>
        <w:rPr>
          <w:color w:val="323232"/>
        </w:rPr>
        <w:t xml:space="preserve">————————</w:t>
      </w:r>
    </w:p>
    <w:p>
      <w:pPr>
        <w:pStyle w:val="Heading4"/>
      </w:pPr>
      <w:r>
        <w:t xml:space="preserve">Effects of immunosuppressive agents on the hemostatic system in normal dogs.</w:t>
      </w:r>
    </w:p>
    <w:p/>
    <w:p>
      <w:pPr>
        <w:pStyle w:val="Normal"/>
      </w:pPr>
      <w:r>
        <w:rPr>
          <w:color w:val="323232"/>
        </w:rPr>
        <w:t xml:space="preserve">John M Thomason, Todd M Archer, Robert W Wills, and Andrew J Mackin.</w:t>
      </w:r>
    </w:p>
    <w:p/>
    <w:p>
      <w:pPr>
        <w:pStyle w:val="Normal"/>
      </w:pPr>
      <w:r>
        <w:rPr>
          <w:color w:val="323232"/>
        </w:rPr>
        <w:t xml:space="preserve">BACKGROUND:In dogs, the effects of immunosuppressive medications on hemostasis are not well known.</w:t>
      </w:r>
    </w:p>
    <w:p/>
    <w:p>
      <w:pPr>
        <w:pStyle w:val="Normal"/>
      </w:pPr>
      <w:r>
        <w:rPr>
          <w:color w:val="323232"/>
        </w:rPr>
        <w:t xml:space="preserve">HYPOTHESIS/OBJECTIVES:The objective was to determine the effects of immunosuppressive medications on primary and secondary hemostasis. Our hypothesis was that cyclosporine and prednisone would increase markers of hypercoagulability and thromboxane synthesis, while azathioprine, mycophenolate mofetil, and leflunomide would have minimal effects on hemostasis.</w:t>
      </w:r>
    </w:p>
    <w:p/>
    <w:p>
      <w:pPr>
        <w:pStyle w:val="Normal"/>
      </w:pPr>
      <w:r>
        <w:rPr>
          <w:color w:val="323232"/>
        </w:rPr>
        <w:t xml:space="preserve">ANIMALS:Eight healthy dogs.</w:t>
      </w:r>
    </w:p>
    <w:p/>
    <w:p>
      <w:pPr>
        <w:pStyle w:val="Normal"/>
      </w:pPr>
      <w:r>
        <w:rPr>
          <w:color w:val="323232"/>
        </w:rPr>
        <w:t xml:space="preserve">METHODS:A randomized, cross-over study used aggregometry, the PFA-100 platelet function analyzer, viscoelastometry, platelet count, and prothrombin and activated partial thromboplastin times to evaluate hemostasis during the administration of prednisone, azathioprine, cyclosporine, mycophenolate mofetil, and leflunomide for 1 week each at standard oral doses. Urine 11-dehydro-thromboxane-B2 (11-dTXB2 ) and 6-keto-prostaglandin-F1α (6-keto-PGF1α ) concentrations, normalized to urine creatinine concentration, were measured.</w:t>
      </w:r>
    </w:p>
    <w:p/>
    <w:p>
      <w:pPr>
        <w:pStyle w:val="Normal"/>
      </w:pPr>
      <w:r>
        <w:rPr>
          <w:color w:val="323232"/>
        </w:rPr>
        <w:t xml:space="preserve">RESULTS:The aggregometry amplitude decreased from 51</w:t>
      </w:r>
      <w:r>
        <w:rPr>
          <w:color w:val="323232"/>
        </w:rPr>
        <w:t xml:space="preserve"> </w:t>
      </w:r>
      <w:r>
        <w:rPr>
          <w:color w:val="323232"/>
        </w:rPr>
        <w:t xml:space="preserve">±</w:t>
      </w:r>
      <w:r>
        <w:rPr>
          <w:color w:val="323232"/>
        </w:rPr>
        <w:t xml:space="preserve"> </w:t>
      </w:r>
      <w:r>
        <w:rPr>
          <w:color w:val="323232"/>
        </w:rPr>
        <w:t xml:space="preserve">21 to 27</w:t>
      </w:r>
      <w:r>
        <w:rPr>
          <w:color w:val="323232"/>
        </w:rPr>
        <w:t xml:space="preserve"> </w:t>
      </w:r>
      <w:r>
        <w:rPr>
          <w:color w:val="323232"/>
        </w:rPr>
        <w:t xml:space="preserve">±</w:t>
      </w:r>
      <w:r>
        <w:rPr>
          <w:color w:val="323232"/>
        </w:rPr>
        <w:t xml:space="preserve"> </w:t>
      </w:r>
      <w:r>
        <w:rPr>
          <w:color w:val="323232"/>
        </w:rPr>
        <w:t xml:space="preserve">14 (P</w:t>
      </w:r>
      <w:r>
        <w:rPr>
          <w:color w:val="323232"/>
        </w:rPr>
        <w:t xml:space="preserve"> </w:t>
      </w:r>
      <w:r>
        <w:rPr>
          <w:color w:val="323232"/>
        </w:rPr>
        <w:t xml:space="preserve">=</w:t>
      </w:r>
      <w:r>
        <w:rPr>
          <w:color w:val="323232"/>
        </w:rPr>
        <w:t xml:space="preserve"> </w:t>
      </w:r>
      <w:r>
        <w:rPr>
          <w:color w:val="323232"/>
        </w:rPr>
        <w:t xml:space="preserve">.002) during leflunomide treatment (ADP activation), but there were no differences in amplitude (P</w:t>
      </w:r>
      <w:r>
        <w:rPr>
          <w:color w:val="323232"/>
        </w:rPr>
        <w:t xml:space="preserve"> </w:t>
      </w:r>
      <w:r>
        <w:rPr>
          <w:color w:val="323232"/>
        </w:rPr>
        <w:t xml:space="preserve">=</w:t>
      </w:r>
      <w:r>
        <w:rPr>
          <w:color w:val="323232"/>
        </w:rPr>
        <w:t xml:space="preserve"> </w:t>
      </w:r>
      <w:r>
        <w:rPr>
          <w:color w:val="323232"/>
        </w:rPr>
        <w:t xml:space="preserve">.240) for any medications when platelets were activated with collagen. For all medications, there were no significant differences in viscoelastometry indices (ACT, P</w:t>
      </w:r>
      <w:r>
        <w:rPr>
          <w:color w:val="323232"/>
        </w:rPr>
        <w:t xml:space="preserve"> </w:t>
      </w:r>
      <w:r>
        <w:rPr>
          <w:color w:val="323232"/>
        </w:rPr>
        <w:t xml:space="preserve">=</w:t>
      </w:r>
      <w:r>
        <w:rPr>
          <w:color w:val="323232"/>
        </w:rPr>
        <w:t xml:space="preserve"> </w:t>
      </w:r>
      <w:r>
        <w:rPr>
          <w:color w:val="323232"/>
        </w:rPr>
        <w:t xml:space="preserve">.666; ClotRate, P</w:t>
      </w:r>
      <w:r>
        <w:rPr>
          <w:color w:val="323232"/>
        </w:rPr>
        <w:t xml:space="preserve"> </w:t>
      </w:r>
      <w:r>
        <w:rPr>
          <w:color w:val="323232"/>
        </w:rPr>
        <w:t xml:space="preserve">=</w:t>
      </w:r>
      <w:r>
        <w:rPr>
          <w:color w:val="323232"/>
        </w:rPr>
        <w:t xml:space="preserve"> </w:t>
      </w:r>
      <w:r>
        <w:rPr>
          <w:color w:val="323232"/>
        </w:rPr>
        <w:t xml:space="preserve">.340; and platelet function, P</w:t>
      </w:r>
      <w:r>
        <w:rPr>
          <w:color w:val="323232"/>
        </w:rPr>
        <w:t xml:space="preserve"> </w:t>
      </w:r>
      <w:r>
        <w:rPr>
          <w:color w:val="323232"/>
        </w:rPr>
        <w:t xml:space="preserve">=</w:t>
      </w:r>
      <w:r>
        <w:rPr>
          <w:color w:val="323232"/>
        </w:rPr>
        <w:t xml:space="preserve"> </w:t>
      </w:r>
      <w:r>
        <w:rPr>
          <w:color w:val="323232"/>
        </w:rPr>
        <w:t xml:space="preserve">.411) and platelet count (P</w:t>
      </w:r>
      <w:r>
        <w:rPr>
          <w:color w:val="323232"/>
        </w:rPr>
        <w:t xml:space="preserve"> </w:t>
      </w:r>
      <w:r>
        <w:rPr>
          <w:color w:val="323232"/>
        </w:rPr>
        <w:t xml:space="preserve">=</w:t>
      </w:r>
      <w:r>
        <w:rPr>
          <w:color w:val="323232"/>
        </w:rPr>
        <w:t xml:space="preserve"> </w:t>
      </w:r>
      <w:r>
        <w:rPr>
          <w:color w:val="323232"/>
        </w:rPr>
        <w:t xml:space="preserve">.552). Compared with pretreatment values, urinary 11-dTXB2 -to-creatinine ratio increased (P</w:t>
      </w:r>
      <w:r>
        <w:rPr>
          <w:color w:val="323232"/>
        </w:rPr>
        <w:t xml:space="preserve"> </w:t>
      </w:r>
      <w:r>
        <w:rPr>
          <w:color w:val="323232"/>
        </w:rPr>
        <w:t xml:space="preserve">=</w:t>
      </w:r>
      <w:r>
        <w:rPr>
          <w:color w:val="323232"/>
        </w:rPr>
        <w:t xml:space="preserve"> </w:t>
      </w:r>
      <w:r>
        <w:rPr>
          <w:color w:val="323232"/>
        </w:rPr>
        <w:t xml:space="preserve">.001) after drug administration (from 3.7</w:t>
      </w:r>
      <w:r>
        <w:rPr>
          <w:color w:val="323232"/>
        </w:rPr>
        <w:t xml:space="preserve"> </w:t>
      </w:r>
      <w:r>
        <w:rPr>
          <w:color w:val="323232"/>
        </w:rPr>
        <w:t xml:space="preserve">±</w:t>
      </w:r>
      <w:r>
        <w:rPr>
          <w:color w:val="323232"/>
        </w:rPr>
        <w:t xml:space="preserve"> </w:t>
      </w:r>
      <w:r>
        <w:rPr>
          <w:color w:val="323232"/>
        </w:rPr>
        <w:t xml:space="preserve">0.6 to 5.6</w:t>
      </w:r>
      <w:r>
        <w:rPr>
          <w:color w:val="323232"/>
        </w:rPr>
        <w:t xml:space="preserve"> </w:t>
      </w:r>
      <w:r>
        <w:rPr>
          <w:color w:val="323232"/>
        </w:rPr>
        <w:t xml:space="preserve">±</w:t>
      </w:r>
      <w:r>
        <w:rPr>
          <w:color w:val="323232"/>
        </w:rPr>
        <w:t xml:space="preserve"> </w:t>
      </w:r>
      <w:r>
        <w:rPr>
          <w:color w:val="323232"/>
        </w:rPr>
        <w:t xml:space="preserve">1.1). Cyclosporine was associated with an increase (P</w:t>
      </w:r>
      <w:r>
        <w:rPr>
          <w:color w:val="323232"/>
        </w:rPr>
        <w:t xml:space="preserve"> </w:t>
      </w:r>
      <w:r>
        <w:rPr>
          <w:color w:val="323232"/>
        </w:rPr>
        <w:t xml:space="preserve">&lt;</w:t>
      </w:r>
      <w:r>
        <w:rPr>
          <w:color w:val="323232"/>
        </w:rPr>
        <w:t xml:space="preserve"> </w:t>
      </w:r>
      <w:r>
        <w:rPr>
          <w:color w:val="323232"/>
        </w:rPr>
        <w:t xml:space="preserve">.001) in the 6-keto-PGF1α -to-creatinine ratio (from 10.3</w:t>
      </w:r>
      <w:r>
        <w:rPr>
          <w:color w:val="323232"/>
        </w:rPr>
        <w:t xml:space="preserve"> </w:t>
      </w:r>
      <w:r>
        <w:rPr>
          <w:color w:val="323232"/>
        </w:rPr>
        <w:t xml:space="preserve">±</w:t>
      </w:r>
      <w:r>
        <w:rPr>
          <w:color w:val="323232"/>
        </w:rPr>
        <w:t xml:space="preserve"> </w:t>
      </w:r>
      <w:r>
        <w:rPr>
          <w:color w:val="323232"/>
        </w:rPr>
        <w:t xml:space="preserve">4.6 to 22.1</w:t>
      </w:r>
      <w:r>
        <w:rPr>
          <w:color w:val="323232"/>
        </w:rPr>
        <w:t xml:space="preserve"> </w:t>
      </w:r>
      <w:r>
        <w:rPr>
          <w:color w:val="323232"/>
        </w:rPr>
        <w:t xml:space="preserve">±</w:t>
      </w:r>
      <w:r>
        <w:rPr>
          <w:color w:val="323232"/>
        </w:rPr>
        <w:t xml:space="preserve"> </w:t>
      </w:r>
      <w:r>
        <w:rPr>
          <w:color w:val="323232"/>
        </w:rPr>
        <w:t xml:space="preserve">5.3).</w:t>
      </w:r>
    </w:p>
    <w:p/>
    <w:p>
      <w:pPr>
        <w:pStyle w:val="Normal"/>
      </w:pPr>
      <w:r>
        <w:rPr>
          <w:color w:val="323232"/>
        </w:rPr>
        <w:t xml:space="preserve">CONCLUSIONS AND CLINICAL IMPORTANCE:Most immunosuppressive drugs do not enhance platelet function or coagulation in healthy dogs, suggesting that these medications might not predispose hypercoagulable dogs to thromboembolism. The results of our study need to be correlated with the clinical outcomes of hypercoagulable dogs.</w:t>
      </w:r>
    </w:p>
    <w:p/>
    <w:p>
      <w:pPr>
        <w:pStyle w:val="Normal"/>
      </w:pPr>
      <w:r>
        <w:rPr>
          <w:color w:val="323232"/>
        </w:rPr>
        <w:t xml:space="preserve">J Vet Intern Med, 2018 vol. 32 (4) pp. 1325-1333.</w:t>
      </w:r>
    </w:p>
    <w:p>
      <w:r>
        <w:rPr>
          <w:rStyle w:val="Hyperlink"/>
        </w:rPr>
        <w:fldChar w:fldCharType="begin"/>
      </w:r>
      <w:r>
        <w:rPr>
          <w:rStyle w:val="Hyperlink"/>
        </w:rPr>
        <w:instrText xml:space="preserve"> HYPERLINK "http://dx.doi.org/10.1111/jvim.15132" </w:instrText>
      </w:r>
      <w:r>
        <w:rPr>
          <w:rStyle w:val="Hyperlink"/>
        </w:rPr>
      </w:r>
      <w:r>
        <w:rPr>
          <w:rStyle w:val="Hyperlink"/>
        </w:rPr>
        <w:fldChar w:fldCharType="separate"/>
      </w:r>
      <w:pPr>
        <w:pStyle w:val="Normal"/>
      </w:pPr>
      <w:r>
        <w:rPr>
          <w:rStyle w:val="Hyperlink"/>
        </w:rPr>
        <w:t xml:space="preserve">http://dx.doi.org/10.1111/jvim.15132</w:t>
      </w:r>
      <w:r>
        <w:rPr>
          <w:rStyle w:val="Hyperlink"/>
        </w:rPr>
        <w:fldChar w:fldCharType="end"/>
      </w:r>
    </w:p>
    <w:p>
      <w:pPr>
        <w:pStyle w:val="Normal"/>
      </w:pPr>
      <w:r>
        <w:rPr>
          <w:color w:val="323232"/>
        </w:rPr>
        <w:t xml:space="preserve">————————</w:t>
      </w:r>
    </w:p>
    <w:p>
      <w:pPr>
        <w:pStyle w:val="Heading4"/>
      </w:pPr>
      <w:r>
        <w:t xml:space="preserve">Characteristics of hemostasis during experimental Ehrlichia canis infection.</w:t>
      </w:r>
    </w:p>
    <w:p/>
    <w:p>
      <w:pPr>
        <w:pStyle w:val="Normal"/>
      </w:pPr>
      <w:r>
        <w:rPr>
          <w:color w:val="323232"/>
        </w:rPr>
        <w:t xml:space="preserve">Sarah Shropshire, Christine Olver, and Michael Lappin.</w:t>
      </w:r>
    </w:p>
    <w:p/>
    <w:p>
      <w:pPr>
        <w:pStyle w:val="Normal"/>
      </w:pPr>
      <w:r>
        <w:rPr>
          <w:color w:val="323232"/>
        </w:rPr>
        <w:t xml:space="preserve">BACKGROUND:Ehrlichia canis infection in dogs can cause thrombocytopenia and clinical evidence of bleeding. It is unknown why some dogs show signs of bleeding whereas others do not despite clinically relevant thrombocytopenia.</w:t>
      </w:r>
    </w:p>
    <w:p/>
    <w:p>
      <w:pPr>
        <w:pStyle w:val="Normal"/>
      </w:pPr>
      <w:r>
        <w:rPr>
          <w:color w:val="323232"/>
        </w:rPr>
        <w:t xml:space="preserve">HYPOTHESIS/OBJECTIVES:Activated platelets, decreased fibrinolysis or both mitigate bleeding tendency. Assess standard hemostatic variables, platelet dynamics, and specialized coagulation testing in dogs experimentally infected with E. canis to evaluate this clinical discrepancy.</w:t>
      </w:r>
    </w:p>
    <w:p/>
    <w:p>
      <w:pPr>
        <w:pStyle w:val="Normal"/>
      </w:pPr>
      <w:r>
        <w:rPr>
          <w:color w:val="323232"/>
        </w:rPr>
        <w:t xml:space="preserve">ANIMALS:Four healthy laboratory beagles.</w:t>
      </w:r>
    </w:p>
    <w:p/>
    <w:p>
      <w:pPr>
        <w:pStyle w:val="Normal"/>
      </w:pPr>
      <w:r>
        <w:rPr>
          <w:color w:val="323232"/>
        </w:rPr>
        <w:t xml:space="preserve">METHODS:Dogs were given blood infected with E. canis IV. Platelet indices of activation, platelet aggregometry, antiplatelet antibodies (percent IgG), complete coagulation panel, and thromboelastography (TEG) were measured before inoculation and on weeks 1-8. Dogs were treated with doxycycline at approximately 5 mg/kg PO q12h between weeks 3 and 4 (day 24). For each variable, 1-way repeated measures analysis (1-way ANOVA) with post-hoc analysis was performed with statistical significance set at P</w:t>
      </w:r>
      <w:r>
        <w:rPr>
          <w:color w:val="323232"/>
        </w:rPr>
        <w:t xml:space="preserve"> </w:t>
      </w:r>
      <w:r>
        <w:rPr>
          <w:color w:val="323232"/>
        </w:rPr>
        <w:t xml:space="preserve">&lt;</w:t>
      </w:r>
      <w:r>
        <w:rPr>
          <w:color w:val="323232"/>
        </w:rPr>
        <w:t xml:space="preserve"> </w:t>
      </w:r>
      <w:r>
        <w:rPr>
          <w:color w:val="323232"/>
        </w:rPr>
        <w:t xml:space="preserve">.05.</w:t>
      </w:r>
    </w:p>
    <w:p/>
    <w:p>
      <w:pPr>
        <w:pStyle w:val="Normal"/>
      </w:pPr>
      <w:r>
        <w:rPr>
          <w:color w:val="323232"/>
        </w:rPr>
        <w:t xml:space="preserve">RESULTS:Dogs had significantly lower platelet counts, evidence of activated platelets, and antiplatelet antibodies during E. canis infection. Dogs also appeared hypercoagulable and hypofibrinolytic using TEG as compared with baseline, changes that persisted for variable amounts of time after doxycycline administration. No overt signs of bleeding were noted during the study.</w:t>
      </w:r>
    </w:p>
    <w:p/>
    <w:p>
      <w:pPr>
        <w:pStyle w:val="Normal"/>
      </w:pPr>
      <w:r>
        <w:rPr>
          <w:color w:val="323232"/>
        </w:rPr>
        <w:t xml:space="preserve">CONCLUSIONS AND CLINICAL IMPORTANCE:Activated platelets and a hypercoagulable, hypofibrinolytic state could explain the lack of a bleeding phenotype in some dogs despite clinically relevant thrombocytopenia. Findings from our pilot study indicate that additional studies are warranted.</w:t>
      </w:r>
    </w:p>
    <w:p/>
    <w:p>
      <w:pPr>
        <w:pStyle w:val="Normal"/>
      </w:pPr>
      <w:r>
        <w:rPr>
          <w:color w:val="323232"/>
        </w:rPr>
        <w:t xml:space="preserve">J Vet Intern Med, 2018 vol. 32 (4) pp. 1334-1342.</w:t>
      </w:r>
    </w:p>
    <w:p>
      <w:r>
        <w:rPr>
          <w:rStyle w:val="Hyperlink"/>
        </w:rPr>
        <w:fldChar w:fldCharType="begin"/>
      </w:r>
      <w:r>
        <w:rPr>
          <w:rStyle w:val="Hyperlink"/>
        </w:rPr>
        <w:instrText xml:space="preserve"> HYPERLINK "http://dx.doi.org/10.1111/jvim.15130" </w:instrText>
      </w:r>
      <w:r>
        <w:rPr>
          <w:rStyle w:val="Hyperlink"/>
        </w:rPr>
      </w:r>
      <w:r>
        <w:rPr>
          <w:rStyle w:val="Hyperlink"/>
        </w:rPr>
        <w:fldChar w:fldCharType="separate"/>
      </w:r>
      <w:pPr>
        <w:pStyle w:val="Normal"/>
      </w:pPr>
      <w:r>
        <w:rPr>
          <w:rStyle w:val="Hyperlink"/>
        </w:rPr>
        <w:t xml:space="preserve">http://dx.doi.org/10.1111/jvim.15130</w:t>
      </w:r>
      <w:r>
        <w:rPr>
          <w:rStyle w:val="Hyperlink"/>
        </w:rPr>
        <w:fldChar w:fldCharType="end"/>
      </w:r>
    </w:p>
    <w:p>
      <w:pPr>
        <w:pStyle w:val="Normal"/>
      </w:pPr>
      <w:r>
        <w:rPr>
          <w:color w:val="323232"/>
        </w:rPr>
        <w:t xml:space="preserve">————————</w:t>
      </w:r>
    </w:p>
    <w:p>
      <w:pPr>
        <w:pStyle w:val="Heading4"/>
      </w:pPr>
      <w:r>
        <w:t xml:space="preserve">Genome-wide based model predicting recovery from portosystemic shunting after liver shunt attenuation in dogs.</w:t>
      </w:r>
    </w:p>
    <w:p/>
    <w:p>
      <w:pPr>
        <w:pStyle w:val="Normal"/>
      </w:pPr>
      <w:r>
        <w:rPr>
          <w:color w:val="323232"/>
        </w:rPr>
        <w:t xml:space="preserve">Lindsay Van den Bossche, Frank G van Steenbeek, Maarten F Weber, Bart Spee, Louis C Penning, Freek J van Sluijs, Flin Zomerdijk, Marian J A Groot Koerkamp, Jan Rothuizen, Iwan A Burgener, and Anne Kummeling.</w:t>
      </w:r>
    </w:p>
    <w:p/>
    <w:p>
      <w:pPr>
        <w:pStyle w:val="Normal"/>
      </w:pPr>
      <w:r>
        <w:rPr>
          <w:color w:val="323232"/>
        </w:rPr>
        <w:t xml:space="preserve">BACKGROUND:In dogs with congenital portosystemic shunt (CPSS), recovery after surgical CPSS attenuation is difficult to predict.</w:t>
      </w:r>
    </w:p>
    <w:p/>
    <w:p>
      <w:pPr>
        <w:pStyle w:val="Normal"/>
      </w:pPr>
      <w:r>
        <w:rPr>
          <w:color w:val="323232"/>
        </w:rPr>
        <w:t xml:space="preserve">OBJECTIVES:Our aim was to build a model with plasma albumin concentration and mRNA expression levels of hepatic gene products as predictors of recovery from portosystemic shunting after surgery.</w:t>
      </w:r>
    </w:p>
    <w:p/>
    <w:p>
      <w:pPr>
        <w:pStyle w:val="Normal"/>
      </w:pPr>
      <w:r>
        <w:rPr>
          <w:color w:val="323232"/>
        </w:rPr>
        <w:t xml:space="preserve">ANIMALS:Seventy-three client-owned dogs referred for surgical attenuation of CPSS.</w:t>
      </w:r>
    </w:p>
    <w:p/>
    <w:p>
      <w:pPr>
        <w:pStyle w:val="Normal"/>
      </w:pPr>
      <w:r>
        <w:rPr>
          <w:color w:val="323232"/>
        </w:rPr>
        <w:t xml:space="preserve">METHODS:A prediction model was constructed using 2 case-control studies of recovered and nonrecovered dogs after surgical CPSS attenuation. In the 1st study, a dog-specific gene expression microarray analysis was used to compare mRNA expression in intraoperatively collected liver tissue between 23 recovered and 23 nonrecovered dogs. In the 2nd study, preoperative plasma albumin concentration and the expression of microarray-selected genes were confirmed by RT-qPCR in intraoperatively collected liver samples of 31 recovered and 31 nonrecovered dogs, including 35 dogs from the 1st study.</w:t>
      </w:r>
    </w:p>
    <w:p/>
    <w:p>
      <w:pPr>
        <w:pStyle w:val="Normal"/>
      </w:pPr>
      <w:r>
        <w:rPr>
          <w:color w:val="323232"/>
        </w:rPr>
        <w:t xml:space="preserve">RESULTS:In the 1st study, 43 genes were differently expressed in recovered and nonrecovered dogs. The mean preoperative plasma albumin concentration in recovered dogs was higher compared to nonrecovered dogs (23 and 19 g/L, respectively; P</w:t>
      </w:r>
      <w:r>
        <w:rPr>
          <w:color w:val="323232"/>
        </w:rPr>
        <w:t xml:space="preserve"> </w:t>
      </w:r>
      <w:r>
        <w:rPr>
          <w:color w:val="323232"/>
        </w:rPr>
        <w:t xml:space="preserve">=</w:t>
      </w:r>
      <w:r>
        <w:rPr>
          <w:color w:val="323232"/>
        </w:rPr>
        <w:t xml:space="preserve"> </w:t>
      </w:r>
      <w:r>
        <w:rPr>
          <w:color w:val="323232"/>
        </w:rPr>
        <w:t xml:space="preserve">.004). The best fitting prediction model in the 2nd study included preoperative plasma albumin concentration and intraoperative DHDH, ERLEC1, and LYSMD2 gene expression levels.</w:t>
      </w:r>
    </w:p>
    <w:p/>
    <w:p>
      <w:pPr>
        <w:pStyle w:val="Normal"/>
      </w:pPr>
      <w:r>
        <w:rPr>
          <w:color w:val="323232"/>
        </w:rPr>
        <w:t xml:space="preserve">CONCLUSION AND CLINICAL IMPORTANCE:A preclinical model was constructed using preoperative plasma albumin concentration and intraoperative hepatic mRNA expression of 3 genes that were unbiasedly selected from the genome to predict recovery from portosystemic shunting after shunt ligation. Further development is essential for clinical application.</w:t>
      </w:r>
    </w:p>
    <w:p/>
    <w:p>
      <w:pPr>
        <w:pStyle w:val="Normal"/>
      </w:pPr>
      <w:r>
        <w:rPr>
          <w:color w:val="323232"/>
        </w:rPr>
        <w:t xml:space="preserve">J Vet Intern Med, 2018 vol. 32 (4), 2 pp. 1343-1352.</w:t>
      </w:r>
    </w:p>
    <w:p>
      <w:r>
        <w:rPr>
          <w:rStyle w:val="Hyperlink"/>
        </w:rPr>
        <w:fldChar w:fldCharType="begin"/>
      </w:r>
      <w:r>
        <w:rPr>
          <w:rStyle w:val="Hyperlink"/>
        </w:rPr>
        <w:instrText xml:space="preserve"> HYPERLINK "http://dx.doi.org/10.1111/jvim.15140" </w:instrText>
      </w:r>
      <w:r>
        <w:rPr>
          <w:rStyle w:val="Hyperlink"/>
        </w:rPr>
      </w:r>
      <w:r>
        <w:rPr>
          <w:rStyle w:val="Hyperlink"/>
        </w:rPr>
        <w:fldChar w:fldCharType="separate"/>
      </w:r>
      <w:pPr>
        <w:pStyle w:val="Normal"/>
      </w:pPr>
      <w:r>
        <w:rPr>
          <w:rStyle w:val="Hyperlink"/>
        </w:rPr>
        <w:t xml:space="preserve">http://dx.doi.org/10.1111/jvim.15140</w:t>
      </w:r>
      <w:r>
        <w:rPr>
          <w:rStyle w:val="Hyperlink"/>
        </w:rPr>
        <w:fldChar w:fldCharType="end"/>
      </w:r>
    </w:p>
    <w:p>
      <w:pPr>
        <w:pStyle w:val="Normal"/>
      </w:pPr>
      <w:r>
        <w:rPr>
          <w:color w:val="323232"/>
        </w:rPr>
        <w:t xml:space="preserve">————————</w:t>
      </w:r>
    </w:p>
    <w:p>
      <w:pPr>
        <w:pStyle w:val="Heading4"/>
      </w:pPr>
      <w:r>
        <w:t xml:space="preserve">Sinonasal aspergillosis: Outcome after topical treatment in dogs with cribriform plate lysis.</w:t>
      </w:r>
    </w:p>
    <w:p/>
    <w:p>
      <w:pPr>
        <w:pStyle w:val="Normal"/>
      </w:pPr>
      <w:r>
        <w:rPr>
          <w:color w:val="323232"/>
        </w:rPr>
        <w:t xml:space="preserve">Beatriz Belda, Nicholas Petrovitch, and Kyle G Mathews.</w:t>
      </w:r>
    </w:p>
    <w:p/>
    <w:p>
      <w:pPr>
        <w:pStyle w:val="Normal"/>
      </w:pPr>
      <w:r>
        <w:rPr>
          <w:color w:val="323232"/>
        </w:rPr>
        <w:t xml:space="preserve">BACKGROUND:Cribriform lysis has been considered a contraindication for topical treatment of sinonasal aspergillosis (SNA) because of concerns about drug extravasation with resultant neurologic signs or death.</w:t>
      </w:r>
    </w:p>
    <w:p/>
    <w:p>
      <w:pPr>
        <w:pStyle w:val="Normal"/>
      </w:pPr>
      <w:r>
        <w:rPr>
          <w:color w:val="323232"/>
        </w:rPr>
        <w:t xml:space="preserve">OBJECTIVE/HYPOTHESIS:To describe dogs with SNA and cribriform plate lysis treated with topical antifungal medications. Our hypothesis was that the conventional dogma that topical therapy should be avoided in these cases is incorrect.</w:t>
      </w:r>
    </w:p>
    <w:p/>
    <w:p>
      <w:pPr>
        <w:pStyle w:val="Normal"/>
      </w:pPr>
      <w:r>
        <w:rPr>
          <w:color w:val="323232"/>
        </w:rPr>
        <w:t xml:space="preserve">ANIMALS:Nine client-owned dogs with SNA and lysis of the cribriform plate, lysis of the floor of a frontal sinus or both detected by computed tomography (CT).</w:t>
      </w:r>
    </w:p>
    <w:p/>
    <w:p>
      <w:pPr>
        <w:pStyle w:val="Normal"/>
      </w:pPr>
      <w:r>
        <w:rPr>
          <w:color w:val="323232"/>
        </w:rPr>
        <w:t xml:space="preserve">METHODS:A retrospective review of medical records was performed. Dogs that met inclusion criteria (ie, SNA confirmed by at least 1 laboratory test, braincase affected on CT, and topical treatment applied) were included. Size of lesions, ancillary diagnostic test results, topical therapy, and adjuvant PO treatments were recorded. Outcome was determined by phone calls.</w:t>
      </w:r>
    </w:p>
    <w:p/>
    <w:p>
      <w:pPr>
        <w:pStyle w:val="Normal"/>
      </w:pPr>
      <w:r>
        <w:rPr>
          <w:color w:val="323232"/>
        </w:rPr>
        <w:t xml:space="preserve">RESULTS:Four dogs were alive at the time of the manuscript submission with follow-up ranging from 188 to 684 days without neurological signs observed. All dogs were discharged without major complication 1-7 days postoperatively. One dog that had presented with a history of seizures experienced seizure activity 2 months after treatment.</w:t>
      </w:r>
    </w:p>
    <w:p/>
    <w:p>
      <w:pPr>
        <w:pStyle w:val="Normal"/>
      </w:pPr>
      <w:r>
        <w:rPr>
          <w:color w:val="323232"/>
        </w:rPr>
        <w:t xml:space="preserve">CONCLUSIONS AND CLINICAL IMPORTANCE:Topical therapy did not result in complications in these dogs in which lytic regions as large as 16 × 22 mm2 were noted. Sinonasal aspergillosis associated lysis of the cribriform plate; lysis of the floor of a frontal sinus or both detected on CT is not necessarily a contraindication to topical therapy.</w:t>
      </w:r>
    </w:p>
    <w:p/>
    <w:p>
      <w:pPr>
        <w:pStyle w:val="Normal"/>
      </w:pPr>
      <w:r>
        <w:rPr>
          <w:color w:val="323232"/>
        </w:rPr>
        <w:t xml:space="preserve">J Vet Intern Med, 2018 vol. 32 (4), 4 pp. 1353-1358.</w:t>
      </w:r>
    </w:p>
    <w:p>
      <w:r>
        <w:rPr>
          <w:rStyle w:val="Hyperlink"/>
        </w:rPr>
        <w:fldChar w:fldCharType="begin"/>
      </w:r>
      <w:r>
        <w:rPr>
          <w:rStyle w:val="Hyperlink"/>
        </w:rPr>
        <w:instrText xml:space="preserve"> HYPERLINK "http://dx.doi.org/10.1111/jvim.15219" </w:instrText>
      </w:r>
      <w:r>
        <w:rPr>
          <w:rStyle w:val="Hyperlink"/>
        </w:rPr>
      </w:r>
      <w:r>
        <w:rPr>
          <w:rStyle w:val="Hyperlink"/>
        </w:rPr>
        <w:fldChar w:fldCharType="separate"/>
      </w:r>
      <w:pPr>
        <w:pStyle w:val="Normal"/>
      </w:pPr>
      <w:r>
        <w:rPr>
          <w:rStyle w:val="Hyperlink"/>
        </w:rPr>
        <w:t xml:space="preserve">http://dx.doi.org/10.1111/jvim.15219</w:t>
      </w:r>
      <w:r>
        <w:rPr>
          <w:rStyle w:val="Hyperlink"/>
        </w:rPr>
        <w:fldChar w:fldCharType="end"/>
      </w:r>
    </w:p>
    <w:p>
      <w:pPr>
        <w:pStyle w:val="Normal"/>
      </w:pPr>
      <w:r>
        <w:rPr>
          <w:color w:val="323232"/>
        </w:rPr>
        <w:t xml:space="preserve">————————</w:t>
      </w:r>
    </w:p>
    <w:p>
      <w:pPr>
        <w:pStyle w:val="Heading4"/>
      </w:pPr>
      <w:r>
        <w:t xml:space="preserve">Prognostic importance of plasma total magnesium in a cohort of cats with azotemic chronic kidney disease.</w:t>
      </w:r>
    </w:p>
    <w:p/>
    <w:p>
      <w:pPr>
        <w:pStyle w:val="Normal"/>
      </w:pPr>
      <w:r>
        <w:rPr>
          <w:color w:val="323232"/>
        </w:rPr>
        <w:t xml:space="preserve">D Hendrik N van den Broek, Yu-Mei Chang, Jonathan Elliott, and Rosanne E Jepson.</w:t>
      </w:r>
    </w:p>
    <w:p/>
    <w:p>
      <w:pPr>
        <w:pStyle w:val="Normal"/>
      </w:pPr>
      <w:r>
        <w:rPr>
          <w:color w:val="323232"/>
        </w:rPr>
        <w:t xml:space="preserve">BACKGROUND:Hypomagnesemia is associated with increased mortality and renal function decline in humans with chronic kidney disease (CKD). Magnesium is furthermore inversely associated with fibroblast growth factor 23 (FGF23), an important prognostic factor in CKD in cats. However, the prognostic significance of plasma magnesium in cats with CKD is unknown.</w:t>
      </w:r>
    </w:p>
    <w:p/>
    <w:p>
      <w:pPr>
        <w:pStyle w:val="Normal"/>
      </w:pPr>
      <w:r>
        <w:rPr>
          <w:color w:val="323232"/>
        </w:rPr>
        <w:t xml:space="preserve">OBJECTIVES:To explore associations of plasma total magnesium concentration (tMg) with plasma FGF23 concentration, all-cause mortality, and disease progression in cats with azotemic CKD.</w:t>
      </w:r>
    </w:p>
    <w:p/>
    <w:p>
      <w:pPr>
        <w:pStyle w:val="Normal"/>
      </w:pPr>
      <w:r>
        <w:rPr>
          <w:color w:val="323232"/>
        </w:rPr>
        <w:t xml:space="preserve">ANIMALS:Records of 174 client-owned cats with IRIS stage 2-4 CKD.</w:t>
      </w:r>
    </w:p>
    <w:p/>
    <w:p>
      <w:pPr>
        <w:pStyle w:val="Normal"/>
      </w:pPr>
      <w:r>
        <w:rPr>
          <w:color w:val="323232"/>
        </w:rPr>
        <w:t xml:space="preserve">METHODS:Cohort study. Cats with azotemic CKD were identified from the records of two London-based first opinion practices (1999-2013). Possible associations of baseline plasma tMg with FGF23 concentration and risks of death and progression were explored using, respectively, linear, Cox, and logistic regression.</w:t>
      </w:r>
    </w:p>
    <w:p/>
    <w:p>
      <w:pPr>
        <w:pStyle w:val="Normal"/>
      </w:pPr>
      <w:r>
        <w:rPr>
          <w:color w:val="323232"/>
        </w:rPr>
        <w:t xml:space="preserve">RESULTS:Plasma tMg (reference interval, 1.73-2.57 mg/dL) was inversely associated with plasma FGF23 when controlling for plasma creatinine and phosphate concentrations (partial correlation coefficient, -0.50; P</w:t>
      </w:r>
      <w:r>
        <w:rPr>
          <w:color w:val="323232"/>
        </w:rPr>
        <w:t xml:space="preserve"> </w:t>
      </w:r>
      <w:r>
        <w:rPr>
          <w:color w:val="323232"/>
        </w:rPr>
        <w:t xml:space="preserve">&lt;</w:t>
      </w:r>
      <w:r>
        <w:rPr>
          <w:color w:val="323232"/>
        </w:rPr>
        <w:t xml:space="preserve"> </w:t>
      </w:r>
      <w:r>
        <w:rPr>
          <w:color w:val="323232"/>
        </w:rPr>
        <w:t xml:space="preserve">.001). Hypomagnesemia was observed in 12% (20/174) of cats, and independently associated with increased risk of death (adjusted hazard ratio, 2.74; 95% confidence interval [CI], 1.35-5.55; P</w:t>
      </w:r>
      <w:r>
        <w:rPr>
          <w:color w:val="323232"/>
        </w:rPr>
        <w:t xml:space="preserve"> </w:t>
      </w:r>
      <w:r>
        <w:rPr>
          <w:color w:val="323232"/>
        </w:rPr>
        <w:t xml:space="preserve">=</w:t>
      </w:r>
      <w:r>
        <w:rPr>
          <w:color w:val="323232"/>
        </w:rPr>
        <w:t xml:space="preserve"> </w:t>
      </w:r>
      <w:r>
        <w:rPr>
          <w:color w:val="323232"/>
        </w:rPr>
        <w:t xml:space="preserve">.005). The unadjusted associations of hypermagnesemia (prevalence, 6%; 11/174 cats) with survival (hazard ratio, 2.88; 95% CI, 1.54-5.38; P</w:t>
      </w:r>
      <w:r>
        <w:rPr>
          <w:color w:val="323232"/>
        </w:rPr>
        <w:t xml:space="preserve"> </w:t>
      </w:r>
      <w:r>
        <w:rPr>
          <w:color w:val="323232"/>
        </w:rPr>
        <w:t xml:space="preserve">=</w:t>
      </w:r>
      <w:r>
        <w:rPr>
          <w:color w:val="323232"/>
        </w:rPr>
        <w:t xml:space="preserve"> </w:t>
      </w:r>
      <w:r>
        <w:rPr>
          <w:color w:val="323232"/>
        </w:rPr>
        <w:t xml:space="preserve">.001), and hypomagnesemia with progressive CKD (odds ratio, 17.7; 95% CI, 2.04-154; P</w:t>
      </w:r>
      <w:r>
        <w:rPr>
          <w:color w:val="323232"/>
        </w:rPr>
        <w:t xml:space="preserve"> </w:t>
      </w:r>
      <w:r>
        <w:rPr>
          <w:color w:val="323232"/>
        </w:rPr>
        <w:t xml:space="preserve">=</w:t>
      </w:r>
      <w:r>
        <w:rPr>
          <w:color w:val="323232"/>
        </w:rPr>
        <w:t xml:space="preserve"> </w:t>
      </w:r>
      <w:r>
        <w:rPr>
          <w:color w:val="323232"/>
        </w:rPr>
        <w:t xml:space="preserve">.009) lost significance in multivariable analysis.</w:t>
      </w:r>
    </w:p>
    <w:p/>
    <w:p>
      <w:pPr>
        <w:pStyle w:val="Normal"/>
      </w:pPr>
      <w:r>
        <w:rPr>
          <w:color w:val="323232"/>
        </w:rPr>
        <w:t xml:space="preserve">CONCLUSIONS AND CLINICAL IMPORTANCE:Hypomagnesemia was associated with higher plasma FGF23 concentrations and increased risk of death. Measurement of plasma tMg augments prognostic information in cats with CKD, but whether these observations are associations or causations warrants further investigation.</w:t>
      </w:r>
    </w:p>
    <w:p/>
    <w:p>
      <w:pPr>
        <w:pStyle w:val="Normal"/>
      </w:pPr>
      <w:r>
        <w:rPr>
          <w:color w:val="323232"/>
        </w:rPr>
        <w:t xml:space="preserve">J Vet Intern Med, 2018 vol. 32 (4) pp. 1359-1371.</w:t>
      </w:r>
    </w:p>
    <w:p>
      <w:r>
        <w:rPr>
          <w:rStyle w:val="Hyperlink"/>
        </w:rPr>
        <w:fldChar w:fldCharType="begin"/>
      </w:r>
      <w:r>
        <w:rPr>
          <w:rStyle w:val="Hyperlink"/>
        </w:rPr>
        <w:instrText xml:space="preserve"> HYPERLINK "http://dx.doi.org/10.1111/jvim.15141" </w:instrText>
      </w:r>
      <w:r>
        <w:rPr>
          <w:rStyle w:val="Hyperlink"/>
        </w:rPr>
      </w:r>
      <w:r>
        <w:rPr>
          <w:rStyle w:val="Hyperlink"/>
        </w:rPr>
        <w:fldChar w:fldCharType="separate"/>
      </w:r>
      <w:pPr>
        <w:pStyle w:val="Normal"/>
      </w:pPr>
      <w:r>
        <w:rPr>
          <w:rStyle w:val="Hyperlink"/>
        </w:rPr>
        <w:t xml:space="preserve">http://dx.doi.org/10.1111/jvim.15141</w:t>
      </w:r>
      <w:r>
        <w:rPr>
          <w:rStyle w:val="Hyperlink"/>
        </w:rPr>
        <w:fldChar w:fldCharType="end"/>
      </w:r>
    </w:p>
    <w:p>
      <w:pPr>
        <w:pStyle w:val="Normal"/>
      </w:pPr>
      <w:r>
        <w:rPr>
          <w:color w:val="323232"/>
        </w:rPr>
        <w:t xml:space="preserve">————————</w:t>
      </w:r>
    </w:p>
    <w:p>
      <w:pPr>
        <w:pStyle w:val="Heading4"/>
      </w:pPr>
      <w:r>
        <w:t xml:space="preserve">Fractional excretion of electrolytes in volume-responsive and intrinsic acute kidney injury in dogs: Diagnostic and prognostic implications.</w:t>
      </w:r>
    </w:p>
    <w:p/>
    <w:p>
      <w:pPr>
        <w:pStyle w:val="Normal"/>
      </w:pPr>
      <w:r>
        <w:rPr>
          <w:color w:val="323232"/>
        </w:rPr>
        <w:t xml:space="preserve">Roberta Troia, Marta Gruarin, Chiara Grisetti, Federica Serafini, Luca Magna, Erika Monari, Massimo Giunti, and Francesco Dondi.</w:t>
      </w:r>
    </w:p>
    <w:p/>
    <w:p>
      <w:pPr>
        <w:pStyle w:val="Normal"/>
      </w:pPr>
      <w:r>
        <w:rPr>
          <w:color w:val="323232"/>
        </w:rPr>
        <w:t xml:space="preserve">BACKGROUND:The value of fractional excretion (FE) of electrolytes to characterize and prognosticate acute kidney injury (AKI) is poorly documented in dogs.</w:t>
      </w:r>
    </w:p>
    <w:p/>
    <w:p>
      <w:pPr>
        <w:pStyle w:val="Normal"/>
      </w:pPr>
      <w:r>
        <w:rPr>
          <w:color w:val="323232"/>
        </w:rPr>
        <w:t xml:space="preserve">OBJECTIVES:To evaluate the diagnostic and prognostic roles of FE of electrolytes in dogs with AKI.</w:t>
      </w:r>
    </w:p>
    <w:p/>
    <w:p>
      <w:pPr>
        <w:pStyle w:val="Normal"/>
      </w:pPr>
      <w:r>
        <w:rPr>
          <w:color w:val="323232"/>
        </w:rPr>
        <w:t xml:space="preserve">ANIMALS:Dogs (n</w:t>
      </w:r>
      <w:r>
        <w:rPr>
          <w:color w:val="323232"/>
        </w:rPr>
        <w:t xml:space="preserve"> </w:t>
      </w:r>
      <w:r>
        <w:rPr>
          <w:color w:val="323232"/>
        </w:rPr>
        <w:t xml:space="preserve">=</w:t>
      </w:r>
      <w:r>
        <w:rPr>
          <w:color w:val="323232"/>
        </w:rPr>
        <w:t xml:space="preserve"> </w:t>
      </w:r>
      <w:r>
        <w:rPr>
          <w:color w:val="323232"/>
        </w:rPr>
        <w:t xml:space="preserve">135) with AKI treated with standard care (February 2014-December 2016).</w:t>
      </w:r>
    </w:p>
    <w:p/>
    <w:p>
      <w:pPr>
        <w:pStyle w:val="Normal"/>
      </w:pPr>
      <w:r>
        <w:rPr>
          <w:color w:val="323232"/>
        </w:rPr>
        <w:t xml:space="preserve">METHODS:Prospective study. Clinical and laboratory variables including FE of electrolytes, were measured upon admission. Dogs were graded according to the AKI-IRIS guidelines and grouped according to AKI features (volume-responsive, VR-AKI; intrinsic, I-AKI) and outcome (survivors/non-survivors). Group comparison and regression analyses with hazard ratios (HR) evaluation for I-AKI and mortality were performed. P</w:t>
      </w:r>
      <w:r>
        <w:rPr>
          <w:color w:val="323232"/>
        </w:rPr>
        <w:t xml:space="preserve"> </w:t>
      </w:r>
      <w:r>
        <w:rPr>
          <w:color w:val="323232"/>
        </w:rPr>
        <w:t xml:space="preserve">&lt;</w:t>
      </w:r>
      <w:r>
        <w:rPr>
          <w:color w:val="323232"/>
        </w:rPr>
        <w:t xml:space="preserve"> </w:t>
      </w:r>
      <w:r>
        <w:rPr>
          <w:color w:val="323232"/>
        </w:rPr>
        <w:t xml:space="preserve">.05 was considered significant.</w:t>
      </w:r>
    </w:p>
    <w:p/>
    <w:p>
      <w:pPr>
        <w:pStyle w:val="Normal"/>
      </w:pPr>
      <w:r>
        <w:rPr>
          <w:color w:val="323232"/>
        </w:rPr>
        <w:t xml:space="preserve">RESULTS:Fifty-two of 135 (39%) dogs had VR-AKI, 69/135 (51%) I-AKI and 14/135 (10%) were unclassified. I-AKI dogs had significantly higher FE of electrolytes, for example, FE of sodium (FENa, %) 2.39 (range 0.04-75.81) than VR-AKI ones 0.24 (range 0.01-2.21; P</w:t>
      </w:r>
      <w:r>
        <w:rPr>
          <w:color w:val="323232"/>
        </w:rPr>
        <w:t xml:space="preserve"> </w:t>
      </w:r>
      <w:r>
        <w:rPr>
          <w:color w:val="323232"/>
        </w:rPr>
        <w:t xml:space="preserve">&lt;</w:t>
      </w:r>
      <w:r>
        <w:rPr>
          <w:color w:val="323232"/>
        </w:rPr>
        <w:t xml:space="preserve"> </w:t>
      </w:r>
      <w:r>
        <w:rPr>
          <w:color w:val="323232"/>
        </w:rPr>
        <w:t xml:space="preserve">.001). Overall, case fatality was 41% (55/135). Increased FE of electrolytes were detected in nonsurvivors, for example, FENa 1.60 (range 0.03-75.81) compared with survivors 0.60 (range 0.01-50.45; P</w:t>
      </w:r>
      <w:r>
        <w:rPr>
          <w:color w:val="323232"/>
        </w:rPr>
        <w:t xml:space="preserve"> </w:t>
      </w:r>
      <w:r>
        <w:rPr>
          <w:color w:val="323232"/>
        </w:rPr>
        <w:t xml:space="preserve">=</w:t>
      </w:r>
      <w:r>
        <w:rPr>
          <w:color w:val="323232"/>
        </w:rPr>
        <w:t xml:space="preserve"> </w:t>
      </w:r>
      <w:r>
        <w:rPr>
          <w:color w:val="323232"/>
        </w:rPr>
        <w:t xml:space="preserve">.004). Several risk factors for death were identified, including AKI-IRIS grade (HR</w:t>
      </w:r>
      <w:r>
        <w:rPr>
          <w:color w:val="323232"/>
        </w:rPr>
        <w:t xml:space="preserve"> </w:t>
      </w:r>
      <w:r>
        <w:rPr>
          <w:color w:val="323232"/>
        </w:rPr>
        <w:t xml:space="preserve">=</w:t>
      </w:r>
      <w:r>
        <w:rPr>
          <w:color w:val="323232"/>
        </w:rPr>
        <w:t xml:space="preserve"> </w:t>
      </w:r>
      <w:r>
        <w:rPr>
          <w:color w:val="323232"/>
        </w:rPr>
        <w:t xml:space="preserve">1.39, P</w:t>
      </w:r>
      <w:r>
        <w:rPr>
          <w:color w:val="323232"/>
        </w:rPr>
        <w:t xml:space="preserve"> </w:t>
      </w:r>
      <w:r>
        <w:rPr>
          <w:color w:val="323232"/>
        </w:rPr>
        <w:t xml:space="preserve">=</w:t>
      </w:r>
      <w:r>
        <w:rPr>
          <w:color w:val="323232"/>
        </w:rPr>
        <w:t xml:space="preserve"> </w:t>
      </w:r>
      <w:r>
        <w:rPr>
          <w:color w:val="323232"/>
        </w:rPr>
        <w:t xml:space="preserve">.002), FE of electrolytes, for example, FENa (HR</w:t>
      </w:r>
      <w:r>
        <w:rPr>
          <w:color w:val="323232"/>
        </w:rPr>
        <w:t xml:space="preserve"> </w:t>
      </w:r>
      <w:r>
        <w:rPr>
          <w:color w:val="323232"/>
        </w:rPr>
        <w:t xml:space="preserve">=</w:t>
      </w:r>
      <w:r>
        <w:rPr>
          <w:color w:val="323232"/>
        </w:rPr>
        <w:t xml:space="preserve"> </w:t>
      </w:r>
      <w:r>
        <w:rPr>
          <w:color w:val="323232"/>
        </w:rPr>
        <w:t xml:space="preserve">1.03, P</w:t>
      </w:r>
      <w:r>
        <w:rPr>
          <w:color w:val="323232"/>
        </w:rPr>
        <w:t xml:space="preserve"> </w:t>
      </w:r>
      <w:r>
        <w:rPr>
          <w:color w:val="323232"/>
        </w:rPr>
        <w:t xml:space="preserve">&lt;</w:t>
      </w:r>
      <w:r>
        <w:rPr>
          <w:color w:val="323232"/>
        </w:rPr>
        <w:t xml:space="preserve"> </w:t>
      </w:r>
      <w:r>
        <w:rPr>
          <w:color w:val="323232"/>
        </w:rPr>
        <w:t xml:space="preserve">.001), and urinary output (HR</w:t>
      </w:r>
      <w:r>
        <w:rPr>
          <w:color w:val="323232"/>
        </w:rPr>
        <w:t xml:space="preserve"> </w:t>
      </w:r>
      <w:r>
        <w:rPr>
          <w:color w:val="323232"/>
        </w:rPr>
        <w:t xml:space="preserve">=</w:t>
      </w:r>
      <w:r>
        <w:rPr>
          <w:color w:val="323232"/>
        </w:rPr>
        <w:t xml:space="preserve"> </w:t>
      </w:r>
      <w:r>
        <w:rPr>
          <w:color w:val="323232"/>
        </w:rPr>
        <w:t xml:space="preserve">5.06, P</w:t>
      </w:r>
      <w:r>
        <w:rPr>
          <w:color w:val="323232"/>
        </w:rPr>
        <w:t xml:space="preserve"> </w:t>
      </w:r>
      <w:r>
        <w:rPr>
          <w:color w:val="323232"/>
        </w:rPr>
        <w:t xml:space="preserve">&lt;</w:t>
      </w:r>
      <w:r>
        <w:rPr>
          <w:color w:val="323232"/>
        </w:rPr>
        <w:t xml:space="preserve"> </w:t>
      </w:r>
      <w:r>
        <w:rPr>
          <w:color w:val="323232"/>
        </w:rPr>
        <w:t xml:space="preserve">.001).</w:t>
      </w:r>
    </w:p>
    <w:p/>
    <w:p>
      <w:pPr>
        <w:pStyle w:val="Normal"/>
      </w:pPr>
      <w:r>
        <w:rPr>
          <w:color w:val="323232"/>
        </w:rPr>
        <w:t xml:space="preserve">CONCLUSIONS AND CLINICAL IMPORTANCE:Fractional excretion of electrolytes performed well in the early differentiation between VR-AKI and I-AKI, were related to outcome, and could be useful tools to manage AKI dogs in clinical practice.</w:t>
      </w:r>
    </w:p>
    <w:p/>
    <w:p>
      <w:pPr>
        <w:pStyle w:val="Normal"/>
      </w:pPr>
      <w:r>
        <w:rPr>
          <w:color w:val="323232"/>
        </w:rPr>
        <w:t xml:space="preserve">J Vet Intern Med, 2018 vol. 32 (4) pp. 1372-1382.</w:t>
      </w:r>
    </w:p>
    <w:p>
      <w:r>
        <w:rPr>
          <w:rStyle w:val="Hyperlink"/>
        </w:rPr>
        <w:fldChar w:fldCharType="begin"/>
      </w:r>
      <w:r>
        <w:rPr>
          <w:rStyle w:val="Hyperlink"/>
        </w:rPr>
        <w:instrText xml:space="preserve"> HYPERLINK "http://eutils.ncbi.nlm.nih.gov/entrez/eutils/elink.fcgi?dbfrom=pubmed&amp;id=29770972&amp;retmode=ref&amp;cmd=prlinks"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http://eutils.ncbi.nlm.nih.gov/entrez/eutils/elink.fcgi?dbfrom=pubmed&amp;id=29770972&amp;retmode=ref&amp;cmd=prlinks</w:t>
      </w:r>
      <w:r>
        <w:rPr>
          <w:rStyle w:val="Hyperlink"/>
        </w:rPr>
        <w:fldChar w:fldCharType="end"/>
      </w:r>
    </w:p>
    <w:p>
      <w:pPr>
        <w:pStyle w:val="Normal"/>
      </w:pPr>
      <w:r>
        <w:rPr>
          <w:color w:val="323232"/>
        </w:rPr>
        <w:t xml:space="preserve">————————</w:t>
      </w:r>
    </w:p>
    <w:p>
      <w:pPr>
        <w:pStyle w:val="Heading4"/>
      </w:pPr>
      <w:r>
        <w:t xml:space="preserve">Stereotactic radiation therapy for the treatment of functional pituitary adenomas associated with feline acromegaly.</w:t>
      </w:r>
    </w:p>
    <w:p/>
    <w:p>
      <w:pPr>
        <w:pStyle w:val="Normal"/>
      </w:pPr>
      <w:r>
        <w:rPr>
          <w:color w:val="323232"/>
        </w:rPr>
        <w:t xml:space="preserve">Tiffany L Wormhoudt, Mary-Keara Boss, Katharine Lunn, Lynn Griffin, Del Leary, Kristy Dowers, Sangeeta Rao, and Susan M LaRue.</w:t>
      </w:r>
    </w:p>
    <w:p/>
    <w:p>
      <w:pPr>
        <w:pStyle w:val="Normal"/>
      </w:pPr>
      <w:r>
        <w:rPr>
          <w:color w:val="323232"/>
        </w:rPr>
        <w:t xml:space="preserve">BACKGROUND:Conventional fractionated radiotherapy has been shown to be partially effective for management of pituitary tumors in cats that cause acromegaly and diabetes mellitus (DM), but, the efficacy and safety of stereotactic radiation therapy (SRT) as a treatment for acromegalic cats has not been described.</w:t>
      </w:r>
    </w:p>
    <w:p/>
    <w:p>
      <w:pPr>
        <w:pStyle w:val="Normal"/>
      </w:pPr>
      <w:r>
        <w:rPr>
          <w:color w:val="323232"/>
        </w:rPr>
        <w:t xml:space="preserve">HYPOTHESIS:Stereotactic radiation therapy is an effective and safe treatment for controlling acromegaly associated with pituitary adenomas in cats. Additionally, SRT-treated acromegalic cats with DM will experience a decrease in insulin requirements after radiation therapy.</w:t>
      </w:r>
    </w:p>
    <w:p/>
    <w:p>
      <w:pPr>
        <w:pStyle w:val="Normal"/>
      </w:pPr>
      <w:r>
        <w:rPr>
          <w:color w:val="323232"/>
        </w:rPr>
        <w:t xml:space="preserve">ANIMALS:Fifty-three client-owned cats referred to Colorado State University for SRT to treat pituitary tumors causing poorly controlled DM secondary to acromegaly.</w:t>
      </w:r>
    </w:p>
    <w:p/>
    <w:p>
      <w:pPr>
        <w:pStyle w:val="Normal"/>
      </w:pPr>
      <w:r>
        <w:rPr>
          <w:color w:val="323232"/>
        </w:rPr>
        <w:t xml:space="preserve">METHODS:Retrospective study of cats treated for acromegaly with SRT between 2008 and 2016 at Colorado State University. Diagnosis of acromegaly was based on history, physical examination, laboratory results, and cross-sectional imaging of the pituitary. Signalment, radiation protocol, insulin requirements over time, adverse effects, and survival were recorded.</w:t>
      </w:r>
    </w:p>
    <w:p/>
    <w:p>
      <w:pPr>
        <w:pStyle w:val="Normal"/>
      </w:pPr>
      <w:r>
        <w:rPr>
          <w:color w:val="323232"/>
        </w:rPr>
        <w:t xml:space="preserve">RESULTS:Median survival time was 1072 days. Of the 41 cats for which insulin dosage information was available, 95% (39/41) experienced a decrease in required insulin dose, with 32% (13/41) achieving diabetic remission. Remission was permanent in 62% (8/13) and temporary in 38% (5/13) cats. Median duration to lowest insulin dose was 9.5 months. Of the treated cats, 14% developed hypothyroidism and required supplementation after SRT.</w:t>
      </w:r>
    </w:p>
    <w:p/>
    <w:p>
      <w:pPr>
        <w:pStyle w:val="Normal"/>
      </w:pPr>
      <w:r>
        <w:rPr>
          <w:color w:val="323232"/>
        </w:rPr>
        <w:t xml:space="preserve">CONCLUSIONS:Stereotactic radiation therapy is safe and effective for treating cats with acromegaly. Cats treated with SRT have improved survival time and control of their DM when compared to previously reported patients treated with non-SRT.</w:t>
      </w:r>
    </w:p>
    <w:p/>
    <w:p>
      <w:pPr>
        <w:pStyle w:val="Normal"/>
      </w:pPr>
      <w:r>
        <w:rPr>
          <w:color w:val="323232"/>
        </w:rPr>
        <w:t xml:space="preserve">J Vet Intern Med, 2018 vol. 32 (4) pp. 1383-1391.</w:t>
      </w:r>
    </w:p>
    <w:p>
      <w:r>
        <w:rPr>
          <w:rStyle w:val="Hyperlink"/>
        </w:rPr>
        <w:fldChar w:fldCharType="begin"/>
      </w:r>
      <w:r>
        <w:rPr>
          <w:rStyle w:val="Hyperlink"/>
        </w:rPr>
        <w:instrText xml:space="preserve"> HYPERLINK "http://dx.doi.org/10.1111/jvim.15212" </w:instrText>
      </w:r>
      <w:r>
        <w:rPr>
          <w:rStyle w:val="Hyperlink"/>
        </w:rPr>
      </w:r>
      <w:r>
        <w:rPr>
          <w:rStyle w:val="Hyperlink"/>
        </w:rPr>
        <w:fldChar w:fldCharType="separate"/>
      </w:r>
      <w:pPr>
        <w:pStyle w:val="Normal"/>
      </w:pPr>
      <w:r>
        <w:rPr>
          <w:rStyle w:val="Hyperlink"/>
        </w:rPr>
        <w:t xml:space="preserve">http://dx.doi.org/10.1111/jvim.15212</w:t>
      </w:r>
      <w:r>
        <w:rPr>
          <w:rStyle w:val="Hyperlink"/>
        </w:rPr>
        <w:fldChar w:fldCharType="end"/>
      </w:r>
    </w:p>
    <w:p>
      <w:pPr>
        <w:pStyle w:val="Normal"/>
      </w:pPr>
      <w:r>
        <w:rPr>
          <w:color w:val="323232"/>
        </w:rPr>
        <w:t xml:space="preserve">————————</w:t>
      </w:r>
    </w:p>
    <w:p>
      <w:pPr>
        <w:pStyle w:val="Heading4"/>
      </w:pPr>
      <w:r>
        <w:t xml:space="preserve">Effect of prespecified therapy escalation on plasma NT-proBNP concentrations in dogs with stable congestive heart failure due to myxomatous mitral valve disease.</w:t>
      </w:r>
    </w:p>
    <w:p/>
    <w:p>
      <w:pPr>
        <w:pStyle w:val="Normal"/>
      </w:pPr>
      <w:r>
        <w:rPr>
          <w:color w:val="323232"/>
        </w:rPr>
        <w:t xml:space="preserve">Melanie J Hezzell, Chloë L Block, Danielle S Laughlin, and Mark A Oyama.</w:t>
      </w:r>
    </w:p>
    <w:p/>
    <w:p>
      <w:pPr>
        <w:pStyle w:val="Normal"/>
      </w:pPr>
      <w:r>
        <w:rPr>
          <w:color w:val="323232"/>
        </w:rPr>
        <w:t xml:space="preserve">BACKGROUND:Treatment targeted to achieve reduction in N-terminal pro-B-type natriuretic peptide (NT-proBNP) improves outcomes in human congestive heart failure (CHF) patients.</w:t>
      </w:r>
    </w:p>
    <w:p/>
    <w:p>
      <w:pPr>
        <w:pStyle w:val="Normal"/>
      </w:pPr>
      <w:r>
        <w:rPr>
          <w:color w:val="323232"/>
        </w:rPr>
        <w:t xml:space="preserve">HYPOTHESIS:A pre-specified therapeutic algorithm that increased diuretic or pimobendan usage will reduce plasma NT-proBNP concentrations in dogs with CHF secondary to myxomatous mitral valve disease (MMVD).</w:t>
      </w:r>
    </w:p>
    <w:p/>
    <w:p>
      <w:pPr>
        <w:pStyle w:val="Normal"/>
      </w:pPr>
      <w:r>
        <w:rPr>
          <w:color w:val="323232"/>
        </w:rPr>
        <w:t xml:space="preserve">ANIMALS:Twenty-six dogs with clinically stable CHF secondary to MMVD.</w:t>
      </w:r>
    </w:p>
    <w:p/>
    <w:p>
      <w:pPr>
        <w:pStyle w:val="Normal"/>
      </w:pPr>
      <w:r>
        <w:rPr>
          <w:color w:val="323232"/>
        </w:rPr>
        <w:t xml:space="preserve">METHODS:Prospective, controlled before-and-after study. Dogs were examined up to 3 times over 21 days. Treatment was prescribed based on NT-proBNP as follows: &lt;1500 pmol</w:t>
      </w:r>
      <w:r>
        <w:rPr>
          <w:i w:val="1"/>
          <w:color w:val="323232"/>
        </w:rPr>
        <w:t xml:space="preserve">L at baseline, no treatment adjustment at any point during the study (group 1); ≥1500 pmol</w:t>
      </w:r>
      <w:r>
        <w:rPr>
          <w:color w:val="323232"/>
        </w:rPr>
        <w:t xml:space="preserve">L and creatinine ≤3.0 mg</w:t>
      </w:r>
      <w:r>
        <w:rPr>
          <w:i w:val="1"/>
          <w:color w:val="323232"/>
        </w:rPr>
        <w:t xml:space="preserve">dL at baseline or SC visits, treatment escalated according to the algorithm (group 2); ≥1500 pmol</w:t>
      </w:r>
      <w:r>
        <w:rPr>
          <w:color w:val="323232"/>
        </w:rPr>
        <w:t xml:space="preserve">L at baseline, no treatment adjustment (group 3).</w:t>
      </w:r>
    </w:p>
    <w:p/>
    <w:p>
      <w:pPr>
        <w:pStyle w:val="Normal"/>
      </w:pPr>
      <w:r>
        <w:rPr>
          <w:color w:val="323232"/>
        </w:rPr>
        <w:t xml:space="preserve">RESULTS:N-terminal pro-B-type natriuretic peptide decreased significantly in group 2 (mean change = -1736 pmol/ L (95% CI, -804 to -2668), P</w:t>
      </w:r>
      <w:r>
        <w:rPr>
          <w:color w:val="323232"/>
        </w:rPr>
        <w:t xml:space="preserve"> </w:t>
      </w:r>
      <w:r>
        <w:rPr>
          <w:color w:val="323232"/>
        </w:rPr>
        <w:t xml:space="preserve">&lt;</w:t>
      </w:r>
      <w:r>
        <w:rPr>
          <w:color w:val="323232"/>
        </w:rPr>
        <w:t xml:space="preserve"> </w:t>
      </w:r>
      <w:r>
        <w:rPr>
          <w:color w:val="323232"/>
        </w:rPr>
        <w:t xml:space="preserve">.001) but not in groups 1 or 3 (623 pmol/ L [-631 to 1877 pmol/ L], P</w:t>
      </w:r>
      <w:r>
        <w:rPr>
          <w:color w:val="323232"/>
        </w:rPr>
        <w:t xml:space="preserve"> </w:t>
      </w:r>
      <w:r>
        <w:rPr>
          <w:color w:val="323232"/>
        </w:rPr>
        <w:t xml:space="preserve">=</w:t>
      </w:r>
      <w:r>
        <w:rPr>
          <w:color w:val="323232"/>
        </w:rPr>
        <w:t xml:space="preserve"> </w:t>
      </w:r>
      <w:r>
        <w:rPr>
          <w:color w:val="323232"/>
        </w:rPr>
        <w:t xml:space="preserve">.14 and 685 pmol</w:t>
      </w:r>
      <w:r>
        <w:rPr>
          <w:i w:val="1"/>
          <w:color w:val="323232"/>
        </w:rPr>
        <w:t xml:space="preserve">L [-304 to 1068 pmol</w:t>
      </w:r>
      <w:r>
        <w:rPr>
          <w:color w:val="323232"/>
        </w:rPr>
        <w:t xml:space="preserve"> L], P</w:t>
      </w:r>
      <w:r>
        <w:rPr>
          <w:color w:val="323232"/>
        </w:rPr>
        <w:t xml:space="preserve"> </w:t>
      </w:r>
      <w:r>
        <w:rPr>
          <w:color w:val="323232"/>
        </w:rPr>
        <w:t xml:space="preserve">=</w:t>
      </w:r>
      <w:r>
        <w:rPr>
          <w:color w:val="323232"/>
        </w:rPr>
        <w:t xml:space="preserve"> </w:t>
      </w:r>
      <w:r>
        <w:rPr>
          <w:color w:val="323232"/>
        </w:rPr>
        <w:t xml:space="preserve">.46, respectively). Serum BUN and creatinine did not change significantly between visit 0 and visit 2 in group 1 (median</w:t>
      </w:r>
      <w:r>
        <w:rPr>
          <w:color w:val="323232"/>
        </w:rPr>
        <w:t xml:space="preserve"> </w:t>
      </w:r>
      <w:r>
        <w:rPr>
          <w:color w:val="323232"/>
        </w:rPr>
        <w:t xml:space="preserve">=</w:t>
      </w:r>
      <w:r>
        <w:rPr>
          <w:color w:val="323232"/>
        </w:rPr>
        <w:t xml:space="preserve"> </w:t>
      </w:r>
      <w:r>
        <w:rPr>
          <w:color w:val="323232"/>
        </w:rPr>
        <w:t xml:space="preserve">23 mg/ dL [range 13-32] versus 19 mg/ dL [12-38], P</w:t>
      </w:r>
      <w:r>
        <w:rPr>
          <w:color w:val="323232"/>
        </w:rPr>
        <w:t xml:space="preserve"> </w:t>
      </w:r>
      <w:r>
        <w:rPr>
          <w:color w:val="323232"/>
        </w:rPr>
        <w:t xml:space="preserve">=</w:t>
      </w:r>
      <w:r>
        <w:rPr>
          <w:color w:val="323232"/>
        </w:rPr>
        <w:t xml:space="preserve"> </w:t>
      </w:r>
      <w:r>
        <w:rPr>
          <w:color w:val="323232"/>
        </w:rPr>
        <w:t xml:space="preserve">.72 and 1.15 mg/ dL [0.70-1.40] versus 0.95 mg/ dL [0.70-1.10], P</w:t>
      </w:r>
      <w:r>
        <w:rPr>
          <w:color w:val="323232"/>
        </w:rPr>
        <w:t xml:space="preserve"> </w:t>
      </w:r>
      <w:r>
        <w:rPr>
          <w:color w:val="323232"/>
        </w:rPr>
        <w:t xml:space="preserve">=</w:t>
      </w:r>
      <w:r>
        <w:rPr>
          <w:color w:val="323232"/>
        </w:rPr>
        <w:t xml:space="preserve"> </w:t>
      </w:r>
      <w:r>
        <w:rPr>
          <w:color w:val="323232"/>
        </w:rPr>
        <w:t xml:space="preserve">.10, respectively) or group 2 (28 mg/ dL [18-87] versus 43.5 mg/ dL [21-160], P</w:t>
      </w:r>
      <w:r>
        <w:rPr>
          <w:color w:val="323232"/>
        </w:rPr>
        <w:t xml:space="preserve"> </w:t>
      </w:r>
      <w:r>
        <w:rPr>
          <w:color w:val="323232"/>
        </w:rPr>
        <w:t xml:space="preserve">=</w:t>
      </w:r>
      <w:r>
        <w:rPr>
          <w:color w:val="323232"/>
        </w:rPr>
        <w:t xml:space="preserve"> </w:t>
      </w:r>
      <w:r>
        <w:rPr>
          <w:color w:val="323232"/>
        </w:rPr>
        <w:t xml:space="preserve">.092 and 1.10 mg/ dL [0.90-2.50] versus 1.55 mg/ dL [0.90-3.30], P</w:t>
      </w:r>
      <w:r>
        <w:rPr>
          <w:color w:val="323232"/>
        </w:rPr>
        <w:t xml:space="preserve"> </w:t>
      </w:r>
      <w:r>
        <w:rPr>
          <w:color w:val="323232"/>
        </w:rPr>
        <w:t xml:space="preserve">=</w:t>
      </w:r>
      <w:r>
        <w:rPr>
          <w:color w:val="323232"/>
        </w:rPr>
        <w:t xml:space="preserve"> </w:t>
      </w:r>
      <w:r>
        <w:rPr>
          <w:color w:val="323232"/>
        </w:rPr>
        <w:t xml:space="preserve">.062, respectively).</w:t>
      </w:r>
    </w:p>
    <w:p/>
    <w:p>
      <w:pPr>
        <w:pStyle w:val="Normal"/>
      </w:pPr>
      <w:r>
        <w:rPr>
          <w:color w:val="323232"/>
        </w:rPr>
        <w:t xml:space="preserve">CONCLUSIONS AND CLINICAL IMPORTANCE:Use of this treatment escalation algorithm allows effective targeting of treatment for CHF in dogs against an objective criterion.</w:t>
      </w:r>
    </w:p>
    <w:p/>
    <w:p>
      <w:pPr>
        <w:pStyle w:val="Normal"/>
      </w:pPr>
      <w:r>
        <w:rPr>
          <w:color w:val="323232"/>
        </w:rPr>
        <w:t xml:space="preserve">J Vet Intern Med, 2018 vol. 32 (5) pp. 1509-1516.</w:t>
      </w:r>
    </w:p>
    <w:p>
      <w:r>
        <w:rPr>
          <w:rStyle w:val="Hyperlink"/>
        </w:rPr>
        <w:fldChar w:fldCharType="begin"/>
      </w:r>
      <w:r>
        <w:rPr>
          <w:rStyle w:val="Hyperlink"/>
        </w:rPr>
        <w:instrText xml:space="preserve"> HYPERLINK "http://eutils.ncbi.nlm.nih.gov/entrez/eutils/elink.fcgi?dbfrom=pubmed&amp;id=30216549&amp;retmode=ref&amp;cmd=prlinks"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http://eutils.ncbi.nlm.nih.gov/entrez/eutils/elink.fcgi?dbfrom=pubmed&amp;id=30216549&amp;retmode=ref&amp;cmd=prlinks</w:t>
      </w:r>
      <w:r>
        <w:rPr>
          <w:rStyle w:val="Hyperlink"/>
        </w:rPr>
        <w:fldChar w:fldCharType="end"/>
      </w:r>
    </w:p>
    <w:p>
      <w:pPr>
        <w:pStyle w:val="Normal"/>
      </w:pPr>
      <w:r>
        <w:rPr>
          <w:color w:val="323232"/>
        </w:rPr>
        <w:t xml:space="preserve">————————</w:t>
      </w:r>
    </w:p>
    <w:p>
      <w:pPr>
        <w:pStyle w:val="Heading4"/>
      </w:pPr>
      <w:r>
        <w:t xml:space="preserve">Atrioventricular accessory pathways in 89 dogs: Clinical features and outcome after radiofrequency catheter ablation.</w:t>
      </w:r>
    </w:p>
    <w:p/>
    <w:p>
      <w:pPr>
        <w:pStyle w:val="Normal"/>
      </w:pPr>
      <w:r>
        <w:rPr>
          <w:color w:val="323232"/>
        </w:rPr>
        <w:t xml:space="preserve">Kathy N Wright, Chad E Connor, Holly M Irvin, Timothy K Knilans, Dawn Webber, and PHILIP H KASS.</w:t>
      </w:r>
    </w:p>
    <w:p/>
    <w:p>
      <w:pPr>
        <w:pStyle w:val="Normal"/>
      </w:pPr>
      <w:r>
        <w:rPr>
          <w:color w:val="323232"/>
        </w:rPr>
        <w:t xml:space="preserve">BACKGROUND:Atrioventricular accessory pathways (APs) in dogs have been reported rarely. Data regarding clinical presentation and long-term outcome after radiofrequency catheter ablation (RFCA) are limited.</w:t>
      </w:r>
    </w:p>
    <w:p/>
    <w:p>
      <w:pPr>
        <w:pStyle w:val="Normal"/>
      </w:pPr>
      <w:r>
        <w:rPr>
          <w:color w:val="323232"/>
        </w:rPr>
        <w:t xml:space="preserve">HYPOTHESIS/OBJECTIVES:To study clinical features, electrophysiologic characteristics, and outcome of RFCA in dogs with APs.</w:t>
      </w:r>
    </w:p>
    <w:p/>
    <w:p>
      <w:pPr>
        <w:pStyle w:val="Normal"/>
      </w:pPr>
      <w:r>
        <w:rPr>
          <w:color w:val="323232"/>
        </w:rPr>
        <w:t xml:space="preserve">ANIMALS:Eighty-nine dogs presented consecutively for RFCA of APs.</w:t>
      </w:r>
    </w:p>
    <w:p/>
    <w:p>
      <w:pPr>
        <w:pStyle w:val="Normal"/>
      </w:pPr>
      <w:r>
        <w:rPr>
          <w:color w:val="323232"/>
        </w:rPr>
        <w:t xml:space="preserve">METHODS:Case series.</w:t>
      </w:r>
    </w:p>
    <w:p/>
    <w:p>
      <w:pPr>
        <w:pStyle w:val="Normal"/>
      </w:pPr>
      <w:r>
        <w:rPr>
          <w:color w:val="323232"/>
        </w:rPr>
        <w:t xml:space="preserve">RESULTS:Labrador retrievers (47.2% of dogs) and male dogs (67.4% of dogs) were most commonly affected. Labrador retrievers were more likely to be male than non-Labrador breeds (P = .043). Clinical signs were nonspecific and most commonly included lethargy and gastrointestinal signs. Concealed APs were more prevalent in Labrador retrievers than other breeds (P = .001). Right-sided APs (91.7%) predominated over left-sided (8.3%). Tachycardia-induced cardiomyopathy (TICM) occurred in 46.1% of dogs, with complete resolution or substantial improvement noted on one-month postablation echocardiograms. Radiofrequency catheter ablation successfully eliminated AP conduction long term in 98.8% of dogs in which it was performed. Complications occurred in 5/89 dogs. Recurrence in 3 dogs was eliminated long term with a second procedure.</w:t>
      </w:r>
    </w:p>
    <w:p/>
    <w:p>
      <w:pPr>
        <w:pStyle w:val="Normal"/>
      </w:pPr>
      <w:r>
        <w:rPr>
          <w:color w:val="323232"/>
        </w:rPr>
        <w:t xml:space="preserve">CLINICAL IMPORTANCE/CONCLUSIONS:Accessory pathways are challenging to recognize in dogs because of nonspecific clinical signs, frequency of concealed APs that show no evidence of their presence during sinus rhythm, and intermittent occurrence of tachyarrhythmias resulting from APs. Tachycardia-induced cardiomyopathy commonly occurs with AP-mediated tachycardias and should be considered in any dog presenting with a dilated cardiomyopathic phenotype because of its good long-term prognosis with rhythm control. Radiofrequency catheter ablation is a highly effective method for eliminating AP conduction and providing long-term resolution.</w:t>
      </w:r>
    </w:p>
    <w:p/>
    <w:p>
      <w:pPr>
        <w:pStyle w:val="Normal"/>
      </w:pPr>
      <w:r>
        <w:rPr>
          <w:color w:val="323232"/>
        </w:rPr>
        <w:t xml:space="preserve">J Vet Intern Med, 2018 vol. 32 (5) pp. 1517-1529.</w:t>
      </w:r>
    </w:p>
    <w:p>
      <w:r>
        <w:rPr>
          <w:rStyle w:val="Hyperlink"/>
        </w:rPr>
        <w:fldChar w:fldCharType="begin"/>
      </w:r>
      <w:r>
        <w:rPr>
          <w:rStyle w:val="Hyperlink"/>
        </w:rPr>
        <w:instrText xml:space="preserve"> HYPERLINK "http://eutils.ncbi.nlm.nih.gov/entrez/eutils/elink.fcgi?dbfrom=pubmed&amp;id=30216552&amp;retmode=ref&amp;cmd=prlinks"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http://eutils.ncbi.nlm.nih.gov/entrez/eutils/elink.fcgi?dbfrom=pubmed&amp;id=30216552&amp;retmode=ref&amp;cmd=prlinks</w:t>
      </w:r>
      <w:r>
        <w:rPr>
          <w:rStyle w:val="Hyperlink"/>
        </w:rPr>
        <w:fldChar w:fldCharType="end"/>
      </w:r>
    </w:p>
    <w:p>
      <w:pPr>
        <w:pStyle w:val="Normal"/>
      </w:pPr>
      <w:r>
        <w:rPr>
          <w:color w:val="323232"/>
        </w:rPr>
        <w:t xml:space="preserve">————————</w:t>
      </w:r>
    </w:p>
    <w:p>
      <w:pPr>
        <w:pStyle w:val="Heading4"/>
      </w:pPr>
      <w:r>
        <w:t xml:space="preserve">Evaluation of point-of-care thoracic ultrasound and NT-proBNP for the diagnosis of congestive heart failure in cats with respiratory distress.</w:t>
      </w:r>
    </w:p>
    <w:p/>
    <w:p>
      <w:pPr>
        <w:pStyle w:val="Normal"/>
      </w:pPr>
      <w:r>
        <w:rPr>
          <w:color w:val="323232"/>
        </w:rPr>
        <w:t xml:space="preserve">Jessica L Ward, Gregory R Lisciandro, Wendy A Ware, Austin K Viall, Brent D Aona, Kari A Kurtz, Yamir Reina-Doreste, and Teresa C DeFrancesco.</w:t>
      </w:r>
    </w:p>
    <w:p/>
    <w:p>
      <w:pPr>
        <w:pStyle w:val="Normal"/>
      </w:pPr>
      <w:r>
        <w:rPr>
          <w:color w:val="323232"/>
        </w:rPr>
        <w:t xml:space="preserve">BACKGROUND:The diagnosis of congestive heart failure (CHF) in cats is challenging. Point-of-care (POC) thoracic ultrasound and NT-proBNP testing are emerging tools that may aid in diagnosis.</w:t>
      </w:r>
    </w:p>
    <w:p/>
    <w:p>
      <w:pPr>
        <w:pStyle w:val="Normal"/>
      </w:pPr>
      <w:r>
        <w:rPr>
          <w:color w:val="323232"/>
        </w:rPr>
        <w:t xml:space="preserve">HYPOTHESIS/OBJECTIVES:To assess the diagnostic accuracy of POC lung ultrasound (LUS), focused cardiac ultrasound (FCU), and NT-proBNP in predicting a final diagnosis of CHF.</w:t>
      </w:r>
    </w:p>
    <w:p/>
    <w:p>
      <w:pPr>
        <w:pStyle w:val="Normal"/>
      </w:pPr>
      <w:r>
        <w:rPr>
          <w:color w:val="323232"/>
        </w:rPr>
        <w:t xml:space="preserve">ANIMALS:Fifty-one cats in respiratory distress.</w:t>
      </w:r>
    </w:p>
    <w:p/>
    <w:p>
      <w:pPr>
        <w:pStyle w:val="Normal"/>
      </w:pPr>
      <w:r>
        <w:rPr>
          <w:color w:val="323232"/>
        </w:rPr>
        <w:t xml:space="preserve">METHODS:Blood NT-proBNP, LUS, and FCU evaluating left atrial (LA) size and presence of pericardial effusion (PCEFF) were performed in all cats. Lung ultrasound findings including pleural effusion (PLEFF), number of B-lines, and sub-pleural abnormalities were noted. Medical records were evaluated for final diagnosis.</w:t>
      </w:r>
    </w:p>
    <w:p/>
    <w:p>
      <w:pPr>
        <w:pStyle w:val="Normal"/>
      </w:pPr>
      <w:r>
        <w:rPr>
          <w:color w:val="323232"/>
        </w:rPr>
        <w:t xml:space="preserve">RESULTS:Thirty-three of 51 (65%) cats were diagnosed with CHF. Lung ultrasound and blood NT-proBNP were significant predictors of CHF in a multivariate model. The LUS criterion that maximized accuracy for CHF diagnosis was presence of &gt;1 site strongly positive for B-lines (&gt;3 B-lines per site), resulting in sensitivity of 78.8%, specificity of 83.3%, and area under the curve (AUC) of 0.833. Subjective LA enlargement was 97.0% sensitive and 100% specific for CHF (AUC 0.985). Presence of PCEFF also was 100% specific, but only 60.6% sensitive, for CHF (AUC 0.803). A positive blood NT-proBNP test was 93.9% sensitive and 72.2% specific for the diagnosis of CHF (AUC 0.831).</w:t>
      </w:r>
    </w:p>
    <w:p/>
    <w:p>
      <w:pPr>
        <w:pStyle w:val="Normal"/>
      </w:pPr>
      <w:r>
        <w:rPr>
          <w:color w:val="323232"/>
        </w:rPr>
        <w:t xml:space="preserve">CONCLUSIONS AND CLINICAL IMPORTANCE:Point-of-care diagnostic techniques of LUS, FCU, and NT-proBNP are useful to diagnose CHF in cats with respiratory distress.</w:t>
      </w:r>
    </w:p>
    <w:p/>
    <w:p>
      <w:pPr>
        <w:pStyle w:val="Normal"/>
      </w:pPr>
      <w:r>
        <w:rPr>
          <w:color w:val="323232"/>
        </w:rPr>
        <w:t xml:space="preserve">J Vet Intern Med, 2018 vol. 32 (5) pp. 1530-1540.</w:t>
      </w:r>
    </w:p>
    <w:p>
      <w:r>
        <w:rPr>
          <w:rStyle w:val="Hyperlink"/>
        </w:rPr>
        <w:fldChar w:fldCharType="begin"/>
      </w:r>
      <w:r>
        <w:rPr>
          <w:rStyle w:val="Hyperlink"/>
        </w:rPr>
        <w:instrText xml:space="preserve"> HYPERLINK "http://eutils.ncbi.nlm.nih.gov/entrez/eutils/elink.fcgi?dbfrom=pubmed&amp;id=30216579&amp;retmode=ref&amp;cmd=prlinks"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http://eutils.ncbi.nlm.nih.gov/entrez/eutils/elink.fcgi?dbfrom=pubmed&amp;id=30216579&amp;retmode=ref&amp;cmd=prlinks</w:t>
      </w:r>
      <w:r>
        <w:rPr>
          <w:rStyle w:val="Hyperlink"/>
        </w:rPr>
        <w:fldChar w:fldCharType="end"/>
      </w:r>
    </w:p>
    <w:p>
      <w:pPr>
        <w:pStyle w:val="Normal"/>
      </w:pPr>
      <w:r>
        <w:rPr>
          <w:color w:val="323232"/>
        </w:rPr>
        <w:t xml:space="preserve">————————</w:t>
      </w:r>
    </w:p>
    <w:p>
      <w:pPr>
        <w:pStyle w:val="Heading4"/>
      </w:pPr>
      <w:r>
        <w:t xml:space="preserve">Echocardiographic evaluation of the right ventricular dimension and systolic function in dogs with pulmonary hypertension.</w:t>
      </w:r>
    </w:p>
    <w:p/>
    <w:p>
      <w:pPr>
        <w:pStyle w:val="Normal"/>
      </w:pPr>
      <w:r>
        <w:rPr>
          <w:color w:val="323232"/>
        </w:rPr>
        <w:t xml:space="preserve">Tommaso Vezzosi, Oriol Domenech, Giulia Costa, Federica Marchesotti, Luigi Venco, Eric Zini, Maria Josefa Fernández del Palacio, and Rosalba Tognetti.</w:t>
      </w:r>
    </w:p>
    <w:p/>
    <w:p>
      <w:pPr>
        <w:pStyle w:val="Normal"/>
      </w:pPr>
      <w:r>
        <w:rPr>
          <w:color w:val="323232"/>
        </w:rPr>
        <w:t xml:space="preserve">BACKGROUND:Right ventricular (RV) enlargement and dysfunction are associated with prognosis in humans with pulmonary hypertension (PH).</w:t>
      </w:r>
    </w:p>
    <w:p/>
    <w:p>
      <w:pPr>
        <w:pStyle w:val="Normal"/>
      </w:pPr>
      <w:r>
        <w:rPr>
          <w:color w:val="323232"/>
        </w:rPr>
        <w:t xml:space="preserve">HYPOTHESIS/OBJECTIVES:To assess RV size and systolic function in dogs with PH and to determine if they are associated with disease severity and right-sided congestive heart failure (R-CHF).</w:t>
      </w:r>
    </w:p>
    <w:p/>
    <w:p>
      <w:pPr>
        <w:pStyle w:val="Normal"/>
      </w:pPr>
      <w:r>
        <w:rPr>
          <w:color w:val="323232"/>
        </w:rPr>
        <w:t xml:space="preserve">ANIMALS:89 dogs with PH and 74 healthy dogs.</w:t>
      </w:r>
    </w:p>
    <w:p/>
    <w:p>
      <w:pPr>
        <w:pStyle w:val="Normal"/>
      </w:pPr>
      <w:r>
        <w:rPr>
          <w:color w:val="323232"/>
        </w:rPr>
        <w:t xml:space="preserve">METHODS:Prospective observational study. PH was classified according to the tricuspid regurgitation pressure gradient. RV end-diastolic area (RVEDA) index was calculated as RVEDA divided by body surface area. RV systolic function was assessed with the tricuspid annular plane systolic excursion (TAPSE) and the RV fractional area change (FAC) normalized for body weight (TAPSEn and FACn, respectively).</w:t>
      </w:r>
    </w:p>
    <w:p/>
    <w:p>
      <w:pPr>
        <w:pStyle w:val="Normal"/>
      </w:pPr>
      <w:r>
        <w:rPr>
          <w:color w:val="323232"/>
        </w:rPr>
        <w:t xml:space="preserve">RESULTS:RVEDA index was higher in dogs with moderate PH (10.8 cm2 /m2 ; range, 6.2-14.4 cm2 /m2 ) and severe PH (12.4 cm2 /m2 ; range, 7.7-21.4 cm2 /m2 ) than in those with mild PH (8.4 cm2 /m2 ; range, 4.8-11.6 cm2 /m2 ) and control dogs (8.5 cm2 /m2 ; range, 2.8-11.6 cm2 /m2 ; P &lt; .001). RVEDA index was significantly higher in dogs with R-CHF (13.7 cm2 /m2 ; range, 11.0-21.4 cm2 /m2 ) than in dogs without R-CHF (9.4 cm2 /m2 ; range, 4.8-17.1 cm2 /m2 ; P &lt; .001). The severity of tricuspid regurgitation (TR) was the only independent predictor of the RVEDA index (P &lt; .001). TAPSEn and FACn were not significantly different among varying degrees of PH severity and between dogs with and without R-CHF.</w:t>
      </w:r>
    </w:p>
    <w:p/>
    <w:p>
      <w:pPr>
        <w:pStyle w:val="Normal"/>
      </w:pPr>
      <w:r>
        <w:rPr>
          <w:color w:val="323232"/>
        </w:rPr>
        <w:t xml:space="preserve">CONCLUSIONS AND CLINICAL IMPORTANCE:The RVEDA index can be used to evaluate RV size in dogs. It can provide additional information in dogs with PH and predict R-CHF. Severity of TR is the main determinant of RV enlargement in dogs with PH.</w:t>
      </w:r>
    </w:p>
    <w:p/>
    <w:p>
      <w:pPr>
        <w:pStyle w:val="Normal"/>
      </w:pPr>
      <w:r>
        <w:rPr>
          <w:color w:val="323232"/>
        </w:rPr>
        <w:t xml:space="preserve">J Vet Intern Med, 2018 vol. 32 (5) pp. 1541-1548.</w:t>
      </w:r>
    </w:p>
    <w:p>
      <w:r>
        <w:rPr>
          <w:rStyle w:val="Hyperlink"/>
        </w:rPr>
        <w:fldChar w:fldCharType="begin"/>
      </w:r>
      <w:r>
        <w:rPr>
          <w:rStyle w:val="Hyperlink"/>
        </w:rPr>
        <w:instrText xml:space="preserve"> HYPERLINK "http://eutils.ncbi.nlm.nih.gov/entrez/eutils/elink.fcgi?dbfrom=pubmed&amp;id=30216561&amp;retmode=ref&amp;cmd=prlinks"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http://eutils.ncbi.nlm.nih.gov/entrez/eutils/elink.fcgi?dbfrom=pubmed&amp;id=30216561&amp;retmode=ref&amp;cmd=prlinks</w:t>
      </w:r>
      <w:r>
        <w:rPr>
          <w:rStyle w:val="Hyperlink"/>
        </w:rPr>
        <w:fldChar w:fldCharType="end"/>
      </w:r>
    </w:p>
    <w:p>
      <w:pPr>
        <w:pStyle w:val="Normal"/>
      </w:pPr>
      <w:r>
        <w:rPr>
          <w:color w:val="323232"/>
        </w:rPr>
        <w:t xml:space="preserve">————————</w:t>
      </w:r>
    </w:p>
    <w:p>
      <w:pPr>
        <w:pStyle w:val="Heading4"/>
      </w:pPr>
      <w:r>
        <w:t xml:space="preserve">Efficacy of pentamidine analogue 6 in dogs with chronic atrial fibrillation.</w:t>
      </w:r>
    </w:p>
    <w:p/>
    <w:p>
      <w:pPr>
        <w:pStyle w:val="Normal"/>
      </w:pPr>
      <w:r>
        <w:rPr>
          <w:color w:val="323232"/>
        </w:rPr>
        <w:t xml:space="preserve">Viktor Szatmári, Yuan Ji, Bianca van Herwijnen, Mei Feng, Michael Zhou Wang, Alexandre Bossu, and Marcel A G van der Heyden.</w:t>
      </w:r>
    </w:p>
    <w:p/>
    <w:p>
      <w:pPr>
        <w:pStyle w:val="Normal"/>
      </w:pPr>
      <w:r>
        <w:rPr>
          <w:color w:val="323232"/>
        </w:rPr>
        <w:t xml:space="preserve">BACKGROUND:The inward rectifier inhibitor pentamidine analogue 6 (PA-6) is effective in cardioversion of goats with persistent rapid pacing induced atrial fibrillation (AF) and is not proarrhythmic in dogs with experimental chronic 3rd-degree AV block. Efficacy and safety in the clinical setting are unknown.</w:t>
      </w:r>
    </w:p>
    <w:p/>
    <w:p>
      <w:pPr>
        <w:pStyle w:val="Normal"/>
      </w:pPr>
      <w:r>
        <w:rPr>
          <w:color w:val="323232"/>
        </w:rPr>
        <w:t xml:space="preserve">HYPOTHESIS:That PA-6 would be effective in converting AF to sinus rhythm (SR) in dogs with naturally occurring AF, without the presence of overt adverse effects.</w:t>
      </w:r>
    </w:p>
    <w:p/>
    <w:p>
      <w:pPr>
        <w:pStyle w:val="Normal"/>
      </w:pPr>
      <w:r>
        <w:rPr>
          <w:color w:val="323232"/>
        </w:rPr>
        <w:t xml:space="preserve">ANIMALS:Ten client-owned large and giant breed dogs.</w:t>
      </w:r>
    </w:p>
    <w:p/>
    <w:p>
      <w:pPr>
        <w:pStyle w:val="Normal"/>
      </w:pPr>
      <w:r>
        <w:rPr>
          <w:color w:val="323232"/>
        </w:rPr>
        <w:t xml:space="preserve">METHODS:Animals with persistent or permanent AF were recruited for our prospective study. PA-6 was administered IV as a bolus of 2.5 mg</w:t>
      </w:r>
      <w:r>
        <w:rPr>
          <w:i w:val="1"/>
          <w:color w:val="323232"/>
        </w:rPr>
        <w:t xml:space="preserve">kg 10 min-1 followed by a maintenance infusion of 0.04 mg</w:t>
      </w:r>
      <w:r>
        <w:rPr>
          <w:color w:val="323232"/>
        </w:rPr>
        <w:t xml:space="preserve">kg min-1 for a maximum of 50 minutes in conscious dogs. Standard 6 lead limb ECG was recorded during the infusion. Visible and audible signs of adverse effects were scored during the entire procedure.</w:t>
      </w:r>
    </w:p>
    <w:p/>
    <w:p>
      <w:pPr>
        <w:pStyle w:val="Normal"/>
      </w:pPr>
      <w:r>
        <w:rPr>
          <w:color w:val="323232"/>
        </w:rPr>
        <w:t xml:space="preserve">RESULTS:PA-6 did not induce changes in QRS duration (54.7</w:t>
      </w:r>
      <w:r>
        <w:rPr>
          <w:color w:val="323232"/>
        </w:rPr>
        <w:t xml:space="preserve"> </w:t>
      </w:r>
      <w:r>
        <w:rPr>
          <w:color w:val="323232"/>
        </w:rPr>
        <w:t xml:space="preserve">±</w:t>
      </w:r>
      <w:r>
        <w:rPr>
          <w:color w:val="323232"/>
        </w:rPr>
        <w:t xml:space="preserve"> </w:t>
      </w:r>
      <w:r>
        <w:rPr>
          <w:color w:val="323232"/>
        </w:rPr>
        <w:t xml:space="preserve">4.6 versus 56.7</w:t>
      </w:r>
      <w:r>
        <w:rPr>
          <w:color w:val="323232"/>
        </w:rPr>
        <w:t xml:space="preserve"> </w:t>
      </w:r>
      <w:r>
        <w:rPr>
          <w:color w:val="323232"/>
        </w:rPr>
        <w:t xml:space="preserve">±</w:t>
      </w:r>
      <w:r>
        <w:rPr>
          <w:color w:val="323232"/>
        </w:rPr>
        <w:t xml:space="preserve"> </w:t>
      </w:r>
      <w:r>
        <w:rPr>
          <w:color w:val="323232"/>
        </w:rPr>
        <w:t xml:space="preserve">6.1 ms, P</w:t>
      </w:r>
      <w:r>
        <w:rPr>
          <w:color w:val="323232"/>
        </w:rPr>
        <w:t xml:space="preserve"> </w:t>
      </w:r>
      <w:r>
        <w:rPr>
          <w:color w:val="323232"/>
        </w:rPr>
        <w:t xml:space="preserve">=</w:t>
      </w:r>
      <w:r>
        <w:rPr>
          <w:color w:val="323232"/>
        </w:rPr>
        <w:t xml:space="preserve"> </w:t>
      </w:r>
      <w:r>
        <w:rPr>
          <w:color w:val="323232"/>
        </w:rPr>
        <w:t xml:space="preserve">.42), QTc interval (241.1</w:t>
      </w:r>
      <w:r>
        <w:rPr>
          <w:color w:val="323232"/>
        </w:rPr>
        <w:t xml:space="preserve"> </w:t>
      </w:r>
      <w:r>
        <w:rPr>
          <w:color w:val="323232"/>
        </w:rPr>
        <w:t xml:space="preserve">±</w:t>
      </w:r>
      <w:r>
        <w:rPr>
          <w:color w:val="323232"/>
        </w:rPr>
        <w:t xml:space="preserve"> </w:t>
      </w:r>
      <w:r>
        <w:rPr>
          <w:color w:val="323232"/>
        </w:rPr>
        <w:t xml:space="preserve">19.5 versus 258.7</w:t>
      </w:r>
      <w:r>
        <w:rPr>
          <w:color w:val="323232"/>
        </w:rPr>
        <w:t xml:space="preserve"> </w:t>
      </w:r>
      <w:r>
        <w:rPr>
          <w:color w:val="323232"/>
        </w:rPr>
        <w:t xml:space="preserve">±</w:t>
      </w:r>
      <w:r>
        <w:rPr>
          <w:color w:val="323232"/>
        </w:rPr>
        <w:t xml:space="preserve"> </w:t>
      </w:r>
      <w:r>
        <w:rPr>
          <w:color w:val="323232"/>
        </w:rPr>
        <w:t xml:space="preserve">19.8 ms, P</w:t>
      </w:r>
      <w:r>
        <w:rPr>
          <w:color w:val="323232"/>
        </w:rPr>
        <w:t xml:space="preserve"> </w:t>
      </w:r>
      <w:r>
        <w:rPr>
          <w:color w:val="323232"/>
        </w:rPr>
        <w:t xml:space="preserve">=</w:t>
      </w:r>
      <w:r>
        <w:rPr>
          <w:color w:val="323232"/>
        </w:rPr>
        <w:t xml:space="preserve"> </w:t>
      </w:r>
      <w:r>
        <w:rPr>
          <w:color w:val="323232"/>
        </w:rPr>
        <w:t xml:space="preserve">.061) or RR interval (363.4</w:t>
      </w:r>
      <w:r>
        <w:rPr>
          <w:color w:val="323232"/>
        </w:rPr>
        <w:t xml:space="preserve"> </w:t>
      </w:r>
      <w:r>
        <w:rPr>
          <w:color w:val="323232"/>
        </w:rPr>
        <w:t xml:space="preserve">±</w:t>
      </w:r>
      <w:r>
        <w:rPr>
          <w:color w:val="323232"/>
        </w:rPr>
        <w:t xml:space="preserve"> </w:t>
      </w:r>
      <w:r>
        <w:rPr>
          <w:color w:val="323232"/>
        </w:rPr>
        <w:t xml:space="preserve">84.6 versus 440.8</w:t>
      </w:r>
      <w:r>
        <w:rPr>
          <w:color w:val="323232"/>
        </w:rPr>
        <w:t xml:space="preserve"> </w:t>
      </w:r>
      <w:r>
        <w:rPr>
          <w:color w:val="323232"/>
        </w:rPr>
        <w:t xml:space="preserve">±</w:t>
      </w:r>
      <w:r>
        <w:rPr>
          <w:color w:val="323232"/>
        </w:rPr>
        <w:t xml:space="preserve"> </w:t>
      </w:r>
      <w:r>
        <w:rPr>
          <w:color w:val="323232"/>
        </w:rPr>
        <w:t xml:space="preserve">96.3 ms, P</w:t>
      </w:r>
      <w:r>
        <w:rPr>
          <w:color w:val="323232"/>
        </w:rPr>
        <w:t xml:space="preserve"> </w:t>
      </w:r>
      <w:r>
        <w:rPr>
          <w:color w:val="323232"/>
        </w:rPr>
        <w:t xml:space="preserve">=</w:t>
      </w:r>
      <w:r>
        <w:rPr>
          <w:color w:val="323232"/>
        </w:rPr>
        <w:t xml:space="preserve"> </w:t>
      </w:r>
      <w:r>
        <w:rPr>
          <w:color w:val="323232"/>
        </w:rPr>
        <w:t xml:space="preserve">.072) at the end of the bolus. No cardioversion to SR was observed in any dog. Three dogs displayed no adverse effects. Five dogs had premature ventricular depolarizations during PA-6 infusion on the ECG. Respiratory distress with laryngeal stridor, subtle muscle twitching, and mild generalized muscular weakness were noncardiac adverse effects observed in 5 dogs. Adverse effects resolved spontaneously.</w:t>
      </w:r>
    </w:p>
    <w:p/>
    <w:p>
      <w:pPr>
        <w:pStyle w:val="Normal"/>
      </w:pPr>
      <w:r>
        <w:rPr>
          <w:color w:val="323232"/>
        </w:rPr>
        <w:t xml:space="preserve">CONCLUSIONS AND CLINICAL IMPORTANCE:Chronic naturally occurring AF in large and giant breed dogs could not be cardioverted to SR by PA-6.</w:t>
      </w:r>
    </w:p>
    <w:p/>
    <w:p>
      <w:pPr>
        <w:pStyle w:val="Normal"/>
      </w:pPr>
      <w:r>
        <w:rPr>
          <w:color w:val="323232"/>
        </w:rPr>
        <w:t xml:space="preserve">J Vet Intern Med, 2018 vol. 32 (5), 8 pp. 1549-1554.</w:t>
      </w:r>
    </w:p>
    <w:p>
      <w:r>
        <w:rPr>
          <w:rStyle w:val="Hyperlink"/>
        </w:rPr>
        <w:fldChar w:fldCharType="begin"/>
      </w:r>
      <w:r>
        <w:rPr>
          <w:rStyle w:val="Hyperlink"/>
        </w:rPr>
        <w:instrText xml:space="preserve"> HYPERLINK "http://dx.doi.org/10.1111/jvim.15242" </w:instrText>
      </w:r>
      <w:r>
        <w:rPr>
          <w:rStyle w:val="Hyperlink"/>
        </w:rPr>
      </w:r>
      <w:r>
        <w:rPr>
          <w:rStyle w:val="Hyperlink"/>
        </w:rPr>
        <w:fldChar w:fldCharType="separate"/>
      </w:r>
      <w:pPr>
        <w:pStyle w:val="Normal"/>
      </w:pPr>
      <w:r>
        <w:rPr>
          <w:rStyle w:val="Hyperlink"/>
        </w:rPr>
        <w:t xml:space="preserve">http://dx.doi.org/10.1111/jvim.15242</w:t>
      </w:r>
      <w:r>
        <w:rPr>
          <w:rStyle w:val="Hyperlink"/>
        </w:rPr>
        <w:fldChar w:fldCharType="end"/>
      </w:r>
    </w:p>
    <w:p>
      <w:pPr>
        <w:pStyle w:val="Normal"/>
      </w:pPr>
      <w:r>
        <w:rPr>
          <w:color w:val="323232"/>
        </w:rPr>
        <w:t xml:space="preserve">————————</w:t>
      </w:r>
    </w:p>
    <w:p>
      <w:pPr>
        <w:pStyle w:val="Heading4"/>
      </w:pPr>
      <w:r>
        <w:t xml:space="preserve">A prospective, randomized, double-blind, placebo-controlled pilot study of sacubitril/valsartan (Entresto) in dogs with cardiomegaly secondary to myxomatous mitral valve disease.</w:t>
      </w:r>
    </w:p>
    <w:p/>
    <w:p>
      <w:pPr>
        <w:pStyle w:val="Normal"/>
      </w:pPr>
      <w:r>
        <w:rPr>
          <w:color w:val="323232"/>
        </w:rPr>
        <w:t xml:space="preserve">Daniel K Newhard, SeungWoo Jung, Randolph L Winter, and Sue H Duran.</w:t>
      </w:r>
    </w:p>
    <w:p/>
    <w:p>
      <w:pPr>
        <w:pStyle w:val="Normal"/>
      </w:pPr>
      <w:r>
        <w:rPr>
          <w:color w:val="323232"/>
        </w:rPr>
        <w:t xml:space="preserve">BACKGROUND:The effects of sacubitril</w:t>
      </w:r>
      <w:r>
        <w:rPr>
          <w:i w:val="1"/>
          <w:color w:val="323232"/>
        </w:rPr>
        <w:t xml:space="preserve">valsartan (S</w:t>
      </w:r>
      <w:r>
        <w:rPr>
          <w:color w:val="323232"/>
        </w:rPr>
        <w:t xml:space="preserve">V) on the renin-angiotensin-aldosterone system (RAAS) in dogs with cardiomegaly secondary to myxomatous mitral valve disease (MMVD) are currently unknown.</w:t>
      </w:r>
    </w:p>
    <w:p/>
    <w:p>
      <w:pPr>
        <w:pStyle w:val="Normal"/>
      </w:pPr>
      <w:r>
        <w:rPr>
          <w:color w:val="323232"/>
        </w:rPr>
        <w:t xml:space="preserve">OBJECTIVES:To determine the pharmacodynamic effects of S/V on the RAAS, natriuretic peptide concentrations, systolic arterial pressure (SAP), tests of renal function, and serum electrolyte concentrations in dogs with cardiomegaly secondary to MMVD.</w:t>
      </w:r>
    </w:p>
    <w:p/>
    <w:p>
      <w:pPr>
        <w:pStyle w:val="Normal"/>
      </w:pPr>
      <w:r>
        <w:rPr>
          <w:color w:val="323232"/>
        </w:rPr>
        <w:t xml:space="preserve">ANIMALS:Thirteen client-owned dogs weighing 4-15 kg with American College of Veterinary Internal Medicine (ACVIM) Stage B2 MMVD.</w:t>
      </w:r>
    </w:p>
    <w:p/>
    <w:p>
      <w:pPr>
        <w:pStyle w:val="Normal"/>
      </w:pPr>
      <w:r>
        <w:rPr>
          <w:color w:val="323232"/>
        </w:rPr>
        <w:t xml:space="preserve">METHODS:Prospective, randomized, double-blind, placebo-controlled pilot study of S/V in dogs with ACVIM Stage B2 MMVD.</w:t>
      </w:r>
    </w:p>
    <w:p/>
    <w:p>
      <w:pPr>
        <w:pStyle w:val="Normal"/>
      </w:pPr>
      <w:r>
        <w:rPr>
          <w:color w:val="323232"/>
        </w:rPr>
        <w:t xml:space="preserve">RESULTS:Thirteen dogs were recruited: S</w:t>
      </w:r>
      <w:r>
        <w:rPr>
          <w:i w:val="1"/>
          <w:color w:val="323232"/>
        </w:rPr>
        <w:t xml:space="preserve">V (n</w:t>
      </w:r>
      <w:r>
        <w:rPr>
          <w:color w:val="323232"/>
        </w:rPr>
        <w:t xml:space="preserve"> </w:t>
      </w:r>
      <w:r>
        <w:rPr>
          <w:i w:val="1"/>
          <w:color w:val="323232"/>
        </w:rPr>
        <w:t xml:space="preserve">=</w:t>
      </w:r>
      <w:r>
        <w:rPr>
          <w:color w:val="323232"/>
        </w:rPr>
        <w:t xml:space="preserve"> </w:t>
      </w:r>
      <w:r>
        <w:rPr>
          <w:i w:val="1"/>
          <w:color w:val="323232"/>
        </w:rPr>
        <w:t xml:space="preserve">7) and placebo (n</w:t>
      </w:r>
      <w:r>
        <w:rPr>
          <w:color w:val="323232"/>
        </w:rPr>
        <w:t xml:space="preserve"> </w:t>
      </w:r>
      <w:r>
        <w:rPr>
          <w:i w:val="1"/>
          <w:color w:val="323232"/>
        </w:rPr>
        <w:t xml:space="preserve">=</w:t>
      </w:r>
      <w:r>
        <w:rPr>
          <w:color w:val="323232"/>
        </w:rPr>
        <w:t xml:space="preserve"> </w:t>
      </w:r>
      <w:r>
        <w:rPr>
          <w:i w:val="1"/>
          <w:color w:val="323232"/>
        </w:rPr>
        <w:t xml:space="preserve">6). The median percentage increase in urinary aldosterone to creatinine ratio (UAldo : C) between day 0 and day 30 was significantly lower in the S</w:t>
      </w:r>
      <w:r>
        <w:rPr>
          <w:color w:val="323232"/>
        </w:rPr>
        <w:t xml:space="preserve">V group (12%; P</w:t>
      </w:r>
      <w:r>
        <w:rPr>
          <w:color w:val="323232"/>
        </w:rPr>
        <w:t xml:space="preserve"> </w:t>
      </w:r>
      <w:r>
        <w:rPr>
          <w:color w:val="323232"/>
        </w:rPr>
        <w:t xml:space="preserve">=</w:t>
      </w:r>
      <w:r>
        <w:rPr>
          <w:color w:val="323232"/>
        </w:rPr>
        <w:t xml:space="preserve"> </w:t>
      </w:r>
      <w:r>
        <w:rPr>
          <w:color w:val="323232"/>
        </w:rPr>
        <w:t xml:space="preserve">.032) as compared with the placebo group (195%). The median percentage decrease of NT-proBNP concentration from day 0 to day 30 was not statistically different between groups (P</w:t>
      </w:r>
      <w:r>
        <w:rPr>
          <w:color w:val="323232"/>
        </w:rPr>
        <w:t xml:space="preserve"> </w:t>
      </w:r>
      <w:r>
        <w:rPr>
          <w:color w:val="323232"/>
        </w:rPr>
        <w:t xml:space="preserve">=</w:t>
      </w:r>
      <w:r>
        <w:rPr>
          <w:color w:val="323232"/>
        </w:rPr>
        <w:t xml:space="preserve"> </w:t>
      </w:r>
      <w:r>
        <w:rPr>
          <w:color w:val="323232"/>
        </w:rPr>
        <w:t xml:space="preserve">.68). No statistical differences were seen in echocardiographic, thoracic radiographic, SAP, or serum biochemical test results measured at any time point between groups. No adverse events were observed for dogs in either group.</w:t>
      </w:r>
    </w:p>
    <w:p/>
    <w:p>
      <w:pPr>
        <w:pStyle w:val="Normal"/>
      </w:pPr>
      <w:r>
        <w:rPr>
          <w:color w:val="323232"/>
        </w:rPr>
        <w:t xml:space="preserve">CONCLUSION AND CLINICAL IMPORTANCE:Sacubitril/valsartan may provide a new pharmaceutical method to effectively inhibit the RAAS in dogs with ACVIM Stage B2 MMVD.</w:t>
      </w:r>
    </w:p>
    <w:p/>
    <w:p>
      <w:pPr>
        <w:pStyle w:val="Normal"/>
      </w:pPr>
      <w:r>
        <w:rPr>
          <w:color w:val="323232"/>
        </w:rPr>
        <w:t xml:space="preserve">J Vet Intern Med, 2018 vol. 32 (5) pp. 1555-1563.</w:t>
      </w:r>
    </w:p>
    <w:p>
      <w:r>
        <w:rPr>
          <w:rStyle w:val="Hyperlink"/>
        </w:rPr>
        <w:fldChar w:fldCharType="begin"/>
      </w:r>
      <w:r>
        <w:rPr>
          <w:rStyle w:val="Hyperlink"/>
        </w:rPr>
        <w:instrText xml:space="preserve"> HYPERLINK "http://eutils.ncbi.nlm.nih.gov/entrez/eutils/elink.fcgi?dbfrom=pubmed&amp;id=30084228&amp;retmode=ref&amp;cmd=prlinks"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http://eutils.ncbi.nlm.nih.gov/entrez/eutils/elink.fcgi?dbfrom=pubmed&amp;id=30084228&amp;retmode=ref&amp;cmd=prlinks</w:t>
      </w:r>
      <w:r>
        <w:rPr>
          <w:rStyle w:val="Hyperlink"/>
        </w:rPr>
        <w:fldChar w:fldCharType="end"/>
      </w:r>
    </w:p>
    <w:p>
      <w:pPr>
        <w:pStyle w:val="Normal"/>
      </w:pPr>
      <w:r>
        <w:rPr>
          <w:color w:val="323232"/>
        </w:rPr>
        <w:t xml:space="preserve">————————</w:t>
      </w:r>
    </w:p>
    <w:p>
      <w:pPr>
        <w:pStyle w:val="Heading4"/>
      </w:pPr>
      <w:r>
        <w:t xml:space="preserve">Effect of insulin treatment on circulating insulin-like growth factor I and IGF-binding proteins in cats with diabetes mellitus.</w:t>
      </w:r>
    </w:p>
    <w:p/>
    <w:p>
      <w:pPr>
        <w:pStyle w:val="Normal"/>
      </w:pPr>
      <w:r>
        <w:rPr>
          <w:color w:val="323232"/>
        </w:rPr>
        <w:t xml:space="preserve">Emma M Strage, Mårten Sundberg, Bodil S Holst, Mikael Andersson Franko, Margareta Ramström, Tove Fall, and Moira Lewitt.</w:t>
      </w:r>
    </w:p>
    <w:p/>
    <w:p>
      <w:pPr>
        <w:pStyle w:val="Normal"/>
      </w:pPr>
      <w:r>
        <w:rPr>
          <w:color w:val="323232"/>
        </w:rPr>
        <w:t xml:space="preserve">BACKGROUND:Insulin-like growth factor-I (IGF-I) is used to screen for acromegaly in diabetic cats. In humans, most circulating IGF-I forms ternary complexes (TC) with IGF-binding protein (IGFBP-3) and an acid-labile subunit. Compared to humans, the amount of TC in cats is more variable. Insulin-like growth factor-I concentrations are reported to increase during insulin treatment, more rapidly in cats achieving remission.</w:t>
      </w:r>
    </w:p>
    <w:p/>
    <w:p>
      <w:pPr>
        <w:pStyle w:val="Normal"/>
      </w:pPr>
      <w:r>
        <w:rPr>
          <w:color w:val="323232"/>
        </w:rPr>
        <w:t xml:space="preserve">OBJECTIVES:To investigate (i) factors associated with circulating IGF-I concentrations, including IGFBP-profiles (ii) effect of insulin treatment on IGF-I concentrations and (iii) IGF-I as prognostic marker of diabetes mellitus remission.</w:t>
      </w:r>
    </w:p>
    <w:p/>
    <w:p>
      <w:pPr>
        <w:pStyle w:val="Normal"/>
      </w:pPr>
      <w:r>
        <w:rPr>
          <w:color w:val="323232"/>
        </w:rPr>
        <w:t xml:space="preserve">ANIMALS:Thirty-one privately owned diabetic cats of which 24 were followed 1 year, and 13 healthy cats.</w:t>
      </w:r>
    </w:p>
    <w:p/>
    <w:p>
      <w:pPr>
        <w:pStyle w:val="Normal"/>
      </w:pPr>
      <w:r>
        <w:rPr>
          <w:color w:val="323232"/>
        </w:rPr>
        <w:t xml:space="preserve">METHODS:Prospective study. Serum insulin, IGF-I, glucose, and fructosamine concentrations were measured. IGF-binding forms were determined by chromatography in 14 diabetic and 13 healthy cats; and IGF-I, IGF-II, IGFBP-3, and IGFBP-5 by mass spectrometry in 3 cats achieving remission.</w:t>
      </w:r>
    </w:p>
    <w:p/>
    <w:p>
      <w:pPr>
        <w:pStyle w:val="Normal"/>
      </w:pPr>
      <w:r>
        <w:rPr>
          <w:color w:val="323232"/>
        </w:rPr>
        <w:t xml:space="preserve">RESULTS:Insulin-like growth factor-I median (interquartile range) before start of insulin treatment was 300 (160-556) ng/ mL. Insulin-like growth factor-I was positively associated with TC (P</w:t>
      </w:r>
      <w:r>
        <w:rPr>
          <w:color w:val="323232"/>
        </w:rPr>
        <w:t xml:space="preserve"> </w:t>
      </w:r>
      <w:r>
        <w:rPr>
          <w:color w:val="323232"/>
        </w:rPr>
        <w:t xml:space="preserve">&lt;</w:t>
      </w:r>
      <w:r>
        <w:rPr>
          <w:color w:val="323232"/>
        </w:rPr>
        <w:t xml:space="preserve"> </w:t>
      </w:r>
      <w:r>
        <w:rPr>
          <w:color w:val="323232"/>
        </w:rPr>
        <w:t xml:space="preserve">.0001) and endogenous insulin (P</w:t>
      </w:r>
      <w:r>
        <w:rPr>
          <w:color w:val="323232"/>
        </w:rPr>
        <w:t xml:space="preserve"> </w:t>
      </w:r>
      <w:r>
        <w:rPr>
          <w:color w:val="323232"/>
        </w:rPr>
        <w:t xml:space="preserve">=</w:t>
      </w:r>
      <w:r>
        <w:rPr>
          <w:color w:val="323232"/>
        </w:rPr>
        <w:t xml:space="preserve"> </w:t>
      </w:r>
      <w:r>
        <w:rPr>
          <w:color w:val="323232"/>
        </w:rPr>
        <w:t xml:space="preserve">.005) and negatively associated with fructosamine (P</w:t>
      </w:r>
      <w:r>
        <w:rPr>
          <w:color w:val="323232"/>
        </w:rPr>
        <w:t xml:space="preserve"> </w:t>
      </w:r>
      <w:r>
        <w:rPr>
          <w:color w:val="323232"/>
        </w:rPr>
        <w:t xml:space="preserve">&lt;</w:t>
      </w:r>
      <w:r>
        <w:rPr>
          <w:color w:val="323232"/>
        </w:rPr>
        <w:t xml:space="preserve"> </w:t>
      </w:r>
      <w:r>
        <w:rPr>
          <w:color w:val="323232"/>
        </w:rPr>
        <w:t xml:space="preserve">.0001). Median IGF-I was higher 2-4 weeks after start of insulin treatment compared with baseline (300 versus 670 ng/ mL, P</w:t>
      </w:r>
      <w:r>
        <w:rPr>
          <w:color w:val="323232"/>
        </w:rPr>
        <w:t xml:space="preserve"> </w:t>
      </w:r>
      <w:r>
        <w:rPr>
          <w:color w:val="323232"/>
        </w:rPr>
        <w:t xml:space="preserve">=</w:t>
      </w:r>
      <w:r>
        <w:rPr>
          <w:color w:val="323232"/>
        </w:rPr>
        <w:t xml:space="preserve"> </w:t>
      </w:r>
      <w:r>
        <w:rPr>
          <w:color w:val="323232"/>
        </w:rPr>
        <w:t xml:space="preserve">.0001) and predicted future remission (P</w:t>
      </w:r>
      <w:r>
        <w:rPr>
          <w:color w:val="323232"/>
        </w:rPr>
        <w:t xml:space="preserve"> </w:t>
      </w:r>
      <w:r>
        <w:rPr>
          <w:color w:val="323232"/>
        </w:rPr>
        <w:t xml:space="preserve">=</w:t>
      </w:r>
      <w:r>
        <w:rPr>
          <w:color w:val="323232"/>
        </w:rPr>
        <w:t xml:space="preserve"> </w:t>
      </w:r>
      <w:r>
        <w:rPr>
          <w:color w:val="323232"/>
        </w:rPr>
        <w:t xml:space="preserve">.046). In cats that went into remission, the amount of TC and IGFBP-3 increased, suggesting increase in IGF-I is dependent on TC formation.</w:t>
      </w:r>
    </w:p>
    <w:p/>
    <w:p>
      <w:pPr>
        <w:pStyle w:val="Normal"/>
      </w:pPr>
      <w:r>
        <w:rPr>
          <w:color w:val="323232"/>
        </w:rPr>
        <w:t xml:space="preserve">CONCLUSIONS:Insulin treatment should be accounted for when interpreting IGF-I in diabetic cats. Insulin-like growth factor-I 2-4 weeks after initiation of insulin treatment shows promise as prognostic marker for remission in diabetic cats.</w:t>
      </w:r>
    </w:p>
    <w:p/>
    <w:p>
      <w:pPr>
        <w:pStyle w:val="Normal"/>
      </w:pPr>
      <w:r>
        <w:rPr>
          <w:color w:val="323232"/>
        </w:rPr>
        <w:t xml:space="preserve">J Vet Intern Med, 2018 vol. 32 (5) pp. 1579-1590.</w:t>
      </w:r>
    </w:p>
    <w:p>
      <w:r>
        <w:rPr>
          <w:rStyle w:val="Hyperlink"/>
        </w:rPr>
        <w:fldChar w:fldCharType="begin"/>
      </w:r>
      <w:r>
        <w:rPr>
          <w:rStyle w:val="Hyperlink"/>
        </w:rPr>
        <w:instrText xml:space="preserve"> HYPERLINK "http://dx.doi.org/10.1111/jvim.15243" </w:instrText>
      </w:r>
      <w:r>
        <w:rPr>
          <w:rStyle w:val="Hyperlink"/>
        </w:rPr>
      </w:r>
      <w:r>
        <w:rPr>
          <w:rStyle w:val="Hyperlink"/>
        </w:rPr>
        <w:fldChar w:fldCharType="separate"/>
      </w:r>
      <w:pPr>
        <w:pStyle w:val="Normal"/>
      </w:pPr>
      <w:r>
        <w:rPr>
          <w:rStyle w:val="Hyperlink"/>
        </w:rPr>
        <w:t xml:space="preserve">http://dx.doi.org/10.1111/jvim.15243</w:t>
      </w:r>
      <w:r>
        <w:rPr>
          <w:rStyle w:val="Hyperlink"/>
        </w:rPr>
        <w:fldChar w:fldCharType="end"/>
      </w:r>
    </w:p>
    <w:p>
      <w:pPr>
        <w:pStyle w:val="Normal"/>
      </w:pPr>
      <w:r>
        <w:rPr>
          <w:color w:val="323232"/>
        </w:rPr>
        <w:t xml:space="preserve">————————</w:t>
      </w:r>
    </w:p>
    <w:p>
      <w:pPr>
        <w:pStyle w:val="Heading4"/>
      </w:pPr>
      <w:r>
        <w:t xml:space="preserve">Randomized placebo controlled clinical trial of an enteric coated micro-pelleted formulation of a pancreatic enzyme supplement in dogs with exocrine pancreatic insufficiency.</w:t>
      </w:r>
    </w:p>
    <w:p/>
    <w:p>
      <w:pPr>
        <w:pStyle w:val="Normal"/>
      </w:pPr>
      <w:r>
        <w:rPr>
          <w:color w:val="323232"/>
        </w:rPr>
        <w:t xml:space="preserve">Joseph Cyrus Parambeth, GEOFFREY T FOSGATE, Jan S Suchodolski, Jonathan A Lidbury, and Jörg M Steiner.</w:t>
      </w:r>
    </w:p>
    <w:p/>
    <w:p>
      <w:pPr>
        <w:pStyle w:val="Normal"/>
      </w:pPr>
      <w:r>
        <w:rPr>
          <w:color w:val="323232"/>
        </w:rPr>
        <w:t xml:space="preserve">BACKGROUND:Pancreatic enzyme supplements for the treatment of exocrine pancreatic insufficiency (EPI) in dogs can be uncoated or enteric coated. Enteric coated supplements might be advantageous.</w:t>
      </w:r>
    </w:p>
    <w:p/>
    <w:p>
      <w:pPr>
        <w:pStyle w:val="Normal"/>
      </w:pPr>
      <w:r>
        <w:rPr>
          <w:color w:val="323232"/>
        </w:rPr>
        <w:t xml:space="preserve">HYPOTHESIS/OBJECTIVES:Enteric coated enzyme supplements are superior to uncoated supplements in dogs with clinical EPI.</w:t>
      </w:r>
    </w:p>
    <w:p/>
    <w:p>
      <w:pPr>
        <w:pStyle w:val="Normal"/>
      </w:pPr>
      <w:r>
        <w:rPr>
          <w:color w:val="323232"/>
        </w:rPr>
        <w:t xml:space="preserve">ANIMALS:Eleven dogs with naturally occurring EPI that were apparently free from other diseases.</w:t>
      </w:r>
    </w:p>
    <w:p/>
    <w:p>
      <w:pPr>
        <w:pStyle w:val="Normal"/>
      </w:pPr>
      <w:r>
        <w:rPr>
          <w:color w:val="323232"/>
        </w:rPr>
        <w:t xml:space="preserve">METHODS:Randomized, blinded, controlled cross-over clinical trial comparing a novel micro-encapsulated enteric coated enzyme supplement to a commercially available uncoated product in dogs with clinical EPI. Search of serum canine serum trypsin-like immunoreactivity concentration ≤</w:t>
      </w:r>
      <w:r>
        <w:rPr>
          <w:color w:val="323232"/>
        </w:rPr>
        <w:t xml:space="preserve"> </w:t>
      </w:r>
      <w:r>
        <w:rPr>
          <w:color w:val="323232"/>
        </w:rPr>
        <w:t xml:space="preserve">2.5 µg/L in the Gastrointestinal Laboratory database was used to identify dogs with EPI.</w:t>
      </w:r>
    </w:p>
    <w:p/>
    <w:p>
      <w:pPr>
        <w:pStyle w:val="Normal"/>
      </w:pPr>
      <w:r>
        <w:rPr>
          <w:color w:val="323232"/>
        </w:rPr>
        <w:t xml:space="preserve">RESULTS:There was no difference -4.46% (95% CI: -7.97%--0.96%; P</w:t>
      </w:r>
      <w:r>
        <w:rPr>
          <w:color w:val="323232"/>
        </w:rPr>
        <w:t xml:space="preserve"> </w:t>
      </w:r>
      <w:r>
        <w:rPr>
          <w:color w:val="323232"/>
        </w:rPr>
        <w:t xml:space="preserve">=</w:t>
      </w:r>
      <w:r>
        <w:rPr>
          <w:color w:val="323232"/>
        </w:rPr>
        <w:t xml:space="preserve"> </w:t>
      </w:r>
      <w:r>
        <w:rPr>
          <w:color w:val="323232"/>
        </w:rPr>
        <w:t xml:space="preserve">.15) in the % acid hydrolysis fecal fat (primary outcome) between the enteric coated formulation (median: 11.8%; range 6.4%-17.0%) and the uncoated pancreatic enzyme replacement product (median: 17.5%; range: 5.2%-24.9%) in the 11 dogs that completed the study. Other variables did not differ between treatments.</w:t>
      </w:r>
    </w:p>
    <w:p/>
    <w:p>
      <w:pPr>
        <w:pStyle w:val="Normal"/>
      </w:pPr>
      <w:r>
        <w:rPr>
          <w:color w:val="323232"/>
        </w:rPr>
        <w:t xml:space="preserve">CONCLUSIONS AND CLINICAL IMPORTANCE:This study, which had low statistical power, did not detect a difference between formulations.</w:t>
      </w:r>
    </w:p>
    <w:p/>
    <w:p>
      <w:pPr>
        <w:pStyle w:val="Normal"/>
      </w:pPr>
      <w:r>
        <w:rPr>
          <w:color w:val="323232"/>
        </w:rPr>
        <w:t xml:space="preserve">J Vet Intern Med, 2018 vol. 32 (5) pp. 1591-1599.</w:t>
      </w:r>
    </w:p>
    <w:p>
      <w:r>
        <w:rPr>
          <w:rStyle w:val="Hyperlink"/>
        </w:rPr>
        <w:fldChar w:fldCharType="begin"/>
      </w:r>
      <w:r>
        <w:rPr>
          <w:rStyle w:val="Hyperlink"/>
        </w:rPr>
        <w:instrText xml:space="preserve"> HYPERLINK "http://dx.doi.org/10.1111/jvim.15235" </w:instrText>
      </w:r>
      <w:r>
        <w:rPr>
          <w:rStyle w:val="Hyperlink"/>
        </w:rPr>
      </w:r>
      <w:r>
        <w:rPr>
          <w:rStyle w:val="Hyperlink"/>
        </w:rPr>
        <w:fldChar w:fldCharType="separate"/>
      </w:r>
      <w:pPr>
        <w:pStyle w:val="Normal"/>
      </w:pPr>
      <w:r>
        <w:rPr>
          <w:rStyle w:val="Hyperlink"/>
        </w:rPr>
        <w:t xml:space="preserve">http://dx.doi.org/10.1111/jvim.15235</w:t>
      </w:r>
      <w:r>
        <w:rPr>
          <w:rStyle w:val="Hyperlink"/>
        </w:rPr>
        <w:fldChar w:fldCharType="end"/>
      </w:r>
    </w:p>
    <w:p>
      <w:pPr>
        <w:pStyle w:val="Normal"/>
      </w:pPr>
      <w:r>
        <w:rPr>
          <w:color w:val="323232"/>
        </w:rPr>
        <w:t xml:space="preserve">————————</w:t>
      </w:r>
    </w:p>
    <w:p>
      <w:pPr>
        <w:pStyle w:val="Heading4"/>
      </w:pPr>
      <w:r>
        <w:t xml:space="preserve">Serum concentrations of lipid-soluble vitamins in dogs with exocrine pancreatic insufficiency treated with pancreatic enzymes.</w:t>
      </w:r>
    </w:p>
    <w:p/>
    <w:p>
      <w:pPr>
        <w:pStyle w:val="Normal"/>
      </w:pPr>
      <w:r>
        <w:rPr>
          <w:color w:val="323232"/>
        </w:rPr>
        <w:t xml:space="preserve">Patrick C Barko and David A Williams.</w:t>
      </w:r>
    </w:p>
    <w:p/>
    <w:p>
      <w:pPr>
        <w:pStyle w:val="Normal"/>
      </w:pPr>
      <w:r>
        <w:rPr>
          <w:color w:val="323232"/>
        </w:rPr>
        <w:t xml:space="preserve">BACKGROUND:In humans, exocrine pancreatic insufficiency (EPI) is associated with deficiencies in lipid-soluble vitamins. Little is reported regarding lipid-soluble vitamin status in dogs with EPI.</w:t>
      </w:r>
    </w:p>
    <w:p/>
    <w:p>
      <w:pPr>
        <w:pStyle w:val="Normal"/>
      </w:pPr>
      <w:r>
        <w:rPr>
          <w:color w:val="323232"/>
        </w:rPr>
        <w:t xml:space="preserve">HYPOTHESIS/OBJECTIVES:Compare serum concentrations of retinol, 25-hydrocholecalciferol (25OHD), and α-tocopherol among dogs with EPI, those with subclinical EPI (sEPI), and healthy dogs. Detect associations between serum concentrations of lipid-soluble vitamins and residual clinical signs in treated dogs with EPI and sEPI.</w:t>
      </w:r>
    </w:p>
    <w:p/>
    <w:p>
      <w:pPr>
        <w:pStyle w:val="Normal"/>
      </w:pPr>
      <w:r>
        <w:rPr>
          <w:color w:val="323232"/>
        </w:rPr>
        <w:t xml:space="preserve">ANIMALS:Twenty dogs with EPI and five dogs with sEPI receiving pancreatic enzyme replacement therapy. Ten healthy dogs sampled before and after 10 days of pancreatic enzyme supplementation.</w:t>
      </w:r>
    </w:p>
    <w:p/>
    <w:p>
      <w:pPr>
        <w:pStyle w:val="Normal"/>
      </w:pPr>
      <w:r>
        <w:rPr>
          <w:color w:val="323232"/>
        </w:rPr>
        <w:t xml:space="preserve">METHODS:Case-control study. Serum retinol and α-tocopherol concentrations were measured by high-performance liquid chromatography. Serum 25OHD concentrations were measured by radioimmunoassay.</w:t>
      </w:r>
    </w:p>
    <w:p/>
    <w:p>
      <w:pPr>
        <w:pStyle w:val="Normal"/>
      </w:pPr>
      <w:r>
        <w:rPr>
          <w:color w:val="323232"/>
        </w:rPr>
        <w:t xml:space="preserve">RESULTS:Serum retinol concentration was significantly lower in dogs with EPI (median, 490</w:t>
      </w:r>
      <w:r>
        <w:rPr>
          <w:color w:val="323232"/>
        </w:rPr>
        <w:t xml:space="preserve"> </w:t>
      </w:r>
      <w:r>
        <w:rPr>
          <w:color w:val="323232"/>
        </w:rPr>
        <w:t xml:space="preserve">ng</w:t>
      </w:r>
      <w:r>
        <w:rPr>
          <w:i w:val="1"/>
          <w:color w:val="323232"/>
        </w:rPr>
        <w:t xml:space="preserve">mL; range, 322-990</w:t>
      </w:r>
      <w:r>
        <w:rPr>
          <w:color w:val="323232"/>
        </w:rPr>
        <w:t xml:space="preserve"> </w:t>
      </w:r>
      <w:r>
        <w:rPr>
          <w:i w:val="1"/>
          <w:color w:val="323232"/>
        </w:rPr>
        <w:t xml:space="preserve">ng</w:t>
      </w:r>
      <w:r>
        <w:rPr>
          <w:color w:val="323232"/>
        </w:rPr>
        <w:t xml:space="preserve">mL) and serum α-tocopherol concentration was significantly lower in dogs with EPI (median, 11.51</w:t>
      </w:r>
      <w:r>
        <w:rPr>
          <w:color w:val="323232"/>
        </w:rPr>
        <w:t xml:space="preserve"> </w:t>
      </w:r>
      <w:r>
        <w:rPr>
          <w:color w:val="323232"/>
        </w:rPr>
        <w:t xml:space="preserve">μg</w:t>
      </w:r>
      <w:r>
        <w:rPr>
          <w:i w:val="1"/>
          <w:color w:val="323232"/>
        </w:rPr>
        <w:t xml:space="preserve">L; range, 4.8-27.1 μg</w:t>
      </w:r>
      <w:r>
        <w:rPr>
          <w:color w:val="323232"/>
        </w:rPr>
        <w:t xml:space="preserve">L) and sEPI (median, 12.66</w:t>
      </w:r>
      <w:r>
        <w:rPr>
          <w:color w:val="323232"/>
        </w:rPr>
        <w:t xml:space="preserve"> </w:t>
      </w:r>
      <w:r>
        <w:rPr>
          <w:color w:val="323232"/>
        </w:rPr>
        <w:t xml:space="preserve">μg</w:t>
      </w:r>
      <w:r>
        <w:rPr>
          <w:i w:val="1"/>
          <w:color w:val="323232"/>
        </w:rPr>
        <w:t xml:space="preserve">L; range, 10.21-21.03</w:t>
      </w:r>
      <w:r>
        <w:rPr>
          <w:color w:val="323232"/>
        </w:rPr>
        <w:t xml:space="preserve"> </w:t>
      </w:r>
      <w:r>
        <w:rPr>
          <w:i w:val="1"/>
          <w:color w:val="323232"/>
        </w:rPr>
        <w:t xml:space="preserve">μg</w:t>
      </w:r>
      <w:r>
        <w:rPr>
          <w:color w:val="323232"/>
        </w:rPr>
        <w:t xml:space="preserve">L) compared with healthy dogs (median, 1203</w:t>
      </w:r>
      <w:r>
        <w:rPr>
          <w:color w:val="323232"/>
        </w:rPr>
        <w:t xml:space="preserve"> </w:t>
      </w:r>
      <w:r>
        <w:rPr>
          <w:color w:val="323232"/>
        </w:rPr>
        <w:t xml:space="preserve">ng</w:t>
      </w:r>
      <w:r>
        <w:rPr>
          <w:i w:val="1"/>
          <w:color w:val="323232"/>
        </w:rPr>
        <w:t xml:space="preserve">mL; range, 637-1768</w:t>
      </w:r>
      <w:r>
        <w:rPr>
          <w:color w:val="323232"/>
        </w:rPr>
        <w:t xml:space="preserve"> </w:t>
      </w:r>
      <w:r>
        <w:rPr>
          <w:i w:val="1"/>
          <w:color w:val="323232"/>
        </w:rPr>
        <w:t xml:space="preserve">ng</w:t>
      </w:r>
      <w:r>
        <w:rPr>
          <w:color w:val="323232"/>
        </w:rPr>
        <w:t xml:space="preserve">mL and median, 43.54</w:t>
      </w:r>
      <w:r>
        <w:rPr>
          <w:color w:val="323232"/>
        </w:rPr>
        <w:t xml:space="preserve"> </w:t>
      </w:r>
      <w:r>
        <w:rPr>
          <w:color w:val="323232"/>
        </w:rPr>
        <w:t xml:space="preserve">μg</w:t>
      </w:r>
      <w:r>
        <w:rPr>
          <w:i w:val="1"/>
          <w:color w:val="323232"/>
        </w:rPr>
        <w:t xml:space="preserve">L; range, 34.26-53.97</w:t>
      </w:r>
      <w:r>
        <w:rPr>
          <w:color w:val="323232"/>
        </w:rPr>
        <w:t xml:space="preserve"> </w:t>
      </w:r>
      <w:r>
        <w:rPr>
          <w:i w:val="1"/>
          <w:color w:val="323232"/>
        </w:rPr>
        <w:t xml:space="preserve">μg</w:t>
      </w:r>
      <w:r>
        <w:rPr>
          <w:color w:val="323232"/>
        </w:rPr>
        <w:t xml:space="preserve">L, respectively). Dogs with weight loss had significantly lower 25OHD (mean, 243.50</w:t>
      </w:r>
      <w:r>
        <w:rPr>
          <w:color w:val="323232"/>
        </w:rPr>
        <w:t xml:space="preserve"> </w:t>
      </w:r>
      <w:r>
        <w:rPr>
          <w:color w:val="323232"/>
        </w:rPr>
        <w:t xml:space="preserve">nmol</w:t>
      </w:r>
      <w:r>
        <w:rPr>
          <w:i w:val="1"/>
          <w:color w:val="323232"/>
        </w:rPr>
        <w:t xml:space="preserve">L; standard deviation [SD], 3.54</w:t>
      </w:r>
      <w:r>
        <w:rPr>
          <w:color w:val="323232"/>
        </w:rPr>
        <w:t xml:space="preserve"> </w:t>
      </w:r>
      <w:r>
        <w:rPr>
          <w:i w:val="1"/>
          <w:color w:val="323232"/>
        </w:rPr>
        <w:t xml:space="preserve">nmol</w:t>
      </w:r>
      <w:r>
        <w:rPr>
          <w:color w:val="323232"/>
        </w:rPr>
        <w:t xml:space="preserve">L) than dogs with stable weight (314.0 nmol</w:t>
      </w:r>
      <w:r>
        <w:rPr>
          <w:i w:val="1"/>
          <w:color w:val="323232"/>
        </w:rPr>
        <w:t xml:space="preserve">L; SD, 138.38</w:t>
      </w:r>
      <w:r>
        <w:rPr>
          <w:color w:val="323232"/>
        </w:rPr>
        <w:t xml:space="preserve"> </w:t>
      </w:r>
      <w:r>
        <w:rPr>
          <w:i w:val="1"/>
          <w:color w:val="323232"/>
        </w:rPr>
        <w:t xml:space="preserve">nmol</w:t>
      </w:r>
      <w:r>
        <w:rPr>
          <w:color w:val="323232"/>
        </w:rPr>
        <w:t xml:space="preserve">L).</w:t>
      </w:r>
    </w:p>
    <w:p/>
    <w:p>
      <w:pPr>
        <w:pStyle w:val="Normal"/>
      </w:pPr>
      <w:r>
        <w:rPr>
          <w:color w:val="323232"/>
        </w:rPr>
        <w:t xml:space="preserve">CONCLUSIONS AND CLINICAL IMPORTANCE:Altered homeostasis of lipid-soluble vitamins is present in dogs with EPI and sEPI, despite enzyme replacement therapy. Additional studies are needed to determine the clinical relevance of these findings and the therapeutic potential of lipid-soluble vitamin supplementation in dogs with EPI and sEPI.</w:t>
      </w:r>
    </w:p>
    <w:p/>
    <w:p>
      <w:pPr>
        <w:pStyle w:val="Normal"/>
      </w:pPr>
      <w:r>
        <w:rPr>
          <w:color w:val="323232"/>
        </w:rPr>
        <w:t xml:space="preserve">J Vet Intern Med, 2018 vol. 32 (5) pp. 1600-1608.</w:t>
      </w:r>
    </w:p>
    <w:p>
      <w:r>
        <w:rPr>
          <w:rStyle w:val="Hyperlink"/>
        </w:rPr>
        <w:fldChar w:fldCharType="begin"/>
      </w:r>
      <w:r>
        <w:rPr>
          <w:rStyle w:val="Hyperlink"/>
        </w:rPr>
        <w:instrText xml:space="preserve"> HYPERLINK "http://dx.doi.org/10.1111/jvim.15292" </w:instrText>
      </w:r>
      <w:r>
        <w:rPr>
          <w:rStyle w:val="Hyperlink"/>
        </w:rPr>
      </w:r>
      <w:r>
        <w:rPr>
          <w:rStyle w:val="Hyperlink"/>
        </w:rPr>
        <w:fldChar w:fldCharType="separate"/>
      </w:r>
      <w:pPr>
        <w:pStyle w:val="Normal"/>
      </w:pPr>
      <w:r>
        <w:rPr>
          <w:rStyle w:val="Hyperlink"/>
        </w:rPr>
        <w:t xml:space="preserve">http://dx.doi.org/10.1111/jvim.15292</w:t>
      </w:r>
      <w:r>
        <w:rPr>
          <w:rStyle w:val="Hyperlink"/>
        </w:rPr>
        <w:fldChar w:fldCharType="end"/>
      </w:r>
    </w:p>
    <w:p>
      <w:pPr>
        <w:pStyle w:val="Normal"/>
      </w:pPr>
      <w:r>
        <w:rPr>
          <w:color w:val="323232"/>
        </w:rPr>
        <w:t xml:space="preserve">————————</w:t>
      </w:r>
    </w:p>
    <w:p>
      <w:pPr>
        <w:pStyle w:val="Heading4"/>
      </w:pPr>
      <w:r>
        <w:t xml:space="preserve">Babesia conradae infection in coyote hunting dogs infected with multiple blood-borne pathogens.</w:t>
      </w:r>
    </w:p>
    <w:p/>
    <w:p>
      <w:pPr>
        <w:pStyle w:val="Normal"/>
      </w:pPr>
      <w:r>
        <w:rPr>
          <w:color w:val="323232"/>
        </w:rPr>
        <w:t xml:space="preserve">Jonathan D Dear, Sean D Owens, LeAnn L Lindsay, Alex W Biondo, Bruno B Chomel, Mary Marcondes, and Jane E Sykes.</w:t>
      </w:r>
    </w:p>
    <w:p/>
    <w:p>
      <w:pPr>
        <w:pStyle w:val="Normal"/>
      </w:pPr>
      <w:r>
        <w:rPr>
          <w:color w:val="323232"/>
        </w:rPr>
        <w:t xml:space="preserve">BACKGROUND:Babesia conradae is an intraerythrocytic piroplasm infecting dogs in the southern United States. Ticks have been suspected, but unproven, as vectors. We identified B. conradae and other blood-borne pathogens in 2 kennels of sighthounds with a history of coyote fighting.</w:t>
      </w:r>
    </w:p>
    <w:p/>
    <w:p>
      <w:pPr>
        <w:pStyle w:val="Normal"/>
      </w:pPr>
      <w:r>
        <w:rPr>
          <w:color w:val="323232"/>
        </w:rPr>
        <w:t xml:space="preserve">OBJECTIVES:To examine clinicopathologic abnormalities associated with B. conradae infection, risk factors for infection, and the prevalence of coinfections with other blood-borne pathogens.</w:t>
      </w:r>
    </w:p>
    <w:p/>
    <w:p>
      <w:pPr>
        <w:pStyle w:val="Normal"/>
      </w:pPr>
      <w:r>
        <w:rPr>
          <w:color w:val="323232"/>
        </w:rPr>
        <w:t xml:space="preserve">ANIMALS:Fifty-five Greyhounds and Greyhound mixes METHODS: Blood samples were collected from each dog for CBC, serum biochemistry panel, conventional and real-time PCR assays (Babesia spp., hemoplasmas, Ehrlichia canis, Bartonella spp., Anaplasma spp., and Rickettsia spp.), vector-borne pathogen ELISA, and immunofluorescent serology and culture for Bartonella spp and Francisella tularensis sero-agglutination test. Associations between B. conradae infection and coyote fighting, age and laboratory abnormalities were investigated.</w:t>
      </w:r>
    </w:p>
    <w:p/>
    <w:p>
      <w:pPr>
        <w:pStyle w:val="Normal"/>
      </w:pPr>
      <w:r>
        <w:rPr>
          <w:color w:val="323232"/>
        </w:rPr>
        <w:t xml:space="preserve">RESULTS:Twenty-nine dogs were PCR-positive for B. conradae. Of these, 16 were PCR-positive for other vector-borne organisms including Mycoplasma haemocanis, "Candidatus Mycoplasma haematoparvum," E. canis, and a Hepatozoon felis-like organism. Twelve of the 20 dogs tested for seroreactivity to Bartonella spp. antigens were positive, but none were seropositive for tularemia. Infection with B. conradae was associated with a history of aggressive interactions with coyotes; lower hematocrit, leukocyte count, MCHC, platelet count and serum albumin concentration; and higher MCV, MPV, and serum globulin concentration.</w:t>
      </w:r>
    </w:p>
    <w:p/>
    <w:p>
      <w:pPr>
        <w:pStyle w:val="Normal"/>
      </w:pPr>
      <w:r>
        <w:rPr>
          <w:color w:val="323232"/>
        </w:rPr>
        <w:t xml:space="preserve">CONCLUSIONS AND CLINICAL IMPORTANCE:Babesia conradae infection should be considered in dogs with anemia, leukopenia, thrombocytopenia, hypoalbuminemia and hyperglobulinemia. As with B. gibsoni, aggressive interactions with other canids may play a role in B. conradae transmission.</w:t>
      </w:r>
    </w:p>
    <w:p/>
    <w:p>
      <w:pPr>
        <w:pStyle w:val="Normal"/>
      </w:pPr>
      <w:r>
        <w:rPr>
          <w:color w:val="323232"/>
        </w:rPr>
        <w:t xml:space="preserve">J Vet Intern Med, 2018 vol. 32 (5) pp. 1609-1617.</w:t>
      </w:r>
    </w:p>
    <w:p>
      <w:r>
        <w:rPr>
          <w:rStyle w:val="Hyperlink"/>
        </w:rPr>
        <w:fldChar w:fldCharType="begin"/>
      </w:r>
      <w:r>
        <w:rPr>
          <w:rStyle w:val="Hyperlink"/>
        </w:rPr>
        <w:instrText xml:space="preserve"> HYPERLINK "http://dx.doi.org/10.1111/jvim.15233" </w:instrText>
      </w:r>
      <w:r>
        <w:rPr>
          <w:rStyle w:val="Hyperlink"/>
        </w:rPr>
      </w:r>
      <w:r>
        <w:rPr>
          <w:rStyle w:val="Hyperlink"/>
        </w:rPr>
        <w:fldChar w:fldCharType="separate"/>
      </w:r>
      <w:pPr>
        <w:pStyle w:val="Normal"/>
      </w:pPr>
      <w:r>
        <w:rPr>
          <w:rStyle w:val="Hyperlink"/>
        </w:rPr>
        <w:t xml:space="preserve">http://dx.doi.org/10.1111/jvim.15233</w:t>
      </w:r>
      <w:r>
        <w:rPr>
          <w:rStyle w:val="Hyperlink"/>
        </w:rPr>
        <w:fldChar w:fldCharType="end"/>
      </w:r>
    </w:p>
    <w:p>
      <w:pPr>
        <w:pStyle w:val="Normal"/>
      </w:pPr>
      <w:r>
        <w:rPr>
          <w:color w:val="323232"/>
        </w:rPr>
        <w:t xml:space="preserve">————————</w:t>
      </w:r>
    </w:p>
    <w:p>
      <w:pPr>
        <w:pStyle w:val="Heading4"/>
      </w:pPr>
      <w:r>
        <w:t xml:space="preserve">Hepatocyte expression and prognostic importance of senescence marker p21 in liver histopathology samples from dogs with chronic hepatitis.</w:t>
      </w:r>
    </w:p>
    <w:p/>
    <w:p>
      <w:pPr>
        <w:pStyle w:val="Normal"/>
      </w:pPr>
      <w:r>
        <w:rPr>
          <w:color w:val="323232"/>
        </w:rPr>
        <w:t xml:space="preserve">Andre J Kortum, Emilie A Cloup, Tim L Williams, Fernendo Constantino-Casas, and Penny J Watson.</w:t>
      </w:r>
    </w:p>
    <w:p/>
    <w:p>
      <w:pPr>
        <w:pStyle w:val="Normal"/>
      </w:pPr>
      <w:r>
        <w:rPr>
          <w:color w:val="323232"/>
        </w:rPr>
        <w:t xml:space="preserve">BACKGROUND:Chronic hepatitis (CH) occurs commonly in dogs but is associated with a variable and largely unpredictable prognosis. p21, a cell-cycle inhibitor and marker of cellular senescence, is upregulated in human liver disease and is a better prognostic marker than histological or clinical scoring systems.</w:t>
      </w:r>
    </w:p>
    <w:p/>
    <w:p>
      <w:pPr>
        <w:pStyle w:val="Normal"/>
      </w:pPr>
      <w:r>
        <w:rPr>
          <w:color w:val="323232"/>
        </w:rPr>
        <w:t xml:space="preserve">OBJECTIVE:To quantify hepatocyte p21 immunopositivity in histopathology samples from dogs with CH and determine its association with outcome.</w:t>
      </w:r>
    </w:p>
    <w:p/>
    <w:p>
      <w:pPr>
        <w:pStyle w:val="Normal"/>
      </w:pPr>
      <w:r>
        <w:rPr>
          <w:color w:val="323232"/>
        </w:rPr>
        <w:t xml:space="preserve">ANIMALS:Twenty-six client-owned dogs with histologically confirmed CH, and 15 dogs with normal liver histology.</w:t>
      </w:r>
    </w:p>
    <w:p/>
    <w:p>
      <w:pPr>
        <w:pStyle w:val="Normal"/>
      </w:pPr>
      <w:r>
        <w:rPr>
          <w:color w:val="323232"/>
        </w:rPr>
        <w:t xml:space="preserve">METHODS:Medical records and liver histopathology samples were retrospectively reviewed to identify cases of CH. Immunohistochemistry for p21 was performed on all samples and hepatocyte immunopositivity was visually quantified. Relationships between p21 and dog age and dog survival time were statistically evaluated.</w:t>
      </w:r>
    </w:p>
    <w:p/>
    <w:p>
      <w:pPr>
        <w:pStyle w:val="Normal"/>
      </w:pPr>
      <w:r>
        <w:rPr>
          <w:color w:val="323232"/>
        </w:rPr>
        <w:t xml:space="preserve">RESULTS:Hepatocyte p21 immunopositivity in dogs with CH was high (median percentage of positive hepatocytes: 90%, range: 20%-98%) and exceeded 70% in 23/26 cases with no association with age. In control dogs, p21 immunopositivity was low (≤15% positive hepatocytes in 12/15 cases) and was positively correlated with age (rs </w:t>
      </w:r>
      <w:r>
        <w:rPr>
          <w:color w:val="323232"/>
        </w:rPr>
        <w:t xml:space="preserve"> </w:t>
      </w:r>
      <w:r>
        <w:rPr>
          <w:color w:val="323232"/>
        </w:rPr>
        <w:t xml:space="preserve">=</w:t>
      </w:r>
      <w:r>
        <w:rPr>
          <w:color w:val="323232"/>
        </w:rPr>
        <w:t xml:space="preserve"> </w:t>
      </w:r>
      <w:r>
        <w:rPr>
          <w:color w:val="323232"/>
        </w:rPr>
        <w:t xml:space="preserve">0.63; P</w:t>
      </w:r>
      <w:r>
        <w:rPr>
          <w:color w:val="323232"/>
        </w:rPr>
        <w:t xml:space="preserve"> </w:t>
      </w:r>
      <w:r>
        <w:rPr>
          <w:color w:val="323232"/>
        </w:rPr>
        <w:t xml:space="preserve">=</w:t>
      </w:r>
      <w:r>
        <w:rPr>
          <w:color w:val="323232"/>
        </w:rPr>
        <w:t xml:space="preserve"> </w:t>
      </w:r>
      <w:r>
        <w:rPr>
          <w:color w:val="323232"/>
        </w:rPr>
        <w:t xml:space="preserve">.011). Dogs with p21 immunopositivity exceeding 91.8% (upper tercile) had significantly shorter survival compared to dogs with less than 88.9% immunopositivity (lowest tercile; 218 versus 874 days, P</w:t>
      </w:r>
      <w:r>
        <w:rPr>
          <w:color w:val="323232"/>
        </w:rPr>
        <w:t xml:space="preserve"> </w:t>
      </w:r>
      <w:r>
        <w:rPr>
          <w:color w:val="323232"/>
        </w:rPr>
        <w:t xml:space="preserve">=</w:t>
      </w:r>
      <w:r>
        <w:rPr>
          <w:color w:val="323232"/>
        </w:rPr>
        <w:t xml:space="preserve"> </w:t>
      </w:r>
      <w:r>
        <w:rPr>
          <w:color w:val="323232"/>
        </w:rPr>
        <w:t xml:space="preserve">.006). Increasing hepatocyte p21 immunopositivity was significantly negatively associated with survival time (HR 4.12; 95% CI 1.34-12.63; P</w:t>
      </w:r>
      <w:r>
        <w:rPr>
          <w:color w:val="323232"/>
        </w:rPr>
        <w:t xml:space="preserve"> </w:t>
      </w:r>
      <w:r>
        <w:rPr>
          <w:color w:val="323232"/>
        </w:rPr>
        <w:t xml:space="preserve">=</w:t>
      </w:r>
      <w:r>
        <w:rPr>
          <w:color w:val="323232"/>
        </w:rPr>
        <w:t xml:space="preserve"> </w:t>
      </w:r>
      <w:r>
        <w:rPr>
          <w:color w:val="323232"/>
        </w:rPr>
        <w:t xml:space="preserve">.013).</w:t>
      </w:r>
    </w:p>
    <w:p/>
    <w:p>
      <w:pPr>
        <w:pStyle w:val="Normal"/>
      </w:pPr>
      <w:r>
        <w:rPr>
          <w:color w:val="323232"/>
        </w:rPr>
        <w:t xml:space="preserve">CONCLUSIONS AND CLINICAL IMPORTANCE:Marked p21 immunopositivity in dogs with CH might be indicative of widespread hepatocellular senescence. A significant association with survival time also suggests a potential value for p21 quantification in determining prognosis.</w:t>
      </w:r>
    </w:p>
    <w:p/>
    <w:p>
      <w:pPr>
        <w:pStyle w:val="Normal"/>
      </w:pPr>
      <w:r>
        <w:rPr>
          <w:color w:val="323232"/>
        </w:rPr>
        <w:t xml:space="preserve">J Vet Intern Med, 2018 vol. 32 (5) pp. 1629-1636.</w:t>
      </w:r>
    </w:p>
    <w:p>
      <w:r>
        <w:rPr>
          <w:rStyle w:val="Hyperlink"/>
        </w:rPr>
        <w:fldChar w:fldCharType="begin"/>
      </w:r>
      <w:r>
        <w:rPr>
          <w:rStyle w:val="Hyperlink"/>
        </w:rPr>
        <w:instrText xml:space="preserve"> HYPERLINK "http://dx.doi.org/10.1111/jvim.15238" </w:instrText>
      </w:r>
      <w:r>
        <w:rPr>
          <w:rStyle w:val="Hyperlink"/>
        </w:rPr>
      </w:r>
      <w:r>
        <w:rPr>
          <w:rStyle w:val="Hyperlink"/>
        </w:rPr>
        <w:fldChar w:fldCharType="separate"/>
      </w:r>
      <w:pPr>
        <w:pStyle w:val="Normal"/>
      </w:pPr>
      <w:r>
        <w:rPr>
          <w:rStyle w:val="Hyperlink"/>
        </w:rPr>
        <w:t xml:space="preserve">http://dx.doi.org/10.1111/jvim.15238</w:t>
      </w:r>
      <w:r>
        <w:rPr>
          <w:rStyle w:val="Hyperlink"/>
        </w:rPr>
        <w:fldChar w:fldCharType="end"/>
      </w:r>
    </w:p>
    <w:p>
      <w:pPr>
        <w:pStyle w:val="Normal"/>
      </w:pPr>
      <w:r>
        <w:rPr>
          <w:color w:val="323232"/>
        </w:rPr>
        <w:t xml:space="preserve">————————</w:t>
      </w:r>
    </w:p>
    <w:p>
      <w:pPr>
        <w:pStyle w:val="Heading4"/>
      </w:pPr>
      <w:r>
        <w:t xml:space="preserve">Sensitivity and specificity of microRNA-122 for liver disease in dogs.</w:t>
      </w:r>
    </w:p>
    <w:p/>
    <w:p>
      <w:pPr>
        <w:pStyle w:val="Normal"/>
      </w:pPr>
      <w:r>
        <w:rPr>
          <w:color w:val="323232"/>
        </w:rPr>
        <w:t xml:space="preserve">W Oosthuyzen, P W L Ten Berg, B Francis, S Campbell, V Macklin, E Milne, A G Gow, C Fisher, R J Mellanby, and J W Dear.</w:t>
      </w:r>
    </w:p>
    <w:p/>
    <w:p>
      <w:pPr>
        <w:pStyle w:val="Normal"/>
      </w:pPr>
      <w:r>
        <w:rPr>
          <w:color w:val="323232"/>
        </w:rPr>
        <w:t xml:space="preserve">BACKGROUND:Current tests for diagnosing liver disease in dogs are sub-optimal. MicroRNA-122 (miR-122) is a sensitive and specific biomarker of liver injury in humans and rodents. Circulating miR-122 could have utility in identifying dogs with liver disease.</w:t>
      </w:r>
    </w:p>
    <w:p/>
    <w:p>
      <w:pPr>
        <w:pStyle w:val="Normal"/>
      </w:pPr>
      <w:r>
        <w:rPr>
          <w:color w:val="323232"/>
        </w:rPr>
        <w:t xml:space="preserve">OBJECTIVE:Establish the reference interval for miR-122 in healthy dogs and determine performance in a range of dog breeds with liver disease and control animals with non-liver disease.</w:t>
      </w:r>
    </w:p>
    <w:p/>
    <w:p>
      <w:pPr>
        <w:pStyle w:val="Normal"/>
      </w:pPr>
      <w:r>
        <w:rPr>
          <w:color w:val="323232"/>
        </w:rPr>
        <w:t xml:space="preserve">ANIMALS:Stored serum from 120 healthy dogs, 100 dogs with non-liver diseases, and 30 dogs with histologically confirmed liver disease was analyzed.</w:t>
      </w:r>
    </w:p>
    <w:p/>
    <w:p>
      <w:pPr>
        <w:pStyle w:val="Normal"/>
      </w:pPr>
      <w:r>
        <w:rPr>
          <w:color w:val="323232"/>
        </w:rPr>
        <w:t xml:space="preserve">METHODS:Retrospective study. Medical records of dogs with liver disease, non-liver disease and healthy dogs were reviewed. Serum miR-122 concentrations were measured by PCR and compared with the characteristics of the dogs and their conventional clinical measurements.</w:t>
      </w:r>
    </w:p>
    <w:p/>
    <w:p>
      <w:pPr>
        <w:pStyle w:val="Normal"/>
      </w:pPr>
      <w:r>
        <w:rPr>
          <w:color w:val="323232"/>
        </w:rPr>
        <w:t xml:space="preserve">RESULTS:In healthy dogs the 2.5th, 50th, and 97.5th quartiles of miR-122 were 110 (90% CI 80-114), 594 (505-682), and 3312 (2925-5144) copies/ μL, respectively. There was no difference between healthy dogs and dogs with non-liver disease (median ± IQR: healthy dogs 609 [327-1014] copies/ μL; non-liver disease 607 [300-1351] copies/ μL). miR-122 was higher in dogs with liver disease (11 332 [4418-20 520] copies/ μL, P &lt; .001 compared to healthy dogs). miR-122 identified dogs with liver disease with high accuracy (receiver operating characteristic area under curve for comparison with healthy dogs: 0.93 [95% CI 0.86-0.99]). The upper limit of normal for healthy dogs (3312 copies/μL) had a sensitivity of 77% and specificity of 97% for identifying liver disease.</w:t>
      </w:r>
    </w:p>
    <w:p/>
    <w:p>
      <w:pPr>
        <w:pStyle w:val="Normal"/>
      </w:pPr>
      <w:r>
        <w:rPr>
          <w:color w:val="323232"/>
        </w:rPr>
        <w:t xml:space="preserve">CONCLUSION AND CLINICAL IMPORTANCE:Liver disease can be sensitively and specifically diagnosed in dogs by measurement of miR-122.</w:t>
      </w:r>
    </w:p>
    <w:p/>
    <w:p>
      <w:pPr>
        <w:pStyle w:val="Normal"/>
      </w:pPr>
      <w:r>
        <w:rPr>
          <w:color w:val="323232"/>
        </w:rPr>
        <w:t xml:space="preserve">J Vet Intern Med, 2018 vol. 32 (5) pp. 1637-1644.</w:t>
      </w:r>
    </w:p>
    <w:p>
      <w:r>
        <w:rPr>
          <w:rStyle w:val="Hyperlink"/>
        </w:rPr>
        <w:fldChar w:fldCharType="begin"/>
      </w:r>
      <w:r>
        <w:rPr>
          <w:rStyle w:val="Hyperlink"/>
        </w:rPr>
        <w:instrText xml:space="preserve"> HYPERLINK "http://dx.doi.org/10.1111/jvim.15250" </w:instrText>
      </w:r>
      <w:r>
        <w:rPr>
          <w:rStyle w:val="Hyperlink"/>
        </w:rPr>
      </w:r>
      <w:r>
        <w:rPr>
          <w:rStyle w:val="Hyperlink"/>
        </w:rPr>
        <w:fldChar w:fldCharType="separate"/>
      </w:r>
      <w:pPr>
        <w:pStyle w:val="Normal"/>
      </w:pPr>
      <w:r>
        <w:rPr>
          <w:rStyle w:val="Hyperlink"/>
        </w:rPr>
        <w:t xml:space="preserve">http://dx.doi.org/10.1111/jvim.15250</w:t>
      </w:r>
      <w:r>
        <w:rPr>
          <w:rStyle w:val="Hyperlink"/>
        </w:rPr>
        <w:fldChar w:fldCharType="end"/>
      </w:r>
    </w:p>
    <w:p>
      <w:pPr>
        <w:pStyle w:val="Normal"/>
      </w:pPr>
      <w:r>
        <w:rPr>
          <w:color w:val="323232"/>
        </w:rPr>
        <w:t xml:space="preserve">————————</w:t>
      </w:r>
    </w:p>
    <w:p>
      <w:pPr>
        <w:pStyle w:val="Heading4"/>
      </w:pPr>
      <w:r>
        <w:t xml:space="preserve">Characteristics of Dogs with Biofilm-Forming Escherichia Coli Urinary Tract Infections.</w:t>
      </w:r>
    </w:p>
    <w:p/>
    <w:p>
      <w:pPr>
        <w:pStyle w:val="Normal"/>
      </w:pPr>
      <w:r>
        <w:rPr>
          <w:color w:val="323232"/>
        </w:rPr>
        <w:t xml:space="preserve">Zachary T Kern, Megan E Jacob, Jessica M Gilbertie, Shelly L Vaden, and Sara K Lyle.</w:t>
      </w:r>
    </w:p>
    <w:p/>
    <w:p>
      <w:pPr>
        <w:pStyle w:val="Normal"/>
      </w:pPr>
      <w:r>
        <w:rPr>
          <w:color w:val="323232"/>
        </w:rPr>
        <w:t xml:space="preserve">BACKGROUND:Bacterial urinary tract infections (UTIs) are common in companion animals. Increasing awareness of biofilm-forming bacteria raises concern regarding the appropriate diagnosis, treatment, and prognosis of UTIs associated with these organisms.</w:t>
      </w:r>
    </w:p>
    <w:p/>
    <w:p>
      <w:pPr>
        <w:pStyle w:val="Normal"/>
      </w:pPr>
      <w:r>
        <w:rPr>
          <w:color w:val="323232"/>
        </w:rPr>
        <w:t xml:space="preserve">HYPOTHESIS/OBJECTIVES:To (1) describe the population of dogs with UTIs associated with biofilm-forming Escherichia coli and (2) determine whether or not clinical differences exist between dogs with biofilm-forming E. coli UTIs and dogs with nonbiofilm-forming E. coli UTIs. We hypothesized that there would be no difference in the population characteristics, but that biofilm-formation would be more prevalent in dogs with chronic, complicated, and asymptomatic UTIs.</w:t>
      </w:r>
    </w:p>
    <w:p/>
    <w:p>
      <w:pPr>
        <w:pStyle w:val="Normal"/>
      </w:pPr>
      <w:r>
        <w:rPr>
          <w:color w:val="323232"/>
        </w:rPr>
        <w:t xml:space="preserve">ANIMALS:Seventy-six client-owned dogs with E. coli UTIs, divided into 2 groups based on the biofilm-forming capability of stored bacterial isolates as assessed by the crystal violet assay.</w:t>
      </w:r>
    </w:p>
    <w:p/>
    <w:p>
      <w:pPr>
        <w:pStyle w:val="Normal"/>
      </w:pPr>
      <w:r>
        <w:rPr>
          <w:color w:val="323232"/>
        </w:rPr>
        <w:t xml:space="preserve">METHODS:Retrospective cross-sectional study. Medical records of the affected dogs were reviewed and their population and infection characteristics were compared.</w:t>
      </w:r>
    </w:p>
    <w:p/>
    <w:p>
      <w:pPr>
        <w:pStyle w:val="Normal"/>
      </w:pPr>
      <w:r>
        <w:rPr>
          <w:color w:val="323232"/>
        </w:rPr>
        <w:t xml:space="preserve">RESULTS:Most (52.6%) E. coli isolates were capable of forming biofilms. Biofilm-forming E. coli had a lower likelihood (P</w:t>
      </w:r>
      <w:r>
        <w:rPr>
          <w:color w:val="323232"/>
        </w:rPr>
        <w:t xml:space="preserve"> </w:t>
      </w:r>
      <w:r>
        <w:rPr>
          <w:color w:val="323232"/>
        </w:rPr>
        <w:t xml:space="preserve">&lt;</w:t>
      </w:r>
      <w:r>
        <w:rPr>
          <w:color w:val="323232"/>
        </w:rPr>
        <w:t xml:space="preserve"> </w:t>
      </w:r>
      <w:r>
        <w:rPr>
          <w:color w:val="323232"/>
        </w:rPr>
        <w:t xml:space="preserve">.001) of multidrug resistance than did nonbiofilm-forming E. coli. No statistically significant differences were identified between the population or infection characteristics of the 2 groups of dogs.</w:t>
      </w:r>
    </w:p>
    <w:p/>
    <w:p>
      <w:pPr>
        <w:pStyle w:val="Normal"/>
      </w:pPr>
      <w:r>
        <w:rPr>
          <w:color w:val="323232"/>
        </w:rPr>
        <w:t xml:space="preserve">CONCLUSIONS AND CLINICAL IMPORTANCE:Escherichia coli isolated from canine urinary tracts are frequently capable of forming biofilms. Because no reliable clinical features allowed exclusion of biofilm formation, the potential for biofilm formation should be considered whenever E. coli UTI is diagnosed. The association of antibiotic resistance and biofilm potential may affect treatment of UTIs, but additional investigation is warranted.</w:t>
      </w:r>
    </w:p>
    <w:p/>
    <w:p>
      <w:pPr>
        <w:pStyle w:val="Normal"/>
      </w:pPr>
      <w:r>
        <w:rPr>
          <w:color w:val="323232"/>
        </w:rPr>
        <w:t xml:space="preserve">J Vet Intern Med, 2018 vol. 32 (5) pp. 1645-1651.</w:t>
      </w:r>
    </w:p>
    <w:p>
      <w:r>
        <w:rPr>
          <w:rStyle w:val="Hyperlink"/>
        </w:rPr>
        <w:fldChar w:fldCharType="begin"/>
      </w:r>
      <w:r>
        <w:rPr>
          <w:rStyle w:val="Hyperlink"/>
        </w:rPr>
        <w:instrText xml:space="preserve"> HYPERLINK "http://dx.doi.org/10.1111/jvim.15231" </w:instrText>
      </w:r>
      <w:r>
        <w:rPr>
          <w:rStyle w:val="Hyperlink"/>
        </w:rPr>
      </w:r>
      <w:r>
        <w:rPr>
          <w:rStyle w:val="Hyperlink"/>
        </w:rPr>
        <w:fldChar w:fldCharType="separate"/>
      </w:r>
      <w:pPr>
        <w:pStyle w:val="Normal"/>
      </w:pPr>
      <w:r>
        <w:rPr>
          <w:rStyle w:val="Hyperlink"/>
        </w:rPr>
        <w:t xml:space="preserve">http://dx.doi.org/10.1111/jvim.15231</w:t>
      </w:r>
      <w:r>
        <w:rPr>
          <w:rStyle w:val="Hyperlink"/>
        </w:rPr>
        <w:fldChar w:fldCharType="end"/>
      </w:r>
    </w:p>
    <w:p>
      <w:pPr>
        <w:pStyle w:val="Normal"/>
      </w:pPr>
      <w:r>
        <w:rPr>
          <w:color w:val="323232"/>
        </w:rPr>
        <w:t xml:space="preserve">————————</w:t>
      </w:r>
    </w:p>
    <w:p>
      <w:pPr>
        <w:pStyle w:val="Heading4"/>
      </w:pPr>
      <w:r>
        <w:t xml:space="preserve">Effect of common storage temperatures and container types on urine protein : creatinine ratios in urine samples of proteinuric dogs.</w:t>
      </w:r>
    </w:p>
    <w:p/>
    <w:p>
      <w:pPr>
        <w:pStyle w:val="Normal"/>
      </w:pPr>
      <w:r>
        <w:rPr>
          <w:color w:val="323232"/>
        </w:rPr>
        <w:t xml:space="preserve">Patrick S Moyle, Andrew Specht, and Richard Hill.</w:t>
      </w:r>
    </w:p>
    <w:p/>
    <w:p>
      <w:pPr>
        <w:pStyle w:val="Normal"/>
      </w:pPr>
      <w:r>
        <w:rPr>
          <w:color w:val="323232"/>
        </w:rPr>
        <w:t xml:space="preserve">BACKGROUND:Preanalytic protein adsorption to polymer and glass container surfaces may decrease urine protein concentration measurements and urine protein: creatinine ratios (UPC).</w:t>
      </w:r>
    </w:p>
    <w:p/>
    <w:p>
      <w:pPr>
        <w:pStyle w:val="Normal"/>
      </w:pPr>
      <w:r>
        <w:rPr>
          <w:color w:val="323232"/>
        </w:rPr>
        <w:t xml:space="preserve">HYPOTHESIS/OBJECTIVES:Urine stored in PC or glass containers will have lower UPC than urine stored in HP containers. The specific objective was to determine whether clinically relevant differences in UPC would be detected after storage in glass, PC, or HP containers using common storage times and temperatures.</w:t>
      </w:r>
    </w:p>
    <w:p/>
    <w:p>
      <w:pPr>
        <w:pStyle w:val="Normal"/>
      </w:pPr>
      <w:r>
        <w:rPr>
          <w:color w:val="323232"/>
        </w:rPr>
        <w:t xml:space="preserve">ANIMALS:Twelve client-owned dogs with proteinuria.</w:t>
      </w:r>
    </w:p>
    <w:p/>
    <w:p>
      <w:pPr>
        <w:pStyle w:val="Normal"/>
      </w:pPr>
      <w:r>
        <w:rPr>
          <w:color w:val="323232"/>
        </w:rPr>
        <w:t xml:space="preserve">METHODS:Prospective, nonmasked study, divided into 2 phases. The first phase was a pilot study involving multiple (n</w:t>
      </w:r>
      <w:r>
        <w:rPr>
          <w:color w:val="323232"/>
        </w:rPr>
        <w:t xml:space="preserve"> </w:t>
      </w:r>
      <w:r>
        <w:rPr>
          <w:color w:val="323232"/>
        </w:rPr>
        <w:t xml:space="preserve">=</w:t>
      </w:r>
      <w:r>
        <w:rPr>
          <w:color w:val="323232"/>
        </w:rPr>
        <w:t xml:space="preserve"> </w:t>
      </w:r>
      <w:r>
        <w:rPr>
          <w:color w:val="323232"/>
        </w:rPr>
        <w:t xml:space="preserve">5) measurements at each storage condition using 24-hours urine samples from 2 dogs with persistent renal proteinuria of different magnitude. The second phase used urine samples from 10 dogs with proteinuria of variable magnitude. Sample aliquots were stored in HP, PC, and glass containers at 24°C for 4 hours, 4°C for 12 hours, and -20°C for 72 hours. The UPC of each was measured after storage and compared with baseline.</w:t>
      </w:r>
    </w:p>
    <w:p/>
    <w:p>
      <w:pPr>
        <w:pStyle w:val="Normal"/>
      </w:pPr>
      <w:r>
        <w:rPr>
          <w:color w:val="323232"/>
        </w:rPr>
        <w:t xml:space="preserve">RESULTS:Statistically significant but clinically irrelevant differences were found in phase 1. In phase 2, storage conditions did not affect urinary protein or creatinine concentrations or UPC.</w:t>
      </w:r>
    </w:p>
    <w:p/>
    <w:p>
      <w:pPr>
        <w:pStyle w:val="Normal"/>
      </w:pPr>
      <w:r>
        <w:rPr>
          <w:color w:val="323232"/>
        </w:rPr>
        <w:t xml:space="preserve">CONCLUSIONS AND CLINICAL IMPORTANCE:Collection and storage of canine urine samples in clean HP, PC, or glass containers at 24°C for 4 hours, 4°C for 12 hours, or -20°C for 72 hours is unlikely to result in clinically relevant decreases in measured UPC values.</w:t>
      </w:r>
    </w:p>
    <w:p/>
    <w:p>
      <w:pPr>
        <w:pStyle w:val="Normal"/>
      </w:pPr>
      <w:r>
        <w:rPr>
          <w:color w:val="323232"/>
        </w:rPr>
        <w:t xml:space="preserve">J Vet Intern Med, 2018 vol. 32 (5) pp. 1652-1658.</w:t>
      </w:r>
    </w:p>
    <w:p>
      <w:r>
        <w:rPr>
          <w:rStyle w:val="Hyperlink"/>
        </w:rPr>
        <w:fldChar w:fldCharType="begin"/>
      </w:r>
      <w:r>
        <w:rPr>
          <w:rStyle w:val="Hyperlink"/>
        </w:rPr>
        <w:instrText xml:space="preserve"> HYPERLINK "http://dx.doi.org/10.1111/jvim.15232" </w:instrText>
      </w:r>
      <w:r>
        <w:rPr>
          <w:rStyle w:val="Hyperlink"/>
        </w:rPr>
      </w:r>
      <w:r>
        <w:rPr>
          <w:rStyle w:val="Hyperlink"/>
        </w:rPr>
        <w:fldChar w:fldCharType="separate"/>
      </w:r>
      <w:pPr>
        <w:pStyle w:val="Normal"/>
      </w:pPr>
      <w:r>
        <w:rPr>
          <w:rStyle w:val="Hyperlink"/>
        </w:rPr>
        <w:t xml:space="preserve">http://dx.doi.org/10.1111/jvim.15232</w:t>
      </w:r>
      <w:r>
        <w:rPr>
          <w:rStyle w:val="Hyperlink"/>
        </w:rPr>
        <w:fldChar w:fldCharType="end"/>
      </w:r>
    </w:p>
    <w:p>
      <w:pPr>
        <w:pStyle w:val="Normal"/>
      </w:pPr>
      <w:r>
        <w:rPr>
          <w:color w:val="323232"/>
        </w:rPr>
        <w:t xml:space="preserve">————————</w:t>
      </w:r>
    </w:p>
    <w:p>
      <w:pPr>
        <w:pStyle w:val="Heading4"/>
      </w:pPr>
      <w:r>
        <w:t xml:space="preserve">Variability of serum concentrations of cystatin C and urinary retinol-binding protein, neutrophil gelatinase-associated lipocalin, immunoglobulin G, and C-reactive protein in dogs.</w:t>
      </w:r>
    </w:p>
    <w:p/>
    <w:p>
      <w:pPr>
        <w:pStyle w:val="Normal"/>
      </w:pPr>
      <w:r>
        <w:rPr>
          <w:color w:val="323232"/>
        </w:rPr>
        <w:t xml:space="preserve">D J X Liu, E Meyer, B J G Broeckx, S Daminet, J R Delanghe, E Stock, E Bogaerts, M Hesta, and K Vanderperren.</w:t>
      </w:r>
    </w:p>
    <w:p/>
    <w:p>
      <w:pPr>
        <w:pStyle w:val="Normal"/>
      </w:pPr>
      <w:r>
        <w:rPr>
          <w:color w:val="323232"/>
        </w:rPr>
        <w:t xml:space="preserve">BACKGROUND:Markers of kidney dysfunction and damage have potential to detect chronic kidney disease (CKD) in early stages. However, data on long-term variation of these markers in healthy dogs is lacking and is crucial for the interpretation of results.</w:t>
      </w:r>
    </w:p>
    <w:p/>
    <w:p>
      <w:pPr>
        <w:pStyle w:val="Normal"/>
      </w:pPr>
      <w:r>
        <w:rPr>
          <w:color w:val="323232"/>
        </w:rPr>
        <w:t xml:space="preserve">HYPOTHESIS/OBJECTIVES:To determine temporal variations of serum cystatin C (sCysC) and urinary retinol-binding protein (uRBP), neutrophil gelatinase-associated lipocalin (uNGAL), immunoglobulin G (uIgG), and C-reactive protein (uCRP) in healthy dogs.</w:t>
      </w:r>
    </w:p>
    <w:p/>
    <w:p>
      <w:pPr>
        <w:pStyle w:val="Normal"/>
      </w:pPr>
      <w:r>
        <w:rPr>
          <w:color w:val="323232"/>
        </w:rPr>
        <w:t xml:space="preserve">ANIMALS:Eight clinically healthy adult Beagles were evaluated.</w:t>
      </w:r>
    </w:p>
    <w:p/>
    <w:p>
      <w:pPr>
        <w:pStyle w:val="Normal"/>
      </w:pPr>
      <w:r>
        <w:rPr>
          <w:color w:val="323232"/>
        </w:rPr>
        <w:t xml:space="preserve">METHODS:Longitudinal observational study. Serum cystatin C was determined by particle-enhanced nephelometric immunoassay. Urinary retinol-binding protein, uNGAL, uIgG and uCRP were determined by ELISA and concentrations were indexed to urinary creatinine. Within- and between-dog variance components (VC) and within-dog coefficients of variation (CV) were determined from blood and urine collected at eight time points over 1.5 years.</w:t>
      </w:r>
    </w:p>
    <w:p/>
    <w:p>
      <w:pPr>
        <w:pStyle w:val="Normal"/>
      </w:pPr>
      <w:r>
        <w:rPr>
          <w:color w:val="323232"/>
        </w:rPr>
        <w:t xml:space="preserve">RESULTS:Urinary C-reactive protein (uCRP) concentrations were consistently below the detection limit (5.28 ng</w:t>
      </w:r>
      <w:r>
        <w:rPr>
          <w:i w:val="1"/>
          <w:color w:val="323232"/>
        </w:rPr>
        <w:t xml:space="preserve">mL). Mean ± within-dog standard deviation for sCysC, uRBP</w:t>
      </w:r>
      <w:r>
        <w:rPr>
          <w:color w:val="323232"/>
        </w:rPr>
        <w:t xml:space="preserve">c, uNGAL</w:t>
      </w:r>
      <w:r>
        <w:rPr>
          <w:i w:val="1"/>
          <w:color w:val="323232"/>
        </w:rPr>
        <w:t xml:space="preserve">c and uIgG</w:t>
      </w:r>
      <w:r>
        <w:rPr>
          <w:color w:val="323232"/>
        </w:rPr>
        <w:t xml:space="preserve">c was 0.15 ± 0.01 mg</w:t>
      </w:r>
      <w:r>
        <w:rPr>
          <w:i w:val="1"/>
          <w:color w:val="323232"/>
        </w:rPr>
        <w:t xml:space="preserve">L, 0.09 ± 0.03 mg</w:t>
      </w:r>
      <w:r>
        <w:rPr>
          <w:color w:val="323232"/>
        </w:rPr>
        <w:t xml:space="preserve">g, 2.32 ± 2.03 μg</w:t>
      </w:r>
      <w:r>
        <w:rPr>
          <w:i w:val="1"/>
          <w:color w:val="323232"/>
        </w:rPr>
        <w:t xml:space="preserve">g and 12.47 ± 10.98 mg</w:t>
      </w:r>
      <w:r>
        <w:rPr>
          <w:color w:val="323232"/>
        </w:rPr>
        <w:t xml:space="preserve">g, respectively. Within-dog CV for sCysC, uRBP</w:t>
      </w:r>
      <w:r>
        <w:rPr>
          <w:i w:val="1"/>
          <w:color w:val="323232"/>
        </w:rPr>
        <w:t xml:space="preserve">c, uNGAL</w:t>
      </w:r>
      <w:r>
        <w:rPr>
          <w:color w:val="323232"/>
        </w:rPr>
        <w:t xml:space="preserve">c and uIgG/c was 8.1%, 33.7%, 87.2% and 88.1%, respectively.</w:t>
      </w:r>
    </w:p>
    <w:p/>
    <w:p>
      <w:pPr>
        <w:pStyle w:val="Normal"/>
      </w:pPr>
      <w:r>
        <w:rPr>
          <w:color w:val="323232"/>
        </w:rPr>
        <w:t xml:space="preserve">CONCLUSIONS AND CLINICAL IMPORTANCE:Serum cystatin C, uRBP</w:t>
      </w:r>
      <w:r>
        <w:rPr>
          <w:i w:val="1"/>
          <w:color w:val="323232"/>
        </w:rPr>
        <w:t xml:space="preserve">c, uNGAL</w:t>
      </w:r>
      <w:r>
        <w:rPr>
          <w:color w:val="323232"/>
        </w:rPr>
        <w:t xml:space="preserve">c and uIgG/c exhibit a wide range of long-term within-dog variability. Researchers and veterinarians might need to take this into account when interpreting their results. To assess their diagnostic and predictive ability, future studies need to establish reference ranges for healthy dogs and dogs with CKD.</w:t>
      </w:r>
    </w:p>
    <w:p/>
    <w:p>
      <w:pPr>
        <w:pStyle w:val="Normal"/>
      </w:pPr>
      <w:r>
        <w:rPr>
          <w:color w:val="323232"/>
        </w:rPr>
        <w:t xml:space="preserve">J Vet Intern Med, 2018 vol. 32 (5) pp. 1659-1664.</w:t>
      </w:r>
    </w:p>
    <w:p>
      <w:r>
        <w:rPr>
          <w:rStyle w:val="Hyperlink"/>
        </w:rPr>
        <w:fldChar w:fldCharType="begin"/>
      </w:r>
      <w:r>
        <w:rPr>
          <w:rStyle w:val="Hyperlink"/>
        </w:rPr>
        <w:instrText xml:space="preserve"> HYPERLINK "http://eutils.ncbi.nlm.nih.gov/entrez/eutils/elink.fcgi?dbfrom=pubmed&amp;id=30216550&amp;retmode=ref&amp;cmd=prlinks"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http://eutils.ncbi.nlm.nih.gov/entrez/eutils/elink.fcgi?dbfrom=pubmed&amp;id=30216550&amp;retmode=ref&amp;cmd=prlinks</w:t>
      </w:r>
      <w:r>
        <w:rPr>
          <w:rStyle w:val="Hyperlink"/>
        </w:rPr>
        <w:fldChar w:fldCharType="end"/>
      </w:r>
    </w:p>
    <w:p>
      <w:pPr>
        <w:pStyle w:val="Normal"/>
      </w:pPr>
      <w:r>
        <w:rPr>
          <w:color w:val="323232"/>
        </w:rPr>
        <w:t xml:space="preserve">————————</w:t>
      </w:r>
    </w:p>
    <w:p>
      <w:pPr>
        <w:pStyle w:val="Heading4"/>
      </w:pPr>
      <w:r>
        <w:t xml:space="preserve">Seizure occurrence in dogs under primary veterinary care in the UK: prevalence and risk factors.</w:t>
      </w:r>
    </w:p>
    <w:p/>
    <w:p>
      <w:pPr>
        <w:pStyle w:val="Normal"/>
      </w:pPr>
      <w:r>
        <w:rPr>
          <w:color w:val="323232"/>
        </w:rPr>
        <w:t xml:space="preserve">Alexander Erlen, Heidrun Potschka, Holger A Volk, Carola Sauter-Louis, and Dan G O'Neill.</w:t>
      </w:r>
    </w:p>
    <w:p/>
    <w:p>
      <w:pPr>
        <w:pStyle w:val="Normal"/>
      </w:pPr>
      <w:r>
        <w:rPr>
          <w:color w:val="323232"/>
        </w:rPr>
        <w:t xml:space="preserve">BACKGROUND:Primary-care veterinary clinical records can offer data to determine generalizable epidemiological data on seizures occurrence in the dog population.</w:t>
      </w:r>
    </w:p>
    <w:p/>
    <w:p>
      <w:pPr>
        <w:pStyle w:val="Normal"/>
      </w:pPr>
      <w:r>
        <w:rPr>
          <w:color w:val="323232"/>
        </w:rPr>
        <w:t xml:space="preserve">OBJECTIVES:To identify and examine epidemiologic characteristics of seizure occurrence in dogs under primary veterinary care in the UK participating in the VetCompass™ Programme.</w:t>
      </w:r>
    </w:p>
    <w:p/>
    <w:p>
      <w:pPr>
        <w:pStyle w:val="Normal"/>
      </w:pPr>
      <w:r>
        <w:rPr>
          <w:color w:val="323232"/>
        </w:rPr>
        <w:t xml:space="preserve">ANIMALS:455,553 dogs in VetCompass™'.</w:t>
      </w:r>
    </w:p>
    <w:p/>
    <w:p>
      <w:pPr>
        <w:pStyle w:val="Normal"/>
      </w:pPr>
      <w:r>
        <w:rPr>
          <w:color w:val="323232"/>
        </w:rPr>
        <w:t xml:space="preserve">METHODS:A cross-sectional analysis estimated the 1-year period prevalence and risk factors for dogs with seizures during 2013.</w:t>
      </w:r>
    </w:p>
    <w:p/>
    <w:p>
      <w:pPr>
        <w:pStyle w:val="Normal"/>
      </w:pPr>
      <w:r>
        <w:rPr>
          <w:color w:val="323232"/>
        </w:rPr>
        <w:t xml:space="preserve">RESULTS:The overall 1-year period prevalence for dogs having at least one seizure during 2013 was 0.82% (95% CI 0.79-0.84). Multivariable modelling identified breeds with elevated odd ratios [OR] compared with the Labrador Retriever (e.g. Pug OR: 3.41 95% CI 2.71-4.28, P &lt; 0.001). Males had higher risk for seizures (Male</w:t>
      </w:r>
      <w:r>
        <w:rPr>
          <w:i w:val="1"/>
          <w:color w:val="323232"/>
        </w:rPr>
        <w:t xml:space="preserve">Entire OR: 1.47 95% CI 1.30-1.66; Male</w:t>
      </w:r>
      <w:r>
        <w:rPr>
          <w:color w:val="323232"/>
        </w:rPr>
        <w:t xml:space="preserve">Neutered OR: 1.34 95% CI 1.19-1.51) compared to entire females. Age (3.00 - ≤ 6.00 OR: 2.13 95% CI 1.90-2.39, P &lt; 0.001, compared to animals aged 0.50-≤ 3.00 years), and bodyweight (≥ 40.00kg, OR: 1.24 95% CI 1.08-1.41, P = 0.002, compared to animals weighing &lt; 10.0 kg) were identified as risk factors for seizures.</w:t>
      </w:r>
    </w:p>
    <w:p/>
    <w:p>
      <w:pPr>
        <w:pStyle w:val="Normal"/>
      </w:pPr>
      <w:r>
        <w:rPr>
          <w:color w:val="323232"/>
        </w:rPr>
        <w:t xml:space="preserve">CONCLUSION AND CLINICAL IMPORTANCE:Seizures are a relatively common clinical finding in dogs. The results for breed, age, sex and bodyweight as risk factors can assist veterinarians in refining differential diagnosis lists for dogs reported with behaviors that may have been seizures. In addition, the prevalence values reported here can support pharmacovigilance with baseline data from the overall population.</w:t>
      </w:r>
    </w:p>
    <w:p/>
    <w:p>
      <w:pPr>
        <w:pStyle w:val="Normal"/>
      </w:pPr>
      <w:r>
        <w:rPr>
          <w:color w:val="323232"/>
        </w:rPr>
        <w:t xml:space="preserve">J Vet Intern Med, 2018 vol. 32 (5) pp. 1665-1676.</w:t>
      </w:r>
    </w:p>
    <w:p>
      <w:r>
        <w:rPr>
          <w:rStyle w:val="Hyperlink"/>
        </w:rPr>
        <w:fldChar w:fldCharType="begin"/>
      </w:r>
      <w:r>
        <w:rPr>
          <w:rStyle w:val="Hyperlink"/>
        </w:rPr>
        <w:instrText xml:space="preserve"> HYPERLINK "http://dx.doi.org/10.1111/jvim.15290" </w:instrText>
      </w:r>
      <w:r>
        <w:rPr>
          <w:rStyle w:val="Hyperlink"/>
        </w:rPr>
      </w:r>
      <w:r>
        <w:rPr>
          <w:rStyle w:val="Hyperlink"/>
        </w:rPr>
        <w:fldChar w:fldCharType="separate"/>
      </w:r>
      <w:pPr>
        <w:pStyle w:val="Normal"/>
      </w:pPr>
      <w:r>
        <w:rPr>
          <w:rStyle w:val="Hyperlink"/>
        </w:rPr>
        <w:t xml:space="preserve">http://dx.doi.org/10.1111/jvim.15290</w:t>
      </w:r>
      <w:r>
        <w:rPr>
          <w:rStyle w:val="Hyperlink"/>
        </w:rPr>
        <w:fldChar w:fldCharType="end"/>
      </w:r>
    </w:p>
    <w:p>
      <w:pPr>
        <w:pStyle w:val="Normal"/>
      </w:pPr>
      <w:r>
        <w:rPr>
          <w:color w:val="323232"/>
        </w:rPr>
        <w:t xml:space="preserve">————————</w:t>
      </w:r>
    </w:p>
    <w:p>
      <w:pPr>
        <w:pStyle w:val="Heading4"/>
      </w:pPr>
      <w:r>
        <w:t xml:space="preserve">Population pharmacokinetics of extended-release levetiracetam in epileptic dogs when administered alone, with phenobarbital or zonisamide.</w:t>
      </w:r>
    </w:p>
    <w:p/>
    <w:p>
      <w:pPr>
        <w:pStyle w:val="Normal"/>
      </w:pPr>
      <w:r>
        <w:rPr>
          <w:color w:val="323232"/>
        </w:rPr>
        <w:t xml:space="preserve">Karen R Munana, Arturo J Otamendi, Julie A Nettifee, and Mark G Papich.</w:t>
      </w:r>
    </w:p>
    <w:p/>
    <w:p>
      <w:pPr>
        <w:pStyle w:val="Normal"/>
      </w:pPr>
      <w:r>
        <w:rPr>
          <w:color w:val="323232"/>
        </w:rPr>
        <w:t xml:space="preserve">BACKGROUND:Extended-release levetiracetam (LEV-XR) has gained acceptance as an antiepileptic drug in dogs. No studies have evaluated its disposition in dogs with epilepsy.</w:t>
      </w:r>
    </w:p>
    <w:p/>
    <w:p>
      <w:pPr>
        <w:pStyle w:val="Normal"/>
      </w:pPr>
      <w:r>
        <w:rPr>
          <w:color w:val="323232"/>
        </w:rPr>
        <w:t xml:space="preserve">HYPOTHESIS/OBJECTIVES:To evaluate the pharmacokinetics of LEV-XR in epileptic dogs when administered alone or with phenobarbital or zonisamide.</w:t>
      </w:r>
    </w:p>
    <w:p/>
    <w:p>
      <w:pPr>
        <w:pStyle w:val="Normal"/>
      </w:pPr>
      <w:r>
        <w:rPr>
          <w:color w:val="323232"/>
        </w:rPr>
        <w:t xml:space="preserve">ANIMALS:Eighteen client-owned dogs on steady-state maintenance treatment with LEV-XR (Group L, n</w:t>
      </w:r>
      <w:r>
        <w:rPr>
          <w:color w:val="323232"/>
        </w:rPr>
        <w:t xml:space="preserve"> </w:t>
      </w:r>
      <w:r>
        <w:rPr>
          <w:color w:val="323232"/>
        </w:rPr>
        <w:t xml:space="preserve">=</w:t>
      </w:r>
      <w:r>
        <w:rPr>
          <w:color w:val="323232"/>
        </w:rPr>
        <w:t xml:space="preserve"> </w:t>
      </w:r>
      <w:r>
        <w:rPr>
          <w:color w:val="323232"/>
        </w:rPr>
        <w:t xml:space="preserve">6), LEV-XR and phenobarbital (Group LP, n</w:t>
      </w:r>
      <w:r>
        <w:rPr>
          <w:color w:val="323232"/>
        </w:rPr>
        <w:t xml:space="preserve"> </w:t>
      </w:r>
      <w:r>
        <w:rPr>
          <w:color w:val="323232"/>
        </w:rPr>
        <w:t xml:space="preserve">=</w:t>
      </w:r>
      <w:r>
        <w:rPr>
          <w:color w:val="323232"/>
        </w:rPr>
        <w:t xml:space="preserve"> </w:t>
      </w:r>
      <w:r>
        <w:rPr>
          <w:color w:val="323232"/>
        </w:rPr>
        <w:t xml:space="preserve">6), or LEV-XR and zonisamide (Group LZ, n</w:t>
      </w:r>
      <w:r>
        <w:rPr>
          <w:color w:val="323232"/>
        </w:rPr>
        <w:t xml:space="preserve"> </w:t>
      </w:r>
      <w:r>
        <w:rPr>
          <w:color w:val="323232"/>
        </w:rPr>
        <w:t xml:space="preserve">=</w:t>
      </w:r>
      <w:r>
        <w:rPr>
          <w:color w:val="323232"/>
        </w:rPr>
        <w:t xml:space="preserve"> </w:t>
      </w:r>
      <w:r>
        <w:rPr>
          <w:color w:val="323232"/>
        </w:rPr>
        <w:t xml:space="preserve">6).</w:t>
      </w:r>
    </w:p>
    <w:p/>
    <w:p>
      <w:pPr>
        <w:pStyle w:val="Normal"/>
      </w:pPr>
      <w:r>
        <w:rPr>
          <w:color w:val="323232"/>
        </w:rPr>
        <w:t xml:space="preserve">METHODS:Pharmacokinetic study. Blood samples were collected at 0, 2, 4, 8, and 12</w:t>
      </w:r>
      <w:r>
        <w:rPr>
          <w:color w:val="323232"/>
        </w:rPr>
        <w:t xml:space="preserve"> </w:t>
      </w:r>
      <w:r>
        <w:rPr>
          <w:color w:val="323232"/>
        </w:rPr>
        <w:t xml:space="preserve">hours after LEV-XR was administered with food. Plasma LEV concentrations were determined by high-pressure liquid chromatography. A population pharmacokinetic approach and nonlinear mixed effects modeling were used to analyze the data.</w:t>
      </w:r>
    </w:p>
    <w:p/>
    <w:p>
      <w:pPr>
        <w:pStyle w:val="Normal"/>
      </w:pPr>
      <w:r>
        <w:rPr>
          <w:color w:val="323232"/>
        </w:rPr>
        <w:t xml:space="preserve">RESULTS:Treatment group accounted for most of the interindividual variation. The LP group had lower CMAX (13.38</w:t>
      </w:r>
      <w:r>
        <w:rPr>
          <w:color w:val="323232"/>
        </w:rPr>
        <w:t xml:space="preserve"> </w:t>
      </w:r>
      <w:r>
        <w:rPr>
          <w:color w:val="323232"/>
        </w:rPr>
        <w:t xml:space="preserve">μg/ mL) compared to the L group (33.01</w:t>
      </w:r>
      <w:r>
        <w:rPr>
          <w:color w:val="323232"/>
        </w:rPr>
        <w:t xml:space="preserve"> </w:t>
      </w:r>
      <w:r>
        <w:rPr>
          <w:color w:val="323232"/>
        </w:rPr>
        <w:t xml:space="preserve">μg/ mL) and LZ group (34.13</w:t>
      </w:r>
      <w:r>
        <w:rPr>
          <w:color w:val="323232"/>
        </w:rPr>
        <w:t xml:space="preserve"> </w:t>
      </w:r>
      <w:r>
        <w:rPr>
          <w:color w:val="323232"/>
        </w:rPr>
        <w:t xml:space="preserve">μg/ mL), lower AUC (134.86 versus 352.95 and 452.76</w:t>
      </w:r>
      <w:r>
        <w:rPr>
          <w:color w:val="323232"/>
        </w:rPr>
        <w:t xml:space="preserve"> </w:t>
      </w:r>
      <w:r>
        <w:rPr>
          <w:color w:val="323232"/>
        </w:rPr>
        <w:t xml:space="preserve">hours·μg/ mL, respectively), and higher CL/ F (0.17 versus 0.08 and 0.07</w:t>
      </w:r>
      <w:r>
        <w:rPr>
          <w:color w:val="323232"/>
        </w:rPr>
        <w:t xml:space="preserve"> </w:t>
      </w:r>
      <w:r>
        <w:rPr>
          <w:color w:val="323232"/>
        </w:rPr>
        <w:t xml:space="preserve">L/kg / hr, respectively). The half-life that defined the terminal slope of the plasma concentration versus time curve (~5 hours) was similar to values previously reported for healthy dogs.</w:t>
      </w:r>
    </w:p>
    <w:p/>
    <w:p>
      <w:pPr>
        <w:pStyle w:val="Normal"/>
      </w:pPr>
      <w:r>
        <w:rPr>
          <w:color w:val="323232"/>
        </w:rPr>
        <w:t xml:space="preserve">CONCLUSIONS AND CLINICAL IMPORTANCE:Considerable variation exists in the pharmacokinetics of LEV-XR in dogs with epilepsy being treated with a common dose regimen. Concurrent administration of phenobarbital contributed significantly to the variation. Other factors evaluated, including co-administration of zonisamide, were not shown to contribute to the variability. Drug monitoring may be beneficial to determine the most appropriate dose of LEV-XR in individual dogs.</w:t>
      </w:r>
    </w:p>
    <w:p/>
    <w:p>
      <w:pPr>
        <w:pStyle w:val="Normal"/>
      </w:pPr>
      <w:r>
        <w:rPr>
          <w:color w:val="323232"/>
        </w:rPr>
        <w:t xml:space="preserve">J Vet Intern Med, 2018 vol. 32 (5) pp. 1677-1683.</w:t>
      </w:r>
    </w:p>
    <w:p>
      <w:r>
        <w:rPr>
          <w:rStyle w:val="Hyperlink"/>
        </w:rPr>
        <w:fldChar w:fldCharType="begin"/>
      </w:r>
      <w:r>
        <w:rPr>
          <w:rStyle w:val="Hyperlink"/>
        </w:rPr>
        <w:instrText xml:space="preserve"> HYPERLINK "http://dx.doi.org/10.1111/jvim.15298" </w:instrText>
      </w:r>
      <w:r>
        <w:rPr>
          <w:rStyle w:val="Hyperlink"/>
        </w:rPr>
      </w:r>
      <w:r>
        <w:rPr>
          <w:rStyle w:val="Hyperlink"/>
        </w:rPr>
        <w:fldChar w:fldCharType="separate"/>
      </w:r>
      <w:pPr>
        <w:pStyle w:val="Normal"/>
      </w:pPr>
      <w:r>
        <w:rPr>
          <w:rStyle w:val="Hyperlink"/>
        </w:rPr>
        <w:t xml:space="preserve">http://dx.doi.org/10.1111/jvim.15298</w:t>
      </w:r>
      <w:r>
        <w:rPr>
          <w:rStyle w:val="Hyperlink"/>
        </w:rPr>
        <w:fldChar w:fldCharType="end"/>
      </w:r>
    </w:p>
    <w:p>
      <w:pPr>
        <w:pStyle w:val="Normal"/>
      </w:pPr>
      <w:r>
        <w:rPr>
          <w:color w:val="323232"/>
        </w:rPr>
        <w:t xml:space="preserve">————————</w:t>
      </w:r>
    </w:p>
    <w:p>
      <w:pPr>
        <w:pStyle w:val="Heading4"/>
      </w:pPr>
      <w:r>
        <w:t xml:space="preserve">25-Hydroxyvitamin D concentrations in dogs with naturally acquired blastomycosis.</w:t>
      </w:r>
    </w:p>
    <w:p/>
    <w:p>
      <w:pPr>
        <w:pStyle w:val="Normal"/>
      </w:pPr>
      <w:r>
        <w:rPr>
          <w:color w:val="323232"/>
        </w:rPr>
        <w:t xml:space="preserve">M A O'Brien, M A McMichael, and K Le Boedec.</w:t>
      </w:r>
    </w:p>
    <w:p/>
    <w:p>
      <w:pPr>
        <w:pStyle w:val="Normal"/>
      </w:pPr>
      <w:r>
        <w:rPr>
          <w:color w:val="323232"/>
        </w:rPr>
        <w:t xml:space="preserve">BACKGROUND:Hypovitaminosis D is common in humans with tuberculosis, and adequate serum 25-hydroxyvitamin D [25(OH)D] concentrations may improve response to therapy. The pathomechanism of Blastomyces dermatitidis is similar to that of Mycobacterium tuberculosis, but the 25(OH)D status of dogs with blastomycosis has not been investigated.</w:t>
      </w:r>
    </w:p>
    <w:p/>
    <w:p>
      <w:pPr>
        <w:pStyle w:val="Normal"/>
      </w:pPr>
      <w:r>
        <w:rPr>
          <w:color w:val="323232"/>
        </w:rPr>
        <w:t xml:space="preserve">OBJECTIVES:To determine if dogs with blastomycosis have lower 25(OH)D concentrations compared with healthy controls and to explore the prognostic value of 25(OH)D concentrations in blastomycosis.</w:t>
      </w:r>
    </w:p>
    <w:p/>
    <w:p>
      <w:pPr>
        <w:pStyle w:val="Normal"/>
      </w:pPr>
      <w:r>
        <w:rPr>
          <w:color w:val="323232"/>
        </w:rPr>
        <w:t xml:space="preserve">ANIMALS:35 control dogs (16 client-owned, healthy dogs and 19 healthy, random-source hound mixes) and 22 dogs with blastomycosis.</w:t>
      </w:r>
    </w:p>
    <w:p/>
    <w:p>
      <w:pPr>
        <w:pStyle w:val="Normal"/>
      </w:pPr>
      <w:r>
        <w:rPr>
          <w:color w:val="323232"/>
        </w:rPr>
        <w:t xml:space="preserve">METHODS:Prospective study. Serum concentrations of 25(OH)D, parathyroid hormone (PTH), ionized calcium were measured, and biochemistry and hematology profiles were performed. The 25-hydroxyvitamin D concentrations were compared between groups, and factors associated with 25(OH)D variation were investigated in dogs with blastomycosis. Dogs with blastomycosis were followed for up to 5 years after discharge and factors associated with survival were investigated.</w:t>
      </w:r>
    </w:p>
    <w:p/>
    <w:p>
      <w:pPr>
        <w:pStyle w:val="Normal"/>
      </w:pPr>
      <w:r>
        <w:rPr>
          <w:color w:val="323232"/>
        </w:rPr>
        <w:t xml:space="preserve">RESULTS:Dogs with blastomycosis had significantly lower concentrations of 25(OH)D and PTH and higher concentrations of ionized calcium than did control dogs. In dogs with blastomycosis, 25(OH)D concentrations were independently associated with neutrophil count, pCO2 , and with bone and skin involvement. The 25-hydroxyvitamin D concentration was not associated with survival in dogs with blastomycosis, whereas lactate concentrations; bone, skin, and lymph node involvement; number of affected sites; and, presence of respiratory signs were associated with survival.</w:t>
      </w:r>
    </w:p>
    <w:p/>
    <w:p>
      <w:pPr>
        <w:pStyle w:val="Normal"/>
      </w:pPr>
      <w:r>
        <w:rPr>
          <w:color w:val="323232"/>
        </w:rPr>
        <w:t xml:space="preserve">CONCLUSIONS AND CLINICAL IMPORTANCE:Dogs with blastomycosis had lower 25(OH)D concentrations than did healthy controls. Despite no impact on survival, investigating the effect of 25(OH)D supplementation on recovery is warranted.</w:t>
      </w:r>
    </w:p>
    <w:p/>
    <w:p>
      <w:pPr>
        <w:pStyle w:val="Normal"/>
      </w:pPr>
      <w:r>
        <w:rPr>
          <w:color w:val="323232"/>
        </w:rPr>
        <w:t xml:space="preserve">J Vet Intern Med, 2018 vol. 32 (5) pp. 1684-1691.</w:t>
      </w:r>
    </w:p>
    <w:p>
      <w:r>
        <w:rPr>
          <w:rStyle w:val="Hyperlink"/>
        </w:rPr>
        <w:fldChar w:fldCharType="begin"/>
      </w:r>
      <w:r>
        <w:rPr>
          <w:rStyle w:val="Hyperlink"/>
        </w:rPr>
        <w:instrText xml:space="preserve"> HYPERLINK "http://eutils.ncbi.nlm.nih.gov/entrez/eutils/elink.fcgi?dbfrom=pubmed&amp;id=30079575&amp;retmode=ref&amp;cmd=prlinks"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http://eutils.ncbi.nlm.nih.gov/entrez/eutils/elink.fcgi?dbfrom=pubmed&amp;id=30079575&amp;retmode=ref&amp;cmd=prlinks</w:t>
      </w:r>
      <w:r>
        <w:rPr>
          <w:rStyle w:val="Hyperlink"/>
        </w:rPr>
        <w:fldChar w:fldCharType="end"/>
      </w:r>
    </w:p>
    <w:p>
      <w:pPr>
        <w:pStyle w:val="Normal"/>
      </w:pPr>
      <w:r>
        <w:rPr>
          <w:color w:val="323232"/>
        </w:rPr>
        <w:t xml:space="preserve">————————</w:t>
      </w:r>
    </w:p>
    <w:p>
      <w:pPr>
        <w:pStyle w:val="Heading4"/>
      </w:pPr>
      <w:r>
        <w:t xml:space="preserve">Relationship of the mucosal microbiota to gastrointestinal inflammation and small cell intestinal lymphoma in cats.</w:t>
      </w:r>
    </w:p>
    <w:p/>
    <w:p>
      <w:pPr>
        <w:pStyle w:val="Normal"/>
      </w:pPr>
      <w:r>
        <w:rPr>
          <w:color w:val="323232"/>
        </w:rPr>
        <w:t xml:space="preserve">Kayode Garraway, Chad M Johannes, Angela Bryan, John Peauroi, Giacomo Rossi, Min Zhang, Chong Wang, Karin Allenspach, and Albert E Jergens.</w:t>
      </w:r>
    </w:p>
    <w:p/>
    <w:p>
      <w:pPr>
        <w:pStyle w:val="Normal"/>
      </w:pPr>
      <w:r>
        <w:rPr>
          <w:color w:val="323232"/>
        </w:rPr>
        <w:t xml:space="preserve">BACKGROUND:The gastrointestinal (GI) microbiota in healthy cats is altered in IBD. Little research has been performed to identify whether specific bacterial groups are associated with small cell GI lymphoma (LSA).</w:t>
      </w:r>
    </w:p>
    <w:p/>
    <w:p>
      <w:pPr>
        <w:pStyle w:val="Normal"/>
      </w:pPr>
      <w:r>
        <w:rPr>
          <w:color w:val="323232"/>
        </w:rPr>
        <w:t xml:space="preserve">HYPOTHESIS:Mucosal bacteria, including Enterobacteriaceae and Fusobacterium spp., are abundant in intestinal biopsies of cats with small cell GI LSA compared to cats with IBD.</w:t>
      </w:r>
    </w:p>
    <w:p/>
    <w:p>
      <w:pPr>
        <w:pStyle w:val="Normal"/>
      </w:pPr>
      <w:r>
        <w:rPr>
          <w:color w:val="323232"/>
        </w:rPr>
        <w:t xml:space="preserve">ANIMALS:Fourteen cats with IBD and 14 cats with small cell GI LSA.</w:t>
      </w:r>
    </w:p>
    <w:p/>
    <w:p>
      <w:pPr>
        <w:pStyle w:val="Normal"/>
      </w:pPr>
      <w:r>
        <w:rPr>
          <w:color w:val="323232"/>
        </w:rPr>
        <w:t xml:space="preserve">METHODS:Retrospective case control study. A search of the medical records was performed to identify cats diagnosed with IBD and with GI LSA. Bacterial groups identified by FISH in GI biopsies were compared between cohorts and correlated to CD11b+ and NF-κB expression.</w:t>
      </w:r>
    </w:p>
    <w:p/>
    <w:p>
      <w:pPr>
        <w:pStyle w:val="Normal"/>
      </w:pPr>
      <w:r>
        <w:rPr>
          <w:color w:val="323232"/>
        </w:rPr>
        <w:t xml:space="preserve">RESULTS:Fusobacterium spp. (median; IQR bacteria/region) were higher in cats with small cell GI LSA in ileal (527; 455.5 - 661.5; P = .046) and colonic (404.5; 328.8 - 455.5; P = .016) adherent mucus, and combined colonic compartments (free mucus, adherent mucus, attaching to epithelium) (8; 0 - 336; P = .017) compared to cats with IBD (ileum: 67; 31.5 - 259; colon: 142.5; 82.3 - 434.5; combined: 3; 0 - 34). Bacteroides spp. were higher in ileal adherent mucus (P = .036) and 3 combined ileal compartments (P = .034) of cats with small cell GI LSA. There were significant correlations between Fusobacterium spp. totals and CD11b+ cell (P = .009; rs .476) and NF-κB expression (P = .004; rs .523).</w:t>
      </w:r>
    </w:p>
    <w:p/>
    <w:p>
      <w:pPr>
        <w:pStyle w:val="Normal"/>
      </w:pPr>
      <w:r>
        <w:rPr>
          <w:color w:val="323232"/>
        </w:rPr>
        <w:t xml:space="preserve">CONCLUSIONS:The bacterial alterations appreciated might be influential in development of small cell GI LSA, and should drive further studies to elucidate the effects of microbial-mediated inflammation on GI cancer progression.</w:t>
      </w:r>
    </w:p>
    <w:p/>
    <w:p>
      <w:pPr>
        <w:pStyle w:val="Normal"/>
      </w:pPr>
      <w:r>
        <w:rPr>
          <w:color w:val="323232"/>
        </w:rPr>
        <w:t xml:space="preserve">J Vet Intern Med, 2018 vol. 32 (5) pp. 1692-1702.</w:t>
      </w:r>
    </w:p>
    <w:p>
      <w:r>
        <w:rPr>
          <w:rStyle w:val="Hyperlink"/>
        </w:rPr>
        <w:fldChar w:fldCharType="begin"/>
      </w:r>
      <w:r>
        <w:rPr>
          <w:rStyle w:val="Hyperlink"/>
        </w:rPr>
        <w:instrText xml:space="preserve"> HYPERLINK "http://dx.doi.org/10.1111/jvim.15291" </w:instrText>
      </w:r>
      <w:r>
        <w:rPr>
          <w:rStyle w:val="Hyperlink"/>
        </w:rPr>
      </w:r>
      <w:r>
        <w:rPr>
          <w:rStyle w:val="Hyperlink"/>
        </w:rPr>
        <w:fldChar w:fldCharType="separate"/>
      </w:r>
      <w:pPr>
        <w:pStyle w:val="Normal"/>
      </w:pPr>
      <w:r>
        <w:rPr>
          <w:rStyle w:val="Hyperlink"/>
        </w:rPr>
        <w:t xml:space="preserve">http://dx.doi.org/10.1111/jvim.15291</w:t>
      </w:r>
      <w:r>
        <w:rPr>
          <w:rStyle w:val="Hyperlink"/>
        </w:rPr>
        <w:fldChar w:fldCharType="end"/>
      </w:r>
    </w:p>
    <w:p>
      <w:pPr>
        <w:pStyle w:val="Normal"/>
      </w:pPr>
      <w:r>
        <w:rPr>
          <w:color w:val="323232"/>
        </w:rPr>
        <w:t xml:space="preserve">————————</w:t>
      </w:r>
    </w:p>
    <w:p>
      <w:pPr>
        <w:pStyle w:val="Heading4"/>
      </w:pPr>
      <w:r>
        <w:t xml:space="preserve">Survival after diagnosis of hypertension in cats attending primary care practice in the United Kingdom.</w:t>
      </w:r>
    </w:p>
    <w:p/>
    <w:p>
      <w:pPr>
        <w:pStyle w:val="Normal"/>
      </w:pPr>
      <w:r>
        <w:rPr>
          <w:color w:val="323232"/>
        </w:rPr>
        <w:t xml:space="preserve">Megan Conroy, Yu-Mei Chang, Dave Brodbelt, and Jonathan Elliott.</w:t>
      </w:r>
    </w:p>
    <w:p/>
    <w:p>
      <w:pPr>
        <w:pStyle w:val="Normal"/>
      </w:pPr>
      <w:r>
        <w:rPr>
          <w:color w:val="323232"/>
        </w:rPr>
        <w:t xml:space="preserve">BACKGROUND:Hypertension is common in older cats. There is limited evidence for predictors of survival after diagnosis.</w:t>
      </w:r>
    </w:p>
    <w:p/>
    <w:p>
      <w:pPr>
        <w:pStyle w:val="Normal"/>
      </w:pPr>
      <w:r>
        <w:rPr>
          <w:color w:val="323232"/>
        </w:rPr>
        <w:t xml:space="preserve">HYPOTHESIS/OBJECTIVES:Investigate blood pressure assessment (BPA) and hypertension diagnosis in cats attending UK primary care practices (PCPs) and factors that influence survival.</w:t>
      </w:r>
    </w:p>
    <w:p/>
    <w:p>
      <w:pPr>
        <w:pStyle w:val="Normal"/>
      </w:pPr>
      <w:r>
        <w:rPr>
          <w:color w:val="323232"/>
        </w:rPr>
        <w:t xml:space="preserve">ANIMALS:Cats (347</w:t>
      </w:r>
      <w:r>
        <w:rPr>
          <w:color w:val="323232"/>
        </w:rPr>
        <w:t xml:space="preserve"> </w:t>
      </w:r>
      <w:r>
        <w:rPr>
          <w:color w:val="323232"/>
        </w:rPr>
        <w:t xml:space="preserve">889) attending 244 UK PCPs enrolled in the VetCompass program between January 1, 2012, and December 31, 2013. Cats identified as hypertensive (282) were included in descriptive and survival analyses.</w:t>
      </w:r>
    </w:p>
    <w:p/>
    <w:p>
      <w:pPr>
        <w:pStyle w:val="Normal"/>
      </w:pPr>
      <w:r>
        <w:rPr>
          <w:color w:val="323232"/>
        </w:rPr>
        <w:t xml:space="preserve">METHODS:All electronic patient records (EPRs) were searched to identify cats that potentially had received BPA. EPRs were read in detail to identify those that had BPA. The proportion that received BPA was evaluated using a stratified analysis and the incidence of hypertension estimated. A retrospective cohort study was used to investigate survival after diagnosis (Cox proportional hazard model).</w:t>
      </w:r>
    </w:p>
    <w:p/>
    <w:p>
      <w:pPr>
        <w:pStyle w:val="Normal"/>
      </w:pPr>
      <w:r>
        <w:rPr>
          <w:color w:val="323232"/>
        </w:rPr>
        <w:t xml:space="preserve">RESULTS:Estimated incidence risk was 19.5% (95% confidence interval [CI], 17.5-21.6) from the estimated 1.34% (1.30%-1.38%) of cats that received BPA. Few cats had BPA more than once after diagnosis (median, 1; interquartile range [IQR], 0-3), with only 9.9% of diagnosed hypertensive cats having urine protein:creatinine ratio determined. Cats diagnosed as a result of monitoring of pre-existing disease had improved survival (hazard ratio [HR], 0.58; 95% CI, 0.37-0.89; P =</w:t>
      </w:r>
      <w:r>
        <w:rPr>
          <w:color w:val="323232"/>
        </w:rPr>
        <w:t xml:space="preserve"> </w:t>
      </w:r>
      <w:r>
        <w:rPr>
          <w:color w:val="323232"/>
        </w:rPr>
        <w:t xml:space="preserve">.01) compared to cats diagnosed after clinical signs were recognized. Cats that had an amlodipine dose change had improved survival (HR, 0.56; 95% CI, 0.36-0.87; P =</w:t>
      </w:r>
      <w:r>
        <w:rPr>
          <w:color w:val="323232"/>
        </w:rPr>
        <w:t xml:space="preserve"> </w:t>
      </w:r>
      <w:r>
        <w:rPr>
          <w:color w:val="323232"/>
        </w:rPr>
        <w:t xml:space="preserve">.01) compared to those with no dose change.</w:t>
      </w:r>
    </w:p>
    <w:p/>
    <w:p>
      <w:pPr>
        <w:pStyle w:val="Normal"/>
      </w:pPr>
      <w:r>
        <w:rPr>
          <w:color w:val="323232"/>
        </w:rPr>
        <w:t xml:space="preserve">CONCLUSIONS AND CLINICAL IMPORTANCE:These data suggest improved blood pressure monitoring in clinical practice may decrease the morbidity associated with hypertension.</w:t>
      </w:r>
    </w:p>
    <w:p/>
    <w:p>
      <w:pPr>
        <w:pStyle w:val="Normal"/>
      </w:pPr>
      <w:r>
        <w:rPr>
          <w:color w:val="323232"/>
        </w:rPr>
        <w:t xml:space="preserve">J Vet Intern Med, 2018 vol. 32 (6) pp. 1846-1855.</w:t>
      </w:r>
    </w:p>
    <w:p>
      <w:r>
        <w:rPr>
          <w:rStyle w:val="Hyperlink"/>
        </w:rPr>
        <w:fldChar w:fldCharType="begin"/>
      </w:r>
      <w:r>
        <w:rPr>
          <w:rStyle w:val="Hyperlink"/>
        </w:rPr>
        <w:instrText xml:space="preserve"> HYPERLINK "http://dx.doi.org/10.1111/jvim.15307" </w:instrText>
      </w:r>
      <w:r>
        <w:rPr>
          <w:rStyle w:val="Hyperlink"/>
        </w:rPr>
      </w:r>
      <w:r>
        <w:rPr>
          <w:rStyle w:val="Hyperlink"/>
        </w:rPr>
        <w:fldChar w:fldCharType="separate"/>
      </w:r>
      <w:pPr>
        <w:pStyle w:val="Normal"/>
      </w:pPr>
      <w:r>
        <w:rPr>
          <w:rStyle w:val="Hyperlink"/>
        </w:rPr>
        <w:t xml:space="preserve">http://dx.doi.org/10.1111/jvim.15307</w:t>
      </w:r>
      <w:r>
        <w:rPr>
          <w:rStyle w:val="Hyperlink"/>
        </w:rPr>
        <w:fldChar w:fldCharType="end"/>
      </w:r>
    </w:p>
    <w:p>
      <w:pPr>
        <w:pStyle w:val="Normal"/>
      </w:pPr>
      <w:r>
        <w:rPr>
          <w:color w:val="323232"/>
        </w:rPr>
        <w:t xml:space="preserve">————————</w:t>
      </w:r>
    </w:p>
    <w:p>
      <w:pPr>
        <w:pStyle w:val="Heading4"/>
      </w:pPr>
      <w:r>
        <w:t xml:space="preserve">A retrospective study of 157 hospitalized cats with pancreatitis in a tertiary care center: Clinical, imaging and laboratory findings, potential prognostic markers and outcome.</w:t>
      </w:r>
    </w:p>
    <w:p/>
    <w:p>
      <w:pPr>
        <w:pStyle w:val="Normal"/>
      </w:pPr>
      <w:r>
        <w:rPr>
          <w:color w:val="323232"/>
        </w:rPr>
        <w:t xml:space="preserve">Ran Nivy, Alina Kaplanov, Sharon Kuzi, Michal Mazaki-Tovi, Einat Yas, Gilad Segev, Jennifer Ben-Oz, Eran Lavy, and Itamar Aroch.</w:t>
      </w:r>
    </w:p>
    <w:p/>
    <w:p>
      <w:pPr>
        <w:pStyle w:val="Normal"/>
      </w:pPr>
      <w:r>
        <w:rPr>
          <w:color w:val="323232"/>
        </w:rPr>
        <w:t xml:space="preserve">BACKGROUND:Pancreatitis in cats (FP) has been increasingly diagnosed in recent years, but clinical studies of large numbers of affected cats are scarce.</w:t>
      </w:r>
    </w:p>
    <w:p/>
    <w:p>
      <w:pPr>
        <w:pStyle w:val="Normal"/>
      </w:pPr>
      <w:r>
        <w:rPr>
          <w:color w:val="323232"/>
        </w:rPr>
        <w:t xml:space="preserve">OBJECTIVES:To describe a large cohort of cats with FP requiring hospitalization.</w:t>
      </w:r>
    </w:p>
    <w:p/>
    <w:p>
      <w:pPr>
        <w:pStyle w:val="Normal"/>
      </w:pPr>
      <w:r>
        <w:rPr>
          <w:color w:val="323232"/>
        </w:rPr>
        <w:t xml:space="preserve">ANIMALS:One hundred and fifty-seven client-owned cats.</w:t>
      </w:r>
    </w:p>
    <w:p/>
    <w:p>
      <w:pPr>
        <w:pStyle w:val="Normal"/>
      </w:pPr>
      <w:r>
        <w:rPr>
          <w:color w:val="323232"/>
        </w:rPr>
        <w:t xml:space="preserve">METHODS:Retrospective study, including cats diagnosed with pancreatitis based on sonographic evidence, positive SNAP feline pancreatic lipase immunoreactivity test results, increased 1,2-o-dilauryl-rac-glycerol-glutaric Acid-(6'-methylresorufin ester)-lipase activity, histopathology, or some combination of these.</w:t>
      </w:r>
    </w:p>
    <w:p/>
    <w:p>
      <w:pPr>
        <w:pStyle w:val="Normal"/>
      </w:pPr>
      <w:r>
        <w:rPr>
          <w:color w:val="323232"/>
        </w:rPr>
        <w:t xml:space="preserve">RESULTS:One-hundred and twenty-two cats (77.7%) survived to discharge. Median time from onset of clinical signs to presentation was longer (P =</w:t>
      </w:r>
      <w:r>
        <w:rPr>
          <w:color w:val="323232"/>
        </w:rPr>
        <w:t xml:space="preserve"> </w:t>
      </w:r>
      <w:r>
        <w:rPr>
          <w:color w:val="323232"/>
        </w:rPr>
        <w:t xml:space="preserve">.003) in nonsurvivors. Causes of FP included recent general anesthesia, trauma, hemodynamic compromise, and organophosphate intoxication, but most cases (86.6%) were idiopathic. Ultrasonographic findings consistent with pancreatitis were documented in 134 cats, including pancreatomegaly (81.3%), decreased (31.3%), or increased (14.9%) pancreatic echogenicity, extra-hepatic biliary tract dilatation (24%), and increased peri-pancreatic echogenicity (13%). Lethargy (P =</w:t>
      </w:r>
      <w:r>
        <w:rPr>
          <w:color w:val="323232"/>
        </w:rPr>
        <w:t xml:space="preserve"> </w:t>
      </w:r>
      <w:r>
        <w:rPr>
          <w:color w:val="323232"/>
        </w:rPr>
        <w:t xml:space="preserve">.003), pleural effusion (P =</w:t>
      </w:r>
      <w:r>
        <w:rPr>
          <w:color w:val="323232"/>
        </w:rPr>
        <w:t xml:space="preserve"> </w:t>
      </w:r>
      <w:r>
        <w:rPr>
          <w:color w:val="323232"/>
        </w:rPr>
        <w:t xml:space="preserve">.003), hypoglycemia (P =</w:t>
      </w:r>
      <w:r>
        <w:rPr>
          <w:color w:val="323232"/>
        </w:rPr>
        <w:t xml:space="preserve"> </w:t>
      </w:r>
      <w:r>
        <w:rPr>
          <w:color w:val="323232"/>
        </w:rPr>
        <w:t xml:space="preserve">.007), ionized hypocalcemia (P =</w:t>
      </w:r>
      <w:r>
        <w:rPr>
          <w:color w:val="323232"/>
        </w:rPr>
        <w:t xml:space="preserve"> </w:t>
      </w:r>
      <w:r>
        <w:rPr>
          <w:color w:val="323232"/>
        </w:rPr>
        <w:t xml:space="preserve">.016), azotemia (P =</w:t>
      </w:r>
      <w:r>
        <w:rPr>
          <w:color w:val="323232"/>
        </w:rPr>
        <w:t xml:space="preserve"> </w:t>
      </w:r>
      <w:r>
        <w:rPr>
          <w:color w:val="323232"/>
        </w:rPr>
        <w:t xml:space="preserve">.014), parenteral nutrition administration (P =</w:t>
      </w:r>
      <w:r>
        <w:rPr>
          <w:color w:val="323232"/>
        </w:rPr>
        <w:t xml:space="preserve"> </w:t>
      </w:r>
      <w:r>
        <w:rPr>
          <w:color w:val="323232"/>
        </w:rPr>
        <w:t xml:space="preserve">.013), and persistent anorexia during hospitalization (P =</w:t>
      </w:r>
      <w:r>
        <w:rPr>
          <w:color w:val="323232"/>
        </w:rPr>
        <w:t xml:space="preserve"> </w:t>
      </w:r>
      <w:r>
        <w:rPr>
          <w:color w:val="323232"/>
        </w:rPr>
        <w:t xml:space="preserve">.001) were more frequent in nonsurvivors, whereas antibiotics were more frequently administered to survivors (P =</w:t>
      </w:r>
      <w:r>
        <w:rPr>
          <w:color w:val="323232"/>
        </w:rPr>
        <w:t xml:space="preserve"> </w:t>
      </w:r>
      <w:r>
        <w:rPr>
          <w:color w:val="323232"/>
        </w:rPr>
        <w:t xml:space="preserve">.023). Nevertheless, when Bonferroni's correction for multiple comparisons was applied, none of the variables was statistically significant.</w:t>
      </w:r>
    </w:p>
    <w:p/>
    <w:p>
      <w:pPr>
        <w:pStyle w:val="Normal"/>
      </w:pPr>
      <w:r>
        <w:rPr>
          <w:color w:val="323232"/>
        </w:rPr>
        <w:t xml:space="preserve">CONCLUSIONS AND CLINICAL IMPORTANCE:Previously unreported, clinically relevant, potential prognostic factors, including hypoglycemia, azotemia, parenteral nutrition, and withholding antibacterial treatment were identified in this exploratory study. These preliminary results should be examined further in confirmatory studies.</w:t>
      </w:r>
    </w:p>
    <w:p/>
    <w:p>
      <w:pPr>
        <w:pStyle w:val="Normal"/>
      </w:pPr>
      <w:r>
        <w:rPr>
          <w:color w:val="323232"/>
        </w:rPr>
        <w:t xml:space="preserve">J Vet Intern Med, 2018 vol. 32 (6) pp. 1874-1885.</w:t>
      </w:r>
    </w:p>
    <w:p>
      <w:r>
        <w:rPr>
          <w:rStyle w:val="Hyperlink"/>
        </w:rPr>
        <w:fldChar w:fldCharType="begin"/>
      </w:r>
      <w:r>
        <w:rPr>
          <w:rStyle w:val="Hyperlink"/>
        </w:rPr>
        <w:instrText xml:space="preserve"> HYPERLINK "http://eutils.ncbi.nlm.nih.gov/entrez/eutils/elink.fcgi?dbfrom=pubmed&amp;id=30315665&amp;retmode=ref&amp;cmd=prlinks"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http://eutils.ncbi.nlm.nih.gov/entrez/eutils/elink.fcgi?dbfrom=pubmed&amp;id=30315665&amp;retmode=ref&amp;cmd=prlinks</w:t>
      </w:r>
      <w:r>
        <w:rPr>
          <w:rStyle w:val="Hyperlink"/>
        </w:rPr>
        <w:fldChar w:fldCharType="end"/>
      </w:r>
    </w:p>
    <w:p>
      <w:pPr>
        <w:pStyle w:val="Normal"/>
      </w:pPr>
      <w:r>
        <w:rPr>
          <w:color w:val="323232"/>
        </w:rPr>
        <w:t xml:space="preserve">————————</w:t>
      </w:r>
    </w:p>
    <w:p>
      <w:pPr>
        <w:pStyle w:val="Heading4"/>
      </w:pPr>
      <w:r>
        <w:t xml:space="preserve">Low-dose ACTH stimulation testing in dogs suspected of hypoadrenocorticism.</w:t>
      </w:r>
    </w:p>
    <w:p/>
    <w:p>
      <w:pPr>
        <w:pStyle w:val="Normal"/>
      </w:pPr>
      <w:r>
        <w:rPr>
          <w:color w:val="323232"/>
        </w:rPr>
        <w:t xml:space="preserve">Annabel Botsford, Ellen N Behrend, Robert J Kemppainen, Philippe R Gaillard, Frank Oprandy, and Hollie P Lee.</w:t>
      </w:r>
    </w:p>
    <w:p/>
    <w:p>
      <w:pPr>
        <w:pStyle w:val="Normal"/>
      </w:pPr>
      <w:r>
        <w:rPr>
          <w:color w:val="323232"/>
        </w:rPr>
        <w:t xml:space="preserve">BACKGROUND:Low-dose ACTH stimulation testing would lower cost and may increase sensitivity for identification of partial ACTH deficiency.</w:t>
      </w:r>
    </w:p>
    <w:p/>
    <w:p>
      <w:pPr>
        <w:pStyle w:val="Normal"/>
      </w:pPr>
      <w:r>
        <w:rPr>
          <w:color w:val="323232"/>
        </w:rPr>
        <w:t xml:space="preserve">HYPOTHESIS:(1) The low-dose ACTH stimulation test will provide comparable results to the standard-dose ACTH stimulation test in dogs suspected of hypoadrenocorticism and (2) partial ACTH deficiency exists in dogs and can result in chronic, intermittent gastrointestinal signs.</w:t>
      </w:r>
    </w:p>
    <w:p/>
    <w:p>
      <w:pPr>
        <w:pStyle w:val="Normal"/>
      </w:pPr>
      <w:r>
        <w:rPr>
          <w:color w:val="323232"/>
        </w:rPr>
        <w:t xml:space="preserve">ANIMALS:Thirty-one client-owned dogs suspected of having hypoadrenocorticism.</w:t>
      </w:r>
    </w:p>
    <w:p/>
    <w:p>
      <w:pPr>
        <w:pStyle w:val="Normal"/>
      </w:pPr>
      <w:r>
        <w:rPr>
          <w:color w:val="323232"/>
        </w:rPr>
        <w:t xml:space="preserve">METHODS:Prospective study. Dogs suspected of having hypoadrenocorticism received 1 μg</w:t>
      </w:r>
      <w:r>
        <w:rPr>
          <w:i w:val="1"/>
          <w:color w:val="323232"/>
        </w:rPr>
        <w:t xml:space="preserve">kg cosyntropin IV for the first ACTH stimulation test; the second test was performed 4 h later and dogs received 5 μg</w:t>
      </w:r>
      <w:r>
        <w:rPr>
          <w:color w:val="323232"/>
        </w:rPr>
        <w:t xml:space="preserve">kg cosyntropin IV. Blood samples were obtained pre-ACTH and 1 hour post-ACTH for each dose (4 measurements total). Samples for endogenous ACTH measurement were obtained at the time of initial blood collection.</w:t>
      </w:r>
    </w:p>
    <w:p/>
    <w:p>
      <w:pPr>
        <w:pStyle w:val="Normal"/>
      </w:pPr>
      <w:r>
        <w:rPr>
          <w:color w:val="323232"/>
        </w:rPr>
        <w:t xml:space="preserve">RESULTS:No significant difference was observed in the basal cortisol concentration before administration of a 1 μg</w:t>
      </w:r>
      <w:r>
        <w:rPr>
          <w:i w:val="1"/>
          <w:color w:val="323232"/>
        </w:rPr>
        <w:t xml:space="preserve">kg versus before a 5 μg</w:t>
      </w:r>
      <w:r>
        <w:rPr>
          <w:color w:val="323232"/>
        </w:rPr>
        <w:t xml:space="preserve">kg dose of cosyntropin (P = .544). For dogs suspected of having hypoadrenocorticism, the ACTH-stimulated cortisol concentrations in response to both doses of ACTH were equivalent (90% confidence interval [CI], 80.5-97.2%; P = .04). No cases with partial ACTH deficiency were identified conclusively.</w:t>
      </w:r>
    </w:p>
    <w:p/>
    <w:p>
      <w:pPr>
        <w:pStyle w:val="Normal"/>
      </w:pPr>
      <w:r>
        <w:rPr>
          <w:color w:val="323232"/>
        </w:rPr>
        <w:t xml:space="preserve">CONCLUSIONS AND CLINICAL IMPORTANCE:A 1 μg</w:t>
      </w:r>
      <w:r>
        <w:rPr>
          <w:i w:val="1"/>
          <w:color w:val="323232"/>
        </w:rPr>
        <w:t xml:space="preserve">kg dose of cosyntropin is equivalent to a 5 μg</w:t>
      </w:r>
      <w:r>
        <w:rPr>
          <w:color w:val="323232"/>
        </w:rPr>
        <w:t xml:space="preserve">kg dose of cosyntropin for screening dogs suspected of hypoadrenocorticism. The existence of partial ACTH deficiency was not identified in this small group of dogs.</w:t>
      </w:r>
    </w:p>
    <w:p/>
    <w:p>
      <w:pPr>
        <w:pStyle w:val="Normal"/>
      </w:pPr>
      <w:r>
        <w:rPr>
          <w:color w:val="323232"/>
        </w:rPr>
        <w:t xml:space="preserve">J Vet Intern Med, 2018 vol. 32 (6) pp. 1886-1890.</w:t>
      </w:r>
    </w:p>
    <w:p>
      <w:r>
        <w:rPr>
          <w:rStyle w:val="Hyperlink"/>
        </w:rPr>
        <w:fldChar w:fldCharType="begin"/>
      </w:r>
      <w:r>
        <w:rPr>
          <w:rStyle w:val="Hyperlink"/>
        </w:rPr>
        <w:instrText xml:space="preserve"> HYPERLINK "http://eutils.ncbi.nlm.nih.gov/entrez/eutils/elink.fcgi?dbfrom=pubmed&amp;id=30230611&amp;retmode=ref&amp;cmd=prlinks"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http://eutils.ncbi.nlm.nih.gov/entrez/eutils/elink.fcgi?dbfrom=pubmed&amp;id=30230611&amp;retmode=ref&amp;cmd=prlinks</w:t>
      </w:r>
      <w:r>
        <w:rPr>
          <w:rStyle w:val="Hyperlink"/>
        </w:rPr>
        <w:fldChar w:fldCharType="end"/>
      </w:r>
    </w:p>
    <w:p>
      <w:pPr>
        <w:pStyle w:val="Normal"/>
      </w:pPr>
      <w:r>
        <w:rPr>
          <w:color w:val="323232"/>
        </w:rPr>
        <w:t xml:space="preserve">————————</w:t>
      </w:r>
    </w:p>
    <w:p>
      <w:pPr>
        <w:pStyle w:val="Heading4"/>
      </w:pPr>
      <w:r>
        <w:t xml:space="preserve">Radioactive iodine uptake in hyperthyroid cats after administration of recombinant human thyroid stimulating hormone.</w:t>
      </w:r>
    </w:p>
    <w:p/>
    <w:p>
      <w:pPr>
        <w:pStyle w:val="Normal"/>
      </w:pPr>
      <w:r>
        <w:rPr>
          <w:color w:val="323232"/>
        </w:rPr>
        <w:t xml:space="preserve">Amy E Oberstadt, Nathan C Nelson, Andrew K Claude, Kent R Refsal, J Catharine Scott-Moncrieff, Brian K Petroff, and Daniel K Langlois.</w:t>
      </w:r>
    </w:p>
    <w:p/>
    <w:p>
      <w:pPr>
        <w:pStyle w:val="Normal"/>
      </w:pPr>
      <w:r>
        <w:rPr>
          <w:color w:val="323232"/>
        </w:rPr>
        <w:t xml:space="preserve">BACKGROUND:Radioactive iodine therapy is considered the treatment of choice for hyperthyroidism in cats, but the availability of this modality is limited by costs and hospitalization requirements. Administration of recombinant human thyroid stimulating hormone (rh-TSH) to humans with thyroid neoplasia or nodular goiter can increase thyroidal iodine uptake, thereby allowing the use of lower radioactive iodine doses for treatment. Veterinary studies of this subject are limited, and results are conflicting.</w:t>
      </w:r>
    </w:p>
    <w:p/>
    <w:p>
      <w:pPr>
        <w:pStyle w:val="Normal"/>
      </w:pPr>
      <w:r>
        <w:rPr>
          <w:color w:val="323232"/>
        </w:rPr>
        <w:t xml:space="preserve">OBJECTIVE:To investigate the effects of rh-TSH administration on thyroidal iodine uptake in hyperthyroid cats.</w:t>
      </w:r>
    </w:p>
    <w:p/>
    <w:p>
      <w:pPr>
        <w:pStyle w:val="Normal"/>
      </w:pPr>
      <w:r>
        <w:rPr>
          <w:color w:val="323232"/>
        </w:rPr>
        <w:t xml:space="preserve">ANIMALS:Ten client-owned hyperthyroid cats.</w:t>
      </w:r>
    </w:p>
    <w:p/>
    <w:p>
      <w:pPr>
        <w:pStyle w:val="Normal"/>
      </w:pPr>
      <w:r>
        <w:rPr>
          <w:color w:val="323232"/>
        </w:rPr>
        <w:t xml:space="preserve">METHODS:In this prospective clinical study, cats were administered saline (placebo), 50 μg rh-TSH (low-dose), and 100 μg rh-TSH (high-dose) in randomized crossover design with treatments separated by 7-10 days. After each treatment, thyroid scintigraphy was performed by administering 300 μCi 123 I and assessing radionuclide uptake 8 and 24 hours later. Serum thyroid hormone concentrations were measured at each visit.</w:t>
      </w:r>
    </w:p>
    <w:p/>
    <w:p>
      <w:pPr>
        <w:pStyle w:val="Normal"/>
      </w:pPr>
      <w:r>
        <w:rPr>
          <w:color w:val="323232"/>
        </w:rPr>
        <w:t xml:space="preserve">RESULTS:Thyroidal percent iodine uptakes (mean ± SD at 8 and 24 hours) in cats treated with placebo (25.2 ± 13.4%, 30.0 ± 12.8%), low-dose (24.1 ± 12.5%, 29.4 ± 13.7%), and high-dose rh-TSH (24.2 ± 16.3%, 30.8 ± 15.3%) were not different (P = .76). Independent of rh-TSH administration, percent iodine uptakes were positively correlated with serum thyroid hormone concentrations.</w:t>
      </w:r>
    </w:p>
    <w:p/>
    <w:p>
      <w:pPr>
        <w:pStyle w:val="Normal"/>
      </w:pPr>
      <w:r>
        <w:rPr>
          <w:color w:val="323232"/>
        </w:rPr>
        <w:t xml:space="preserve">CONCLUSIONS AND CLINICAL IMPORTANCE:One-time administration of rh-TSH, even at high doses, would not be expected to lower radioactive iodine doses needed for treatment of hyperthyroidism in cats. Investigations of alternate strategies to increase thyroidal uptake of radioactive iodine are warranted.</w:t>
      </w:r>
    </w:p>
    <w:p/>
    <w:p>
      <w:pPr>
        <w:pStyle w:val="Normal"/>
      </w:pPr>
      <w:r>
        <w:rPr>
          <w:color w:val="323232"/>
        </w:rPr>
        <w:t xml:space="preserve">J Vet Intern Med, 2018 vol. 32 (6) pp. 1891-1896.</w:t>
      </w:r>
    </w:p>
    <w:p>
      <w:r>
        <w:rPr>
          <w:rStyle w:val="Hyperlink"/>
        </w:rPr>
        <w:fldChar w:fldCharType="begin"/>
      </w:r>
      <w:r>
        <w:rPr>
          <w:rStyle w:val="Hyperlink"/>
        </w:rPr>
        <w:instrText xml:space="preserve"> HYPERLINK "http://dx.doi.org/10.1111/jvim.15295" </w:instrText>
      </w:r>
      <w:r>
        <w:rPr>
          <w:rStyle w:val="Hyperlink"/>
        </w:rPr>
      </w:r>
      <w:r>
        <w:rPr>
          <w:rStyle w:val="Hyperlink"/>
        </w:rPr>
        <w:fldChar w:fldCharType="separate"/>
      </w:r>
      <w:pPr>
        <w:pStyle w:val="Normal"/>
      </w:pPr>
      <w:r>
        <w:rPr>
          <w:rStyle w:val="Hyperlink"/>
        </w:rPr>
        <w:t xml:space="preserve">http://dx.doi.org/10.1111/jvim.15295</w:t>
      </w:r>
      <w:r>
        <w:rPr>
          <w:rStyle w:val="Hyperlink"/>
        </w:rPr>
        <w:fldChar w:fldCharType="end"/>
      </w:r>
    </w:p>
    <w:p>
      <w:pPr>
        <w:pStyle w:val="Normal"/>
      </w:pPr>
      <w:r>
        <w:rPr>
          <w:color w:val="323232"/>
        </w:rPr>
        <w:t xml:space="preserve">————————</w:t>
      </w:r>
    </w:p>
    <w:p>
      <w:pPr>
        <w:pStyle w:val="Heading4"/>
      </w:pPr>
      <w:r>
        <w:t xml:space="preserve">The interpretive contribution of the baseline serum cortisol concentration of the ACTH stimulation test in the diagnosis of pituitary dependent hyperadrenocorticism in dogs.</w:t>
      </w:r>
    </w:p>
    <w:p/>
    <w:p>
      <w:pPr>
        <w:pStyle w:val="Normal"/>
      </w:pPr>
      <w:r>
        <w:rPr>
          <w:color w:val="323232"/>
        </w:rPr>
        <w:t xml:space="preserve">Ran Nivy, Kent R Refsal, Ella Ariel, Sharon Kuzi, Einat Yas-Natan, and Michal Mazaki-Tovi.</w:t>
      </w:r>
    </w:p>
    <w:p/>
    <w:p>
      <w:pPr>
        <w:pStyle w:val="Normal"/>
      </w:pPr>
      <w:r>
        <w:rPr>
          <w:color w:val="323232"/>
        </w:rPr>
        <w:t xml:space="preserve">BACKGROUND:Current recommendation for performing the ACTH stimulation test (ACTHST) for diagnosis of hyperadrenocorticism (HAC) advocates the collection of baseline serum cortisol concentration (BC), but no references for interpretation of its results exist.</w:t>
      </w:r>
    </w:p>
    <w:p/>
    <w:p>
      <w:pPr>
        <w:pStyle w:val="Normal"/>
      </w:pPr>
      <w:r>
        <w:rPr>
          <w:color w:val="323232"/>
        </w:rPr>
        <w:t xml:space="preserve">OBJECTIVE:Evaluate the contribution of BC of the ACTHST to the diagnosis of HAC.</w:t>
      </w:r>
    </w:p>
    <w:p/>
    <w:p>
      <w:pPr>
        <w:pStyle w:val="Normal"/>
      </w:pPr>
      <w:r>
        <w:rPr>
          <w:color w:val="323232"/>
        </w:rPr>
        <w:t xml:space="preserve">ANIMALS:Fifty-four dogs were evaluated for suspected HAC at a referral hospital.</w:t>
      </w:r>
    </w:p>
    <w:p/>
    <w:p>
      <w:pPr>
        <w:pStyle w:val="Normal"/>
      </w:pPr>
      <w:r>
        <w:rPr>
          <w:color w:val="323232"/>
        </w:rPr>
        <w:t xml:space="preserve">METHODS:Records of dogs that had been evaluated by ACTHST for suspected HAC were reviewed. Receiver operator characteristics (ROC) analyses were used to assess the performance of BC, post-stimulation serum cortisol concentrations (PC), post-to-baseline cortisol concentration difference (DeltaC) and quotient (RatioC) for the diagnosis of HAC by comparing the area under the ROC curve (AUC) of PC to each of the other tests.</w:t>
      </w:r>
    </w:p>
    <w:p/>
    <w:p>
      <w:pPr>
        <w:pStyle w:val="Normal"/>
      </w:pPr>
      <w:r>
        <w:rPr>
          <w:color w:val="323232"/>
        </w:rPr>
        <w:t xml:space="preserve">RESULTS:The AUC of PC (95% confidence interval [CI]: 0.92; 95% CI, 0.81-0.98) was significantly higher than AUCs of BC (0.70; 95% CI, 0.56-0.82; P =</w:t>
      </w:r>
      <w:r>
        <w:rPr>
          <w:color w:val="323232"/>
        </w:rPr>
        <w:t xml:space="preserve"> </w:t>
      </w:r>
      <w:r>
        <w:rPr>
          <w:color w:val="323232"/>
        </w:rPr>
        <w:t xml:space="preserve">.01) and RatioC (0.55; 95% CI, 0.41-0.69; P &lt;</w:t>
      </w:r>
      <w:r>
        <w:rPr>
          <w:color w:val="323232"/>
        </w:rPr>
        <w:t xml:space="preserve"> </w:t>
      </w:r>
      <w:r>
        <w:rPr>
          <w:color w:val="323232"/>
        </w:rPr>
        <w:t xml:space="preserve">.001), and was not significantly different from AUC of DeltaC (0.86; 95% CI, 0.74-0.94; P =</w:t>
      </w:r>
      <w:r>
        <w:rPr>
          <w:color w:val="323232"/>
        </w:rPr>
        <w:t xml:space="preserve"> </w:t>
      </w:r>
      <w:r>
        <w:rPr>
          <w:color w:val="323232"/>
        </w:rPr>
        <w:t xml:space="preserve">.09). An optimal cutoff value of 683</w:t>
      </w:r>
      <w:r>
        <w:rPr>
          <w:color w:val="323232"/>
        </w:rPr>
        <w:t xml:space="preserve"> </w:t>
      </w:r>
      <w:r>
        <w:rPr>
          <w:color w:val="323232"/>
        </w:rPr>
        <w:t xml:space="preserve">nmol</w:t>
      </w:r>
      <w:r>
        <w:rPr>
          <w:i w:val="1"/>
          <w:color w:val="323232"/>
        </w:rPr>
        <w:t xml:space="preserve">L (24.8 μg</w:t>
      </w:r>
      <w:r>
        <w:rPr>
          <w:color w:val="323232"/>
        </w:rPr>
        <w:t xml:space="preserve">dL) for PC yielded a sensitivity of 86% and a specificity of 94%, respectively, and a cutoff value of 718</w:t>
      </w:r>
      <w:r>
        <w:rPr>
          <w:color w:val="323232"/>
        </w:rPr>
        <w:t xml:space="preserve"> </w:t>
      </w:r>
      <w:r>
        <w:rPr>
          <w:color w:val="323232"/>
        </w:rPr>
        <w:t xml:space="preserve">nmol</w:t>
      </w:r>
      <w:r>
        <w:rPr>
          <w:i w:val="1"/>
          <w:color w:val="323232"/>
        </w:rPr>
        <w:t xml:space="preserve">L (26.0 μg</w:t>
      </w:r>
      <w:r>
        <w:rPr>
          <w:color w:val="323232"/>
        </w:rPr>
        <w:t xml:space="preserve">dL) yielded a specificity of 100% with of 81% sensitivity for the diagnosis of pituitary-dependent HAC.</w:t>
      </w:r>
    </w:p>
    <w:p/>
    <w:p>
      <w:pPr>
        <w:pStyle w:val="Normal"/>
      </w:pPr>
      <w:r>
        <w:rPr>
          <w:color w:val="323232"/>
        </w:rPr>
        <w:t xml:space="preserve">CONCLUSION AND CLINICAL IMPORTANCE:The PC had good discriminatory ability for the diagnosis of HAC. It was comparable to DeltaC, whereas BC and RatioC were ineffective. Current recommendations to collect samples for BC appear redundant.</w:t>
      </w:r>
    </w:p>
    <w:p/>
    <w:p>
      <w:pPr>
        <w:pStyle w:val="Normal"/>
      </w:pPr>
      <w:r>
        <w:rPr>
          <w:color w:val="323232"/>
        </w:rPr>
        <w:t xml:space="preserve">J Vet Intern Med, 2018 vol. 32 (6) pp. 1897-1902.</w:t>
      </w:r>
    </w:p>
    <w:p>
      <w:r>
        <w:rPr>
          <w:rStyle w:val="Hyperlink"/>
        </w:rPr>
        <w:fldChar w:fldCharType="begin"/>
      </w:r>
      <w:r>
        <w:rPr>
          <w:rStyle w:val="Hyperlink"/>
        </w:rPr>
        <w:instrText xml:space="preserve"> HYPERLINK "http://dx.doi.org/10.1111/jvim.15330" </w:instrText>
      </w:r>
      <w:r>
        <w:rPr>
          <w:rStyle w:val="Hyperlink"/>
        </w:rPr>
      </w:r>
      <w:r>
        <w:rPr>
          <w:rStyle w:val="Hyperlink"/>
        </w:rPr>
        <w:fldChar w:fldCharType="separate"/>
      </w:r>
      <w:pPr>
        <w:pStyle w:val="Normal"/>
      </w:pPr>
      <w:r>
        <w:rPr>
          <w:rStyle w:val="Hyperlink"/>
        </w:rPr>
        <w:t xml:space="preserve">http://dx.doi.org/10.1111/jvim.15330</w:t>
      </w:r>
      <w:r>
        <w:rPr>
          <w:rStyle w:val="Hyperlink"/>
        </w:rPr>
        <w:fldChar w:fldCharType="end"/>
      </w:r>
    </w:p>
    <w:p>
      <w:pPr>
        <w:pStyle w:val="Normal"/>
      </w:pPr>
      <w:r>
        <w:rPr>
          <w:color w:val="323232"/>
        </w:rPr>
        <w:t xml:space="preserve">————————</w:t>
      </w:r>
    </w:p>
    <w:p>
      <w:pPr>
        <w:pStyle w:val="Heading4"/>
      </w:pPr>
      <w:r>
        <w:t xml:space="preserve">Effect of an extruded animal protein-free diet on fecal microbiota of dogs with food-responsive enteropathy.</w:t>
      </w:r>
    </w:p>
    <w:p/>
    <w:p>
      <w:pPr>
        <w:pStyle w:val="Normal"/>
      </w:pPr>
      <w:r>
        <w:rPr>
          <w:color w:val="323232"/>
        </w:rPr>
        <w:t xml:space="preserve">Francesca Bresciani, Yasushi Minamoto, Jan S Suchodolski, Giorgia Galiazzo, Carla G Vecchiato, Carlo Pinna, Giacomo Biagi, and Marco Pietra.</w:t>
      </w:r>
    </w:p>
    <w:p/>
    <w:p>
      <w:pPr>
        <w:pStyle w:val="Normal"/>
      </w:pPr>
      <w:r>
        <w:rPr>
          <w:color w:val="323232"/>
        </w:rPr>
        <w:t xml:space="preserve">BACKGROUND:Dietary interventions are thought to modify gut microbial communities in healthy individuals. In dogs with chronic enteropathies, resolution of dysbiosis, along with remission of clinical signs, is expected with treatment.</w:t>
      </w:r>
    </w:p>
    <w:p/>
    <w:p>
      <w:pPr>
        <w:pStyle w:val="Normal"/>
      </w:pPr>
      <w:r>
        <w:rPr>
          <w:color w:val="323232"/>
        </w:rPr>
        <w:t xml:space="preserve">HYPOTHESIS/OBJECTIVE:To evaluate changes in the fecal microbiota in dogs with food-responsive chronic enteropathy (FRE) and in healthy control (HC) dogs before and after an elimination dietary trial with an animal protein-free diet (APFD).</w:t>
      </w:r>
    </w:p>
    <w:p/>
    <w:p>
      <w:pPr>
        <w:pStyle w:val="Normal"/>
      </w:pPr>
      <w:r>
        <w:rPr>
          <w:color w:val="323232"/>
        </w:rPr>
        <w:t xml:space="preserve">ANIMALS:Dogs with FRE (n</w:t>
      </w:r>
      <w:r>
        <w:rPr>
          <w:color w:val="323232"/>
        </w:rPr>
        <w:t xml:space="preserve"> </w:t>
      </w:r>
      <w:r>
        <w:rPr>
          <w:color w:val="323232"/>
        </w:rPr>
        <w:t xml:space="preserve">=</w:t>
      </w:r>
      <w:r>
        <w:rPr>
          <w:color w:val="323232"/>
        </w:rPr>
        <w:t xml:space="preserve"> </w:t>
      </w:r>
      <w:r>
        <w:rPr>
          <w:color w:val="323232"/>
        </w:rPr>
        <w:t xml:space="preserve">10) and HC (n</w:t>
      </w:r>
      <w:r>
        <w:rPr>
          <w:color w:val="323232"/>
        </w:rPr>
        <w:t xml:space="preserve"> </w:t>
      </w:r>
      <w:r>
        <w:rPr>
          <w:color w:val="323232"/>
        </w:rPr>
        <w:t xml:space="preserve">=</w:t>
      </w:r>
      <w:r>
        <w:rPr>
          <w:color w:val="323232"/>
        </w:rPr>
        <w:t xml:space="preserve"> </w:t>
      </w:r>
      <w:r>
        <w:rPr>
          <w:color w:val="323232"/>
        </w:rPr>
        <w:t xml:space="preserve">14).</w:t>
      </w:r>
    </w:p>
    <w:p/>
    <w:p>
      <w:pPr>
        <w:pStyle w:val="Normal"/>
      </w:pPr>
      <w:r>
        <w:rPr>
          <w:color w:val="323232"/>
        </w:rPr>
        <w:t xml:space="preserve">METHODS:Dogs were fed the APFD for 60 days. Fecal microbiota was analyzed by Illumina 16S rRNA sequencing and quantitative polymerase chain reaction (PCR).</w:t>
      </w:r>
    </w:p>
    <w:p/>
    <w:p>
      <w:pPr>
        <w:pStyle w:val="Normal"/>
      </w:pPr>
      <w:r>
        <w:rPr>
          <w:color w:val="323232"/>
        </w:rPr>
        <w:t xml:space="preserve">RESULTS:A significantly lower bacterial alpha-diversity was observed in dogs with FRE compared with HC dogs at baseline, and compared with FRE dogs after the trial. Distinct microbial communities were observed in dogs with FRE at baseline compared with HC dogs at baseline and compared with dogs with FRE after the trial. Microbial communities still were different in FRE dogs after the trial compared with HC dogs at baseline. In HC dogs, the fecal microbiota did not show a significant modification after administration of the APFD.</w:t>
      </w:r>
    </w:p>
    <w:p/>
    <w:p>
      <w:pPr>
        <w:pStyle w:val="Normal"/>
      </w:pPr>
      <w:r>
        <w:rPr>
          <w:color w:val="323232"/>
        </w:rPr>
        <w:t xml:space="preserve">CONCLUSION AND CLINICAL IMPORTANCE:Our results suggest that, in FRE dogs, treatment with the APFD led to a partial recovery of the fecal microbiota by significantly increasing microbiota richness, which was significantly closer to a healthy microbiota after the treatment. In contrast, no changes were detected in the fecal microbiota of HC dogs fed the same APFD.</w:t>
      </w:r>
    </w:p>
    <w:p/>
    <w:p>
      <w:pPr>
        <w:pStyle w:val="Normal"/>
      </w:pPr>
      <w:r>
        <w:rPr>
          <w:color w:val="323232"/>
        </w:rPr>
        <w:t xml:space="preserve">J Vet Intern Med, 2018 vol. 32 (6) pp. 1903-1910.</w:t>
      </w:r>
    </w:p>
    <w:p>
      <w:r>
        <w:rPr>
          <w:rStyle w:val="Hyperlink"/>
        </w:rPr>
        <w:fldChar w:fldCharType="begin"/>
      </w:r>
      <w:r>
        <w:rPr>
          <w:rStyle w:val="Hyperlink"/>
        </w:rPr>
        <w:instrText xml:space="preserve"> HYPERLINK "http://dx.doi.org/10.1111/jvim.15227" </w:instrText>
      </w:r>
      <w:r>
        <w:rPr>
          <w:rStyle w:val="Hyperlink"/>
        </w:rPr>
      </w:r>
      <w:r>
        <w:rPr>
          <w:rStyle w:val="Hyperlink"/>
        </w:rPr>
        <w:fldChar w:fldCharType="separate"/>
      </w:r>
      <w:pPr>
        <w:pStyle w:val="Normal"/>
      </w:pPr>
      <w:r>
        <w:rPr>
          <w:rStyle w:val="Hyperlink"/>
        </w:rPr>
        <w:t xml:space="preserve">http://dx.doi.org/10.1111/jvim.15227</w:t>
      </w:r>
      <w:r>
        <w:rPr>
          <w:rStyle w:val="Hyperlink"/>
        </w:rPr>
        <w:fldChar w:fldCharType="end"/>
      </w:r>
    </w:p>
    <w:p>
      <w:pPr>
        <w:pStyle w:val="Normal"/>
      </w:pPr>
      <w:r>
        <w:rPr>
          <w:color w:val="323232"/>
        </w:rPr>
        <w:t xml:space="preserve">————————</w:t>
      </w:r>
    </w:p>
    <w:p>
      <w:pPr>
        <w:pStyle w:val="Heading4"/>
      </w:pPr>
      <w:r>
        <w:t xml:space="preserve">Assessment of eosinophils in gastrointestinal inflammatory disease of dogs.</w:t>
      </w:r>
    </w:p>
    <w:p/>
    <w:p>
      <w:pPr>
        <w:pStyle w:val="Normal"/>
      </w:pPr>
      <w:r>
        <w:rPr>
          <w:color w:val="323232"/>
        </w:rPr>
        <w:t xml:space="preserve">Idil Bastan, Aaron K Rendahl, Davis Seelig, Michael J Day, Edward J Hall, Savita P Rao, Robert J Washabau, and P Sriramarao.</w:t>
      </w:r>
    </w:p>
    <w:p/>
    <w:p>
      <w:pPr>
        <w:pStyle w:val="Normal"/>
      </w:pPr>
      <w:r>
        <w:rPr>
          <w:color w:val="323232"/>
        </w:rPr>
        <w:t xml:space="preserve">BACKGROUND:Accurate identification of eosinophils in the gastrointestinal (GI) tract of dogs with eosinophilic GI disease (EGID) by histological evaluation is challenging. The currently used hematoxylin and eosin (H&amp;E) staining method detects intact eosinophils but does not detect degranulated eosinophils, thus potentially underrepresenting the number of infiltrating eosinophils.</w:t>
      </w:r>
    </w:p>
    <w:p/>
    <w:p>
      <w:pPr>
        <w:pStyle w:val="Normal"/>
      </w:pPr>
      <w:r>
        <w:rPr>
          <w:color w:val="323232"/>
        </w:rPr>
        <w:t xml:space="preserve">OBJECTIVE:To develop a more sensitive method for identifying and quantifying both intact and degranulated eosinophils to diagnose EGID more accurately.</w:t>
      </w:r>
    </w:p>
    <w:p/>
    <w:p>
      <w:pPr>
        <w:pStyle w:val="Normal"/>
      </w:pPr>
      <w:r>
        <w:rPr>
          <w:color w:val="323232"/>
        </w:rPr>
        <w:t xml:space="preserve">METHODS:Endoscopically obtained paraffin-embedded intestinal biopsy specimens from dogs with GI signs were examined. The study groups were dogs with eosinophilic enteritis (EE), lymphoplasmacytic and mixed enteritis, and control dogs with GI signs but no histologic changes on tissue sections. Consecutive sections were immunolabeled with monoclonal antibodies (mAbs) against the eosinophil granule protein eosinophil peroxidase (Epx) and stained by H&amp;E, respectively. The number of eosinophils was manually quantified and classified as intact or degranulated.</w:t>
      </w:r>
    </w:p>
    <w:p/>
    <w:p>
      <w:pPr>
        <w:pStyle w:val="Normal"/>
      </w:pPr>
      <w:r>
        <w:rPr>
          <w:color w:val="323232"/>
        </w:rPr>
        <w:t xml:space="preserve">RESULTS:The number of intact eosinophils detected in Epx mAb-labeled duodenal sections was significantly higher compared with that in H&amp;E-stained sections, with a similar relationship noted in the colon and stomach. The Epx mAb allowed the unique assessment of eosinophil degranulation. The number of intact and degranulated eosinophils was significantly higher in duodenal lamina propria of the EE and mixed group compared to the control group.</w:t>
      </w:r>
    </w:p>
    <w:p/>
    <w:p>
      <w:pPr>
        <w:pStyle w:val="Normal"/>
      </w:pPr>
      <w:r>
        <w:rPr>
          <w:color w:val="323232"/>
        </w:rPr>
        <w:t xml:space="preserve">CONCLUSION:Immunohistochemical detection of Epx provides a more precise method to detect GI tract eosinophils compared to H&amp;E staining and could be used as an alternative and reliable diagnostic tool for assessment of biopsy tissues from dogs with EGID.</w:t>
      </w:r>
    </w:p>
    <w:p/>
    <w:p>
      <w:pPr>
        <w:pStyle w:val="Normal"/>
      </w:pPr>
      <w:r>
        <w:rPr>
          <w:color w:val="323232"/>
        </w:rPr>
        <w:t xml:space="preserve">J Vet Intern Med, 2018 vol. 32 (6) pp. 1911-1917.</w:t>
      </w:r>
    </w:p>
    <w:p>
      <w:r>
        <w:rPr>
          <w:rStyle w:val="Hyperlink"/>
        </w:rPr>
        <w:fldChar w:fldCharType="begin"/>
      </w:r>
      <w:r>
        <w:rPr>
          <w:rStyle w:val="Hyperlink"/>
        </w:rPr>
        <w:instrText xml:space="preserve"> HYPERLINK "http://eutils.ncbi.nlm.nih.gov/entrez/eutils/elink.fcgi?dbfrom=pubmed&amp;id=30294803&amp;retmode=ref&amp;cmd=prlinks"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http://eutils.ncbi.nlm.nih.gov/entrez/eutils/elink.fcgi?dbfrom=pubmed&amp;id=30294803&amp;retmode=ref&amp;cmd=prlinks</w:t>
      </w:r>
      <w:r>
        <w:rPr>
          <w:rStyle w:val="Hyperlink"/>
        </w:rPr>
        <w:fldChar w:fldCharType="end"/>
      </w:r>
    </w:p>
    <w:p>
      <w:pPr>
        <w:pStyle w:val="Normal"/>
      </w:pPr>
      <w:r>
        <w:rPr>
          <w:color w:val="323232"/>
        </w:rPr>
        <w:t xml:space="preserve">————————</w:t>
      </w:r>
    </w:p>
    <w:p>
      <w:pPr>
        <w:pStyle w:val="Heading4"/>
      </w:pPr>
      <w:r>
        <w:t xml:space="preserve">Comparison of intestinal expression of the apical sodium-dependent bile acid transporter between dogs with and without chronic inflammatory enteropathy.</w:t>
      </w:r>
    </w:p>
    <w:p/>
    <w:p>
      <w:pPr>
        <w:pStyle w:val="Normal"/>
      </w:pPr>
      <w:r>
        <w:rPr>
          <w:color w:val="323232"/>
        </w:rPr>
        <w:t xml:space="preserve">Paula R Giaretta, Raquel R Rech, Blake C Guard, Amanda B Blake, Anna K Blick, Jörg M Steiner, Jonathan A Lidbury, Audrey K Cook, Mohsen Hanifeh, Thomas Spillmann, Susanne Kilpinen, Pernilla Syrjä, and Jan S Suchodolski.</w:t>
      </w:r>
    </w:p>
    <w:p/>
    <w:p>
      <w:pPr>
        <w:pStyle w:val="Normal"/>
      </w:pPr>
      <w:r>
        <w:rPr>
          <w:color w:val="323232"/>
        </w:rPr>
        <w:t xml:space="preserve">BACKGROUND:Intestinal absorption of bile acids is mediated by the apical sodium-dependent bile acid transporter (ASBT). Fecal bile acid dysmetabolism has been reported in dogs with chronic inflammatory enteropathy (CIE).</w:t>
      </w:r>
    </w:p>
    <w:p/>
    <w:p>
      <w:pPr>
        <w:pStyle w:val="Normal"/>
      </w:pPr>
      <w:r>
        <w:rPr>
          <w:color w:val="323232"/>
        </w:rPr>
        <w:t xml:space="preserve">OBJECTIVE:Characterization of ASBT distribution along the intestinal tract of control dogs and comparison to dogs with CIE.</w:t>
      </w:r>
    </w:p>
    <w:p/>
    <w:p>
      <w:pPr>
        <w:pStyle w:val="Normal"/>
      </w:pPr>
      <w:r>
        <w:rPr>
          <w:color w:val="323232"/>
        </w:rPr>
        <w:t xml:space="preserve">ANIMALS:Twenty-four dogs with CIE and 11 control dogs.</w:t>
      </w:r>
    </w:p>
    <w:p/>
    <w:p>
      <w:pPr>
        <w:pStyle w:val="Normal"/>
      </w:pPr>
      <w:r>
        <w:rPr>
          <w:color w:val="323232"/>
        </w:rPr>
        <w:t xml:space="preserve">METHODS:The ASBT mRNA and protein expression were assessed using RNA in situ hybridization and immunohistochemistry, respectively. The concentrations of fecal bile acids were measured by gas chromatography-mass spectrometry. The fecal microbiota dysbiosis index was assessed with a quantitative polymerase chain reaction panel.</w:t>
      </w:r>
    </w:p>
    <w:p/>
    <w:p>
      <w:pPr>
        <w:pStyle w:val="Normal"/>
      </w:pPr>
      <w:r>
        <w:rPr>
          <w:color w:val="323232"/>
        </w:rPr>
        <w:t xml:space="preserve">RESULTS:In control dogs, ASBT mRNA expression was observed in enterocytes in all analyzed intestinal segments, with highest expression in the ileum. The ASBT protein expression was restricted to enterocytes in the ileum, cecum, and colon. Dogs with CIE had significantly decreased expression of ASBT protein in the ileum (P =</w:t>
      </w:r>
      <w:r>
        <w:rPr>
          <w:color w:val="323232"/>
        </w:rPr>
        <w:t xml:space="preserve"> </w:t>
      </w:r>
      <w:r>
        <w:rPr>
          <w:color w:val="323232"/>
        </w:rPr>
        <w:t xml:space="preserve">.001), which was negatively correlated with histopathological score (ρ</w:t>
      </w:r>
      <w:r>
        <w:rPr>
          <w:color w:val="323232"/>
        </w:rPr>
        <w:t xml:space="preserve"> </w:t>
      </w:r>
      <w:r>
        <w:rPr>
          <w:color w:val="323232"/>
        </w:rPr>
        <w:t xml:space="preserve">=</w:t>
      </w:r>
      <w:r>
        <w:rPr>
          <w:color w:val="323232"/>
        </w:rPr>
        <w:t xml:space="preserve"> </w:t>
      </w:r>
      <w:r>
        <w:rPr>
          <w:color w:val="323232"/>
        </w:rPr>
        <w:t xml:space="preserve">-0.40; Pcorr =</w:t>
      </w:r>
      <w:r>
        <w:rPr>
          <w:color w:val="323232"/>
        </w:rPr>
        <w:t xml:space="preserve"> </w:t>
      </w:r>
      <w:r>
        <w:rPr>
          <w:color w:val="323232"/>
        </w:rPr>
        <w:t xml:space="preserve">.049). Additionally, dogs with CIE had a significantly increased percentage of primary bile acids in feces compared to controls (P =</w:t>
      </w:r>
      <w:r>
        <w:rPr>
          <w:color w:val="323232"/>
        </w:rPr>
        <w:t xml:space="preserve"> </w:t>
      </w:r>
      <w:r>
        <w:rPr>
          <w:color w:val="323232"/>
        </w:rPr>
        <w:t xml:space="preserve">.04). The fecal dysbiosis index was significantly higher in dogs with CIE than in control dogs (P =</w:t>
      </w:r>
      <w:r>
        <w:rPr>
          <w:color w:val="323232"/>
        </w:rPr>
        <w:t xml:space="preserve"> </w:t>
      </w:r>
      <w:r>
        <w:rPr>
          <w:color w:val="323232"/>
        </w:rPr>
        <w:t xml:space="preserve">.01).</w:t>
      </w:r>
    </w:p>
    <w:p/>
    <w:p>
      <w:pPr>
        <w:pStyle w:val="Normal"/>
      </w:pPr>
      <w:r>
        <w:rPr>
          <w:color w:val="323232"/>
        </w:rPr>
        <w:t xml:space="preserve">CONCLUSIONS AND CLINICAL IMPORTANCE:These findings indicate that ileal protein expression of ASBT is downregulated in dogs with CIE. This change may be linked to the inflammatory process, intestinal dysbiosis, and fecal bile acid dysmetabolism observed in these patients.</w:t>
      </w:r>
    </w:p>
    <w:p/>
    <w:p>
      <w:pPr>
        <w:pStyle w:val="Normal"/>
      </w:pPr>
      <w:r>
        <w:rPr>
          <w:color w:val="323232"/>
        </w:rPr>
        <w:t xml:space="preserve">J Vet Intern Med, 2018 vol. 32 (6) pp. 1918-1926.</w:t>
      </w:r>
    </w:p>
    <w:p>
      <w:r>
        <w:rPr>
          <w:rStyle w:val="Hyperlink"/>
        </w:rPr>
        <w:fldChar w:fldCharType="begin"/>
      </w:r>
      <w:r>
        <w:rPr>
          <w:rStyle w:val="Hyperlink"/>
        </w:rPr>
        <w:instrText xml:space="preserve"> HYPERLINK "http://dx.doi.org/10.1111/jvim.15332" </w:instrText>
      </w:r>
      <w:r>
        <w:rPr>
          <w:rStyle w:val="Hyperlink"/>
        </w:rPr>
      </w:r>
      <w:r>
        <w:rPr>
          <w:rStyle w:val="Hyperlink"/>
        </w:rPr>
        <w:fldChar w:fldCharType="separate"/>
      </w:r>
      <w:pPr>
        <w:pStyle w:val="Normal"/>
      </w:pPr>
      <w:r>
        <w:rPr>
          <w:rStyle w:val="Hyperlink"/>
        </w:rPr>
        <w:t xml:space="preserve">http://dx.doi.org/10.1111/jvim.15332</w:t>
      </w:r>
      <w:r>
        <w:rPr>
          <w:rStyle w:val="Hyperlink"/>
        </w:rPr>
        <w:fldChar w:fldCharType="end"/>
      </w:r>
    </w:p>
    <w:p>
      <w:pPr>
        <w:pStyle w:val="Normal"/>
      </w:pPr>
      <w:r>
        <w:rPr>
          <w:color w:val="323232"/>
        </w:rPr>
        <w:t xml:space="preserve">————————</w:t>
      </w:r>
    </w:p>
    <w:p>
      <w:pPr>
        <w:pStyle w:val="Heading4"/>
      </w:pPr>
      <w:r>
        <w:t xml:space="preserve">Effects of 6% tetrastarch or lactated Ringer's solution on blood coagulation in hemorrhaged dogs.</w:t>
      </w:r>
    </w:p>
    <w:p/>
    <w:p>
      <w:pPr>
        <w:pStyle w:val="Normal"/>
      </w:pPr>
      <w:r>
        <w:rPr>
          <w:color w:val="323232"/>
        </w:rPr>
        <w:t xml:space="preserve">Miriely S Diniz, Francisco J Teixeira-Neto, Daniele S Gonçalves, Nathalia Celeita-Rodríguez, Carolina H Girotto, Mariana W Fonseca, and Regina K Takahira.</w:t>
      </w:r>
    </w:p>
    <w:p/>
    <w:p>
      <w:pPr>
        <w:pStyle w:val="Normal"/>
      </w:pPr>
      <w:r>
        <w:rPr>
          <w:color w:val="323232"/>
        </w:rPr>
        <w:t xml:space="preserve">BACKGROUND:Tetrastarch solution (TS) can impair coagulation but the clinical relevance of this impairment is unclear in veterinary medicine.</w:t>
      </w:r>
    </w:p>
    <w:p/>
    <w:p>
      <w:pPr>
        <w:pStyle w:val="Normal"/>
      </w:pPr>
      <w:r>
        <w:rPr>
          <w:color w:val="323232"/>
        </w:rPr>
        <w:t xml:space="preserve">OBJECTIVE:Compare the effects of volume replacement (VR) with lactated Ringer's solution (LRS) or 6% TS on coagulation in hemorrhaged dogs.</w:t>
      </w:r>
    </w:p>
    <w:p/>
    <w:p>
      <w:pPr>
        <w:pStyle w:val="Normal"/>
      </w:pPr>
      <w:r>
        <w:rPr>
          <w:color w:val="323232"/>
        </w:rPr>
        <w:t xml:space="preserve">ANIMALS:Six healthy English Pointer dogs (19.7-35.3 kg).</w:t>
      </w:r>
    </w:p>
    <w:p/>
    <w:p>
      <w:pPr>
        <w:pStyle w:val="Normal"/>
      </w:pPr>
      <w:r>
        <w:rPr>
          <w:color w:val="323232"/>
        </w:rPr>
        <w:t xml:space="preserve">METHODS:Prospective crossover study. Dogs were anesthetized without hemorrhage and VR (control). Two weeks later, dogs were hemorrhaged under anesthesia on 2 occasions (8-week washout intervals) and randomly received VR with LRS or TS at 3:1 or 1:1 of shed blood, respectively, aiming to decrease the hematocrit to 33%. Rotational thromboelastometry and other coagulation variables were determined before 0.5, 2, and 4 hours after VR during anesthesia and 24</w:t>
      </w:r>
      <w:r>
        <w:rPr>
          <w:color w:val="323232"/>
        </w:rPr>
        <w:t xml:space="preserve"> </w:t>
      </w:r>
      <w:r>
        <w:rPr>
          <w:color w:val="323232"/>
        </w:rPr>
        <w:t xml:space="preserve">hours after VR (conscious dogs).</w:t>
      </w:r>
    </w:p>
    <w:p/>
    <w:p>
      <w:pPr>
        <w:pStyle w:val="Normal"/>
      </w:pPr>
      <w:r>
        <w:rPr>
          <w:color w:val="323232"/>
        </w:rPr>
        <w:t xml:space="preserve">RESULTS:Buccal mucosal bleeding time did not differ between treatments after VR. Activated partial thromboplastin time increased from controls 4 hours after TS (P</w:t>
      </w:r>
      <w:r>
        <w:rPr>
          <w:color w:val="323232"/>
        </w:rPr>
        <w:t xml:space="preserve"> </w:t>
      </w:r>
      <w:r>
        <w:rPr>
          <w:color w:val="323232"/>
        </w:rPr>
        <w:t xml:space="preserve">=</w:t>
      </w:r>
      <w:r>
        <w:rPr>
          <w:color w:val="323232"/>
        </w:rPr>
        <w:t xml:space="preserve"> </w:t>
      </w:r>
      <w:r>
        <w:rPr>
          <w:color w:val="323232"/>
        </w:rPr>
        <w:t xml:space="preserve">0.045). Clot formation time (CFT) and alfa-angle increased from controls from 0.5 to 4 hours after LRS (CFT, P</w:t>
      </w:r>
      <w:r>
        <w:rPr>
          <w:color w:val="323232"/>
        </w:rPr>
        <w:t xml:space="preserve"> </w:t>
      </w:r>
      <w:r>
        <w:rPr>
          <w:color w:val="323232"/>
        </w:rPr>
        <w:t xml:space="preserve">≤</w:t>
      </w:r>
      <w:r>
        <w:rPr>
          <w:color w:val="323232"/>
        </w:rPr>
        <w:t xml:space="preserve"> </w:t>
      </w:r>
      <w:r>
        <w:rPr>
          <w:color w:val="323232"/>
        </w:rPr>
        <w:t xml:space="preserve">0.0001-0.02; alpha angle, P</w:t>
      </w:r>
      <w:r>
        <w:rPr>
          <w:color w:val="323232"/>
        </w:rPr>
        <w:t xml:space="preserve"> </w:t>
      </w:r>
      <w:r>
        <w:rPr>
          <w:color w:val="323232"/>
        </w:rPr>
        <w:t xml:space="preserve">=</w:t>
      </w:r>
      <w:r>
        <w:rPr>
          <w:color w:val="323232"/>
        </w:rPr>
        <w:t xml:space="preserve"> </w:t>
      </w:r>
      <w:r>
        <w:rPr>
          <w:color w:val="323232"/>
        </w:rPr>
        <w:t xml:space="preserve">0.0001-0.02) and from 0.5 to 2 hours after TS (CFT, P</w:t>
      </w:r>
      <w:r>
        <w:rPr>
          <w:color w:val="323232"/>
        </w:rPr>
        <w:t xml:space="preserve"> </w:t>
      </w:r>
      <w:r>
        <w:rPr>
          <w:color w:val="323232"/>
        </w:rPr>
        <w:t xml:space="preserve">=</w:t>
      </w:r>
      <w:r>
        <w:rPr>
          <w:color w:val="323232"/>
        </w:rPr>
        <w:t xml:space="preserve"> </w:t>
      </w:r>
      <w:r>
        <w:rPr>
          <w:color w:val="323232"/>
        </w:rPr>
        <w:t xml:space="preserve">0.0002-0.01; alpha angle, P</w:t>
      </w:r>
      <w:r>
        <w:rPr>
          <w:color w:val="323232"/>
        </w:rPr>
        <w:t xml:space="preserve"> </w:t>
      </w:r>
      <w:r>
        <w:rPr>
          <w:color w:val="323232"/>
        </w:rPr>
        <w:t xml:space="preserve">=</w:t>
      </w:r>
      <w:r>
        <w:rPr>
          <w:color w:val="323232"/>
        </w:rPr>
        <w:t xml:space="preserve"> </w:t>
      </w:r>
      <w:r>
        <w:rPr>
          <w:color w:val="323232"/>
        </w:rPr>
        <w:t xml:space="preserve">0.0005-0.02). The maximum clot firmness decreased from controls from 0.5 to 4 hours after LRS (P</w:t>
      </w:r>
      <w:r>
        <w:rPr>
          <w:color w:val="323232"/>
        </w:rPr>
        <w:t xml:space="preserve"> </w:t>
      </w:r>
      <w:r>
        <w:rPr>
          <w:color w:val="323232"/>
        </w:rPr>
        <w:t xml:space="preserve">≤</w:t>
      </w:r>
      <w:r>
        <w:rPr>
          <w:color w:val="323232"/>
        </w:rPr>
        <w:t xml:space="preserve"> </w:t>
      </w:r>
      <w:r>
        <w:rPr>
          <w:color w:val="323232"/>
        </w:rPr>
        <w:t xml:space="preserve">0.0001-0.01) and TS (P</w:t>
      </w:r>
      <w:r>
        <w:rPr>
          <w:color w:val="323232"/>
        </w:rPr>
        <w:t xml:space="preserve"> </w:t>
      </w:r>
      <w:r>
        <w:rPr>
          <w:color w:val="323232"/>
        </w:rPr>
        <w:t xml:space="preserve">≤</w:t>
      </w:r>
      <w:r>
        <w:rPr>
          <w:color w:val="323232"/>
        </w:rPr>
        <w:t xml:space="preserve"> </w:t>
      </w:r>
      <w:r>
        <w:rPr>
          <w:color w:val="323232"/>
        </w:rPr>
        <w:t xml:space="preserve">0.0001-0.04).</w:t>
      </w:r>
    </w:p>
    <w:p/>
    <w:p>
      <w:pPr>
        <w:pStyle w:val="Normal"/>
      </w:pPr>
      <w:r>
        <w:rPr>
          <w:color w:val="323232"/>
        </w:rPr>
        <w:t xml:space="preserve">CONCLUSIONS AND CLINICAL RELEVANCE:Tetrastarch does not impair primary hemostasis and induces transient dilutional coagulopathy that is similar to LRS because, when compared to a 3 times higher volume of LRS in hemorrhaged dogs, it does not cause greater interference on the viscoelastic properties of the coagulum.</w:t>
      </w:r>
    </w:p>
    <w:p/>
    <w:p>
      <w:pPr>
        <w:pStyle w:val="Normal"/>
      </w:pPr>
      <w:r>
        <w:rPr>
          <w:color w:val="323232"/>
        </w:rPr>
        <w:t xml:space="preserve">J Vet Intern Med, 2018 vol. 32 (6) pp. 1927-1933.</w:t>
      </w:r>
    </w:p>
    <w:p>
      <w:r>
        <w:rPr>
          <w:rStyle w:val="Hyperlink"/>
        </w:rPr>
        <w:fldChar w:fldCharType="begin"/>
      </w:r>
      <w:r>
        <w:rPr>
          <w:rStyle w:val="Hyperlink"/>
        </w:rPr>
        <w:instrText xml:space="preserve"> HYPERLINK "http://dx.doi.org/10.1111/jvim.15327" </w:instrText>
      </w:r>
      <w:r>
        <w:rPr>
          <w:rStyle w:val="Hyperlink"/>
        </w:rPr>
      </w:r>
      <w:r>
        <w:rPr>
          <w:rStyle w:val="Hyperlink"/>
        </w:rPr>
        <w:fldChar w:fldCharType="separate"/>
      </w:r>
      <w:pPr>
        <w:pStyle w:val="Normal"/>
      </w:pPr>
      <w:r>
        <w:rPr>
          <w:rStyle w:val="Hyperlink"/>
        </w:rPr>
        <w:t xml:space="preserve">http://dx.doi.org/10.1111/jvim.15327</w:t>
      </w:r>
      <w:r>
        <w:rPr>
          <w:rStyle w:val="Hyperlink"/>
        </w:rPr>
        <w:fldChar w:fldCharType="end"/>
      </w:r>
    </w:p>
    <w:p>
      <w:pPr>
        <w:pStyle w:val="Normal"/>
      </w:pPr>
      <w:r>
        <w:rPr>
          <w:color w:val="323232"/>
        </w:rPr>
        <w:t xml:space="preserve">————————</w:t>
      </w:r>
    </w:p>
    <w:p>
      <w:pPr>
        <w:pStyle w:val="Heading4"/>
      </w:pPr>
      <w:r>
        <w:t xml:space="preserve">Prevalence of naturally occurring non-AB blood type incompatibilities in cats and influence of crossmatch on transfusion outcomes.</w:t>
      </w:r>
    </w:p>
    <w:p/>
    <w:p>
      <w:pPr>
        <w:pStyle w:val="Normal"/>
      </w:pPr>
      <w:r>
        <w:rPr>
          <w:color w:val="323232"/>
        </w:rPr>
        <w:t xml:space="preserve">Megan E McClosky, Dorothy Cimino Brown, Nicole M Weinstein, Nicole Chappini, Michael T Taney, Kimberly Marryott, and Mary Beth Callan.</w:t>
      </w:r>
    </w:p>
    <w:p/>
    <w:p>
      <w:pPr>
        <w:pStyle w:val="Normal"/>
      </w:pPr>
      <w:r>
        <w:rPr>
          <w:color w:val="323232"/>
        </w:rPr>
        <w:t xml:space="preserve">BACKGROUND:Recognition of the feline red blood cell (RBC) antigen Mik and the presence of naturally occurring anti-Mik antibodies resulting in acute hemolytic transfusion reactions prompted the recommendation to perform a crossmatch before a cat's first RBC transfusion, but this guideline has not yet become a standard practice.</w:t>
      </w:r>
    </w:p>
    <w:p/>
    <w:p>
      <w:pPr>
        <w:pStyle w:val="Normal"/>
      </w:pPr>
      <w:r>
        <w:rPr>
          <w:color w:val="323232"/>
        </w:rPr>
        <w:t xml:space="preserve">OBJECTIVE:To determine the prevalence of naturally occurring non-AB alloantibodies detectable by tube crossmatch, and to compare transfusion outcomes in cats with and without a crossmatch performed.</w:t>
      </w:r>
    </w:p>
    <w:p/>
    <w:p>
      <w:pPr>
        <w:pStyle w:val="Normal"/>
      </w:pPr>
      <w:r>
        <w:rPr>
          <w:color w:val="323232"/>
        </w:rPr>
        <w:t xml:space="preserve">ANIMALS:Three hundred cats that received an RBC transfusion, with or without a major crossmatch performed.</w:t>
      </w:r>
    </w:p>
    <w:p/>
    <w:p>
      <w:pPr>
        <w:pStyle w:val="Normal"/>
      </w:pPr>
      <w:r>
        <w:rPr>
          <w:color w:val="323232"/>
        </w:rPr>
        <w:t xml:space="preserve">METHODS:Retrospective study.</w:t>
      </w:r>
    </w:p>
    <w:p/>
    <w:p>
      <w:pPr>
        <w:pStyle w:val="Normal"/>
      </w:pPr>
      <w:r>
        <w:rPr>
          <w:color w:val="323232"/>
        </w:rPr>
        <w:t xml:space="preserve">RESULTS:Major crossmatch incompatibilities were documented in 23 of 154 transfusion-naive cats (14.9%) and in 15 of 55 previously transfused cats (27%; P</w:t>
      </w:r>
      <w:r>
        <w:rPr>
          <w:color w:val="323232"/>
        </w:rPr>
        <w:t xml:space="preserve"> </w:t>
      </w:r>
      <w:r>
        <w:rPr>
          <w:color w:val="323232"/>
        </w:rPr>
        <w:t xml:space="preserve">=</w:t>
      </w:r>
      <w:r>
        <w:rPr>
          <w:color w:val="323232"/>
        </w:rPr>
        <w:t xml:space="preserve"> </w:t>
      </w:r>
      <w:r>
        <w:rPr>
          <w:color w:val="323232"/>
        </w:rPr>
        <w:t xml:space="preserve">0.042). Type-specific packed RBCs (pRBCs) were administered to 167 and 82 cats with and without a crossmatch, respectively. Median volume of pRBCs administered during the first transfusion was 5.3</w:t>
      </w:r>
      <w:r>
        <w:rPr>
          <w:color w:val="323232"/>
        </w:rPr>
        <w:t xml:space="preserve"> </w:t>
      </w:r>
      <w:r>
        <w:rPr>
          <w:color w:val="323232"/>
        </w:rPr>
        <w:t xml:space="preserve">mL</w:t>
      </w:r>
      <w:r>
        <w:rPr>
          <w:i w:val="1"/>
          <w:color w:val="323232"/>
        </w:rPr>
        <w:t xml:space="preserve">kg (range, 2.4-18</w:t>
      </w:r>
      <w:r>
        <w:rPr>
          <w:color w:val="323232"/>
        </w:rPr>
        <w:t xml:space="preserve"> </w:t>
      </w:r>
      <w:r>
        <w:rPr>
          <w:i w:val="1"/>
          <w:color w:val="323232"/>
        </w:rPr>
        <w:t xml:space="preserve">mL</w:t>
      </w:r>
      <w:r>
        <w:rPr>
          <w:color w:val="323232"/>
        </w:rPr>
        <w:t xml:space="preserve">kg). Median change in PCV scaled to dose of pRBCs was +0.8%</w:t>
      </w:r>
      <w:r>
        <w:rPr>
          <w:i w:val="1"/>
          <w:color w:val="323232"/>
        </w:rPr>
        <w:t xml:space="preserve">mL</w:t>
      </w:r>
      <w:r>
        <w:rPr>
          <w:color w:val="323232"/>
        </w:rPr>
        <w:t xml:space="preserve">kg; administration of crossmatch-compatible pRBCs was not associated with a greater increase in PCV. Febrile transfusion reactions occurred more often in cats that received non-crossmatched (10.1%) compared to crossmatched (2.5%) pRBCs (P</w:t>
      </w:r>
      <w:r>
        <w:rPr>
          <w:color w:val="323232"/>
        </w:rPr>
        <w:t xml:space="preserve"> </w:t>
      </w:r>
      <w:r>
        <w:rPr>
          <w:color w:val="323232"/>
        </w:rPr>
        <w:t xml:space="preserve">= 0.022). Seventy-six percent of cats that received pRBC transfusions survived to hospital discharge. A crossmatch was not associated with improved survival to discharge or at 30 or 60</w:t>
      </w:r>
      <w:r>
        <w:rPr>
          <w:color w:val="323232"/>
        </w:rPr>
        <w:t xml:space="preserve"> </w:t>
      </w:r>
      <w:r>
        <w:rPr>
          <w:color w:val="323232"/>
        </w:rPr>
        <w:t xml:space="preserve">days posttransfusion.</w:t>
      </w:r>
    </w:p>
    <w:p/>
    <w:p>
      <w:pPr>
        <w:pStyle w:val="Normal"/>
      </w:pPr>
      <w:r>
        <w:rPr>
          <w:color w:val="323232"/>
        </w:rPr>
        <w:t xml:space="preserve">CONCLUSIONS AND CLINICAL IMPORTANCE:The prevalence of naturally occurring non-AB incompatibilities is sufficiently high to justify the recommendation to perform a crossmatch before all (including the first) RBC transfusions in cats.</w:t>
      </w:r>
    </w:p>
    <w:p/>
    <w:p>
      <w:pPr>
        <w:pStyle w:val="Normal"/>
      </w:pPr>
      <w:r>
        <w:rPr>
          <w:color w:val="323232"/>
        </w:rPr>
        <w:t xml:space="preserve">J Vet Intern Med, 2018 vol. 32 (6) pp. 1934-1942.</w:t>
      </w:r>
    </w:p>
    <w:p>
      <w:r>
        <w:rPr>
          <w:rStyle w:val="Hyperlink"/>
        </w:rPr>
        <w:fldChar w:fldCharType="begin"/>
      </w:r>
      <w:r>
        <w:rPr>
          <w:rStyle w:val="Hyperlink"/>
        </w:rPr>
        <w:instrText xml:space="preserve"> HYPERLINK "http://eutils.ncbi.nlm.nih.gov/entrez/eutils/elink.fcgi?dbfrom=pubmed&amp;id=30307648&amp;retmode=ref&amp;cmd=prlinks"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http://eutils.ncbi.nlm.nih.gov/entrez/eutils/elink.fcgi?dbfrom=pubmed&amp;id=30307648&amp;retmode=ref&amp;cmd=prlinks</w:t>
      </w:r>
      <w:r>
        <w:rPr>
          <w:rStyle w:val="Hyperlink"/>
        </w:rPr>
        <w:fldChar w:fldCharType="end"/>
      </w:r>
    </w:p>
    <w:p>
      <w:pPr>
        <w:pStyle w:val="Normal"/>
      </w:pPr>
      <w:r>
        <w:rPr>
          <w:color w:val="323232"/>
        </w:rPr>
        <w:t xml:space="preserve">————————</w:t>
      </w:r>
    </w:p>
    <w:p>
      <w:pPr>
        <w:pStyle w:val="Heading4"/>
      </w:pPr>
      <w:r>
        <w:t xml:space="preserve">Development of an estimated glomerular filtration rate formula in cats.</w:t>
      </w:r>
    </w:p>
    <w:p/>
    <w:p>
      <w:pPr>
        <w:pStyle w:val="Normal"/>
      </w:pPr>
      <w:r>
        <w:rPr>
          <w:color w:val="323232"/>
        </w:rPr>
        <w:t xml:space="preserve">Natalie C Finch, Harriet M Syme, and Jonathan Elliott.</w:t>
      </w:r>
    </w:p>
    <w:p/>
    <w:p>
      <w:pPr>
        <w:pStyle w:val="Normal"/>
      </w:pPr>
      <w:r>
        <w:rPr>
          <w:color w:val="323232"/>
        </w:rPr>
        <w:t xml:space="preserve">BACKGROUND:Estimated glomerular filtration rate (eGFR) formulas are routinely used in human patients to provide a more accurate evaluation of GFR compared to serum creatinine concentration alone. Similar formulas do not exist for cats.</w:t>
      </w:r>
    </w:p>
    <w:p/>
    <w:p>
      <w:pPr>
        <w:pStyle w:val="Normal"/>
      </w:pPr>
      <w:r>
        <w:rPr>
          <w:color w:val="323232"/>
        </w:rPr>
        <w:t xml:space="preserve">OBJECTIVES:To validate a prediction formula for eGFR in cats based on adjusting serum creatinine concentration.</w:t>
      </w:r>
    </w:p>
    <w:p/>
    <w:p>
      <w:pPr>
        <w:pStyle w:val="Normal"/>
      </w:pPr>
      <w:r>
        <w:rPr>
          <w:color w:val="323232"/>
        </w:rPr>
        <w:t xml:space="preserve">ANIMALS:Client-owned cats with various levels of renal function.</w:t>
      </w:r>
    </w:p>
    <w:p/>
    <w:p>
      <w:pPr>
        <w:pStyle w:val="Normal"/>
      </w:pPr>
      <w:r>
        <w:rPr>
          <w:color w:val="323232"/>
        </w:rPr>
        <w:t xml:space="preserve">METHODS:The study was cross-sectional. Glomerular filtration rate was determined by iohexol clearance. Variables including signalment, biochemical markers, and noninvasive measurements considered to represent surrogate markers of muscle mass were evaluated with the reciprocal of serum creatinine concentration in a multivariable regression model. The derived eGFR formula was subsequently tested in another group of cats and agreement with GFR assessed.</w:t>
      </w:r>
    </w:p>
    <w:p/>
    <w:p>
      <w:pPr>
        <w:pStyle w:val="Normal"/>
      </w:pPr>
      <w:r>
        <w:rPr>
          <w:color w:val="323232"/>
        </w:rPr>
        <w:t xml:space="preserve">RESULTS:The formula was developed in 55 cats. Only a single morphometric measurement (pelvic circumference) along with the reciprocal of serum creatinine concentration (creatinine-1 ) independently predicted GFR in the final multivariate model. The derived eGFR formula was 0.408</w:t>
      </w:r>
      <w:r>
        <w:rPr>
          <w:color w:val="323232"/>
        </w:rPr>
        <w:t xml:space="preserve"> </w:t>
      </w:r>
      <w:r>
        <w:rPr>
          <w:color w:val="323232"/>
        </w:rPr>
        <w:t xml:space="preserve">+</w:t>
      </w:r>
      <w:r>
        <w:rPr>
          <w:color w:val="323232"/>
        </w:rPr>
        <w:t xml:space="preserve"> </w:t>
      </w:r>
      <w:r>
        <w:rPr>
          <w:color w:val="323232"/>
        </w:rPr>
        <w:t xml:space="preserve">(243.11</w:t>
      </w:r>
      <w:r>
        <w:rPr>
          <w:color w:val="323232"/>
        </w:rPr>
        <w:t xml:space="preserve"> </w:t>
      </w:r>
      <w:r>
        <w:rPr>
          <w:color w:val="323232"/>
        </w:rPr>
        <w:t xml:space="preserve">×</w:t>
      </w:r>
      <w:r>
        <w:rPr>
          <w:color w:val="323232"/>
        </w:rPr>
        <w:t xml:space="preserve"> </w:t>
      </w:r>
      <w:r>
        <w:rPr>
          <w:color w:val="323232"/>
        </w:rPr>
        <w:t xml:space="preserve">creatinine-1 [μmol/L]) - (0.014</w:t>
      </w:r>
      <w:r>
        <w:rPr>
          <w:color w:val="323232"/>
        </w:rPr>
        <w:t xml:space="preserve"> </w:t>
      </w:r>
      <w:r>
        <w:rPr>
          <w:color w:val="323232"/>
        </w:rPr>
        <w:t xml:space="preserve">×</w:t>
      </w:r>
      <w:r>
        <w:rPr>
          <w:color w:val="323232"/>
        </w:rPr>
        <w:t xml:space="preserve"> </w:t>
      </w:r>
      <w:r>
        <w:rPr>
          <w:color w:val="323232"/>
        </w:rPr>
        <w:t xml:space="preserve">pelvic circumference [cm]). When the formula was tested in another 25 cats it was not found to offer any advantage over creatinine-1 alone in its relationship with GFR (eGFR, R2 </w:t>
      </w:r>
      <w:r>
        <w:rPr>
          <w:color w:val="323232"/>
        </w:rPr>
        <w:t xml:space="preserve"> </w:t>
      </w:r>
      <w:r>
        <w:rPr>
          <w:color w:val="323232"/>
        </w:rPr>
        <w:t xml:space="preserve">=</w:t>
      </w:r>
      <w:r>
        <w:rPr>
          <w:color w:val="323232"/>
        </w:rPr>
        <w:t xml:space="preserve"> </w:t>
      </w:r>
      <w:r>
        <w:rPr>
          <w:color w:val="323232"/>
        </w:rPr>
        <w:t xml:space="preserve">0.44, P</w:t>
      </w:r>
      <w:r>
        <w:rPr>
          <w:color w:val="323232"/>
        </w:rPr>
        <w:t xml:space="preserve"> </w:t>
      </w:r>
      <w:r>
        <w:rPr>
          <w:color w:val="323232"/>
        </w:rPr>
        <w:t xml:space="preserve">&lt;</w:t>
      </w:r>
      <w:r>
        <w:rPr>
          <w:color w:val="323232"/>
        </w:rPr>
        <w:t xml:space="preserve"> </w:t>
      </w:r>
      <w:r>
        <w:rPr>
          <w:color w:val="323232"/>
        </w:rPr>
        <w:t xml:space="preserve">.001 vs reciprocal of creatinine, R2 </w:t>
      </w:r>
      <w:r>
        <w:rPr>
          <w:color w:val="323232"/>
        </w:rPr>
        <w:t xml:space="preserve"> </w:t>
      </w:r>
      <w:r>
        <w:rPr>
          <w:color w:val="323232"/>
        </w:rPr>
        <w:t xml:space="preserve">=</w:t>
      </w:r>
      <w:r>
        <w:rPr>
          <w:color w:val="323232"/>
        </w:rPr>
        <w:t xml:space="preserve"> </w:t>
      </w:r>
      <w:r>
        <w:rPr>
          <w:color w:val="323232"/>
        </w:rPr>
        <w:t xml:space="preserve">0.45, P</w:t>
      </w:r>
      <w:r>
        <w:rPr>
          <w:color w:val="323232"/>
        </w:rPr>
        <w:t xml:space="preserve"> </w:t>
      </w:r>
      <w:r>
        <w:rPr>
          <w:color w:val="323232"/>
        </w:rPr>
        <w:t xml:space="preserve">&lt;</w:t>
      </w:r>
      <w:r>
        <w:rPr>
          <w:color w:val="323232"/>
        </w:rPr>
        <w:t xml:space="preserve"> </w:t>
      </w:r>
      <w:r>
        <w:rPr>
          <w:color w:val="323232"/>
        </w:rPr>
        <w:t xml:space="preserve">.001). Furthermore, agreement between eGFR and GFR was poor.</w:t>
      </w:r>
    </w:p>
    <w:p/>
    <w:p>
      <w:pPr>
        <w:pStyle w:val="Normal"/>
      </w:pPr>
      <w:r>
        <w:rPr>
          <w:color w:val="323232"/>
        </w:rPr>
        <w:t xml:space="preserve">CONCLUSIONS AND CLINICAL IMPORTANCE:An eGFR formula for cats that adjusted serum creatinine concentration for a marker of muscle mass was developed. The formula did not provide a reliable estimate of GFR, and therefore, its routine use cannot be recommended.</w:t>
      </w:r>
    </w:p>
    <w:p/>
    <w:p>
      <w:pPr>
        <w:pStyle w:val="Normal"/>
      </w:pPr>
      <w:r>
        <w:rPr>
          <w:color w:val="323232"/>
        </w:rPr>
        <w:t xml:space="preserve">J Vet Intern Med, 2018 vol. 32 (6) pp. 1970-1976.</w:t>
      </w:r>
    </w:p>
    <w:p>
      <w:r>
        <w:rPr>
          <w:rStyle w:val="Hyperlink"/>
        </w:rPr>
        <w:fldChar w:fldCharType="begin"/>
      </w:r>
      <w:r>
        <w:rPr>
          <w:rStyle w:val="Hyperlink"/>
        </w:rPr>
        <w:instrText xml:space="preserve"> HYPERLINK "http://dx.doi.org/10.1111/jvim.15325" </w:instrText>
      </w:r>
      <w:r>
        <w:rPr>
          <w:rStyle w:val="Hyperlink"/>
        </w:rPr>
      </w:r>
      <w:r>
        <w:rPr>
          <w:rStyle w:val="Hyperlink"/>
        </w:rPr>
        <w:fldChar w:fldCharType="separate"/>
      </w:r>
      <w:pPr>
        <w:pStyle w:val="Normal"/>
      </w:pPr>
      <w:r>
        <w:rPr>
          <w:rStyle w:val="Hyperlink"/>
        </w:rPr>
        <w:t xml:space="preserve">http://dx.doi.org/10.1111/jvim.15325</w:t>
      </w:r>
      <w:r>
        <w:rPr>
          <w:rStyle w:val="Hyperlink"/>
        </w:rPr>
        <w:fldChar w:fldCharType="end"/>
      </w:r>
    </w:p>
    <w:p>
      <w:pPr>
        <w:pStyle w:val="Normal"/>
      </w:pPr>
      <w:r>
        <w:rPr>
          <w:color w:val="323232"/>
        </w:rPr>
        <w:t xml:space="preserve">————————</w:t>
      </w:r>
    </w:p>
    <w:p>
      <w:pPr>
        <w:pStyle w:val="Heading4"/>
      </w:pPr>
      <w:r>
        <w:t xml:space="preserve">Factors associated with survival in dogs with chronic kidney disease.</w:t>
      </w:r>
    </w:p>
    <w:p/>
    <w:p>
      <w:pPr>
        <w:pStyle w:val="Normal"/>
      </w:pPr>
      <w:r>
        <w:rPr>
          <w:color w:val="323232"/>
        </w:rPr>
        <w:t xml:space="preserve">Adam J Rudinsky, Laura M Harjes, Julie Byron, Dennis J Chew, Ramiro E Toribio, Catherine Langston, and Valerie J Parker.</w:t>
      </w:r>
    </w:p>
    <w:p/>
    <w:p>
      <w:pPr>
        <w:pStyle w:val="Normal"/>
      </w:pPr>
      <w:r>
        <w:rPr>
          <w:color w:val="323232"/>
        </w:rPr>
        <w:t xml:space="preserve">BACKGROUND:Chronic kidney disease (CKD) is associated with morbidity and mortality in dogs. Plasma fibroblast growth factor-23 (FGF-23) concentration is an independent predictor of CKD progression and survival in cats and people with CKD.</w:t>
      </w:r>
    </w:p>
    <w:p/>
    <w:p>
      <w:pPr>
        <w:pStyle w:val="Normal"/>
      </w:pPr>
      <w:r>
        <w:rPr>
          <w:color w:val="323232"/>
        </w:rPr>
        <w:t xml:space="preserve">OBJECTIVES:To investigate the relationship among FGF-23, parathyroid hormone (PTH), vitamin D metabolites, and other clinical variables with survival time in dogs with CKD.</w:t>
      </w:r>
    </w:p>
    <w:p/>
    <w:p>
      <w:pPr>
        <w:pStyle w:val="Normal"/>
      </w:pPr>
      <w:r>
        <w:rPr>
          <w:color w:val="323232"/>
        </w:rPr>
        <w:t xml:space="preserve">ANIMALS:Twenty-seven azotemic CKD dogs.</w:t>
      </w:r>
    </w:p>
    <w:p/>
    <w:p>
      <w:pPr>
        <w:pStyle w:val="Normal"/>
      </w:pPr>
      <w:r>
        <w:rPr>
          <w:color w:val="323232"/>
        </w:rPr>
        <w:t xml:space="preserve">METHODS:Dogs were recruited prospectively into the study and followed until death or study conclusion. Dogs were International Renal Interest Society (IRIS) staged into stage 2 (n = 9), stage 3 (n = 12), and stage 4 (n = 6) CKD. Survival times were calculated from the date of study inclusion. Univariable Cox regression was used to assess variables associated with survival including body condition score (BCS), muscle condition score, hematocrit, creatinine, CKD stage, serum phosphorus, urine protein:creatinine ratio (UPC), calcium phosphorus product (CaPP), PTH, 25-hydroxyvitamin D, 1,25--dihydroxyvitamin D, and FGF-23 concentrations.</w:t>
      </w:r>
    </w:p>
    <w:p/>
    <w:p>
      <w:pPr>
        <w:pStyle w:val="Normal"/>
      </w:pPr>
      <w:r>
        <w:rPr>
          <w:color w:val="323232"/>
        </w:rPr>
        <w:t xml:space="preserve">RESULTS:Significant hazard ratios (hazard ratio; 95% confidence interval; P value) were as follows: BCS</w:t>
      </w:r>
      <w:r>
        <w:rPr>
          <w:color w:val="323232"/>
        </w:rPr>
        <w:t xml:space="preserve"> </w:t>
      </w:r>
      <w:r>
        <w:rPr>
          <w:color w:val="323232"/>
        </w:rPr>
        <w:t xml:space="preserve">&lt; 4/9 (1.579; 1.003-2.282; P =</w:t>
      </w:r>
      <w:r>
        <w:rPr>
          <w:color w:val="323232"/>
        </w:rPr>
        <w:t xml:space="preserve"> </w:t>
      </w:r>
      <w:r>
        <w:rPr>
          <w:color w:val="323232"/>
        </w:rPr>
        <w:t xml:space="preserve">.05), muscle atrophy (2.334; 1.352-4.030; P =</w:t>
      </w:r>
      <w:r>
        <w:rPr>
          <w:color w:val="323232"/>
        </w:rPr>
        <w:t xml:space="preserve"> </w:t>
      </w:r>
      <w:r>
        <w:rPr>
          <w:color w:val="323232"/>
        </w:rPr>
        <w:t xml:space="preserve">.01), increased creatinine (1.383; 1.16-1.64; .01), hyperphosphatemia (3.20; 1.357-7.548; P =</w:t>
      </w:r>
      <w:r>
        <w:rPr>
          <w:color w:val="323232"/>
        </w:rPr>
        <w:t xml:space="preserve"> </w:t>
      </w:r>
      <w:r>
        <w:rPr>
          <w:color w:val="323232"/>
        </w:rPr>
        <w:t xml:space="preserve">.005), increased UPC (3.191; 1.310-7.773; P =</w:t>
      </w:r>
      <w:r>
        <w:rPr>
          <w:color w:val="323232"/>
        </w:rPr>
        <w:t xml:space="preserve"> </w:t>
      </w:r>
      <w:r>
        <w:rPr>
          <w:color w:val="323232"/>
        </w:rPr>
        <w:t xml:space="preserve">.01), increased CaPP (4.092; 1.771-9.454; P =</w:t>
      </w:r>
      <w:r>
        <w:rPr>
          <w:color w:val="323232"/>
        </w:rPr>
        <w:t xml:space="preserve"> </w:t>
      </w:r>
      <w:r>
        <w:rPr>
          <w:color w:val="323232"/>
        </w:rPr>
        <w:t xml:space="preserve">.003), and increased FGF-23 (2.609; 1.090-6.240; P =</w:t>
      </w:r>
      <w:r>
        <w:rPr>
          <w:color w:val="323232"/>
        </w:rPr>
        <w:t xml:space="preserve"> </w:t>
      </w:r>
      <w:r>
        <w:rPr>
          <w:color w:val="323232"/>
        </w:rPr>
        <w:t xml:space="preserve">.05). Survival times for each IRIS CKD stage were significantly different (P =</w:t>
      </w:r>
      <w:r>
        <w:rPr>
          <w:color w:val="323232"/>
        </w:rPr>
        <w:t xml:space="preserve"> </w:t>
      </w:r>
      <w:r>
        <w:rPr>
          <w:color w:val="323232"/>
        </w:rPr>
        <w:t xml:space="preserve">.01).</w:t>
      </w:r>
    </w:p>
    <w:p/>
    <w:p>
      <w:pPr>
        <w:pStyle w:val="Normal"/>
      </w:pPr>
      <w:r>
        <w:rPr>
          <w:color w:val="323232"/>
        </w:rPr>
        <w:t xml:space="preserve">CONCLUSIONS AND CLINICAL IMPORTANCE:Multiple variables, including FGF-23, were associated with duration of survival in CKD dogs. FGF-23 could be a prognostic marker in dogs with CKD.</w:t>
      </w:r>
    </w:p>
    <w:p/>
    <w:p>
      <w:pPr>
        <w:pStyle w:val="Normal"/>
      </w:pPr>
      <w:r>
        <w:rPr>
          <w:color w:val="323232"/>
        </w:rPr>
        <w:t xml:space="preserve">J Vet Intern Med, 2018 vol. 32 (6) pp. 1977-1982.</w:t>
      </w:r>
    </w:p>
    <w:p>
      <w:r>
        <w:rPr>
          <w:rStyle w:val="Hyperlink"/>
        </w:rPr>
        <w:fldChar w:fldCharType="begin"/>
      </w:r>
      <w:r>
        <w:rPr>
          <w:rStyle w:val="Hyperlink"/>
        </w:rPr>
        <w:instrText xml:space="preserve"> HYPERLINK "http://dx.doi.org/10.1111/jvim.15322" </w:instrText>
      </w:r>
      <w:r>
        <w:rPr>
          <w:rStyle w:val="Hyperlink"/>
        </w:rPr>
      </w:r>
      <w:r>
        <w:rPr>
          <w:rStyle w:val="Hyperlink"/>
        </w:rPr>
        <w:fldChar w:fldCharType="separate"/>
      </w:r>
      <w:pPr>
        <w:pStyle w:val="Normal"/>
      </w:pPr>
      <w:r>
        <w:rPr>
          <w:rStyle w:val="Hyperlink"/>
        </w:rPr>
        <w:t xml:space="preserve">http://dx.doi.org/10.1111/jvim.15322</w:t>
      </w:r>
      <w:r>
        <w:rPr>
          <w:rStyle w:val="Hyperlink"/>
        </w:rPr>
        <w:fldChar w:fldCharType="end"/>
      </w:r>
    </w:p>
    <w:p>
      <w:pPr>
        <w:pStyle w:val="Normal"/>
      </w:pPr>
      <w:r>
        <w:rPr>
          <w:color w:val="323232"/>
        </w:rPr>
        <w:t xml:space="preserve">————————</w:t>
      </w:r>
    </w:p>
    <w:p>
      <w:pPr>
        <w:pStyle w:val="Heading4"/>
      </w:pPr>
      <w:r>
        <w:t xml:space="preserve">Testing for Bartonella ssp. DNA in cerebrospinal fluid of dogs with inflammatory central nervous system disease.</w:t>
      </w:r>
    </w:p>
    <w:p/>
    <w:p>
      <w:pPr>
        <w:pStyle w:val="Normal"/>
      </w:pPr>
      <w:r>
        <w:rPr>
          <w:color w:val="323232"/>
        </w:rPr>
        <w:t xml:space="preserve">Lisa R Bartner, Stephanie McGrath, Adam Drury, Annie V Chen, Arianne Morris, Melissa Brewer, Meri Hall, and Michael R Lappin.</w:t>
      </w:r>
    </w:p>
    <w:p/>
    <w:p>
      <w:pPr>
        <w:pStyle w:val="Normal"/>
      </w:pPr>
      <w:r>
        <w:rPr>
          <w:color w:val="323232"/>
        </w:rPr>
        <w:t xml:space="preserve">BACKGROUND:Neurobartonellosis occurs in people. The role these organisms might play in inflammatory brain disease of dogs is unclear.</w:t>
      </w:r>
    </w:p>
    <w:p/>
    <w:p>
      <w:pPr>
        <w:pStyle w:val="Normal"/>
      </w:pPr>
      <w:r>
        <w:rPr>
          <w:color w:val="323232"/>
        </w:rPr>
        <w:t xml:space="preserve">HYPOTHESIS/OBJECTIVES:That Bartonella spp. DNA would be amplified more commonly from the CSF of dogs with inflammatory disease compared to those with noninflammatory disease. To report the prevalence of Bartonella spp. in dogs with and without inflammatory CNS disease with a commercially available PCR assay.</w:t>
      </w:r>
    </w:p>
    <w:p/>
    <w:p>
      <w:pPr>
        <w:pStyle w:val="Normal"/>
      </w:pPr>
      <w:r>
        <w:rPr>
          <w:color w:val="323232"/>
        </w:rPr>
        <w:t xml:space="preserve">ANIMALS:Cerebrospinal fluid (CSF) samples from 172 dogs from either Washington State University or Colorado State University.</w:t>
      </w:r>
    </w:p>
    <w:p/>
    <w:p>
      <w:pPr>
        <w:pStyle w:val="Normal"/>
      </w:pPr>
      <w:r>
        <w:rPr>
          <w:color w:val="323232"/>
        </w:rPr>
        <w:t xml:space="preserve">METHODS:Retrospective study. A search was performed of all medical records from dogs with CSF samples submitted to CSU's Center for Companion Animal Studies or Veterinary Diagnostic Laboratory from CSU or WSU for Toxoplasma or Neospora PCR assay. Increased CSF nucleated cell counts and an adequate volume of CSF must have been present to evaluate Bartonella spp. by PCR assay.</w:t>
      </w:r>
    </w:p>
    <w:p/>
    <w:p>
      <w:pPr>
        <w:pStyle w:val="Normal"/>
      </w:pPr>
      <w:r>
        <w:rPr>
          <w:color w:val="323232"/>
        </w:rPr>
        <w:t xml:space="preserve">RESULTS:Inflammatory CNS disease was confirmed in 65 dogs, none of which were positive for Bartonella spp. DNA. Of the other 107 dogs, one was positive for B. henselae DNA. The CSF from this dog contained red blood cells.</w:t>
      </w:r>
    </w:p>
    <w:p/>
    <w:p>
      <w:pPr>
        <w:pStyle w:val="Normal"/>
      </w:pPr>
      <w:r>
        <w:rPr>
          <w:color w:val="323232"/>
        </w:rPr>
        <w:t xml:space="preserve">CONCLUSIONS AND CLINICAL IMPORTANCE:Failure to amplify Bartonella spp. DNA from the CSF of the dogs with inflammatory disease suggests the organism was not involved in the etiology of the disease, the organism was in the CNS tissues but not in the CSF, or the organism was present but in quantities undetectable by this PCR assay. The combination of PCR and culture is the most sensitive way to detect Bartonella spp. and the use of that technique should be considered in future studies.</w:t>
      </w:r>
    </w:p>
    <w:p/>
    <w:p>
      <w:pPr>
        <w:pStyle w:val="Normal"/>
      </w:pPr>
      <w:r>
        <w:rPr>
          <w:color w:val="323232"/>
        </w:rPr>
        <w:t xml:space="preserve">J Vet Intern Med, 2018 vol. 32 (6) pp. 1983-1988.</w:t>
      </w:r>
    </w:p>
    <w:p>
      <w:r>
        <w:rPr>
          <w:rStyle w:val="Hyperlink"/>
        </w:rPr>
        <w:fldChar w:fldCharType="begin"/>
      </w:r>
      <w:r>
        <w:rPr>
          <w:rStyle w:val="Hyperlink"/>
        </w:rPr>
        <w:instrText xml:space="preserve"> HYPERLINK "http://dx.doi.org/10.1111/jvim.15288" </w:instrText>
      </w:r>
      <w:r>
        <w:rPr>
          <w:rStyle w:val="Hyperlink"/>
        </w:rPr>
      </w:r>
      <w:r>
        <w:rPr>
          <w:rStyle w:val="Hyperlink"/>
        </w:rPr>
        <w:fldChar w:fldCharType="separate"/>
      </w:r>
      <w:pPr>
        <w:pStyle w:val="Normal"/>
      </w:pPr>
      <w:r>
        <w:rPr>
          <w:rStyle w:val="Hyperlink"/>
        </w:rPr>
        <w:t xml:space="preserve">http://dx.doi.org/10.1111/jvim.15288</w:t>
      </w:r>
      <w:r>
        <w:rPr>
          <w:rStyle w:val="Hyperlink"/>
        </w:rPr>
        <w:fldChar w:fldCharType="end"/>
      </w:r>
    </w:p>
    <w:p>
      <w:pPr>
        <w:pStyle w:val="Normal"/>
      </w:pPr>
      <w:r>
        <w:rPr>
          <w:color w:val="323232"/>
        </w:rPr>
        <w:t xml:space="preserve">————————</w:t>
      </w:r>
    </w:p>
    <w:p>
      <w:pPr>
        <w:pStyle w:val="Heading4"/>
      </w:pPr>
      <w:r>
        <w:t xml:space="preserve">Comparison of surgical and conservative treatment of hydrated nucleus pulposus extrusion in dogs.</w:t>
      </w:r>
    </w:p>
    <w:p/>
    <w:p>
      <w:pPr>
        <w:pStyle w:val="Normal"/>
      </w:pPr>
      <w:r>
        <w:rPr>
          <w:color w:val="323232"/>
        </w:rPr>
        <w:t xml:space="preserve">Jasmin Nessler, Cornelia Flieshardt, Julia Tünsmeyer, Ricarda Dening, and Andrea Tipold.</w:t>
      </w:r>
    </w:p>
    <w:p/>
    <w:p>
      <w:pPr>
        <w:pStyle w:val="Normal"/>
      </w:pPr>
      <w:r>
        <w:rPr>
          <w:color w:val="323232"/>
        </w:rPr>
        <w:t xml:space="preserve">BACKGROUND:Whether compressive cervical myelopathy caused by hydrated nucleus pulposus extrusion (HNPE) in dogs should be treated surgically or conservatively has been debated. Only 1 recent study has contradicted the former predominant reports of surgical treatment for HNPE.</w:t>
      </w:r>
    </w:p>
    <w:p/>
    <w:p>
      <w:pPr>
        <w:pStyle w:val="Normal"/>
      </w:pPr>
      <w:r>
        <w:rPr>
          <w:color w:val="323232"/>
        </w:rPr>
        <w:t xml:space="preserve">HYPOTHESIS AND METHOD:Single center retrospective study to compare the outcome of client-owned dogs with HNPE after decompressive surgery or conservative treatment.</w:t>
      </w:r>
    </w:p>
    <w:p/>
    <w:p>
      <w:pPr>
        <w:pStyle w:val="Normal"/>
      </w:pPr>
      <w:r>
        <w:rPr>
          <w:color w:val="323232"/>
        </w:rPr>
        <w:t xml:space="preserve">ANIMALS:Thirty-six dogs diagnosed with HNPE confirmed by magnetic resonance imaging (MRI).</w:t>
      </w:r>
    </w:p>
    <w:p/>
    <w:p>
      <w:pPr>
        <w:pStyle w:val="Normal"/>
      </w:pPr>
      <w:r>
        <w:rPr>
          <w:color w:val="323232"/>
        </w:rPr>
        <w:t xml:space="preserve">RESULTS:Eighteen of 36 dogs underwent surgery whereas 18 dogs were managed conservatively including cage rest and physiotherapy. The most common affected intervertebral disc space was C4-5. In 3 dogs, HNPE was diagnosed at the level of T13-L1. Median time to regain ambulation was 6.6 days (range, 0-28</w:t>
      </w:r>
      <w:r>
        <w:rPr>
          <w:color w:val="323232"/>
        </w:rPr>
        <w:t xml:space="preserve"> </w:t>
      </w:r>
      <w:r>
        <w:rPr>
          <w:color w:val="323232"/>
        </w:rPr>
        <w:t xml:space="preserve">days) after surgery and 5.9 days (range, 0-15</w:t>
      </w:r>
      <w:r>
        <w:rPr>
          <w:color w:val="323232"/>
        </w:rPr>
        <w:t xml:space="preserve"> </w:t>
      </w:r>
      <w:r>
        <w:rPr>
          <w:color w:val="323232"/>
        </w:rPr>
        <w:t xml:space="preserve">days) with conservative management (P =</w:t>
      </w:r>
      <w:r>
        <w:rPr>
          <w:color w:val="323232"/>
        </w:rPr>
        <w:t xml:space="preserve"> </w:t>
      </w:r>
      <w:r>
        <w:rPr>
          <w:color w:val="323232"/>
        </w:rPr>
        <w:t xml:space="preserve">.37). Only the length of a potential intramedullary lesion in cervical HNPE detected by MRI had an influence on the prognosis to gain ambulatory status in a time period of ≤9 days (P =</w:t>
      </w:r>
      <w:r>
        <w:rPr>
          <w:color w:val="323232"/>
        </w:rPr>
        <w:t xml:space="preserve"> </w:t>
      </w:r>
      <w:r>
        <w:rPr>
          <w:color w:val="323232"/>
        </w:rPr>
        <w:t xml:space="preserve">.0035) and on short-term survival (P =</w:t>
      </w:r>
      <w:r>
        <w:rPr>
          <w:color w:val="323232"/>
        </w:rPr>
        <w:t xml:space="preserve"> </w:t>
      </w:r>
      <w:r>
        <w:rPr>
          <w:color w:val="323232"/>
        </w:rPr>
        <w:t xml:space="preserve">.0011).</w:t>
      </w:r>
    </w:p>
    <w:p/>
    <w:p>
      <w:pPr>
        <w:pStyle w:val="Normal"/>
      </w:pPr>
      <w:r>
        <w:rPr>
          <w:color w:val="323232"/>
        </w:rPr>
        <w:t xml:space="preserve">CONCLUSIONS AND CLINICAL IMPORTANCE:Conservative management of HNPE in the cervical as well as in the thoracolumbar region represents a reasonable alternative to surgery, showing similar favorable outcome.</w:t>
      </w:r>
    </w:p>
    <w:p/>
    <w:p>
      <w:pPr>
        <w:pStyle w:val="Normal"/>
      </w:pPr>
      <w:r>
        <w:rPr>
          <w:color w:val="323232"/>
        </w:rPr>
        <w:t xml:space="preserve">J Vet Intern Med, 2018 vol. 32 (6) pp. 1989-1995.</w:t>
      </w:r>
    </w:p>
    <w:p>
      <w:r>
        <w:rPr>
          <w:rStyle w:val="Hyperlink"/>
        </w:rPr>
        <w:fldChar w:fldCharType="begin"/>
      </w:r>
      <w:r>
        <w:rPr>
          <w:rStyle w:val="Hyperlink"/>
        </w:rPr>
        <w:instrText xml:space="preserve"> HYPERLINK "http://eutils.ncbi.nlm.nih.gov/entrez/eutils/elink.fcgi?dbfrom=pubmed&amp;id=30267615&amp;retmode=ref&amp;cmd=prlinks"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http://eutils.ncbi.nlm.nih.gov/entrez/eutils/elink.fcgi?dbfrom=pubmed&amp;id=30267615&amp;retmode=ref&amp;cmd=prlinks</w:t>
      </w:r>
      <w:r>
        <w:rPr>
          <w:rStyle w:val="Hyperlink"/>
        </w:rPr>
        <w:fldChar w:fldCharType="end"/>
      </w:r>
    </w:p>
    <w:p>
      <w:pPr>
        <w:pStyle w:val="Normal"/>
      </w:pPr>
      <w:r>
        <w:rPr>
          <w:color w:val="323232"/>
        </w:rPr>
        <w:t xml:space="preserve">————————</w:t>
      </w:r>
    </w:p>
    <w:p>
      <w:pPr>
        <w:pStyle w:val="Heading4"/>
      </w:pPr>
      <w:r>
        <w:t xml:space="preserve">The pharmacokinetics of gabapentin in cats.</w:t>
      </w:r>
    </w:p>
    <w:p/>
    <w:p>
      <w:pPr>
        <w:pStyle w:val="Normal"/>
      </w:pPr>
      <w:r>
        <w:rPr>
          <w:color w:val="323232"/>
        </w:rPr>
        <w:t xml:space="preserve">Derek Adrian, Mark G Papich, Ronald Baynes, Emma Stafford, and B Duncan X Lascelles.</w:t>
      </w:r>
    </w:p>
    <w:p/>
    <w:p>
      <w:pPr>
        <w:pStyle w:val="Normal"/>
      </w:pPr>
      <w:r>
        <w:rPr>
          <w:color w:val="323232"/>
        </w:rPr>
        <w:t xml:space="preserve">BACKGROUND:Gabapentin is the most commonly prescribed medication for the treatment of chronic musculoskeletal pain in cats. Despite this common and chronic usage, clinically relevant pharmacokinetic data is lacking.</w:t>
      </w:r>
    </w:p>
    <w:p/>
    <w:p>
      <w:pPr>
        <w:pStyle w:val="Normal"/>
      </w:pPr>
      <w:r>
        <w:rPr>
          <w:color w:val="323232"/>
        </w:rPr>
        <w:t xml:space="preserve">OBJECTIVES:To evaluate the pharmacokinetics of clinically relevant dosing regimens of gabapentin in cats.</w:t>
      </w:r>
    </w:p>
    <w:p/>
    <w:p>
      <w:pPr>
        <w:pStyle w:val="Normal"/>
      </w:pPr>
      <w:r>
        <w:rPr>
          <w:color w:val="323232"/>
        </w:rPr>
        <w:t xml:space="preserve">ANIMALS:Eight research-purpose mixed-breed cats.</w:t>
      </w:r>
    </w:p>
    <w:p/>
    <w:p>
      <w:pPr>
        <w:pStyle w:val="Normal"/>
      </w:pPr>
      <w:r>
        <w:rPr>
          <w:color w:val="323232"/>
        </w:rPr>
        <w:t xml:space="preserve">METHODS:Cats were enrolled in a serial order, non-randomized pharmacokinetic study. Gabapentin was administered as an IV bolus (5 mg</w:t>
      </w:r>
      <w:r>
        <w:rPr>
          <w:i w:val="1"/>
          <w:color w:val="323232"/>
        </w:rPr>
        <w:t xml:space="preserve">kg), orally (10 mg</w:t>
      </w:r>
      <w:r>
        <w:rPr>
          <w:color w:val="323232"/>
        </w:rPr>
        <w:t xml:space="preserve">kg) as a single dose or twice daily for 2 weeks, or as a transdermal gel (10 mg/kg) in serial order. Serial blood samples were collected up to 48 hours. Plasma concentrations were determined using Ultra Performance Liquid Chromatography-Mass Spectrometry. Compartmental analysis was used to generate gabapentin time-concentration models.</w:t>
      </w:r>
    </w:p>
    <w:p/>
    <w:p>
      <w:pPr>
        <w:pStyle w:val="Normal"/>
      </w:pPr>
      <w:r>
        <w:rPr>
          <w:color w:val="323232"/>
        </w:rPr>
        <w:t xml:space="preserve">RESULTS:After IV administration CL (median (range)) and terminal half-life were 160.67 mL</w:t>
      </w:r>
      <w:r>
        <w:rPr>
          <w:i w:val="1"/>
          <w:color w:val="323232"/>
        </w:rPr>
        <w:t xml:space="preserve">kg*hr (119.63-199.11) and 3.78 hours (3.12-4.47), respectively. The oral terminal half-life was 3.63 hours (2.96-4.77), and 3.72 hours (3.12-4.51) for single and repeated dosing. TMAX and CMAX , as predicted by the model were 1.05 hours (0.74-2.11), and 12.42 μg</w:t>
      </w:r>
      <w:r>
        <w:rPr>
          <w:color w:val="323232"/>
        </w:rPr>
        <w:t xml:space="preserve">mL (8.31-18.35) after single oral dosing, and 0.77 hours (0.58-1.64), and 14.78 μg/mL (9.70-18.41) after repeated oral dosing. Bioavailability after a single oral dose was 94.77% (82.46-122.83).</w:t>
      </w:r>
    </w:p>
    <w:p/>
    <w:p>
      <w:pPr>
        <w:pStyle w:val="Normal"/>
      </w:pPr>
      <w:r>
        <w:rPr>
          <w:color w:val="323232"/>
        </w:rPr>
        <w:t xml:space="preserve">IMPORTANCE:Repeated oral dosing of gabapentin did not alter the drug's pharmacokinetics, making dose adjustments unnecessary with long-term treatment. As prepared, the transdermal route is an inappropriate choice for drug administration. These relevant data are important for future studies evaluating potential efficacy of the medication for treating chronic pain states in cats.</w:t>
      </w:r>
    </w:p>
    <w:p/>
    <w:p>
      <w:pPr>
        <w:pStyle w:val="Normal"/>
      </w:pPr>
      <w:r>
        <w:rPr>
          <w:color w:val="323232"/>
        </w:rPr>
        <w:t xml:space="preserve">J Vet Intern Med, 2018 vol. 32 (6) pp. 1996-2002.</w:t>
      </w:r>
    </w:p>
    <w:p>
      <w:r>
        <w:rPr>
          <w:rStyle w:val="Hyperlink"/>
        </w:rPr>
        <w:fldChar w:fldCharType="begin"/>
      </w:r>
      <w:r>
        <w:rPr>
          <w:rStyle w:val="Hyperlink"/>
        </w:rPr>
        <w:instrText xml:space="preserve"> HYPERLINK "http://dx.doi.org/10.1111/jvim.15313" </w:instrText>
      </w:r>
      <w:r>
        <w:rPr>
          <w:rStyle w:val="Hyperlink"/>
        </w:rPr>
      </w:r>
      <w:r>
        <w:rPr>
          <w:rStyle w:val="Hyperlink"/>
        </w:rPr>
        <w:fldChar w:fldCharType="separate"/>
      </w:r>
      <w:pPr>
        <w:pStyle w:val="Normal"/>
      </w:pPr>
      <w:r>
        <w:rPr>
          <w:rStyle w:val="Hyperlink"/>
        </w:rPr>
        <w:t xml:space="preserve">http://dx.doi.org/10.1111/jvim.15313</w:t>
      </w:r>
      <w:r>
        <w:rPr>
          <w:rStyle w:val="Hyperlink"/>
        </w:rPr>
        <w:fldChar w:fldCharType="end"/>
      </w:r>
    </w:p>
    <w:p>
      <w:pPr>
        <w:pStyle w:val="Normal"/>
      </w:pPr>
      <w:r>
        <w:rPr>
          <w:color w:val="323232"/>
        </w:rPr>
        <w:t xml:space="preserve">————————</w:t>
      </w:r>
    </w:p>
    <w:p>
      <w:pPr>
        <w:pStyle w:val="Heading4"/>
      </w:pPr>
      <w:r>
        <w:t xml:space="preserve">Association between clinically probable REM sleep behavior disorder and tetanus in dogs.</w:t>
      </w:r>
    </w:p>
    <w:p/>
    <w:p>
      <w:pPr>
        <w:pStyle w:val="Normal"/>
      </w:pPr>
      <w:r>
        <w:rPr>
          <w:color w:val="323232"/>
        </w:rPr>
        <w:t xml:space="preserve">Anita Shea, Alex Hatch, Luisa De Risio, and Elsa Beltran.</w:t>
      </w:r>
    </w:p>
    <w:p/>
    <w:p>
      <w:pPr>
        <w:pStyle w:val="Normal"/>
      </w:pPr>
      <w:r>
        <w:rPr>
          <w:color w:val="323232"/>
        </w:rPr>
        <w:t xml:space="preserve">BACKGROUND:Abnormal sleep behavior has been reported in 5 dogs during recovery from tetanus.</w:t>
      </w:r>
    </w:p>
    <w:p/>
    <w:p>
      <w:pPr>
        <w:pStyle w:val="Normal"/>
      </w:pPr>
      <w:r>
        <w:rPr>
          <w:color w:val="323232"/>
        </w:rPr>
        <w:t xml:space="preserve">HYPOTHESIS:REM sleep behavior disorder (RBD) is a more common consequence of tetanus than previously reported in veterinary literature and easily confused for epileptic seizures.</w:t>
      </w:r>
    </w:p>
    <w:p/>
    <w:p>
      <w:pPr>
        <w:pStyle w:val="Normal"/>
      </w:pPr>
      <w:r>
        <w:rPr>
          <w:color w:val="323232"/>
        </w:rPr>
        <w:t xml:space="preserve">ANIMALS:Sixty-one client-owned dogs diagnosed with tetanus at 2 UK referral centers.</w:t>
      </w:r>
    </w:p>
    <w:p/>
    <w:p>
      <w:pPr>
        <w:pStyle w:val="Normal"/>
      </w:pPr>
      <w:r>
        <w:rPr>
          <w:color w:val="323232"/>
        </w:rPr>
        <w:t xml:space="preserve">METHODS:A retrospective review of medical records was combined with a questionnaire sent to owners of surviving dogs, to identify cases that developed clinically probable RBD and determine its clinical progression and effect on quality of life of affected dogs and their owners. Descriptive statistical evaluation was performed.</w:t>
      </w:r>
    </w:p>
    <w:p/>
    <w:p>
      <w:pPr>
        <w:pStyle w:val="Normal"/>
      </w:pPr>
      <w:r>
        <w:rPr>
          <w:color w:val="323232"/>
        </w:rPr>
        <w:t xml:space="preserve">RESULTS:Eleven dogs (18%) died or were euthanized before discharge. At least 46% surviving dogs developed abnormal "dream enactment" clinically consistent with RBD. Twitching, running, and vocalization were new sleep behaviors in 53, 80, and 60% of affected dogs. Clinically probable RBD was described as violent or "nightmare"-like in 36% affected dogs, and like an epileptic seizure in 40% affected dogs. When trialed, antiepileptic medications were ineffective. Onset occurred before discharge in 25% cases. For dogs that developed clinically probable RBD postdischarge, onset occurred within 2 weeks of discharge in 77% dogs. Clinically probable RBD did not worsen in severity or frequency in any dog, and spontaneously resolved within 6 months in 43% cases.</w:t>
      </w:r>
    </w:p>
    <w:p/>
    <w:p>
      <w:pPr>
        <w:pStyle w:val="Normal"/>
      </w:pPr>
      <w:r>
        <w:rPr>
          <w:color w:val="323232"/>
        </w:rPr>
        <w:t xml:space="preserve">CONCLUSIONS AND CLINICAL IMPORTANCE:Clinically probable RBD is a common sequel to canine tetanus with many clinical similarities to epileptic seizure activity. Owners should be made aware of its potential development and care taken to avoid misdiagnosis with epileptic seizure activity.</w:t>
      </w:r>
    </w:p>
    <w:p/>
    <w:p>
      <w:pPr>
        <w:pStyle w:val="Normal"/>
      </w:pPr>
      <w:r>
        <w:rPr>
          <w:color w:val="323232"/>
        </w:rPr>
        <w:t xml:space="preserve">J Vet Intern Med, 2018 vol. 32 (6) pp. 2029-2036.</w:t>
      </w:r>
    </w:p>
    <w:p>
      <w:r>
        <w:rPr>
          <w:rStyle w:val="Hyperlink"/>
        </w:rPr>
        <w:fldChar w:fldCharType="begin"/>
      </w:r>
      <w:r>
        <w:rPr>
          <w:rStyle w:val="Hyperlink"/>
        </w:rPr>
        <w:instrText xml:space="preserve"> HYPERLINK "http://dx.doi.org/10.1111/jvim.15320" </w:instrText>
      </w:r>
      <w:r>
        <w:rPr>
          <w:rStyle w:val="Hyperlink"/>
        </w:rPr>
      </w:r>
      <w:r>
        <w:rPr>
          <w:rStyle w:val="Hyperlink"/>
        </w:rPr>
        <w:fldChar w:fldCharType="separate"/>
      </w:r>
      <w:pPr>
        <w:pStyle w:val="Normal"/>
      </w:pPr>
      <w:r>
        <w:rPr>
          <w:rStyle w:val="Hyperlink"/>
        </w:rPr>
        <w:t xml:space="preserve">http://dx.doi.org/10.1111/jvim.15320</w:t>
      </w:r>
      <w:r>
        <w:rPr>
          <w:rStyle w:val="Hyperlink"/>
        </w:rPr>
        <w:fldChar w:fldCharType="end"/>
      </w:r>
    </w:p>
    <w:p>
      <w:pPr>
        <w:pStyle w:val="Normal"/>
      </w:pPr>
      <w:r>
        <w:rPr>
          <w:color w:val="323232"/>
        </w:rPr>
        <w:t xml:space="preserve">————————</w:t>
      </w:r>
    </w:p>
    <w:p>
      <w:pPr>
        <w:pStyle w:val="Heading4"/>
      </w:pPr>
      <w:r>
        <w:t xml:space="preserve">Comparison of electroencephalographic findings with hippocampal magnetic resonance imaging volumetry in dogs with idiopathic epilepsy.</w:t>
      </w:r>
    </w:p>
    <w:p/>
    <w:p>
      <w:pPr>
        <w:pStyle w:val="Normal"/>
      </w:pPr>
      <w:r>
        <w:rPr>
          <w:color w:val="323232"/>
        </w:rPr>
        <w:t xml:space="preserve">Adriana Czerwik, Marta Płonek, Przemyslaw Podgórski, and Marcin Wrzosek.</w:t>
      </w:r>
    </w:p>
    <w:p/>
    <w:p>
      <w:pPr>
        <w:pStyle w:val="Normal"/>
      </w:pPr>
      <w:r>
        <w:rPr>
          <w:color w:val="323232"/>
        </w:rPr>
        <w:t xml:space="preserve">BACKGROUND:In humans, temporal lobe epilepsy (TLE), is a type of focal epilepsy occurring mainly in the mesial TLE (mTLE), commonly associated with hippocampal sclerosis (HS).</w:t>
      </w:r>
    </w:p>
    <w:p/>
    <w:p>
      <w:pPr>
        <w:pStyle w:val="Normal"/>
      </w:pPr>
      <w:r>
        <w:rPr>
          <w:color w:val="323232"/>
        </w:rPr>
        <w:t xml:space="preserve">OBJECTIVES:According to recent studies, TLE might also occur in dogs and could be associated with hippocampal atrophy (HA)/HS. To date, hippocampal lesions have not been correlated with electroencephalographic (EEG) findings in epileptic dogs.</w:t>
      </w:r>
    </w:p>
    <w:p/>
    <w:p>
      <w:pPr>
        <w:pStyle w:val="Normal"/>
      </w:pPr>
      <w:r>
        <w:rPr>
          <w:color w:val="323232"/>
        </w:rPr>
        <w:t xml:space="preserve">ANIMALS:An EEG examination, brain magnetic resonance imaging, and volumetric assessment of the hippocampus were performed in 16 nonepileptic and 41 epileptic dogs.</w:t>
      </w:r>
    </w:p>
    <w:p/>
    <w:p>
      <w:pPr>
        <w:pStyle w:val="Normal"/>
      </w:pPr>
      <w:r>
        <w:rPr>
          <w:color w:val="323232"/>
        </w:rPr>
        <w:t xml:space="preserve">METHODS:In this retrospective study, the presence and localization of EEG-defined epileptiform discharges (EDs) was blindly evaluated. The hippocampus was measured and assessed for unilateral atrophy. The results of EEG and volumetric findings were correlated to determine whether the functional epileptic focus is equivalent to structural changes.</w:t>
      </w:r>
    </w:p>
    <w:p/>
    <w:p>
      <w:pPr>
        <w:pStyle w:val="Normal"/>
      </w:pPr>
      <w:r>
        <w:rPr>
          <w:color w:val="323232"/>
        </w:rPr>
        <w:t xml:space="preserve">RESULTS:The median hippocampal asymmetric ratio (AR) in epileptic dogs was significantly greater than in the control group (P &lt;</w:t>
      </w:r>
      <w:r>
        <w:rPr>
          <w:color w:val="323232"/>
        </w:rPr>
        <w:t xml:space="preserve"> </w:t>
      </w:r>
      <w:r>
        <w:rPr>
          <w:color w:val="323232"/>
        </w:rPr>
        <w:t xml:space="preserve">.001). Using a cut-off threshold AR of &gt;6%, 56% (23/41) of the dogs were characterized with unilateral HA. Of those animals, 35% (8/23) had EDs in the temporal leads and 26% (6/23) had no EDs. In 88% (7/8) of dogs with EDs in the temporal leads that had unilateral HA, the EDs correlated with the side of the decreased hippocampal volume.</w:t>
      </w:r>
    </w:p>
    <w:p/>
    <w:p>
      <w:pPr>
        <w:pStyle w:val="Normal"/>
      </w:pPr>
      <w:r>
        <w:rPr>
          <w:color w:val="323232"/>
        </w:rPr>
        <w:t xml:space="preserve">CONCLUSIONS AND CLINICAL IMPORTANCE:The results indicate an association between the presence of EDs detectable on EEG and a decrease in the unilateral hippocampal volume in some cases of canine idiopathic epilepsy that might reflect features of human mTLE.</w:t>
      </w:r>
    </w:p>
    <w:p/>
    <w:p>
      <w:pPr>
        <w:pStyle w:val="Normal"/>
      </w:pPr>
      <w:r>
        <w:rPr>
          <w:color w:val="323232"/>
        </w:rPr>
        <w:t xml:space="preserve">J Vet Intern Med, 2018 vol. 32 (6) pp. 2037-2044.</w:t>
      </w:r>
    </w:p>
    <w:p>
      <w:r>
        <w:rPr>
          <w:rStyle w:val="Hyperlink"/>
        </w:rPr>
        <w:fldChar w:fldCharType="begin"/>
      </w:r>
      <w:r>
        <w:rPr>
          <w:rStyle w:val="Hyperlink"/>
        </w:rPr>
        <w:instrText xml:space="preserve"> HYPERLINK "http://dx.doi.org/10.1111/jvim.15323" </w:instrText>
      </w:r>
      <w:r>
        <w:rPr>
          <w:rStyle w:val="Hyperlink"/>
        </w:rPr>
      </w:r>
      <w:r>
        <w:rPr>
          <w:rStyle w:val="Hyperlink"/>
        </w:rPr>
        <w:fldChar w:fldCharType="separate"/>
      </w:r>
      <w:pPr>
        <w:pStyle w:val="Normal"/>
      </w:pPr>
      <w:r>
        <w:rPr>
          <w:rStyle w:val="Hyperlink"/>
        </w:rPr>
        <w:t xml:space="preserve">http://dx.doi.org/10.1111/jvim.15323</w:t>
      </w:r>
      <w:r>
        <w:rPr>
          <w:rStyle w:val="Hyperlink"/>
        </w:rPr>
        <w:fldChar w:fldCharType="end"/>
      </w:r>
    </w:p>
    <w:p>
      <w:pPr>
        <w:pStyle w:val="Normal"/>
      </w:pPr>
      <w:r>
        <w:rPr>
          <w:color w:val="323232"/>
        </w:rPr>
        <w:t xml:space="preserve">————————</w:t>
      </w:r>
    </w:p>
    <w:p>
      <w:pPr>
        <w:pStyle w:val="Heading4"/>
      </w:pPr>
      <w:r>
        <w:t xml:space="preserve">Demographic risk factors for lymphoma in Australian dogs: 6201 cases.</w:t>
      </w:r>
    </w:p>
    <w:p/>
    <w:p>
      <w:pPr>
        <w:pStyle w:val="Normal"/>
      </w:pPr>
      <w:r>
        <w:rPr>
          <w:color w:val="323232"/>
        </w:rPr>
        <w:t xml:space="preserve">Peter F Bennett, Rosanne Taylor, and Peter Williamson.</w:t>
      </w:r>
    </w:p>
    <w:p/>
    <w:p>
      <w:pPr>
        <w:pStyle w:val="Normal"/>
      </w:pPr>
      <w:r>
        <w:rPr>
          <w:color w:val="323232"/>
        </w:rPr>
        <w:t xml:space="preserve">BACKGROUND:Lymphoma is common in the dog. Studies of population risk factors primarily have been derived from referral institution or insurance data.</w:t>
      </w:r>
    </w:p>
    <w:p/>
    <w:p>
      <w:pPr>
        <w:pStyle w:val="Normal"/>
      </w:pPr>
      <w:r>
        <w:rPr>
          <w:color w:val="323232"/>
        </w:rPr>
        <w:t xml:space="preserve">OBJECTIVE:To identify and quantify the host risk factors for lymphoma in a broad population of Australian dogs.</w:t>
      </w:r>
    </w:p>
    <w:p/>
    <w:p>
      <w:pPr>
        <w:pStyle w:val="Normal"/>
      </w:pPr>
      <w:r>
        <w:rPr>
          <w:color w:val="323232"/>
        </w:rPr>
        <w:t xml:space="preserve">ANIMALS:Data on 6201 client owned dogs were retrieved from a commercial veterinary laboratory, a general practice group and 2 referral hospitals.</w:t>
      </w:r>
    </w:p>
    <w:p/>
    <w:p>
      <w:pPr>
        <w:pStyle w:val="Normal"/>
      </w:pPr>
      <w:r>
        <w:rPr>
          <w:color w:val="323232"/>
        </w:rPr>
        <w:t xml:space="preserve">METHODS:Data collected included breed, sex, and neuter status. A reference population of 640 105 dogs was generated from the referral hospitals and from council registration data. The risk of lymphoma by sex and neuter status was calculated as odds ratios (OR).</w:t>
      </w:r>
    </w:p>
    <w:p/>
    <w:p>
      <w:pPr>
        <w:pStyle w:val="Normal"/>
      </w:pPr>
      <w:r>
        <w:rPr>
          <w:color w:val="323232"/>
        </w:rPr>
        <w:t xml:space="preserve">RESULTS:The study identified 30 breeds at increased risk of lymphoma, 15 that have not been reported previously, and 26 breeds at decreased risk, 18 that have not been reported previously. Males were over represented compared to females with an OR of 1.1 (95% CI, 1.1-1.2; P &lt; .001). Neutered animals were at higher risk compared to intact animals with an OR of 3.2 (95% CI, 2.9-3.5) which was found in both males (OR, 2.8; 95% CI; 2.5-3.2) and females (OR, 4.4; 95% CI, 3.5-5.1).</w:t>
      </w:r>
    </w:p>
    <w:p/>
    <w:p>
      <w:pPr>
        <w:pStyle w:val="Normal"/>
      </w:pPr>
      <w:r>
        <w:rPr>
          <w:color w:val="323232"/>
        </w:rPr>
        <w:t xml:space="preserve">CONCLUSIONS AND CLINICAL IMPORTANCE:Breed, sex, and neuter status alter the risk of lymphoma in dogs. These 3 factors must be considered when evaluating lymphoma risk as potential markers of underlying differences in disease etiology. Comparison of breeds at increased and decreased risk could be advantageous when evaluating specific etiological factors.</w:t>
      </w:r>
    </w:p>
    <w:p/>
    <w:p>
      <w:pPr>
        <w:pStyle w:val="Normal"/>
      </w:pPr>
      <w:r>
        <w:rPr>
          <w:color w:val="323232"/>
        </w:rPr>
        <w:t xml:space="preserve">J Vet Intern Med, 2018 vol. 32 (6) pp. 2054-2060.</w:t>
      </w:r>
    </w:p>
    <w:p>
      <w:r>
        <w:rPr>
          <w:rStyle w:val="Hyperlink"/>
        </w:rPr>
        <w:fldChar w:fldCharType="begin"/>
      </w:r>
      <w:r>
        <w:rPr>
          <w:rStyle w:val="Hyperlink"/>
        </w:rPr>
        <w:instrText xml:space="preserve"> HYPERLINK "http://dx.doi.org/10.1111/jvim.15306" </w:instrText>
      </w:r>
      <w:r>
        <w:rPr>
          <w:rStyle w:val="Hyperlink"/>
        </w:rPr>
      </w:r>
      <w:r>
        <w:rPr>
          <w:rStyle w:val="Hyperlink"/>
        </w:rPr>
        <w:fldChar w:fldCharType="separate"/>
      </w:r>
      <w:pPr>
        <w:pStyle w:val="Normal"/>
      </w:pPr>
      <w:r>
        <w:rPr>
          <w:rStyle w:val="Hyperlink"/>
        </w:rPr>
        <w:t xml:space="preserve">http://dx.doi.org/10.1111/jvim.15306</w:t>
      </w:r>
      <w:r>
        <w:rPr>
          <w:rStyle w:val="Hyperlink"/>
        </w:rPr>
        <w:fldChar w:fldCharType="end"/>
      </w:r>
    </w:p>
    <w:p>
      <w:pPr>
        <w:pStyle w:val="Normal"/>
      </w:pPr>
      <w:r>
        <w:rPr>
          <w:color w:val="323232"/>
        </w:rPr>
        <w:t xml:space="preserve">————————</w:t>
      </w:r>
    </w:p>
    <w:p>
      <w:pPr>
        <w:pStyle w:val="Heading4"/>
      </w:pPr>
      <w:r>
        <w:t xml:space="preserve">Minimally invasive treatment of sino-nasal aspergillosis in dogs.</w:t>
      </w:r>
    </w:p>
    <w:p/>
    <w:p>
      <w:pPr>
        <w:pStyle w:val="Normal"/>
      </w:pPr>
      <w:r>
        <w:rPr>
          <w:color w:val="323232"/>
        </w:rPr>
        <w:t xml:space="preserve">Clara Ballber, Tracy L Hill, and Nick X Bommer.</w:t>
      </w:r>
    </w:p>
    <w:p/>
    <w:p>
      <w:pPr>
        <w:pStyle w:val="Normal"/>
      </w:pPr>
      <w:r>
        <w:rPr>
          <w:color w:val="323232"/>
        </w:rPr>
        <w:t xml:space="preserve">BACKGROUND:Sino-nasal aspergillosis is a common nasal disease in dogs. Recommended treatment protocols typically involve trephination of the frontal sinuses or the use of an antifungal solution instilled into the frontal sinus under anesthesia, both of which have associated morbidity and complications.</w:t>
      </w:r>
    </w:p>
    <w:p/>
    <w:p>
      <w:pPr>
        <w:pStyle w:val="Normal"/>
      </w:pPr>
      <w:r>
        <w:rPr>
          <w:color w:val="323232"/>
        </w:rPr>
        <w:t xml:space="preserve">OBJECTIVES:To assess a minimally-invasive topical treatment protocol for sino-nasal aspergillosis in dogs.</w:t>
      </w:r>
    </w:p>
    <w:p/>
    <w:p>
      <w:pPr>
        <w:pStyle w:val="Normal"/>
      </w:pPr>
      <w:r>
        <w:rPr>
          <w:color w:val="323232"/>
        </w:rPr>
        <w:t xml:space="preserve">ANIMALS:Twelve client-owned dogs diagnosed with sino-nasal aspergillosis that completed recommended treatment.</w:t>
      </w:r>
    </w:p>
    <w:p/>
    <w:p>
      <w:pPr>
        <w:pStyle w:val="Normal"/>
      </w:pPr>
      <w:r>
        <w:rPr>
          <w:color w:val="323232"/>
        </w:rPr>
        <w:t xml:space="preserve">METHODS:Medical records were retrospectively reviewed to identify dogs with sino-nasal aspergillosis that received treatment. Fungal plaques were manually debrided and irrigated via frontal sinuscopy in 12 dogs that then were treated topically with 1% topical clotrimazole cream. Irrigation and topical medication application was achieved using a catheter placed retrograde directly into the frontal sinuses using the Seldinger technique over a guidewire, thereby avoiding the need for frontal sinus trephination. Invasion into the calvarium was recorded before treatment but was not considered a criterion for exclusion. Debridement and cream deposition was repeated every 2 weeks as needed until negative culture and histopathologic findings were obtained.</w:t>
      </w:r>
    </w:p>
    <w:p/>
    <w:p>
      <w:pPr>
        <w:pStyle w:val="Normal"/>
      </w:pPr>
      <w:r>
        <w:rPr>
          <w:color w:val="323232"/>
        </w:rPr>
        <w:t xml:space="preserve">RESULTS:All dogs were cured (negative results for Aspergillus on endoscopy, fungal culture, and histopathology) with a median of 2 treatments. Treatments were well tolerated, with minimal adverse effects reported. Three dogs had evidence of erosion into the calvarium on computed tomography imaging.</w:t>
      </w:r>
    </w:p>
    <w:p/>
    <w:p>
      <w:pPr>
        <w:pStyle w:val="Normal"/>
      </w:pPr>
      <w:r>
        <w:rPr>
          <w:color w:val="323232"/>
        </w:rPr>
        <w:t xml:space="preserve">CONCLUSIONS AND CLINICAL IMPORTANCE:This protocol appears to be an effective and well-tolerated minimally invasive treatment for sino-nasal aspergillosis, including in dogs with erosion into the calvarium. Only mild adverse effects were noted.</w:t>
      </w:r>
    </w:p>
    <w:p/>
    <w:p>
      <w:pPr>
        <w:pStyle w:val="Normal"/>
      </w:pPr>
      <w:r>
        <w:rPr>
          <w:color w:val="323232"/>
        </w:rPr>
        <w:t xml:space="preserve">J Vet Intern Med, 2018 vol. 32 (6) pp. 2069-2073.</w:t>
      </w:r>
    </w:p>
    <w:p>
      <w:r>
        <w:rPr>
          <w:rStyle w:val="Hyperlink"/>
        </w:rPr>
        <w:fldChar w:fldCharType="begin"/>
      </w:r>
      <w:r>
        <w:rPr>
          <w:rStyle w:val="Hyperlink"/>
        </w:rPr>
        <w:instrText xml:space="preserve"> HYPERLINK "http://dx.doi.org/10.1111/jvim.15311" </w:instrText>
      </w:r>
      <w:r>
        <w:rPr>
          <w:rStyle w:val="Hyperlink"/>
        </w:rPr>
      </w:r>
      <w:r>
        <w:rPr>
          <w:rStyle w:val="Hyperlink"/>
        </w:rPr>
        <w:fldChar w:fldCharType="separate"/>
      </w:r>
      <w:pPr>
        <w:pStyle w:val="Normal"/>
      </w:pPr>
      <w:r>
        <w:rPr>
          <w:rStyle w:val="Hyperlink"/>
        </w:rPr>
        <w:t xml:space="preserve">http://dx.doi.org/10.1111/jvim.15311</w:t>
      </w:r>
      <w:r>
        <w:rPr>
          <w:rStyle w:val="Hyperlink"/>
        </w:rPr>
        <w:fldChar w:fldCharType="end"/>
      </w:r>
    </w:p>
    <w:p>
      <w:pPr>
        <w:pStyle w:val="Normal"/>
      </w:pPr>
      <w:r>
        <w:rPr>
          <w:color w:val="323232"/>
        </w:rPr>
        <w:t xml:space="preserve">————————</w:t>
      </w:r>
    </w:p>
    <w:p>
      <w:pPr>
        <w:pStyle w:val="Heading4"/>
      </w:pPr>
      <w:r>
        <w:t xml:space="preserve">Reflux aspiration in lungs of dogs with respiratory disease and in healthy West Highland White Terriers.</w:t>
      </w:r>
    </w:p>
    <w:p/>
    <w:p>
      <w:pPr>
        <w:pStyle w:val="Normal"/>
      </w:pPr>
      <w:r>
        <w:rPr>
          <w:color w:val="323232"/>
        </w:rPr>
        <w:t xml:space="preserve">O L Merita Määttä, Henna P Laurila, Saila Holopainen, Liisa Lilja-Maula, Marika Melamies, Sanna J Viitanen, L R Johnson, Ninna Koho, Mikko Neuvonen, Mikko Niemi, and Minna M Rajamäki.</w:t>
      </w:r>
    </w:p>
    <w:p/>
    <w:p>
      <w:pPr>
        <w:pStyle w:val="Normal"/>
      </w:pPr>
      <w:r>
        <w:rPr>
          <w:color w:val="323232"/>
        </w:rPr>
        <w:t xml:space="preserve">BACKGROUND:Gastroesophageal reflux and microaspiration (MA) of gastric juice are associated with various human respiratory diseases but not in dogs.</w:t>
      </w:r>
    </w:p>
    <w:p/>
    <w:p>
      <w:pPr>
        <w:pStyle w:val="Normal"/>
      </w:pPr>
      <w:r>
        <w:rPr>
          <w:color w:val="323232"/>
        </w:rPr>
        <w:t xml:space="preserve">OBJECTIVE:To detect the presence of bile acids in bronchoalveolar lavage fluid (BALF) of dogs with various respiratory diseases.</w:t>
      </w:r>
    </w:p>
    <w:p/>
    <w:p>
      <w:pPr>
        <w:pStyle w:val="Normal"/>
      </w:pPr>
      <w:r>
        <w:rPr>
          <w:color w:val="323232"/>
        </w:rPr>
        <w:t xml:space="preserve">ANIMALS:Twenty-seven West Highland White Terriers (WHWTs) with canine idiopathic pulmonary fibrosis (CIPF), 11 dogs with bacterial pneumonia (BP), 13 with chronic bronchitis (CB), 9 with eosinophilic bronchopneumopathy (EBP), 19 with laryngeal dysfunction (LD), 8 Irish Wolfhounds (IWHs) with previous BPs, 13 healthy WHWTs, all privately owned dogs, and 6 healthy research colony Beagles METHODS: Prospective cross-sectional observational study with convenience sampling of dogs. Bile acids were measured by mass spectrometry in BALF samples. Total bile acid (TBA) concentration was calculated as a sum of 17 different bile acids.</w:t>
      </w:r>
    </w:p>
    <w:p/>
    <w:p>
      <w:pPr>
        <w:pStyle w:val="Normal"/>
      </w:pPr>
      <w:r>
        <w:rPr>
          <w:color w:val="323232"/>
        </w:rPr>
        <w:t xml:space="preserve">RESULTS:Concentrations of TBA were above the limit of quantification in 78% of CIPF, 45% of BP, 62% of CB, 44% of EBP, 68% of LD, and 13% of IWH dogs. In healthy dogs, bile acids were detected less commonly in Beagles (0/6) than in healthy WHWTs (10/13). Concentrations of TBA were significantly higher in CIPF (median 0.013</w:t>
      </w:r>
      <w:r>
        <w:rPr>
          <w:color w:val="323232"/>
        </w:rPr>
        <w:t xml:space="preserve"> </w:t>
      </w:r>
      <w:r>
        <w:rPr>
          <w:color w:val="323232"/>
        </w:rPr>
        <w:t xml:space="preserve">μM, range not quantifiable [n.q.]-0.14</w:t>
      </w:r>
      <w:r>
        <w:rPr>
          <w:color w:val="323232"/>
        </w:rPr>
        <w:t xml:space="preserve"> </w:t>
      </w:r>
      <w:r>
        <w:rPr>
          <w:color w:val="323232"/>
        </w:rPr>
        <w:t xml:space="preserve">μM, P</w:t>
      </w:r>
      <w:r>
        <w:rPr>
          <w:color w:val="323232"/>
        </w:rPr>
        <w:t xml:space="preserve"> </w:t>
      </w:r>
      <w:r>
        <w:rPr>
          <w:color w:val="323232"/>
        </w:rPr>
        <w:t xml:space="preserve">&lt;</w:t>
      </w:r>
      <w:r>
        <w:rPr>
          <w:color w:val="323232"/>
        </w:rPr>
        <w:t xml:space="preserve"> </w:t>
      </w:r>
      <w:r>
        <w:rPr>
          <w:color w:val="323232"/>
        </w:rPr>
        <w:t xml:space="preserve">.001), healthy WHWTs (0.0052</w:t>
      </w:r>
      <w:r>
        <w:rPr>
          <w:color w:val="323232"/>
        </w:rPr>
        <w:t xml:space="preserve"> </w:t>
      </w:r>
      <w:r>
        <w:rPr>
          <w:color w:val="323232"/>
        </w:rPr>
        <w:t xml:space="preserve">μM, n.q.-1.2 μM, P</w:t>
      </w:r>
      <w:r>
        <w:rPr>
          <w:color w:val="323232"/>
        </w:rPr>
        <w:t xml:space="preserve"> </w:t>
      </w:r>
      <w:r>
        <w:rPr>
          <w:color w:val="323232"/>
        </w:rPr>
        <w:t xml:space="preserve">=</w:t>
      </w:r>
      <w:r>
        <w:rPr>
          <w:color w:val="323232"/>
        </w:rPr>
        <w:t xml:space="preserve"> </w:t>
      </w:r>
      <w:r>
        <w:rPr>
          <w:color w:val="323232"/>
        </w:rPr>
        <w:t xml:space="preserve">.003), LD (0.010</w:t>
      </w:r>
      <w:r>
        <w:rPr>
          <w:color w:val="323232"/>
        </w:rPr>
        <w:t xml:space="preserve"> </w:t>
      </w:r>
      <w:r>
        <w:rPr>
          <w:color w:val="323232"/>
        </w:rPr>
        <w:t xml:space="preserve">μM, n.q.-2.3 μM, P</w:t>
      </w:r>
      <w:r>
        <w:rPr>
          <w:color w:val="323232"/>
        </w:rPr>
        <w:t xml:space="preserve"> </w:t>
      </w:r>
      <w:r>
        <w:rPr>
          <w:color w:val="323232"/>
        </w:rPr>
        <w:t xml:space="preserve">=</w:t>
      </w:r>
      <w:r>
        <w:rPr>
          <w:color w:val="323232"/>
        </w:rPr>
        <w:t xml:space="preserve"> </w:t>
      </w:r>
      <w:r>
        <w:rPr>
          <w:color w:val="323232"/>
        </w:rPr>
        <w:t xml:space="preserve">.015), and CB (0.0078</w:t>
      </w:r>
      <w:r>
        <w:rPr>
          <w:color w:val="323232"/>
        </w:rPr>
        <w:t xml:space="preserve"> </w:t>
      </w:r>
      <w:r>
        <w:rPr>
          <w:color w:val="323232"/>
        </w:rPr>
        <w:t xml:space="preserve">μM, n.q.-0.073</w:t>
      </w:r>
      <w:r>
        <w:rPr>
          <w:color w:val="323232"/>
        </w:rPr>
        <w:t xml:space="preserve"> </w:t>
      </w:r>
      <w:r>
        <w:rPr>
          <w:color w:val="323232"/>
        </w:rPr>
        <w:t xml:space="preserve">μM, P</w:t>
      </w:r>
      <w:r>
        <w:rPr>
          <w:color w:val="323232"/>
        </w:rPr>
        <w:t xml:space="preserve"> </w:t>
      </w:r>
      <w:r>
        <w:rPr>
          <w:color w:val="323232"/>
        </w:rPr>
        <w:t xml:space="preserve">=</w:t>
      </w:r>
      <w:r>
        <w:rPr>
          <w:color w:val="323232"/>
        </w:rPr>
        <w:t xml:space="preserve"> </w:t>
      </w:r>
      <w:r>
        <w:rPr>
          <w:color w:val="323232"/>
        </w:rPr>
        <w:t xml:space="preserve">.018) groups compared to Beagles (0 μM, n.q.).</w:t>
      </w:r>
    </w:p>
    <w:p/>
    <w:p>
      <w:pPr>
        <w:pStyle w:val="Normal"/>
      </w:pPr>
      <w:r>
        <w:rPr>
          <w:color w:val="323232"/>
        </w:rPr>
        <w:t xml:space="preserve">CONCLUSION AND CLINICAL IMPORTANCE:These results suggest that MA occurs in various respiratory diseases of dogs and also in healthy WHWTs.</w:t>
      </w:r>
    </w:p>
    <w:p/>
    <w:p>
      <w:pPr>
        <w:pStyle w:val="Normal"/>
      </w:pPr>
      <w:r>
        <w:rPr>
          <w:color w:val="323232"/>
        </w:rPr>
        <w:t xml:space="preserve">J Vet Intern Med, 2018 vol. 32 (6) pp. 2074-2081.</w:t>
      </w:r>
    </w:p>
    <w:p>
      <w:r>
        <w:rPr>
          <w:rStyle w:val="Hyperlink"/>
        </w:rPr>
        <w:fldChar w:fldCharType="begin"/>
      </w:r>
      <w:r>
        <w:rPr>
          <w:rStyle w:val="Hyperlink"/>
        </w:rPr>
        <w:instrText xml:space="preserve"> HYPERLINK "http://eutils.ncbi.nlm.nih.gov/entrez/eutils/elink.fcgi?dbfrom=pubmed&amp;id=30311983&amp;retmode=ref&amp;cmd=prlinks" </w:instrText>
      </w:r>
      <w:r>
        <w:rPr>
          <w:rStyle w:val="Hyperlink"/>
        </w:rPr>
      </w:r>
      <w:r>
        <w:rPr>
          <w:rStyle w:val="Hyperlink"/>
        </w:rPr>
        <w:fldChar w:fldCharType="separate"/>
      </w:r>
      <w:pPr>
        <w:pStyle w:val="Normal"/>
      </w:pPr>
      <w:r>
        <w:rPr>
          <w:rStyle w:val="Hyperlink"/>
        </w:rPr>
        <w:t xml:space="preserve">http://eutils.ncbi.nlm.nih.gov/entrez/eutils/elink.fcgi?dbfrom=pubmed&amp;id=30311983&amp;retmode=ref&amp;cmd=prlinks</w:t>
      </w:r>
      <w:r>
        <w:rPr>
          <w:rStyle w:val="Hyperlink"/>
        </w:rPr>
        <w:fldChar w:fldCharType="end"/>
      </w:r>
    </w:p>
    <w:p>
      <w:pPr>
        <w:pStyle w:val="Normal"/>
      </w:pPr>
      <w:r>
        <w:rPr>
          <w:color w:val="323232"/>
        </w:rPr>
        <w:t xml:space="preserve">————————</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mo="http://schemas.microsoft.com/office/mac/office/2008/main" xmlns:mv="urn:schemas-microsoft-com:vml" xmlns:w10="urn:schemas-microsoft-com:office:word" xmlns:w="http://schemas.openxmlformats.org/wordprocessingml/2006/main" xmlns:wne="http://schemas.microsoft.com/office/word/2006/wordml" xmlns:wp="http://schemas.openxmlformats.org/drawingml/2006/wordprocessingDrawing" xmlns:wp14="http://schemas.microsoft.com/office/word/2010/wordprocessingDrawing" xmlns:wpc="http://schemas.microsoft.com/office/word/2010/wordprocessingCanvas"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activeWritingStyle w:appName="MSWord" w:lang="en-US" w:vendorID="64" w:dllVersion="131078" w:nlCheck="1" w:checkStyle="0"/>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A55"/>
    <w:rsid w:val="00017BBC"/>
    <w:rsid w:val="000B0D42"/>
    <w:rsid w:val="00185B30"/>
    <w:rsid w:val="002B7A55"/>
    <w:rsid w:val="002D272D"/>
    <w:rsid w:val="0032417C"/>
    <w:rsid w:val="003A634A"/>
    <w:rsid w:val="003B458B"/>
    <w:rsid w:val="003F7B03"/>
    <w:rsid w:val="00403EF4"/>
    <w:rsid w:val="004A3A54"/>
    <w:rsid w:val="00573674"/>
    <w:rsid w:val="0057740A"/>
    <w:rsid w:val="00583CB3"/>
    <w:rsid w:val="00595F40"/>
    <w:rsid w:val="005F2A4D"/>
    <w:rsid w:val="006B37E3"/>
    <w:rsid w:val="006C3F6A"/>
    <w:rsid w:val="007C6E76"/>
    <w:rsid w:val="00813340"/>
    <w:rsid w:val="00837830"/>
    <w:rsid w:val="00933990"/>
    <w:rsid w:val="00B230FC"/>
    <w:rsid w:val="00B808CD"/>
    <w:rsid w:val="00BF5279"/>
    <w:rsid w:val="00F129A8"/>
    <w:rsid w:val="00F50F40"/>
    <w:rsid w:val="00FA1E7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99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it-IT"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3674"/>
    <w:pPr>
      <w:suppressAutoHyphens/>
    </w:pPr>
    <w:rPr>
      <w:rFonts w:ascii="Arial" w:eastAsia="Arial Unicode MS" w:hAnsi="Arial" w:cs="Cambria"/>
      <w:lang w:eastAsia="en-US"/>
    </w:rPr>
  </w:style>
  <w:style w:type="paragraph" w:styleId="Heading1">
    <w:name w:val="heading 1"/>
    <w:basedOn w:val="Header"/>
    <w:next w:val="Header"/>
    <w:link w:val="Heading1Char"/>
    <w:qFormat/>
    <w:rsid w:val="007C6E76"/>
    <w:pPr>
      <w:keepNext/>
      <w:keepLines/>
      <w:spacing w:before="240"/>
      <w:outlineLvl w:val="0"/>
    </w:pPr>
    <w:rPr>
      <w:rFonts w:eastAsiaTheme="majorEastAsia" w:cstheme="majorBidi"/>
      <w:color w:val="323232"/>
      <w:sz w:val="42"/>
      <w:szCs w:val="32"/>
    </w:rPr>
  </w:style>
  <w:style w:type="paragraph" w:styleId="Heading2">
    <w:name w:val="heading 2"/>
    <w:basedOn w:val="Header"/>
    <w:link w:val="Heading2Char"/>
    <w:qFormat/>
    <w:rsid w:val="007C6E76"/>
    <w:pPr>
      <w:keepNext/>
      <w:keepLines/>
      <w:spacing w:before="40"/>
      <w:outlineLvl w:val="1"/>
    </w:pPr>
    <w:rPr>
      <w:rFonts w:eastAsiaTheme="majorEastAsia" w:cstheme="majorBidi"/>
      <w:color w:val="323232"/>
      <w:sz w:val="36"/>
      <w:szCs w:val="26"/>
    </w:rPr>
  </w:style>
  <w:style w:type="paragraph" w:styleId="Heading3">
    <w:name w:val="heading 3"/>
    <w:basedOn w:val="Header"/>
    <w:link w:val="Heading3Char"/>
    <w:qFormat/>
    <w:rsid w:val="007C6E76"/>
    <w:pPr>
      <w:keepNext/>
      <w:keepLines/>
      <w:spacing w:before="40"/>
      <w:outlineLvl w:val="2"/>
    </w:pPr>
    <w:rPr>
      <w:rFonts w:eastAsiaTheme="majorEastAsia" w:cstheme="majorBidi"/>
      <w:color w:val="323232"/>
      <w:sz w:val="30"/>
    </w:rPr>
  </w:style>
  <w:style w:type="paragraph" w:styleId="Heading4">
    <w:name w:val="heading 4"/>
    <w:basedOn w:val="Header"/>
    <w:link w:val="Heading4Char"/>
    <w:rsid w:val="007C6E76"/>
    <w:pPr>
      <w:keepNext/>
      <w:keepLines/>
      <w:spacing w:before="40"/>
      <w:outlineLvl w:val="3"/>
    </w:pPr>
    <w:rPr>
      <w:rFonts w:eastAsiaTheme="majorEastAsia" w:cstheme="majorBidi"/>
      <w:iCs/>
      <w:color w:val="323232"/>
      <w:sz w:val="28"/>
    </w:rPr>
  </w:style>
  <w:style w:type="paragraph" w:styleId="Heading5">
    <w:name w:val="heading 5"/>
    <w:basedOn w:val="Header"/>
    <w:link w:val="Heading5Char"/>
    <w:rsid w:val="007C6E76"/>
    <w:pPr>
      <w:keepNext/>
      <w:keepLines/>
      <w:spacing w:before="40"/>
      <w:outlineLvl w:val="4"/>
    </w:pPr>
    <w:rPr>
      <w:rFonts w:eastAsiaTheme="majorEastAsia" w:cstheme="majorBidi"/>
      <w:color w:val="323232"/>
      <w:sz w:val="28"/>
    </w:rPr>
  </w:style>
  <w:style w:type="paragraph" w:styleId="Heading6">
    <w:name w:val="heading 6"/>
    <w:basedOn w:val="Header"/>
    <w:link w:val="Heading6Char"/>
    <w:rsid w:val="007C6E76"/>
    <w:pPr>
      <w:keepNext/>
      <w:keepLines/>
      <w:spacing w:before="40"/>
      <w:outlineLvl w:val="5"/>
    </w:pPr>
    <w:rPr>
      <w:rFonts w:eastAsiaTheme="majorEastAsia" w:cstheme="majorBidi"/>
      <w:color w:val="323232"/>
      <w:sz w:val="28"/>
    </w:rPr>
  </w:style>
  <w:style w:type="paragraph" w:styleId="Heading7">
    <w:name w:val="heading 7"/>
    <w:basedOn w:val="Normal"/>
    <w:next w:val="Normal"/>
    <w:link w:val="Heading7Char"/>
    <w:unhideWhenUsed/>
    <w:rsid w:val="007C6E76"/>
    <w:pPr>
      <w:keepNext/>
      <w:keepLines/>
      <w:spacing w:before="40"/>
      <w:outlineLvl w:val="6"/>
    </w:pPr>
    <w:rPr>
      <w:rFonts w:eastAsiaTheme="majorEastAsia" w:cstheme="majorBidi"/>
      <w:iCs/>
      <w:color w:val="323232"/>
    </w:rPr>
  </w:style>
  <w:style w:type="paragraph" w:styleId="Heading8">
    <w:name w:val="heading 8"/>
    <w:basedOn w:val="Header"/>
    <w:next w:val="Heading7"/>
    <w:link w:val="Heading8Char"/>
    <w:semiHidden/>
    <w:unhideWhenUsed/>
    <w:rsid w:val="007C6E76"/>
    <w:pPr>
      <w:keepNext/>
      <w:keepLines/>
      <w:spacing w:before="40"/>
      <w:outlineLvl w:val="7"/>
    </w:pPr>
    <w:rPr>
      <w:rFonts w:eastAsiaTheme="majorEastAsia" w:cstheme="majorBidi"/>
      <w:color w:val="32323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C6E76"/>
    <w:rPr>
      <w:rFonts w:ascii="Arial" w:eastAsiaTheme="majorEastAsia" w:hAnsi="Arial" w:cstheme="majorBidi"/>
      <w:color w:val="323232"/>
      <w:sz w:val="30"/>
      <w:lang w:eastAsia="en-US"/>
    </w:rPr>
  </w:style>
  <w:style w:type="paragraph" w:customStyle="1" w:styleId="CodeBlock">
    <w:name w:val="Code Block"/>
    <w:basedOn w:val="Normal"/>
    <w:qFormat/>
    <w:rsid w:val="00813340"/>
    <w:rPr>
      <w:rFonts w:eastAsia="Arial" w:cs="Arial"/>
      <w:color w:val="424242"/>
    </w:rPr>
  </w:style>
  <w:style w:type="character" w:customStyle="1" w:styleId="Heading4Char">
    <w:name w:val="Heading 4 Char"/>
    <w:basedOn w:val="DefaultParagraphFont"/>
    <w:link w:val="Heading4"/>
    <w:rsid w:val="007C6E76"/>
    <w:rPr>
      <w:rFonts w:ascii="Arial" w:eastAsiaTheme="majorEastAsia" w:hAnsi="Arial" w:cstheme="majorBidi"/>
      <w:iCs/>
      <w:color w:val="323232"/>
      <w:sz w:val="28"/>
      <w:lang w:eastAsia="en-US"/>
    </w:rPr>
  </w:style>
  <w:style w:type="paragraph" w:customStyle="1" w:styleId="Index">
    <w:name w:val="Index"/>
    <w:basedOn w:val="Normal"/>
    <w:rsid w:val="002B7A55"/>
    <w:pPr>
      <w:suppressLineNumbers/>
    </w:pPr>
  </w:style>
  <w:style w:type="paragraph" w:styleId="Header">
    <w:name w:val="header"/>
    <w:basedOn w:val="Normal"/>
    <w:link w:val="HeaderChar"/>
    <w:semiHidden/>
    <w:unhideWhenUsed/>
    <w:rsid w:val="00017BBC"/>
    <w:pPr>
      <w:tabs>
        <w:tab w:val="center" w:pos="4819"/>
        <w:tab w:val="right" w:pos="9638"/>
      </w:tabs>
    </w:pPr>
  </w:style>
  <w:style w:type="character" w:customStyle="1" w:styleId="HeaderChar">
    <w:name w:val="Header Char"/>
    <w:basedOn w:val="DefaultParagraphFont"/>
    <w:link w:val="Header"/>
    <w:semiHidden/>
    <w:rsid w:val="00017BBC"/>
    <w:rPr>
      <w:rFonts w:ascii="Cambria" w:eastAsia="Arial Unicode MS" w:hAnsi="Cambria" w:cs="Cambria"/>
      <w:lang w:eastAsia="en-US"/>
    </w:rPr>
  </w:style>
  <w:style w:type="character" w:customStyle="1" w:styleId="Heading5Char">
    <w:name w:val="Heading 5 Char"/>
    <w:basedOn w:val="DefaultParagraphFont"/>
    <w:link w:val="Heading5"/>
    <w:rsid w:val="007C6E76"/>
    <w:rPr>
      <w:rFonts w:ascii="Arial" w:eastAsiaTheme="majorEastAsia" w:hAnsi="Arial" w:cstheme="majorBidi"/>
      <w:color w:val="323232"/>
      <w:sz w:val="28"/>
      <w:lang w:eastAsia="en-US"/>
    </w:rPr>
  </w:style>
  <w:style w:type="character" w:customStyle="1" w:styleId="Heading2Char">
    <w:name w:val="Heading 2 Char"/>
    <w:basedOn w:val="DefaultParagraphFont"/>
    <w:link w:val="Heading2"/>
    <w:rsid w:val="007C6E76"/>
    <w:rPr>
      <w:rFonts w:ascii="Arial" w:eastAsiaTheme="majorEastAsia" w:hAnsi="Arial" w:cstheme="majorBidi"/>
      <w:color w:val="323232"/>
      <w:sz w:val="36"/>
      <w:szCs w:val="26"/>
      <w:lang w:eastAsia="en-US"/>
    </w:rPr>
  </w:style>
  <w:style w:type="character" w:customStyle="1" w:styleId="Heading1Char">
    <w:name w:val="Heading 1 Char"/>
    <w:basedOn w:val="DefaultParagraphFont"/>
    <w:link w:val="Heading1"/>
    <w:rsid w:val="007C6E76"/>
    <w:rPr>
      <w:rFonts w:ascii="Arial" w:eastAsiaTheme="majorEastAsia" w:hAnsi="Arial" w:cstheme="majorBidi"/>
      <w:color w:val="323232"/>
      <w:sz w:val="42"/>
      <w:szCs w:val="32"/>
      <w:lang w:eastAsia="en-US"/>
    </w:rPr>
  </w:style>
  <w:style w:type="character" w:customStyle="1" w:styleId="Heading6Char">
    <w:name w:val="Heading 6 Char"/>
    <w:basedOn w:val="DefaultParagraphFont"/>
    <w:link w:val="Heading6"/>
    <w:rsid w:val="007C6E76"/>
    <w:rPr>
      <w:rFonts w:ascii="Arial" w:eastAsiaTheme="majorEastAsia" w:hAnsi="Arial" w:cstheme="majorBidi"/>
      <w:color w:val="323232"/>
      <w:sz w:val="28"/>
      <w:lang w:eastAsia="en-US"/>
    </w:rPr>
  </w:style>
  <w:style w:type="character" w:customStyle="1" w:styleId="Heading7Char">
    <w:name w:val="Heading 7 Char"/>
    <w:basedOn w:val="DefaultParagraphFont"/>
    <w:link w:val="Heading7"/>
    <w:rsid w:val="007C6E76"/>
    <w:rPr>
      <w:rFonts w:ascii="Arial" w:eastAsiaTheme="majorEastAsia" w:hAnsi="Arial" w:cstheme="majorBidi"/>
      <w:iCs/>
      <w:color w:val="323232"/>
      <w:lang w:eastAsia="en-US"/>
    </w:rPr>
  </w:style>
  <w:style w:type="character" w:customStyle="1" w:styleId="Heading8Char">
    <w:name w:val="Heading 8 Char"/>
    <w:basedOn w:val="DefaultParagraphFont"/>
    <w:link w:val="Heading8"/>
    <w:semiHidden/>
    <w:rsid w:val="007C6E76"/>
    <w:rPr>
      <w:rFonts w:ascii="Arial" w:eastAsiaTheme="majorEastAsia" w:hAnsi="Arial" w:cstheme="majorBidi"/>
      <w:color w:val="323232"/>
      <w:sz w:val="21"/>
      <w:szCs w:val="21"/>
      <w:lang w:eastAsia="en-US"/>
    </w:rPr>
  </w:style>
  <w:style w:type="character" w:styleId="Hyperlink">
    <w:name w:val="Hyperlink"/>
    <w:basedOn w:val="DefaultParagraphFont"/>
    <w:qFormat/>
    <w:rsid w:val="0057740A"/>
    <w:rPr>
      <w:color w:val="0000FF" w:themeColor="hyperlink"/>
      <w:u w:val="single"/>
    </w:rPr>
  </w:style>
  <w:style w:type="paragraph" w:styleId="ListParagraph">
    <w:name w:val="List Paragraph"/>
    <w:basedOn w:val="Normal"/>
    <w:rsid w:val="00B808CD"/>
    <w:pPr>
      <w:ind w:left="720"/>
      <w:contextualSpacing/>
    </w:pPr>
  </w:style>
  <w:style w:type="paragraph" w:styleId="Quote">
    <w:name w:val="Quote"/>
    <w:basedOn w:val="Normal"/>
    <w:next w:val="Normal"/>
    <w:link w:val="QuoteChar"/>
    <w:rsid w:val="00595F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rsid w:val="00595F40"/>
    <w:rPr>
      <w:rFonts w:ascii="Arial" w:eastAsia="Arial Unicode MS" w:hAnsi="Arial" w:cs="Cambria"/>
      <w:i/>
      <w:iCs/>
      <w:color w:val="404040" w:themeColor="text1" w:themeTint="B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8</cp:revision>
  <dcterms:created xsi:type="dcterms:W3CDTF">2017-01-18T09:28:00Z</dcterms:created>
  <dcterms:modified xsi:type="dcterms:W3CDTF">2018-05-18T10:38:00Z</dcterms:modified>
</cp:coreProperties>
</file>