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Journal of Veterinary Internal Medicine 2017</w:t>
      </w:r>
    </w:p>
    <w:p>
      <w:pPr>
        <w:pStyle w:val="Heading2"/>
      </w:pPr>
      <w:r>
        <w:t xml:space="preserve">JVIM 2017; Vol 31; Issue 1-6</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Degenerative Valvular Disease in the Cavalier King Charles Spaniel: Results of the UK Breed Scheme 1991-2010.</w:t>
      </w:r>
    </w:p>
    <w:p/>
    <w:p>
      <w:pPr>
        <w:pStyle w:val="Normal"/>
      </w:pPr>
      <w:r>
        <w:rPr>
          <w:color w:val="323232"/>
        </w:rPr>
        <w:t xml:space="preserve">S Swift, A Baldin, and P Cripps.</w:t>
      </w:r>
    </w:p>
    <w:p/>
    <w:p>
      <w:pPr>
        <w:pStyle w:val="Normal"/>
      </w:pPr>
      <w:r>
        <w:rPr>
          <w:color w:val="323232"/>
        </w:rPr>
        <w:t xml:space="preserve">BACKGROUND:Cavalier King Charles spaniels (CKCSs) are predisposed to degenerative mitral valve disease (DMVD) and studies have indicated a genetic cause.</w:t>
      </w:r>
    </w:p>
    <w:p/>
    <w:p>
      <w:pPr>
        <w:pStyle w:val="Normal"/>
      </w:pPr>
      <w:r>
        <w:rPr>
          <w:color w:val="323232"/>
        </w:rPr>
        <w:t xml:space="preserve">ANIMALS:A total of 8,860 CKCSs were examined at shows or private clinics from 1991 to 2010.</w:t>
      </w:r>
    </w:p>
    <w:p/>
    <w:p>
      <w:pPr>
        <w:pStyle w:val="Normal"/>
      </w:pPr>
      <w:r>
        <w:rPr>
          <w:color w:val="323232"/>
        </w:rPr>
        <w:t xml:space="preserve">OBJECTIVES:To analyze the effects of a breed scheme for CKCS on the age at which a murmur consistent with DMVD was first detected.</w:t>
      </w:r>
    </w:p>
    <w:p/>
    <w:p>
      <w:pPr>
        <w:pStyle w:val="Normal"/>
      </w:pPr>
      <w:r>
        <w:rPr>
          <w:color w:val="323232"/>
        </w:rPr>
        <w:t xml:space="preserve">METHODS:The presence or absence of a murmur consistent with mitral regurgitation was noted and age a murmur was first detected recorded.</w:t>
      </w:r>
    </w:p>
    <w:p/>
    <w:p>
      <w:pPr>
        <w:pStyle w:val="Normal"/>
      </w:pPr>
      <w:r>
        <w:rPr>
          <w:color w:val="323232"/>
        </w:rPr>
        <w:t xml:space="preserve">RESULTS:A total of 16,887 examinations were performed on 8,860 dogs. The median age dogs developed a murmur were slightly younger in male than female dogs (7.8 versus 8.3 years, 95% confidence interval [CI] 7.4-8.1 versus 8.0-8.4, P &lt; .001) and cardiologists detected murmurs in younger dogs than did general practitioner (GP) veterinary surgeons (7.2 versus 8.6 years, 95% CI 7.0-7.4 versus 8.3-8.7 P &lt; .001). In bitches examined by GP vets during the study, there was a significantly increased age of detection of murmurs over time (8.6-9.2 years, 95% CI 8.3-9.1 and 8.5-10.9, P = .001) but not for male dogs examined by GP vets or dogs of either sex examined by cardiologists.</w:t>
      </w:r>
    </w:p>
    <w:p/>
    <w:p>
      <w:pPr>
        <w:pStyle w:val="Normal"/>
      </w:pPr>
      <w:r>
        <w:rPr>
          <w:color w:val="323232"/>
        </w:rPr>
        <w:t xml:space="preserve">CONCLUSIONS AND CLINICAL IMPORTANCE:This study suggests that the age incidence of murmurs associated with DMVD might be increased by application of breeding guidelines based on auscultation alone. This benefit was only seen in a subgroup and compliance of breeders with this voluntary scheme was poor.</w:t>
      </w:r>
    </w:p>
    <w:p/>
    <w:p>
      <w:pPr>
        <w:pStyle w:val="Normal"/>
      </w:pPr>
      <w:r>
        <w:rPr>
          <w:color w:val="323232"/>
        </w:rPr>
        <w:t xml:space="preserve">J Vet Intern Med, 2017 vol. 31 (1) pp. 9-14.</w:t>
      </w:r>
    </w:p>
    <w:p>
      <w:r>
        <w:rPr>
          <w:rStyle w:val="Hyperlink"/>
        </w:rPr>
        <w:fldChar w:fldCharType="begin"/>
      </w:r>
      <w:r>
        <w:rPr>
          <w:rStyle w:val="Hyperlink"/>
        </w:rPr>
        <w:instrText xml:space="preserve"> HYPERLINK "http://doi.wiley.com/10.1111/jvim.14619" </w:instrText>
      </w:r>
      <w:r>
        <w:rPr>
          <w:rStyle w:val="Hyperlink"/>
        </w:rPr>
      </w:r>
      <w:r>
        <w:rPr>
          <w:rStyle w:val="Hyperlink"/>
        </w:rPr>
        <w:fldChar w:fldCharType="separate"/>
      </w:r>
      <w:pPr>
        <w:pStyle w:val="Normal"/>
      </w:pPr>
      <w:r>
        <w:rPr>
          <w:rStyle w:val="Hyperlink"/>
        </w:rPr>
        <w:t xml:space="preserve">http://doi.wiley.com/10.1111/jvim.14619</w:t>
      </w:r>
      <w:r>
        <w:rPr>
          <w:rStyle w:val="Hyperlink"/>
        </w:rPr>
        <w:fldChar w:fldCharType="end"/>
      </w:r>
    </w:p>
    <w:p>
      <w:pPr>
        <w:pStyle w:val="Normal"/>
      </w:pPr>
      <w:r>
        <w:rPr>
          <w:color w:val="323232"/>
        </w:rPr>
        <w:t xml:space="preserve">————————</w:t>
      </w:r>
    </w:p>
    <w:p>
      <w:pPr>
        <w:pStyle w:val="Heading4"/>
      </w:pPr>
      <w:r>
        <w:t xml:space="preserve">Blood Pressure Measurements in 780 Apparently Healthy Cats.</w:t>
      </w:r>
    </w:p>
    <w:p/>
    <w:p>
      <w:pPr>
        <w:pStyle w:val="Normal"/>
      </w:pPr>
      <w:r>
        <w:rPr>
          <w:color w:val="323232"/>
        </w:rPr>
        <w:t xml:space="preserve">J R Payne, D C Brodbelt, and V Luis Fuentes.</w:t>
      </w:r>
    </w:p>
    <w:p/>
    <w:p>
      <w:pPr>
        <w:pStyle w:val="Normal"/>
      </w:pPr>
      <w:r>
        <w:rPr>
          <w:color w:val="323232"/>
        </w:rPr>
        <w:t xml:space="preserve">BACKGROUND:Mean systolic blood pressure in apparently healthy cats has been reported as approximately 125 mmHg using direct assessment, but there is greater variability in reported values using indirect assessment. Increasing age and the white-coat effect are associated with increased systolic blood pressure.</w:t>
      </w:r>
    </w:p>
    <w:p/>
    <w:p>
      <w:pPr>
        <w:pStyle w:val="Normal"/>
      </w:pPr>
      <w:r>
        <w:rPr>
          <w:color w:val="323232"/>
        </w:rPr>
        <w:t xml:space="preserve">HYPOTHESIS/OBJECTIVES:To report Doppler-derived blood pressure measurements from a large population of apparently healthy cats and to assess epidemiologic factors associated with recorded blood pressures.</w:t>
      </w:r>
    </w:p>
    <w:p/>
    <w:p>
      <w:pPr>
        <w:pStyle w:val="Normal"/>
      </w:pPr>
      <w:r>
        <w:rPr>
          <w:color w:val="323232"/>
        </w:rPr>
        <w:t xml:space="preserve">ANIMALS:A total of 780 cats in rehoming centers enrolled in a screening program for heart murmurs and cardiac disease.</w:t>
      </w:r>
    </w:p>
    <w:p/>
    <w:p>
      <w:pPr>
        <w:pStyle w:val="Normal"/>
      </w:pPr>
      <w:r>
        <w:rPr>
          <w:color w:val="323232"/>
        </w:rPr>
        <w:t xml:space="preserve">METHODS:Cats were considered healthy based on history and physical examination. Cats with known hypertension, hyperthyroidism, or clinical signs of systemic disease and pregnant or nursing queens were excluded. After an acclimatization period, systolic blood pressure was measured using the Doppler sphygmomanometry method following the recommendations of the ACVIM Consensus Statement. General linear model analysis was performed to identify factors associated with variation in systolic blood pressure.</w:t>
      </w:r>
    </w:p>
    <w:p/>
    <w:p>
      <w:pPr>
        <w:pStyle w:val="Normal"/>
      </w:pPr>
      <w:r>
        <w:rPr>
          <w:color w:val="323232"/>
        </w:rPr>
        <w:t xml:space="preserve">RESULTS:Median (interquartile range, IQR) systolic blood pressure for the group was 120.6 (110.4-132.4) mmHg. Factors significantly associated with higher systolic blood pressure in a general linear model were increased age, increased nervousness, male sex, neutering, or history of being a stray. The model explained 29.2% of the variation in systolic blood pressure.</w:t>
      </w:r>
    </w:p>
    <w:p/>
    <w:p>
      <w:pPr>
        <w:pStyle w:val="Normal"/>
      </w:pPr>
      <w:r>
        <w:rPr>
          <w:color w:val="323232"/>
        </w:rPr>
        <w:t xml:space="preserve">CONCLUSIONS AND CLINICAL IMPORTANCE:The age, demeanor, sex, neuter status and history of being a stray should be taken into account when assessing systolic blood pressure in apparently healthy cats.</w:t>
      </w:r>
    </w:p>
    <w:p/>
    <w:p>
      <w:pPr>
        <w:pStyle w:val="Normal"/>
      </w:pPr>
      <w:r>
        <w:rPr>
          <w:color w:val="323232"/>
        </w:rPr>
        <w:t xml:space="preserve">J Vet Intern Med, 2017 vol. 31 (1), 2 pp. 15-21.</w:t>
      </w:r>
    </w:p>
    <w:p>
      <w:r>
        <w:rPr>
          <w:rStyle w:val="Hyperlink"/>
        </w:rPr>
        <w:fldChar w:fldCharType="begin"/>
      </w:r>
      <w:r>
        <w:rPr>
          <w:rStyle w:val="Hyperlink"/>
        </w:rPr>
        <w:instrText xml:space="preserve"> HYPERLINK "http://doi.wiley.com/10.1111/jvim.14625" </w:instrText>
      </w:r>
      <w:r>
        <w:rPr>
          <w:rStyle w:val="Hyperlink"/>
        </w:rPr>
      </w:r>
      <w:r>
        <w:rPr>
          <w:rStyle w:val="Hyperlink"/>
        </w:rPr>
        <w:fldChar w:fldCharType="separate"/>
      </w:r>
      <w:pPr>
        <w:pStyle w:val="Normal"/>
      </w:pPr>
      <w:r>
        <w:rPr>
          <w:rStyle w:val="Hyperlink"/>
        </w:rPr>
        <w:t xml:space="preserve">http://doi.wiley.com/10.1111/jvim.14625</w:t>
      </w:r>
      <w:r>
        <w:rPr>
          <w:rStyle w:val="Hyperlink"/>
        </w:rPr>
        <w:fldChar w:fldCharType="end"/>
      </w:r>
    </w:p>
    <w:p>
      <w:pPr>
        <w:pStyle w:val="Normal"/>
      </w:pPr>
      <w:r>
        <w:rPr>
          <w:color w:val="323232"/>
        </w:rPr>
        <w:t xml:space="preserve">————————</w:t>
      </w:r>
    </w:p>
    <w:p>
      <w:pPr>
        <w:pStyle w:val="Heading4"/>
      </w:pPr>
      <w:r>
        <w:t xml:space="preserve">Comparison of Survival Times for Dogs with Pituitary-Dependent Hyperadrenocorticism in a Primary-Care Hospital: Treated with Trilostane versus Untreated.</w:t>
      </w:r>
    </w:p>
    <w:p/>
    <w:p>
      <w:pPr>
        <w:pStyle w:val="Normal"/>
      </w:pPr>
      <w:r>
        <w:rPr>
          <w:color w:val="323232"/>
        </w:rPr>
        <w:t xml:space="preserve">N Nagata, K Kojima, and M Yuki.</w:t>
      </w:r>
    </w:p>
    <w:p/>
    <w:p>
      <w:pPr>
        <w:pStyle w:val="Normal"/>
      </w:pPr>
      <w:r>
        <w:rPr>
          <w:color w:val="323232"/>
        </w:rPr>
        <w:t xml:space="preserve">BACKGROUND:Although pituitary-dependent hyperadrenocorticism (PDH) is one of the most common endocrinopathies in dogs, the effects of withholding treatment on survival time in dogs with PDH remain unclear.</w:t>
      </w:r>
    </w:p>
    <w:p/>
    <w:p>
      <w:pPr>
        <w:pStyle w:val="Normal"/>
      </w:pPr>
      <w:r>
        <w:rPr>
          <w:color w:val="323232"/>
        </w:rPr>
        <w:t xml:space="preserve">HYPOTHESIS/OBJECTIVES:The purpose of this study was to clarify the effects of treatment in dogs with PDH by comparing survival times between dogs treated with trilostane and untreated dogs.</w:t>
      </w:r>
    </w:p>
    <w:p/>
    <w:p>
      <w:pPr>
        <w:pStyle w:val="Normal"/>
      </w:pPr>
      <w:r>
        <w:rPr>
          <w:color w:val="323232"/>
        </w:rPr>
        <w:t xml:space="preserve">ANIMALS:Forty-three dogs diagnosed with PDH at a primary-care hospital in Japan between June 2009 and January 2014.</w:t>
      </w:r>
    </w:p>
    <w:p/>
    <w:p>
      <w:pPr>
        <w:pStyle w:val="Normal"/>
      </w:pPr>
      <w:r>
        <w:rPr>
          <w:color w:val="323232"/>
        </w:rPr>
        <w:t xml:space="preserve">METHODS:Retrospective cohort study. The medical records of dogs with PDH treated with trilostane (n = 17) or left untreated (n = 26) were reviewed retrospectively. Survival analysis at 2 years after diagnosis of PDH was performed.</w:t>
      </w:r>
    </w:p>
    <w:p/>
    <w:p>
      <w:pPr>
        <w:pStyle w:val="Normal"/>
      </w:pPr>
      <w:r>
        <w:rPr>
          <w:color w:val="323232"/>
        </w:rPr>
        <w:t xml:space="preserve">RESULTS:Median survival time for the trilostane group was not reached (95% confidence interval [CI], 443 days-not applicable) and was significantly longer than the 506 days (95% CI, 292-564 days; P = .016) for the untreated group. Multivariate Cox proportional hazards analysis (including age at diagnosis, basal cortisol concentration at diagnosis, and treatment group) only identified assignment to the untreated group (hazard ratio, 5.01; 95% CI, 1.63-15.44) as associated with increased mortality.</w:t>
      </w:r>
    </w:p>
    <w:p/>
    <w:p>
      <w:pPr>
        <w:pStyle w:val="Normal"/>
      </w:pPr>
      <w:r>
        <w:rPr>
          <w:color w:val="323232"/>
        </w:rPr>
        <w:t xml:space="preserve">CONCLUSIONS AND CLINICAL IMPORTANCE:The results of this retrospective cohort study suggest that withholding treatment for dogs with PDH might be associated with a higher risk of death. This represents the largest study to date to report survival times of untreated dogs with PDH.</w:t>
      </w:r>
    </w:p>
    <w:p/>
    <w:p>
      <w:pPr>
        <w:pStyle w:val="Normal"/>
      </w:pPr>
      <w:r>
        <w:rPr>
          <w:color w:val="323232"/>
        </w:rPr>
        <w:t xml:space="preserve">J Vet Intern Med, 2017 vol. 31 (1), 7 pp. 22-28.</w:t>
      </w:r>
    </w:p>
    <w:p>
      <w:r>
        <w:rPr>
          <w:rStyle w:val="Hyperlink"/>
        </w:rPr>
        <w:fldChar w:fldCharType="begin"/>
      </w:r>
      <w:r>
        <w:rPr>
          <w:rStyle w:val="Hyperlink"/>
        </w:rPr>
        <w:instrText xml:space="preserve"> HYPERLINK "http://doi.wiley.com/10.1111/jvim.14617" </w:instrText>
      </w:r>
      <w:r>
        <w:rPr>
          <w:rStyle w:val="Hyperlink"/>
        </w:rPr>
      </w:r>
      <w:r>
        <w:rPr>
          <w:rStyle w:val="Hyperlink"/>
        </w:rPr>
        <w:fldChar w:fldCharType="separate"/>
      </w:r>
      <w:pPr>
        <w:pStyle w:val="Normal"/>
      </w:pPr>
      <w:r>
        <w:rPr>
          <w:rStyle w:val="Hyperlink"/>
        </w:rPr>
        <w:t xml:space="preserve">http://doi.wiley.com/10.1111/jvim.14617</w:t>
      </w:r>
      <w:r>
        <w:rPr>
          <w:rStyle w:val="Hyperlink"/>
        </w:rPr>
        <w:fldChar w:fldCharType="end"/>
      </w:r>
    </w:p>
    <w:p>
      <w:pPr>
        <w:pStyle w:val="Normal"/>
      </w:pPr>
      <w:r>
        <w:rPr>
          <w:color w:val="323232"/>
        </w:rPr>
        <w:t xml:space="preserve">————————</w:t>
      </w:r>
    </w:p>
    <w:p>
      <w:pPr>
        <w:pStyle w:val="Heading4"/>
      </w:pPr>
      <w:r>
        <w:t xml:space="preserve">Environmental Risk Factors for Diabetes Mellitus in Cats.</w:t>
      </w:r>
    </w:p>
    <w:p/>
    <w:p>
      <w:pPr>
        <w:pStyle w:val="Normal"/>
      </w:pPr>
      <w:r>
        <w:rPr>
          <w:color w:val="323232"/>
        </w:rPr>
        <w:t xml:space="preserve">M Öhlund, A Egenvall, T Fall, H Hansson-Hamlin, H Röcklinsberg, and B S Holst.</w:t>
      </w:r>
    </w:p>
    <w:p/>
    <w:p>
      <w:pPr>
        <w:pStyle w:val="Normal"/>
      </w:pPr>
      <w:r>
        <w:rPr>
          <w:color w:val="323232"/>
        </w:rPr>
        <w:t xml:space="preserve">BACKGROUND:Diabetes in cats resembles type 2 diabetes in people. The etiology is not fully understood, but both genetic and environmental factors are believed to contribute.</w:t>
      </w:r>
    </w:p>
    <w:p/>
    <w:p>
      <w:pPr>
        <w:pStyle w:val="Normal"/>
      </w:pPr>
      <w:r>
        <w:rPr>
          <w:color w:val="323232"/>
        </w:rPr>
        <w:t xml:space="preserve">OBJECTIVES:To assess the associations of environmental risk factors with diabetes in cats.</w:t>
      </w:r>
    </w:p>
    <w:p/>
    <w:p>
      <w:pPr>
        <w:pStyle w:val="Normal"/>
      </w:pPr>
      <w:r>
        <w:rPr>
          <w:color w:val="323232"/>
        </w:rPr>
        <w:t xml:space="preserve">ANIMALS:Cats with a diagnosis of diabetes (n = 396) insured by a Swedish insurance company during years 2009-2013, and a control group (n = 1,670) matched on birth year.</w:t>
      </w:r>
    </w:p>
    <w:p/>
    <w:p>
      <w:pPr>
        <w:pStyle w:val="Normal"/>
      </w:pPr>
      <w:r>
        <w:rPr>
          <w:color w:val="323232"/>
        </w:rPr>
        <w:t xml:space="preserve">METHODS:A web-based questionnaire was used in a case-control study. An invitation to participate was sent to owners of 1,369 diabetic cats and 5,363 control cats. The survey contained questions related to the cat's breed, age, sex, neutering status, body condition, housing, access to the outdoors, activity level, diet, eating behavior, feeding routine, general health, stressful events, other pets in the household, medications, and vaccination status. Data were analyzed by multiple logistic regression.</w:t>
      </w:r>
    </w:p>
    <w:p/>
    <w:p>
      <w:pPr>
        <w:pStyle w:val="Normal"/>
      </w:pPr>
      <w:r>
        <w:rPr>
          <w:color w:val="323232"/>
        </w:rPr>
        <w:t xml:space="preserve">RESULTS:Response rate was 35% for the diabetic group and 32% for the control group. Indoor confinement, being a greedy eater, and being overweight were associated with an increased risk of diabetes. In cats assessed by owners as being normal weight, there was an association between eating predominantly dry food and an increased risk of diabetes (Odds ratio 3.8; 95% confidence intervals 1.3-11.2).</w:t>
      </w:r>
    </w:p>
    <w:p/>
    <w:p>
      <w:pPr>
        <w:pStyle w:val="Normal"/>
      </w:pPr>
      <w:r>
        <w:rPr>
          <w:color w:val="323232"/>
        </w:rPr>
        <w:t xml:space="preserve">CONCLUSIONS AND CLINICAL IMPORTANCE:Dry food is commonly fed to cats worldwide. The association found between dry food and an increased risk of diabetes in cats assessed as normal weight by owners warrants further attention.</w:t>
      </w:r>
    </w:p>
    <w:p/>
    <w:p>
      <w:pPr>
        <w:pStyle w:val="Normal"/>
      </w:pPr>
      <w:r>
        <w:rPr>
          <w:color w:val="323232"/>
        </w:rPr>
        <w:t xml:space="preserve">J Vet Intern Med, 2017 vol. 31 (1) pp. 29-35.</w:t>
      </w:r>
    </w:p>
    <w:p>
      <w:r>
        <w:rPr>
          <w:rStyle w:val="Hyperlink"/>
        </w:rPr>
        <w:fldChar w:fldCharType="begin"/>
      </w:r>
      <w:r>
        <w:rPr>
          <w:rStyle w:val="Hyperlink"/>
        </w:rPr>
        <w:instrText xml:space="preserve"> HYPERLINK "http://doi.wiley.com/10.1111/jvim.14618" </w:instrText>
      </w:r>
      <w:r>
        <w:rPr>
          <w:rStyle w:val="Hyperlink"/>
        </w:rPr>
      </w:r>
      <w:r>
        <w:rPr>
          <w:rStyle w:val="Hyperlink"/>
        </w:rPr>
        <w:fldChar w:fldCharType="separate"/>
      </w:r>
      <w:pPr>
        <w:pStyle w:val="Normal"/>
      </w:pPr>
      <w:r>
        <w:rPr>
          <w:rStyle w:val="Hyperlink"/>
        </w:rPr>
        <w:t xml:space="preserve">http://doi.wiley.com/10.1111/jvim.14618</w:t>
      </w:r>
      <w:r>
        <w:rPr>
          <w:rStyle w:val="Hyperlink"/>
        </w:rPr>
        <w:fldChar w:fldCharType="end"/>
      </w:r>
    </w:p>
    <w:p>
      <w:pPr>
        <w:pStyle w:val="Normal"/>
      </w:pPr>
      <w:r>
        <w:rPr>
          <w:color w:val="323232"/>
        </w:rPr>
        <w:t xml:space="preserve">————————</w:t>
      </w:r>
    </w:p>
    <w:p>
      <w:pPr>
        <w:pStyle w:val="Heading4"/>
      </w:pPr>
      <w:r>
        <w:t xml:space="preserve">Increased Leptin and Leptin Receptor Expression in Dogs With Gallbladder Mucocele.</w:t>
      </w:r>
    </w:p>
    <w:p/>
    <w:p>
      <w:pPr>
        <w:pStyle w:val="Normal"/>
      </w:pPr>
      <w:r>
        <w:rPr>
          <w:color w:val="323232"/>
        </w:rPr>
        <w:t xml:space="preserve">S Lee, O-K Kweon, and W H Kim.</w:t>
      </w:r>
    </w:p>
    <w:p/>
    <w:p>
      <w:pPr>
        <w:pStyle w:val="Normal"/>
      </w:pPr>
      <w:r>
        <w:rPr>
          <w:color w:val="323232"/>
        </w:rPr>
        <w:t xml:space="preserve">BACKGROUND:Leptin and its receptor play a role in several disease processes such as pancreatitis and heart disease. However, their association with gallbladder mucocele (GBM) in dogs has not been reported.</w:t>
      </w:r>
    </w:p>
    <w:p/>
    <w:p>
      <w:pPr>
        <w:pStyle w:val="Normal"/>
      </w:pPr>
      <w:r>
        <w:rPr>
          <w:color w:val="323232"/>
        </w:rPr>
        <w:t xml:space="preserve">HYPOTHESIS/OBJECTIVES:To evaluate differences in the expression of leptin and leptin receptor between dogs with and without GBM.</w:t>
      </w:r>
    </w:p>
    <w:p/>
    <w:p>
      <w:pPr>
        <w:pStyle w:val="Normal"/>
      </w:pPr>
      <w:r>
        <w:rPr>
          <w:color w:val="323232"/>
        </w:rPr>
        <w:t xml:space="preserve">ANIMALS:Twenty-five healthy dogs, including 9 laboratory beagle dogs, and 22 client-owned dogs with GBM.</w:t>
      </w:r>
    </w:p>
    <w:p/>
    <w:p>
      <w:pPr>
        <w:pStyle w:val="Normal"/>
      </w:pPr>
      <w:r>
        <w:rPr>
          <w:color w:val="323232"/>
        </w:rPr>
        <w:t xml:space="preserve">METHODS:Serum leptin concentration was determined in blood samples of all dogs by ELISA. Canine gallbladder samples were collected from 9 dogs with GBM that underwent surgery for therapeutic purposes and from 9 healthy laboratory beagle dogs as a normal control group. Samples were analyzed for leptin and leptin receptor mRNA by real-time polymerase chain reaction.</w:t>
      </w:r>
    </w:p>
    <w:p/>
    <w:p>
      <w:pPr>
        <w:pStyle w:val="Normal"/>
      </w:pPr>
      <w:r>
        <w:rPr>
          <w:color w:val="323232"/>
        </w:rPr>
        <w:t xml:space="preserve">RESULTS:Serum leptin concentration was significantly higher in dogs with GBM than in healthy dogs (medians of 7.03 and 2.18 ng / mL, respectively; P &lt; .001). Patients with GBM that had undergone surgery had significantly higher serum leptin concentrations than those that had not (medians of 12.2 and 4.09 ng/mL, respectively; P = .001). However, no difference in serum leptin concentration was found between dogs with GBM with or without endocrinopathies. The mRNA expression levels of leptin and its receptor were significantly increased in the gallbladder tissues of dogs with GBM.</w:t>
      </w:r>
    </w:p>
    <w:p/>
    <w:p>
      <w:pPr>
        <w:pStyle w:val="Normal"/>
      </w:pPr>
      <w:r>
        <w:rPr>
          <w:color w:val="323232"/>
        </w:rPr>
        <w:t xml:space="preserve">CONCLUSIONS AND CLINICAL IMPORTANCE:Dysregulation of leptin might be involved in the pathophysiology of GBM, and leptin concentrations might be associated with GBM severity.</w:t>
      </w:r>
    </w:p>
    <w:p/>
    <w:p>
      <w:pPr>
        <w:pStyle w:val="Normal"/>
      </w:pPr>
      <w:r>
        <w:rPr>
          <w:color w:val="323232"/>
        </w:rPr>
        <w:t xml:space="preserve">J Vet Intern Med, 2017 vol. 31 (1), 4 pp. 36-42.</w:t>
      </w:r>
    </w:p>
    <w:p>
      <w:r>
        <w:rPr>
          <w:rStyle w:val="Hyperlink"/>
        </w:rPr>
        <w:fldChar w:fldCharType="begin"/>
      </w:r>
      <w:r>
        <w:rPr>
          <w:rStyle w:val="Hyperlink"/>
        </w:rPr>
        <w:instrText xml:space="preserve"> HYPERLINK "http://doi.wiley.com/10.1111/jvim.14612" </w:instrText>
      </w:r>
      <w:r>
        <w:rPr>
          <w:rStyle w:val="Hyperlink"/>
        </w:rPr>
      </w:r>
      <w:r>
        <w:rPr>
          <w:rStyle w:val="Hyperlink"/>
        </w:rPr>
        <w:fldChar w:fldCharType="separate"/>
      </w:r>
      <w:pPr>
        <w:pStyle w:val="Normal"/>
      </w:pPr>
      <w:r>
        <w:rPr>
          <w:rStyle w:val="Hyperlink"/>
        </w:rPr>
        <w:t xml:space="preserve">http://doi.wiley.com/10.1111/jvim.14612</w:t>
      </w:r>
      <w:r>
        <w:rPr>
          <w:rStyle w:val="Hyperlink"/>
        </w:rPr>
        <w:fldChar w:fldCharType="end"/>
      </w:r>
    </w:p>
    <w:p>
      <w:pPr>
        <w:pStyle w:val="Normal"/>
      </w:pPr>
      <w:r>
        <w:rPr>
          <w:color w:val="323232"/>
        </w:rPr>
        <w:t xml:space="preserve">————————</w:t>
      </w:r>
    </w:p>
    <w:p>
      <w:pPr>
        <w:pStyle w:val="Heading4"/>
      </w:pPr>
      <w:r>
        <w:t xml:space="preserve">Hemostatic Findings in Ascitic Fluid: A Cross-Sectional Study in 70 Dogs.</w:t>
      </w:r>
    </w:p>
    <w:p/>
    <w:p>
      <w:pPr>
        <w:pStyle w:val="Normal"/>
      </w:pPr>
      <w:r>
        <w:rPr>
          <w:color w:val="323232"/>
        </w:rPr>
        <w:t xml:space="preserve">A Zoia, M Drigo, C J Piek, P Simioni, and M Caldin.</w:t>
      </w:r>
    </w:p>
    <w:p/>
    <w:p>
      <w:pPr>
        <w:pStyle w:val="Normal"/>
      </w:pPr>
      <w:r>
        <w:rPr>
          <w:color w:val="323232"/>
        </w:rPr>
        <w:t xml:space="preserve">BACKGROUND:Ascitic fluids of horses and humans have fibrinolytic activity, independent of the underlying mechanism of fluid formation.</w:t>
      </w:r>
    </w:p>
    <w:p/>
    <w:p>
      <w:pPr>
        <w:pStyle w:val="Normal"/>
      </w:pPr>
      <w:r>
        <w:rPr>
          <w:color w:val="323232"/>
        </w:rPr>
        <w:t xml:space="preserve">OBJECTIVE:To determine whether coagulation and fibrinogenolytic/fibrinolytic activity (ie, low fibrinogen and increased fibrin-fibrinogen degradation products [FDPs], D-dimer, or both) occur in all types of ascitic fluid in dogs.</w:t>
      </w:r>
    </w:p>
    <w:p/>
    <w:p>
      <w:pPr>
        <w:pStyle w:val="Normal"/>
      </w:pPr>
      <w:r>
        <w:rPr>
          <w:color w:val="323232"/>
        </w:rPr>
        <w:t xml:space="preserve">ANIMALS:A total of 70 client-owned dogs with ascites.</w:t>
      </w:r>
    </w:p>
    <w:p/>
    <w:p>
      <w:pPr>
        <w:pStyle w:val="Normal"/>
      </w:pPr>
      <w:r>
        <w:rPr>
          <w:color w:val="323232"/>
        </w:rPr>
        <w:t xml:space="preserve">METHODS:In this cross-sectional study, dogs were categorized based on the pathophysiology of fluid formation into 4 groups: transudates due to decreased osmotic pressure, transudates due to increased hydrostatic pressure, exudates, and hemorrhagic ascites. Fibrinogen, FDPs, and D-dimer concentrations were measured and then compared in both ascitic fluid and plasma.</w:t>
      </w:r>
    </w:p>
    <w:p/>
    <w:p>
      <w:pPr>
        <w:pStyle w:val="Normal"/>
      </w:pPr>
      <w:r>
        <w:rPr>
          <w:color w:val="323232"/>
        </w:rPr>
        <w:t xml:space="preserve">RESULTS:Ten dogs had transudates due to decreased colloid osmotic pressure, 18 had transudates due to increased hydrostatic pressure, 13 had exudates, and 29 had hemorrhagic ascites. Ascitic fibrinogen concentrations (n = 70) were significantly lower (median = 59 mg</w:t>
      </w:r>
      <w:r>
        <w:rPr>
          <w:i w:val="1"/>
          <w:color w:val="323232"/>
        </w:rPr>
        <w:t xml:space="preserve">dL; range: 59-122 mg</w:t>
      </w:r>
      <w:r>
        <w:rPr>
          <w:color w:val="323232"/>
        </w:rPr>
        <w:t xml:space="preserve">dL) than those in the plasma (median = 168 mg</w:t>
      </w:r>
      <w:r>
        <w:rPr>
          <w:i w:val="1"/>
          <w:color w:val="323232"/>
        </w:rPr>
        <w:t xml:space="preserve">dL, range: 59-879 mg</w:t>
      </w:r>
      <w:r>
        <w:rPr>
          <w:color w:val="323232"/>
        </w:rPr>
        <w:t xml:space="preserve">dL; P &lt; .0001). Ascitic FDPs concentrations (n = 70) were significantly higher (&lt;5 μg/ mL: 3/70 dogs, ≥5 to &lt;20 μg/ mL: 11/70 dogs, ≥20 μg/ mL: 56/70 dogs) than those in the plasma (&lt;5 μg/ mL: 17/70 dogs, ≥5 to &lt;20 μg/ mL: 28/70 dogs, ≥20 μg/ mL: 25/70 dogs; P &lt; .0001). Ascitic D-dimer concentrations (n = 70) were significantly higher (median = 3.98 μg/ mL, range: 0.02-9.19) than those in the plasma (median = 0.11 μg/mL, range: 0.01-4.08; P &lt; .0001). Analysis of the data for each of the 4 different types of ascites showed similar results to those of all the data analyzed together.</w:t>
      </w:r>
    </w:p>
    <w:p/>
    <w:p>
      <w:pPr>
        <w:pStyle w:val="Normal"/>
      </w:pPr>
      <w:r>
        <w:rPr>
          <w:color w:val="323232"/>
        </w:rPr>
        <w:t xml:space="preserve">CONCLUSIONS AND CLINICAL IMPORTANCE:Ascitic fluid of dogs has evidence of coagulation activation and fibrinogenolytic/fibrinolytic activity and that this phenomenon occurs independent of the underlying mechanism that leads to the formation of ascites.</w:t>
      </w:r>
    </w:p>
    <w:p/>
    <w:p>
      <w:pPr>
        <w:pStyle w:val="Normal"/>
      </w:pPr>
      <w:r>
        <w:rPr>
          <w:color w:val="323232"/>
        </w:rPr>
        <w:t xml:space="preserve">J Vet Intern Med, 2017 vol. 31 (1), 6 pp. 43-50.</w:t>
      </w:r>
    </w:p>
    <w:p>
      <w:r>
        <w:rPr>
          <w:rStyle w:val="Hyperlink"/>
        </w:rPr>
        <w:fldChar w:fldCharType="begin"/>
      </w:r>
      <w:r>
        <w:rPr>
          <w:rStyle w:val="Hyperlink"/>
        </w:rPr>
        <w:instrText xml:space="preserve"> HYPERLINK "http://doi.wiley.com/10.1111/jvim.14610" </w:instrText>
      </w:r>
      <w:r>
        <w:rPr>
          <w:rStyle w:val="Hyperlink"/>
        </w:rPr>
      </w:r>
      <w:r>
        <w:rPr>
          <w:rStyle w:val="Hyperlink"/>
        </w:rPr>
        <w:fldChar w:fldCharType="separate"/>
      </w:r>
      <w:pPr>
        <w:pStyle w:val="Normal"/>
      </w:pPr>
      <w:r>
        <w:rPr>
          <w:rStyle w:val="Hyperlink"/>
        </w:rPr>
        <w:t xml:space="preserve">http://doi.wiley.com/10.1111/jvim.14610</w:t>
      </w:r>
      <w:r>
        <w:rPr>
          <w:rStyle w:val="Hyperlink"/>
        </w:rPr>
        <w:fldChar w:fldCharType="end"/>
      </w:r>
    </w:p>
    <w:p>
      <w:pPr>
        <w:pStyle w:val="Normal"/>
      </w:pPr>
      <w:r>
        <w:rPr>
          <w:color w:val="323232"/>
        </w:rPr>
        <w:t xml:space="preserve">————————</w:t>
      </w:r>
    </w:p>
    <w:p>
      <w:pPr>
        <w:pStyle w:val="Heading4"/>
      </w:pPr>
      <w:r>
        <w:t xml:space="preserve">Commercially Available Enzyme-Linked Immunosorbent Assay and Polymerase Chain Reaction Tests for Detection of Feline Immunodeficiency Virus Infection.</w:t>
      </w:r>
    </w:p>
    <w:p/>
    <w:p>
      <w:pPr>
        <w:pStyle w:val="Normal"/>
      </w:pPr>
      <w:r>
        <w:rPr>
          <w:color w:val="323232"/>
        </w:rPr>
        <w:t xml:space="preserve">J Nichols, H Y Weng, A Litster, C Leutenegger, and L Guptill.</w:t>
      </w:r>
    </w:p>
    <w:p/>
    <w:p>
      <w:pPr>
        <w:pStyle w:val="Normal"/>
      </w:pPr>
      <w:r>
        <w:rPr>
          <w:color w:val="323232"/>
        </w:rPr>
        <w:t xml:space="preserve">BACKGROUND:Feline immunodeficiency virus (FIV) infection is an important cause of disease of cats worldwide. Initial screening is commonly performed by commercially available point-of-care (POC) ELISA tests. Confirmatory testing for positive POC test results is recommended. Polymerase chain reaction (PCR) tests for FIV are commonly used additional testing methods; however, reported measures of diagnostic accuracy vary widely between PCR tests, making interpretation of results difficult.</w:t>
      </w:r>
    </w:p>
    <w:p/>
    <w:p>
      <w:pPr>
        <w:pStyle w:val="Normal"/>
      </w:pPr>
      <w:r>
        <w:rPr>
          <w:color w:val="323232"/>
        </w:rPr>
        <w:t xml:space="preserve">HYPOTHESIS/OBJECTIVE:There is very good agreement between results of a commercially available PCR test and a POC ELISA test for FIV for specimens collected from owned and shelter-housed cats.</w:t>
      </w:r>
    </w:p>
    <w:p/>
    <w:p>
      <w:pPr>
        <w:pStyle w:val="Normal"/>
      </w:pPr>
      <w:r>
        <w:rPr>
          <w:color w:val="323232"/>
        </w:rPr>
        <w:t xml:space="preserve">ANIMALS:Blood samples from 168 cats from 2 adoption guarantee shelters, an FIV Sanctuary, and 64 private homes were used.</w:t>
      </w:r>
    </w:p>
    <w:p/>
    <w:p>
      <w:pPr>
        <w:pStyle w:val="Normal"/>
      </w:pPr>
      <w:r>
        <w:rPr>
          <w:color w:val="323232"/>
        </w:rPr>
        <w:t xml:space="preserve">METHODS:This was a prospective study. Whole blood samples were collected in K2 -EDTA, divided, and submitted for PCR and ELISA testing. Follow-up whole blood samples were collected in lithium heparin from cats with discordant results and submitted for virus isolation (VI).</w:t>
      </w:r>
    </w:p>
    <w:p/>
    <w:p>
      <w:pPr>
        <w:pStyle w:val="Normal"/>
      </w:pPr>
      <w:r>
        <w:rPr>
          <w:color w:val="323232"/>
        </w:rPr>
        <w:t xml:space="preserve">RESULTS:There was very good agreement between ELISA and PCR (kappa 0.87; P &lt; .001; 95% CI 0.79, 0.95). Of 168 cats, eleven had discordant ELISA</w:t>
      </w:r>
      <w:r>
        <w:rPr>
          <w:i w:val="1"/>
          <w:color w:val="323232"/>
        </w:rPr>
        <w:t xml:space="preserve">PCR results: 7 ELISA+</w:t>
      </w:r>
      <w:r>
        <w:rPr>
          <w:color w:val="323232"/>
        </w:rPr>
        <w:t xml:space="preserve">PCR- and 4 ELISA-/PCR+. Using VI as a reference standard, there were 4 false-positive PCR results, 5 false-positive ELISA results, and 1 false-negative PCR result (1 cat lost to follow-up).</w:t>
      </w:r>
    </w:p>
    <w:p/>
    <w:p>
      <w:pPr>
        <w:pStyle w:val="Normal"/>
      </w:pPr>
      <w:r>
        <w:rPr>
          <w:color w:val="323232"/>
        </w:rPr>
        <w:t xml:space="preserve">CONCLUSIONS AND CLINICAL IMPORTANCE:While there was good agreement between the POC ELISA and PCR tests, the discordant results highlight the importance of cautious interpretation of test results and the necessity of confirmatory testing.</w:t>
      </w:r>
    </w:p>
    <w:p/>
    <w:p>
      <w:pPr>
        <w:pStyle w:val="Normal"/>
      </w:pPr>
      <w:r>
        <w:rPr>
          <w:color w:val="323232"/>
        </w:rPr>
        <w:t xml:space="preserve">J Vet Intern Med, 2017 vol. 31 (1) pp. 55-59.</w:t>
      </w:r>
    </w:p>
    <w:p>
      <w:r>
        <w:rPr>
          <w:rStyle w:val="Hyperlink"/>
        </w:rPr>
        <w:fldChar w:fldCharType="begin"/>
      </w:r>
      <w:r>
        <w:rPr>
          <w:rStyle w:val="Hyperlink"/>
        </w:rPr>
        <w:instrText xml:space="preserve"> HYPERLINK "http://doi.wiley.com/10.1111/jvim.14579" </w:instrText>
      </w:r>
      <w:r>
        <w:rPr>
          <w:rStyle w:val="Hyperlink"/>
        </w:rPr>
      </w:r>
      <w:r>
        <w:rPr>
          <w:rStyle w:val="Hyperlink"/>
        </w:rPr>
        <w:fldChar w:fldCharType="separate"/>
      </w:r>
      <w:pPr>
        <w:pStyle w:val="Normal"/>
      </w:pPr>
      <w:r>
        <w:rPr>
          <w:rStyle w:val="Hyperlink"/>
        </w:rPr>
        <w:t xml:space="preserve">http://doi.wiley.com/10.1111/jvim.14579</w:t>
      </w:r>
      <w:r>
        <w:rPr>
          <w:rStyle w:val="Hyperlink"/>
        </w:rPr>
        <w:fldChar w:fldCharType="end"/>
      </w:r>
    </w:p>
    <w:p>
      <w:pPr>
        <w:pStyle w:val="Normal"/>
      </w:pPr>
      <w:r>
        <w:rPr>
          <w:color w:val="323232"/>
        </w:rPr>
        <w:t xml:space="preserve">————————</w:t>
      </w:r>
    </w:p>
    <w:p>
      <w:pPr>
        <w:pStyle w:val="Heading4"/>
      </w:pPr>
      <w:r>
        <w:t xml:space="preserve">Effect of Cranberry Extract on the Frequency of Bacteriuria in Dogs with Acute Thoracolumbar Disk Herniation: A Randomized Controlled Clinical Trial.</w:t>
      </w:r>
    </w:p>
    <w:p/>
    <w:p>
      <w:pPr>
        <w:pStyle w:val="Normal"/>
      </w:pPr>
      <w:r>
        <w:rPr>
          <w:color w:val="323232"/>
        </w:rPr>
        <w:t xml:space="preserve">N J Olby, S L Vaden, K Williams, E H Griffith, T Harris, C L Mariani, K R Muñana, P J Early, S R Platt, L Boozer, C Giovanella, and R Longshore.</w:t>
      </w:r>
    </w:p>
    <w:p/>
    <w:p>
      <w:pPr>
        <w:pStyle w:val="Normal"/>
      </w:pPr>
      <w:r>
        <w:rPr>
          <w:color w:val="323232"/>
        </w:rPr>
        <w:t xml:space="preserve">BACKGROUND:Dogs with spinal cord injury are at increased risk of developing bacteriuria due to increased residual urine volume. Cranberry extract inhibits binding of E. coli to uroepithelial cells, potentially reducing risk of bacteriuria.</w:t>
      </w:r>
    </w:p>
    <w:p/>
    <w:p>
      <w:pPr>
        <w:pStyle w:val="Normal"/>
      </w:pPr>
      <w:r>
        <w:rPr>
          <w:color w:val="323232"/>
        </w:rPr>
        <w:t xml:space="preserve">HYPOTHESIS:Cranberry extract reduces risk of bacteriuria in dogs after acute TL-IVDH.</w:t>
      </w:r>
    </w:p>
    <w:p/>
    <w:p>
      <w:pPr>
        <w:pStyle w:val="Normal"/>
      </w:pPr>
      <w:r>
        <w:rPr>
          <w:color w:val="323232"/>
        </w:rPr>
        <w:t xml:space="preserve">ANIMALS:Client-owned dogs with acute onset TL-IVDH causing nonambulatory status.</w:t>
      </w:r>
    </w:p>
    <w:p/>
    <w:p>
      <w:pPr>
        <w:pStyle w:val="Normal"/>
      </w:pPr>
      <w:r>
        <w:rPr>
          <w:color w:val="323232"/>
        </w:rPr>
        <w:t xml:space="preserve">METHODS:Randomized, placebo-controlled, blinded, prospective clinical trial. Dogs with acute TL-IVDH were recruited 48 hours postoperatively and randomized to receive cranberry extract or placebo in a masked fashion. Urine cultures and neurological examinations were performed 2, 4, and 6 weeks postoperatively. The number of dogs with bacteriuria (all bacterial species) and bacteriuria (E. coli) were primary and secondary outcome measures and were evaluated using chi-squared test. Urine antiadhesion activity (AAA) was measured in a subset (N = 47) and examined in a secondary analysis evaluating additional risk factors for bacteriuria.</w:t>
      </w:r>
    </w:p>
    <w:p/>
    <w:p>
      <w:pPr>
        <w:pStyle w:val="Normal"/>
      </w:pPr>
      <w:r>
        <w:rPr>
          <w:color w:val="323232"/>
        </w:rPr>
        <w:t xml:space="preserve">RESULTS:Bacteriuria was detected 17 times in 94 dogs (6 placebo, 11 cranberry, P = .12). There were 7 E. coli. positive cultures (1 placebo, 6 cranberry, P = .09). Dogs in both groups had positive urine AAA (14/21: placebo, 16/26: cranberry), and dogs with urine AAA had significantly fewer E. coli positive cultures (n = 1) than dogs without it (n = 4) (P = .047).</w:t>
      </w:r>
    </w:p>
    <w:p/>
    <w:p>
      <w:pPr>
        <w:pStyle w:val="Normal"/>
      </w:pPr>
      <w:r>
        <w:rPr>
          <w:color w:val="323232"/>
        </w:rPr>
        <w:t xml:space="preserve">CONCLUSIONS AND CLINICAL IMPORTANCE:This clinical trial did not show a benefit of oral cranberry extract but had low power. Cranberry extract supplementation did not impact urine AAA, but a possible association between urine AAA and lower risk of E. coli bacteriuria was identified. Other doses could be investigated.</w:t>
      </w:r>
    </w:p>
    <w:p/>
    <w:p>
      <w:pPr>
        <w:pStyle w:val="Normal"/>
      </w:pPr>
      <w:r>
        <w:rPr>
          <w:color w:val="323232"/>
        </w:rPr>
        <w:t xml:space="preserve">J Vet Intern Med, 2017 vol. 31 (1) pp. 60-68.</w:t>
      </w:r>
    </w:p>
    <w:p>
      <w:r>
        <w:rPr>
          <w:rStyle w:val="Hyperlink"/>
        </w:rPr>
        <w:fldChar w:fldCharType="begin"/>
      </w:r>
      <w:r>
        <w:rPr>
          <w:rStyle w:val="Hyperlink"/>
        </w:rPr>
        <w:instrText xml:space="preserve"> HYPERLINK "http://doi.wiley.com/10.1111/jvim.14613" </w:instrText>
      </w:r>
      <w:r>
        <w:rPr>
          <w:rStyle w:val="Hyperlink"/>
        </w:rPr>
      </w:r>
      <w:r>
        <w:rPr>
          <w:rStyle w:val="Hyperlink"/>
        </w:rPr>
        <w:fldChar w:fldCharType="separate"/>
      </w:r>
      <w:pPr>
        <w:pStyle w:val="Normal"/>
      </w:pPr>
      <w:r>
        <w:rPr>
          <w:rStyle w:val="Hyperlink"/>
        </w:rPr>
        <w:t xml:space="preserve">http://doi.wiley.com/10.1111/jvim.14613</w:t>
      </w:r>
      <w:r>
        <w:rPr>
          <w:rStyle w:val="Hyperlink"/>
        </w:rPr>
        <w:fldChar w:fldCharType="end"/>
      </w:r>
    </w:p>
    <w:p>
      <w:pPr>
        <w:pStyle w:val="Normal"/>
      </w:pPr>
      <w:r>
        <w:rPr>
          <w:color w:val="323232"/>
        </w:rPr>
        <w:t xml:space="preserve">————————</w:t>
      </w:r>
    </w:p>
    <w:p>
      <w:pPr>
        <w:pStyle w:val="Heading4"/>
      </w:pPr>
      <w:r>
        <w:t xml:space="preserve">Hemorrhagic, Hemostatic, and Thromboelastometric Disorders in 35 Dogs with a Clinical Diagnosis of Leptospirosis: A Prospective Study.</w:t>
      </w:r>
    </w:p>
    <w:p/>
    <w:p>
      <w:pPr>
        <w:pStyle w:val="Normal"/>
      </w:pPr>
      <w:r>
        <w:rPr>
          <w:color w:val="323232"/>
        </w:rPr>
        <w:t xml:space="preserve">A Barthélemy, M Magnin, C Pouzot-Nevoret, J-M Bonnet-Garin, M Hugonnard, and I Goy-Thollot.</w:t>
      </w:r>
    </w:p>
    <w:p/>
    <w:p>
      <w:pPr>
        <w:pStyle w:val="Normal"/>
      </w:pPr>
      <w:r>
        <w:rPr>
          <w:color w:val="323232"/>
        </w:rPr>
        <w:t xml:space="preserve">BACKGROUND:Leptospirosis in dogs is occasionally associated with a hemorrhagic syndrome, the pathophysiology of which is not fully understood.</w:t>
      </w:r>
    </w:p>
    <w:p/>
    <w:p>
      <w:pPr>
        <w:pStyle w:val="Normal"/>
      </w:pPr>
      <w:r>
        <w:rPr>
          <w:color w:val="323232"/>
        </w:rPr>
        <w:t xml:space="preserve">HYPOTHESIS/OBJECTIVES:To characterize hematologic, hemostatic, and thromboelastometric abnormalities in dogs with leptospirosis and to study their association with hemorrhagic diatheses and outcomes.</w:t>
      </w:r>
    </w:p>
    <w:p/>
    <w:p>
      <w:pPr>
        <w:pStyle w:val="Normal"/>
      </w:pPr>
      <w:r>
        <w:rPr>
          <w:color w:val="323232"/>
        </w:rPr>
        <w:t xml:space="preserve">ANIMALS:Thirty-five client-owned dogs.</w:t>
      </w:r>
    </w:p>
    <w:p/>
    <w:p>
      <w:pPr>
        <w:pStyle w:val="Normal"/>
      </w:pPr>
      <w:r>
        <w:rPr>
          <w:color w:val="323232"/>
        </w:rPr>
        <w:t xml:space="preserve">METHODS:A prospective observational single cohort study was conducted. Results from the CBC, coagulation tests (prothrombin, activated partial thromboplastin and thrombin times, fibrinogen, fibrin(ogen) degradation products, and D-dimer concentrations), rotational thromboelastometry (TEM), signalment, hemorrhagic diatheses, occurrence of disseminated intravascular coagulation (DIC) at admission, and survival to discharge were recorded.</w:t>
      </w:r>
    </w:p>
    <w:p/>
    <w:p>
      <w:pPr>
        <w:pStyle w:val="Normal"/>
      </w:pPr>
      <w:r>
        <w:rPr>
          <w:color w:val="323232"/>
        </w:rPr>
        <w:t xml:space="preserve">RESULTS:The most common hematologic and hemostatic abnormalities were anemia (30/35), thrombocytopenia (21/35), and hyperfibrinogenemia (15/35). Eight dogs were diagnosed with DIC. A normal TEM profile was found in 14 dogs, a hypercoagulable profile in 14 dogs, and a hypocoagulable profile in 7 dogs. The 8 dogs with hemorrhagic diatheses at admission had significantly decreased platelet counts (P = .037) and increased D-dimer concentrations (P = .015) compared with other dogs. Dogs with a hypocoagulable profile exhibited more hemorrhagic diatheses compared with the dogs that had normal and hypercoagulable profiles (P = .049). The mortality rate was lower in dogs with a hypercoagulable profile than in those with a hypocoagulable profile (21% vs 57%; P = .043). Disseminated intravascular coagulation was not a significant prognostic factor.</w:t>
      </w:r>
    </w:p>
    <w:p/>
    <w:p>
      <w:pPr>
        <w:pStyle w:val="Normal"/>
      </w:pPr>
      <w:r>
        <w:rPr>
          <w:color w:val="323232"/>
        </w:rPr>
        <w:t xml:space="preserve">CONCLUSIONS AND CLINICAL IMPORTANCE:Thromboelastometric parameters were altered in dogs with both hypercoagulable and hypocoagulable profiles. A hypocoagulable profile was significantly correlated with hemorrhagic diathesis and higher mortality rate.</w:t>
      </w:r>
    </w:p>
    <w:p/>
    <w:p>
      <w:pPr>
        <w:pStyle w:val="Normal"/>
      </w:pPr>
      <w:r>
        <w:rPr>
          <w:color w:val="323232"/>
        </w:rPr>
        <w:t xml:space="preserve">J Vet Intern Med, 2017 vol. 31 (1) pp. 69-80.</w:t>
      </w:r>
    </w:p>
    <w:p>
      <w:r>
        <w:rPr>
          <w:rStyle w:val="Hyperlink"/>
        </w:rPr>
        <w:fldChar w:fldCharType="begin"/>
      </w:r>
      <w:r>
        <w:rPr>
          <w:rStyle w:val="Hyperlink"/>
        </w:rPr>
        <w:instrText xml:space="preserve"> HYPERLINK "http://doi.wiley.com/10.1111/jvim.14626" </w:instrText>
      </w:r>
      <w:r>
        <w:rPr>
          <w:rStyle w:val="Hyperlink"/>
        </w:rPr>
      </w:r>
      <w:r>
        <w:rPr>
          <w:rStyle w:val="Hyperlink"/>
        </w:rPr>
        <w:fldChar w:fldCharType="separate"/>
      </w:r>
      <w:pPr>
        <w:pStyle w:val="Normal"/>
      </w:pPr>
      <w:r>
        <w:rPr>
          <w:rStyle w:val="Hyperlink"/>
        </w:rPr>
        <w:t xml:space="preserve">http://doi.wiley.com/10.1111/jvim.14626</w:t>
      </w:r>
      <w:r>
        <w:rPr>
          <w:rStyle w:val="Hyperlink"/>
        </w:rPr>
        <w:fldChar w:fldCharType="end"/>
      </w:r>
    </w:p>
    <w:p>
      <w:pPr>
        <w:pStyle w:val="Normal"/>
      </w:pPr>
      <w:r>
        <w:rPr>
          <w:color w:val="323232"/>
        </w:rPr>
        <w:t xml:space="preserve">————————</w:t>
      </w:r>
    </w:p>
    <w:p>
      <w:pPr>
        <w:pStyle w:val="Heading4"/>
      </w:pPr>
      <w:r>
        <w:t xml:space="preserve">Proteinuria in Apparently Healthy Elderly Dogs: Persistency and Comparison Between Free Catch and Cystocentesis Urine.</w:t>
      </w:r>
    </w:p>
    <w:p/>
    <w:p>
      <w:pPr>
        <w:pStyle w:val="Normal"/>
      </w:pPr>
      <w:r>
        <w:rPr>
          <w:color w:val="323232"/>
        </w:rPr>
        <w:t xml:space="preserve">S J J Marynissen, A L Willems, D Paepe, P M Y Smets, P Picavet, L Duchateau, and S Daminet.</w:t>
      </w:r>
    </w:p>
    <w:p/>
    <w:p>
      <w:pPr>
        <w:pStyle w:val="Normal"/>
      </w:pPr>
      <w:r>
        <w:rPr>
          <w:color w:val="323232"/>
        </w:rPr>
        <w:t xml:space="preserve">BACKGROUND:Up to 25% of elderly humans have proteinuria, often associated with underlying lesions. Data concerning the presence of proteinuria in elderly dogs is scarce.</w:t>
      </w:r>
    </w:p>
    <w:p/>
    <w:p>
      <w:pPr>
        <w:pStyle w:val="Normal"/>
      </w:pPr>
      <w:r>
        <w:rPr>
          <w:color w:val="323232"/>
        </w:rPr>
        <w:t xml:space="preserve">OBJECTIVES:To describe the presence and persistence of proteinuria and to compare urinary protein</w:t>
      </w:r>
      <w:r>
        <w:rPr>
          <w:color w:val="323232"/>
        </w:rPr>
        <w:t xml:space="preserve"> </w:t>
      </w:r>
      <w:r>
        <w:rPr>
          <w:color w:val="323232"/>
        </w:rPr>
        <w:t xml:space="preserve">:</w:t>
      </w:r>
      <w:r>
        <w:rPr>
          <w:color w:val="323232"/>
        </w:rPr>
        <w:t xml:space="preserve"> </w:t>
      </w:r>
      <w:r>
        <w:rPr>
          <w:color w:val="323232"/>
        </w:rPr>
        <w:t xml:space="preserve">creatinine ratio (UPC) between free catch and cystocentesis urine samples in apparently healthy elderly dogs.</w:t>
      </w:r>
    </w:p>
    <w:p/>
    <w:p>
      <w:pPr>
        <w:pStyle w:val="Normal"/>
      </w:pPr>
      <w:r>
        <w:rPr>
          <w:color w:val="323232"/>
        </w:rPr>
        <w:t xml:space="preserve">ANIMALS:Hundred apparently healthy elderly dogs.</w:t>
      </w:r>
    </w:p>
    <w:p/>
    <w:p>
      <w:pPr>
        <w:pStyle w:val="Normal"/>
      </w:pPr>
      <w:r>
        <w:rPr>
          <w:color w:val="323232"/>
        </w:rPr>
        <w:t xml:space="preserve">METHODS:Prospective study. Owners of 100 elderly dogs were asked to collect 2 free catch urine samples. Dogs were considered healthy based on owner's perception and an age chart, based on ideal bodyweight, was used to define dogs as senior or geriatric. UPC of urine collected by free catch and cystocentesis were compared. Overt proteinuria and borderline proteinuria were defined as UPC &gt;0.5 and between 0.2 and 0.5, respectively, if examination of sediment did not explain proteinuria. Proteinuria was considered persistent if present at both sampling times.</w:t>
      </w:r>
    </w:p>
    <w:p/>
    <w:p>
      <w:pPr>
        <w:pStyle w:val="Normal"/>
      </w:pPr>
      <w:r>
        <w:rPr>
          <w:color w:val="323232"/>
        </w:rPr>
        <w:t xml:space="preserve">RESULTS:At baseline, 71 owners succeeded in collecting urine. Eleven percent of dogs had overt proteinuria, 14% were borderline proteinuric, and 75% nonproteinuric. Thirty-seven repeated urine samples, with a median time interval of 31</w:t>
      </w:r>
      <w:r>
        <w:rPr>
          <w:color w:val="323232"/>
        </w:rPr>
        <w:t xml:space="preserve"> </w:t>
      </w:r>
      <w:r>
        <w:rPr>
          <w:color w:val="323232"/>
        </w:rPr>
        <w:t xml:space="preserve">days (range 10-90), were available. Nineteen percent of dogs had a persistently increased UPC (&gt;0.2), with persistent overt proteinuria present in 8%. A strong correlation (ρ</w:t>
      </w:r>
      <w:r>
        <w:rPr>
          <w:color w:val="323232"/>
        </w:rPr>
        <w:t xml:space="preserve"> </w:t>
      </w:r>
      <w:r>
        <w:rPr>
          <w:color w:val="323232"/>
        </w:rPr>
        <w:t xml:space="preserve">=</w:t>
      </w:r>
      <w:r>
        <w:rPr>
          <w:color w:val="323232"/>
        </w:rPr>
        <w:t xml:space="preserve"> </w:t>
      </w:r>
      <w:r>
        <w:rPr>
          <w:color w:val="323232"/>
        </w:rPr>
        <w:t xml:space="preserve">0.88) was found between UPC of urine collected by free catch and cystocentesis.</w:t>
      </w:r>
    </w:p>
    <w:p/>
    <w:p>
      <w:pPr>
        <w:pStyle w:val="Normal"/>
      </w:pPr>
      <w:r>
        <w:rPr>
          <w:color w:val="323232"/>
        </w:rPr>
        <w:t xml:space="preserve">CONCLUSIONS AND CLINICAL IMPORTANCE:As 19% of study dogs had persistent proteinuria, our findings emphasize that measurement of proteinuria should be part of geriatric health screening. For UPC in dogs, free catch urine provides a good alternative to cystocentesis.</w:t>
      </w:r>
    </w:p>
    <w:p/>
    <w:p>
      <w:pPr>
        <w:pStyle w:val="Normal"/>
      </w:pPr>
      <w:r>
        <w:rPr>
          <w:color w:val="323232"/>
        </w:rPr>
        <w:t xml:space="preserve">J Vet Intern Med, 2017 vol. 31 (1), 2 pp. 93-101.</w:t>
      </w:r>
    </w:p>
    <w:p>
      <w:r>
        <w:rPr>
          <w:rStyle w:val="Hyperlink"/>
        </w:rPr>
        <w:fldChar w:fldCharType="begin"/>
      </w:r>
      <w:r>
        <w:rPr>
          <w:rStyle w:val="Hyperlink"/>
        </w:rPr>
        <w:instrText xml:space="preserve"> HYPERLINK "http://doi.wiley.com/10.1111/jvim.14635" </w:instrText>
      </w:r>
      <w:r>
        <w:rPr>
          <w:rStyle w:val="Hyperlink"/>
        </w:rPr>
      </w:r>
      <w:r>
        <w:rPr>
          <w:rStyle w:val="Hyperlink"/>
        </w:rPr>
        <w:fldChar w:fldCharType="separate"/>
      </w:r>
      <w:pPr>
        <w:pStyle w:val="Normal"/>
      </w:pPr>
      <w:r>
        <w:rPr>
          <w:rStyle w:val="Hyperlink"/>
        </w:rPr>
        <w:t xml:space="preserve">http://doi.wiley.com/10.1111/jvim.14635</w:t>
      </w:r>
      <w:r>
        <w:rPr>
          <w:rStyle w:val="Hyperlink"/>
        </w:rPr>
        <w:fldChar w:fldCharType="end"/>
      </w:r>
    </w:p>
    <w:p>
      <w:pPr>
        <w:pStyle w:val="Normal"/>
      </w:pPr>
      <w:r>
        <w:rPr>
          <w:color w:val="323232"/>
        </w:rPr>
        <w:t xml:space="preserve">————————</w:t>
      </w:r>
    </w:p>
    <w:p>
      <w:pPr>
        <w:pStyle w:val="Heading4"/>
      </w:pPr>
      <w:r>
        <w:t xml:space="preserve">Neutrophil Gelatinase-Associated Lipocalin in Cats with Naturally Occurring Chronic Kidney Disease.</w:t>
      </w:r>
    </w:p>
    <w:p/>
    <w:p>
      <w:pPr>
        <w:pStyle w:val="Normal"/>
      </w:pPr>
      <w:r>
        <w:rPr>
          <w:color w:val="323232"/>
        </w:rPr>
        <w:t xml:space="preserve">I-C Wang, W-L Hsu, P-H Wu, H-Y Yin, H-J Tsai, and Y-J Lee.</w:t>
      </w:r>
    </w:p>
    <w:p/>
    <w:p>
      <w:pPr>
        <w:pStyle w:val="Normal"/>
      </w:pPr>
      <w:r>
        <w:rPr>
          <w:color w:val="323232"/>
        </w:rPr>
        <w:t xml:space="preserve">BACKGROUND:Neutrophil gelatinase-associated lipocalin (NGAL) is a biomarker for the early prediction of renal damage and the progression of chronic kidney disease (CKD) in humans and dogs.</w:t>
      </w:r>
    </w:p>
    <w:p/>
    <w:p>
      <w:pPr>
        <w:pStyle w:val="Normal"/>
      </w:pPr>
      <w:r>
        <w:rPr>
          <w:color w:val="323232"/>
        </w:rPr>
        <w:t xml:space="preserve">HYPOTHESIS:Neutrophil gelatinase-associated lipocalin also may play a role in the progression of CKD in cats.</w:t>
      </w:r>
    </w:p>
    <w:p/>
    <w:p>
      <w:pPr>
        <w:pStyle w:val="Normal"/>
      </w:pPr>
      <w:r>
        <w:rPr>
          <w:color w:val="323232"/>
        </w:rPr>
        <w:t xml:space="preserve">ANIMALS:Eighty CKD and 18 control cats.</w:t>
      </w:r>
    </w:p>
    <w:p/>
    <w:p>
      <w:pPr>
        <w:pStyle w:val="Normal"/>
      </w:pPr>
      <w:r>
        <w:rPr>
          <w:color w:val="323232"/>
        </w:rPr>
        <w:t xml:space="preserve">METHODS:Cats were categorized into different stages according to the International Renal Interest Society (IRIS) staging system. Urine and plasma samples were collected and tested for NGAL concentrations using an in-house sandwich ELISA system and urinary NGAL (uNGAL)-to-creatinine ratio (UNCR) was determined. Cats in which serum creatinine concentration increased by &gt;0.5 mg/dL from baseline within 30 days were defined as exhibiting progression.</w:t>
      </w:r>
    </w:p>
    <w:p/>
    <w:p>
      <w:pPr>
        <w:pStyle w:val="Normal"/>
      </w:pPr>
      <w:r>
        <w:rPr>
          <w:color w:val="323232"/>
        </w:rPr>
        <w:t xml:space="preserve">RESULTS:The urinary NGAL and UNCR of CKD cats were significantly higher than those of healthy cats (P &lt; .05) and were highly correlated with serum creatinine concentration. The area under the receiver operating characteristic curve (AUROC) for uNGAL, when predicting the progression of CKD, was 0.71 and the best cutoff value was 2.06 ng/mL with a sensitivity of 76.9% and a specificity of 75%. The AUROC for UNCR when predicting the progression of CKD was 0.79 and the best cutoff value was 4.08 × 10-6 with a sensitivity of 76.9% and specificity of 79.2%. Cats with UNCR values higher than their cutoffs experienced significantly faster deterioration with a median of 19 days.</w:t>
      </w:r>
    </w:p>
    <w:p/>
    <w:p>
      <w:pPr>
        <w:pStyle w:val="Normal"/>
      </w:pPr>
      <w:r>
        <w:rPr>
          <w:color w:val="323232"/>
        </w:rPr>
        <w:t xml:space="preserve">CONCLUSIONS:Both urinary NGAL and UNCR are useful markers for the prediction of CKD progression in cats.</w:t>
      </w:r>
    </w:p>
    <w:p/>
    <w:p>
      <w:pPr>
        <w:pStyle w:val="Normal"/>
      </w:pPr>
      <w:r>
        <w:rPr>
          <w:color w:val="323232"/>
        </w:rPr>
        <w:t xml:space="preserve">J Vet Intern Med, 2017 vol. 31 (1), 7 pp. 102-108.</w:t>
      </w:r>
    </w:p>
    <w:p>
      <w:r>
        <w:rPr>
          <w:rStyle w:val="Hyperlink"/>
        </w:rPr>
        <w:fldChar w:fldCharType="begin"/>
      </w:r>
      <w:r>
        <w:rPr>
          <w:rStyle w:val="Hyperlink"/>
        </w:rPr>
        <w:instrText xml:space="preserve"> HYPERLINK "http://doi.wiley.com/10.1111/jvim.14628" </w:instrText>
      </w:r>
      <w:r>
        <w:rPr>
          <w:rStyle w:val="Hyperlink"/>
        </w:rPr>
      </w:r>
      <w:r>
        <w:rPr>
          <w:rStyle w:val="Hyperlink"/>
        </w:rPr>
        <w:fldChar w:fldCharType="separate"/>
      </w:r>
      <w:pPr>
        <w:pStyle w:val="Normal"/>
      </w:pPr>
      <w:r>
        <w:rPr>
          <w:rStyle w:val="Hyperlink"/>
        </w:rPr>
        <w:t xml:space="preserve">http://doi.wiley.com/10.1111/jvim.14628</w:t>
      </w:r>
      <w:r>
        <w:rPr>
          <w:rStyle w:val="Hyperlink"/>
        </w:rPr>
        <w:fldChar w:fldCharType="end"/>
      </w:r>
    </w:p>
    <w:p>
      <w:pPr>
        <w:pStyle w:val="Normal"/>
      </w:pPr>
      <w:r>
        <w:rPr>
          <w:color w:val="323232"/>
        </w:rPr>
        <w:t xml:space="preserve">————————</w:t>
      </w:r>
    </w:p>
    <w:p>
      <w:pPr>
        <w:pStyle w:val="Heading4"/>
      </w:pPr>
      <w:r>
        <w:t xml:space="preserve">Hyperhomocysteinemia in Greyhounds and its Association with Hypofolatemia and Other Clinicopathologic Variables.</w:t>
      </w:r>
    </w:p>
    <w:p/>
    <w:p>
      <w:pPr>
        <w:pStyle w:val="Normal"/>
      </w:pPr>
      <w:r>
        <w:rPr>
          <w:color w:val="323232"/>
        </w:rPr>
        <w:t xml:space="preserve">R M Heilmann, N Grützner, M C Iazbik, R Lopes, C S Bridges, J S Suchodolski, C G Couto, and J M Steiner.</w:t>
      </w:r>
    </w:p>
    <w:p/>
    <w:p>
      <w:pPr>
        <w:pStyle w:val="Normal"/>
      </w:pPr>
      <w:r>
        <w:rPr>
          <w:color w:val="323232"/>
        </w:rPr>
        <w:t xml:space="preserve">BACKGROUND:Folate and cobalamin are essential cofactors for homocysteine (HCY) metabolism. Hyperhomocysteinemia, a multifactorial condition, may reflect B vitamin deficiency and is associated with increased risk of cardiovascular disease, thrombosis, and neurodegenerative and chronic gastrointestinal diseases in humans. Hyperhomocysteinemia has been reported in Greyhounds with suspected chronic enteropathy.</w:t>
      </w:r>
    </w:p>
    <w:p/>
    <w:p>
      <w:pPr>
        <w:pStyle w:val="Normal"/>
      </w:pPr>
      <w:r>
        <w:rPr>
          <w:color w:val="323232"/>
        </w:rPr>
        <w:t xml:space="preserve">OBJECTIVES:To evaluate the frequencies of and the association between hypofolatemia and hyperhomocysteinemia in Greyhounds.</w:t>
      </w:r>
    </w:p>
    <w:p/>
    <w:p>
      <w:pPr>
        <w:pStyle w:val="Normal"/>
      </w:pPr>
      <w:r>
        <w:rPr>
          <w:color w:val="323232"/>
        </w:rPr>
        <w:t xml:space="preserve">ANIMALS:Data and serum samples from 559 Greyhounds.</w:t>
      </w:r>
    </w:p>
    <w:p/>
    <w:p>
      <w:pPr>
        <w:pStyle w:val="Normal"/>
      </w:pPr>
      <w:r>
        <w:rPr>
          <w:color w:val="323232"/>
        </w:rPr>
        <w:t xml:space="preserve">METHODS:Nested case-control study. The frequency of hypofolatemia in Greyhounds was determined by a laboratory database search. The relationship between hyperhomocysteinemia (measured by gas chromatography-mass spectrometry) and hypocobalaminemia and hypofolatemia was evaluated, and its frequency compared between healthy Greyhounds and Greyhounds with thrombosis or chronic diarrhea.</w:t>
      </w:r>
    </w:p>
    <w:p/>
    <w:p>
      <w:pPr>
        <w:pStyle w:val="Normal"/>
      </w:pPr>
      <w:r>
        <w:rPr>
          <w:color w:val="323232"/>
        </w:rPr>
        <w:t xml:space="preserve">RESULTS:Hypofolatemia was identified in 172 of 423 (41%) Greyhounds and was more common in hypo- than in normocobalaminemic dogs (49% vs. 35%; P = .0064). Hyperhomocysteinemia was detected in 53 of 78 (68%) of Greyhounds, being more common in hypo- than in normofolatemic dogs (88% vs. 59%; P = .0175). All healthy Greyhounds, 21 of 30 (70%) of dogs with chronic diarrhea and 6 of 8 (75%) of those with thrombosis, were hyperhomocysteinemic. Serum HCY concentrations were inversely correlated with serum folate concentration (ρ = -0.28; P = .0386) and were positively associated with serum albumin concentration (ρ = 0.66; P = .0022).</w:t>
      </w:r>
    </w:p>
    <w:p/>
    <w:p>
      <w:pPr>
        <w:pStyle w:val="Normal"/>
      </w:pPr>
      <w:r>
        <w:rPr>
          <w:color w:val="323232"/>
        </w:rPr>
        <w:t xml:space="preserve">CONCLUSIONS AND CLINICAL RELEVANCE:Hyperhomocysteinemia occurs frequently in the Greyhound population. Its association with hypofolatemia suggests decreased intracellular availability of B vitamins, but the functional implications warrant further investigation. Hyperhomocysteinemia in Greyhounds potentially may serve as a spontaneous canine model to further investigate hyperhomocysteinemia in humans.</w:t>
      </w:r>
    </w:p>
    <w:p/>
    <w:p>
      <w:pPr>
        <w:pStyle w:val="Normal"/>
      </w:pPr>
      <w:r>
        <w:rPr>
          <w:color w:val="323232"/>
        </w:rPr>
        <w:t xml:space="preserve">J Vet Intern Med, 2017 vol. 31 (1) pp. 109-116.</w:t>
      </w:r>
    </w:p>
    <w:p>
      <w:r>
        <w:rPr>
          <w:rStyle w:val="Hyperlink"/>
        </w:rPr>
        <w:fldChar w:fldCharType="begin"/>
      </w:r>
      <w:r>
        <w:rPr>
          <w:rStyle w:val="Hyperlink"/>
        </w:rPr>
        <w:instrText xml:space="preserve"> HYPERLINK "http://doi.wiley.com/10.1111/jvim.14597" </w:instrText>
      </w:r>
      <w:r>
        <w:rPr>
          <w:rStyle w:val="Hyperlink"/>
        </w:rPr>
      </w:r>
      <w:r>
        <w:rPr>
          <w:rStyle w:val="Hyperlink"/>
        </w:rPr>
        <w:fldChar w:fldCharType="separate"/>
      </w:r>
      <w:pPr>
        <w:pStyle w:val="Normal"/>
      </w:pPr>
      <w:r>
        <w:rPr>
          <w:rStyle w:val="Hyperlink"/>
        </w:rPr>
        <w:t xml:space="preserve">http://doi.wiley.com/10.1111/jvim.14597</w:t>
      </w:r>
      <w:r>
        <w:rPr>
          <w:rStyle w:val="Hyperlink"/>
        </w:rPr>
        <w:fldChar w:fldCharType="end"/>
      </w:r>
    </w:p>
    <w:p>
      <w:pPr>
        <w:pStyle w:val="Normal"/>
      </w:pPr>
      <w:r>
        <w:rPr>
          <w:color w:val="323232"/>
        </w:rPr>
        <w:t xml:space="preserve">————————</w:t>
      </w:r>
    </w:p>
    <w:p>
      <w:pPr>
        <w:pStyle w:val="Heading4"/>
      </w:pPr>
      <w:r>
        <w:t xml:space="preserve">Repeated Famotidine Administration Results in a Diminished Effect on Intragastric pH in Dogs.</w:t>
      </w:r>
    </w:p>
    <w:p/>
    <w:p>
      <w:pPr>
        <w:pStyle w:val="Normal"/>
      </w:pPr>
      <w:r>
        <w:rPr>
          <w:color w:val="323232"/>
        </w:rPr>
        <w:t xml:space="preserve">M K Tolbert, A Graham, A Odunayo, J Price, J M Steiner, K Newkirk, and S Hecht.</w:t>
      </w:r>
    </w:p>
    <w:p/>
    <w:p>
      <w:pPr>
        <w:pStyle w:val="Normal"/>
      </w:pPr>
      <w:r>
        <w:rPr>
          <w:color w:val="323232"/>
        </w:rPr>
        <w:t xml:space="preserve">BACKGROUND:Famotidine is an acid suppressant commonly administered to dogs. Prolonged famotidine use in people results in decreased efficacy, but the effect in dogs is unknown.</w:t>
      </w:r>
    </w:p>
    <w:p/>
    <w:p>
      <w:pPr>
        <w:pStyle w:val="Normal"/>
      </w:pPr>
      <w:r>
        <w:rPr>
          <w:color w:val="323232"/>
        </w:rPr>
        <w:t xml:space="preserve">HYPOTHESIS/OBJECTIVES:To compare the effect of repeated oral administration of famotidine or placebo on intragastric pH and serum gastrin in dogs. We hypothesized that famotidine would have a diminished effect on intragastric pH on day 13 compared to day 1.</w:t>
      </w:r>
    </w:p>
    <w:p/>
    <w:p>
      <w:pPr>
        <w:pStyle w:val="Normal"/>
      </w:pPr>
      <w:r>
        <w:rPr>
          <w:color w:val="323232"/>
        </w:rPr>
        <w:t xml:space="preserve">ANIMALS:Six healthy adult colony Beagles.</w:t>
      </w:r>
    </w:p>
    <w:p/>
    <w:p>
      <w:pPr>
        <w:pStyle w:val="Normal"/>
      </w:pPr>
      <w:r>
        <w:rPr>
          <w:color w:val="323232"/>
        </w:rPr>
        <w:t xml:space="preserve">METHODS:Randomized, 2-factor repeated-measures crossover design. All dogs received oral placebo or 1.0 mg/kg famotidine q12h for 14 consecutive days. Intragastric pH monitoring was used to continuously record intragastric pH on treatment days 1-2 and 12-13. Mean pH as well as mean percentage time (MPT) that intragastric pH was ≥3 or ≥4 were compared between and within groups by analysis of variance. Serum gastrin was measured on days 0, 3, and 12 for each treatment.</w:t>
      </w:r>
    </w:p>
    <w:p/>
    <w:p>
      <w:pPr>
        <w:pStyle w:val="Normal"/>
      </w:pPr>
      <w:r>
        <w:rPr>
          <w:color w:val="323232"/>
        </w:rPr>
        <w:t xml:space="preserve">RESULTS:Continued administration of famotidine resulted in a significant decrease in mean pH, MPT ≥3, and MPT ≥4 (P &lt; .0001) on day 12 and 13. This resulted in a mean decrease in pH by 1.63 on days 12 and 13 compared to days 1 and 2. Furthermore, a mean decrease of MPT ≥3 and MPT ≥4 by 33 and 45% was observed for the same time period, respectively.</w:t>
      </w:r>
    </w:p>
    <w:p/>
    <w:p>
      <w:pPr>
        <w:pStyle w:val="Normal"/>
      </w:pPr>
      <w:r>
        <w:rPr>
          <w:color w:val="323232"/>
        </w:rPr>
        <w:t xml:space="preserve">CONCLUSIONS AND CLINICAL IMPORTANCE:Continued administration of famotidine results in a diminished effect on intragastric pH in dogs. Caution is advised when recommending long-term, daily oral administration of famotidine to dogs.</w:t>
      </w:r>
    </w:p>
    <w:p/>
    <w:p>
      <w:pPr>
        <w:pStyle w:val="Normal"/>
      </w:pPr>
      <w:r>
        <w:rPr>
          <w:color w:val="323232"/>
        </w:rPr>
        <w:t xml:space="preserve">J Vet Intern Med, 2017 vol. 31 (1), 6 pp. 117-123.</w:t>
      </w:r>
    </w:p>
    <w:p>
      <w:r>
        <w:rPr>
          <w:rStyle w:val="Hyperlink"/>
        </w:rPr>
        <w:fldChar w:fldCharType="begin"/>
      </w:r>
      <w:r>
        <w:rPr>
          <w:rStyle w:val="Hyperlink"/>
        </w:rPr>
        <w:instrText xml:space="preserve"> HYPERLINK "http://doi.wiley.com/10.1111/jvim.14615" </w:instrText>
      </w:r>
      <w:r>
        <w:rPr>
          <w:rStyle w:val="Hyperlink"/>
        </w:rPr>
      </w:r>
      <w:r>
        <w:rPr>
          <w:rStyle w:val="Hyperlink"/>
        </w:rPr>
        <w:fldChar w:fldCharType="separate"/>
      </w:r>
      <w:pPr>
        <w:pStyle w:val="Normal"/>
      </w:pPr>
      <w:r>
        <w:rPr>
          <w:rStyle w:val="Hyperlink"/>
        </w:rPr>
        <w:t xml:space="preserve">http://doi.wiley.com/10.1111/jvim.14615</w:t>
      </w:r>
      <w:r>
        <w:rPr>
          <w:rStyle w:val="Hyperlink"/>
        </w:rPr>
        <w:fldChar w:fldCharType="end"/>
      </w:r>
    </w:p>
    <w:p>
      <w:pPr>
        <w:pStyle w:val="Normal"/>
      </w:pPr>
      <w:r>
        <w:rPr>
          <w:color w:val="323232"/>
        </w:rPr>
        <w:t xml:space="preserve">————————</w:t>
      </w:r>
    </w:p>
    <w:p>
      <w:pPr>
        <w:pStyle w:val="Heading4"/>
      </w:pPr>
      <w:r>
        <w:t xml:space="preserve">The Utility of Acute-Phase Proteins in the Assessment of Treatment Response in Dogs With Bacterial Pneumonia.</w:t>
      </w:r>
    </w:p>
    <w:p/>
    <w:p>
      <w:pPr>
        <w:pStyle w:val="Normal"/>
      </w:pPr>
      <w:r>
        <w:rPr>
          <w:color w:val="323232"/>
        </w:rPr>
        <w:t xml:space="preserve">S J Viitanen, A K Lappalainen, M B Christensen, S Sankari, and M M Rajamäki.</w:t>
      </w:r>
    </w:p>
    <w:p/>
    <w:p>
      <w:pPr>
        <w:pStyle w:val="Normal"/>
      </w:pPr>
      <w:r>
        <w:rPr>
          <w:color w:val="323232"/>
        </w:rPr>
        <w:t xml:space="preserve">BACKGROUND:Acute-phase proteins (APPs) are sensitive markers of inflammation, and serum C-reactive protein (CRP) recently has been shown to be a useful diagnostic marker in dogs with bacterial pneumonia (BP). In humans with community-acquired pneumonia, APPs also have great utility as follow-up markers aiding in the assessment of treatment response.</w:t>
      </w:r>
    </w:p>
    <w:p/>
    <w:p>
      <w:pPr>
        <w:pStyle w:val="Normal"/>
      </w:pPr>
      <w:r>
        <w:rPr>
          <w:color w:val="323232"/>
        </w:rPr>
        <w:t xml:space="preserve">OBJECTIVES:The aim of our study was to investigate the applicability of APPs as markers of treatment response in dogs with BP.</w:t>
      </w:r>
    </w:p>
    <w:p/>
    <w:p>
      <w:pPr>
        <w:pStyle w:val="Normal"/>
      </w:pPr>
      <w:r>
        <w:rPr>
          <w:color w:val="323232"/>
        </w:rPr>
        <w:t xml:space="preserve">ANIMALS:Nineteen dogs diagnosed with BP and 64 healthy dogs.</w:t>
      </w:r>
    </w:p>
    <w:p/>
    <w:p>
      <w:pPr>
        <w:pStyle w:val="Normal"/>
      </w:pPr>
      <w:r>
        <w:rPr>
          <w:color w:val="323232"/>
        </w:rPr>
        <w:t xml:space="preserve">METHODS:The study was conducted as a prospective longitudinal observational study. Serum CRP, serum amyloid A (SAA), and haptoglobin concentrations were followed during a natural course of BP. Normalization of serum CRP was used to guide the duration of antibiotic treatment (treatment was stopped 5-7 days after CRP normalized) in 8 of 17 dogs surviving to discharge; 9 of 17 dogs were treated according to conventional recommendations.</w:t>
      </w:r>
    </w:p>
    <w:p/>
    <w:p>
      <w:pPr>
        <w:pStyle w:val="Normal"/>
      </w:pPr>
      <w:r>
        <w:rPr>
          <w:color w:val="323232"/>
        </w:rPr>
        <w:t xml:space="preserve">RESULTS:All measured APPs initially were significantly increased, but the magnitude of increase was not correlated to disease severity. C-reactive protein and SAA concentrations decreased rapidly after initiation of antimicrobial treatment. When normalization of serum CRP was used to guide the duration of antibiotic treatment, treatment duration was significantly (P = .015) decreased without increasing the number of relapses.</w:t>
      </w:r>
    </w:p>
    <w:p/>
    <w:p>
      <w:pPr>
        <w:pStyle w:val="Normal"/>
      </w:pPr>
      <w:r>
        <w:rPr>
          <w:color w:val="323232"/>
        </w:rPr>
        <w:t xml:space="preserve">CONCLUSIONS AND CLINICAL IMPORTANCE:Serum CRP and SAA reflected the recovery process well and therefore may be used as markers of treatment response. According to the results, the normalization of serum CRP may be used to guide the duration of antibiotic treatment in dogs with BP.</w:t>
      </w:r>
    </w:p>
    <w:p/>
    <w:p>
      <w:pPr>
        <w:pStyle w:val="Normal"/>
      </w:pPr>
      <w:r>
        <w:rPr>
          <w:color w:val="323232"/>
        </w:rPr>
        <w:t xml:space="preserve">J Vet Intern Med, 2017 vol. 31 (1) pp. 124-133.</w:t>
      </w:r>
    </w:p>
    <w:p>
      <w:r>
        <w:rPr>
          <w:rStyle w:val="Hyperlink"/>
        </w:rPr>
        <w:fldChar w:fldCharType="begin"/>
      </w:r>
      <w:r>
        <w:rPr>
          <w:rStyle w:val="Hyperlink"/>
        </w:rPr>
        <w:instrText xml:space="preserve"> HYPERLINK "http://eutils.ncbi.nlm.nih.gov/entrez/eutils/elink.fcgi?dbfrom=pubmed&amp;id=28032360&amp;retmode=ref&amp;cmd=prlinks"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http://eutils.ncbi.nlm.nih.gov/entrez/eutils/elink.fcgi?dbfrom=pubmed&amp;id=28032360&amp;retmode=ref&amp;cmd=prlinks</w:t>
      </w:r>
      <w:r>
        <w:rPr>
          <w:rStyle w:val="Hyperlink"/>
        </w:rPr>
        <w:fldChar w:fldCharType="end"/>
      </w:r>
    </w:p>
    <w:p>
      <w:pPr>
        <w:pStyle w:val="Normal"/>
      </w:pPr>
      <w:r>
        <w:rPr>
          <w:color w:val="323232"/>
        </w:rPr>
        <w:t xml:space="preserve">————————</w:t>
      </w:r>
    </w:p>
    <w:p>
      <w:pPr>
        <w:pStyle w:val="Heading4"/>
      </w:pPr>
      <w:r>
        <w:t xml:space="preserve">Markers of Oxidative Stress in Dogs with Myxomatous Mitral Valve Disease are Influenced by Sex, Neuter Status, and Serum Cholesterol Concentration.</w:t>
      </w:r>
    </w:p>
    <w:p/>
    <w:p>
      <w:pPr>
        <w:pStyle w:val="Normal"/>
      </w:pPr>
      <w:r>
        <w:rPr>
          <w:color w:val="323232"/>
        </w:rPr>
        <w:t xml:space="preserve">M J Reimann, J Haggstrom, J E Møller, J Lykkesfeldt, T Falk, and L H Olsen.</w:t>
      </w:r>
    </w:p>
    <w:p/>
    <w:p>
      <w:pPr>
        <w:pStyle w:val="Normal"/>
      </w:pPr>
      <w:r>
        <w:rPr>
          <w:color w:val="323232"/>
        </w:rPr>
        <w:t xml:space="preserve">BACKGROUND:Cardiovascular disease has been associated with oxidative stress, which has been suggested to contribute to myocardial remodeling in human patients. Little is known about the relationship between myxomatous mitral valve disease (MMVD) and oxidative stress in dogs.</w:t>
      </w:r>
    </w:p>
    <w:p/>
    <w:p>
      <w:pPr>
        <w:pStyle w:val="Normal"/>
      </w:pPr>
      <w:r>
        <w:rPr>
          <w:color w:val="323232"/>
        </w:rPr>
        <w:t xml:space="preserve">OBJECTIVE:To determine whether clinical stage of MMVD is associated with changes in the plasma concentrations of certain markers of oxidative stress in clinically healthy dogs and dogs with MMVD.</w:t>
      </w:r>
    </w:p>
    <w:p/>
    <w:p>
      <w:pPr>
        <w:pStyle w:val="Normal"/>
      </w:pPr>
      <w:r>
        <w:rPr>
          <w:color w:val="323232"/>
        </w:rPr>
        <w:t xml:space="preserve">ANIMALS:Seventy five privately owned dogs: 59 cavalier King Charles Spaniels (CKCS) with different severities of MMVD and 16 dogs of different breeds with clinical signs of congestive heart failure (CHF) caused by MMVD.</w:t>
      </w:r>
    </w:p>
    <w:p/>
    <w:p>
      <w:pPr>
        <w:pStyle w:val="Normal"/>
      </w:pPr>
      <w:r>
        <w:rPr>
          <w:color w:val="323232"/>
        </w:rPr>
        <w:t xml:space="preserve">METHODS:Markers of oxidative stress including malondialdehyde (MDA), oxidized low-density lipoprotein (oxLDL), and vitamin E (α-tocopherol and γ-tocopherol) were measured in plasma and their association with clinical stage of MMVD was assessed by regression analyses.</w:t>
      </w:r>
    </w:p>
    <w:p/>
    <w:p>
      <w:pPr>
        <w:pStyle w:val="Normal"/>
      </w:pPr>
      <w:r>
        <w:rPr>
          <w:color w:val="323232"/>
        </w:rPr>
        <w:t xml:space="preserve">RESULTS:Plasma oxLDL concentration was significantly lower in female dogs compared with males (P = .01). Significantly higher plasma γ-tocopherol concentrations were found in neutered (P = .003) dogs. Vitamin E (α-tocopherol [P = .0004] and γ-tocopherol [P = .003]) was associated with body condition score (BCS), but the association disappeared when cholesterol was included in the analyses. All markers of oxidative stress (MDA, oxLDL, and vitamin E) were positively associated with serum cholesterol concentration (P ≤ .04), but none were associated with clinical stage of MMVD.</w:t>
      </w:r>
    </w:p>
    <w:p/>
    <w:p>
      <w:pPr>
        <w:pStyle w:val="Normal"/>
      </w:pPr>
      <w:r>
        <w:rPr>
          <w:color w:val="323232"/>
        </w:rPr>
        <w:t xml:space="preserve">CONCLUSIONS:In conclusion, markers of oxidative stress are associated with sex, BCS, neuter status, and cholesterol. The results cannot confirm a relationship between oxidative stress and clinical stage of the disease in dogs with MMVD.</w:t>
      </w:r>
    </w:p>
    <w:p/>
    <w:p>
      <w:pPr>
        <w:pStyle w:val="Normal"/>
      </w:pPr>
      <w:r>
        <w:rPr>
          <w:color w:val="323232"/>
        </w:rPr>
        <w:t xml:space="preserve">J Vet Intern Med, 2017 vol. 31 (2), 7 pp. 295-302.</w:t>
      </w:r>
    </w:p>
    <w:p>
      <w:r>
        <w:rPr>
          <w:rStyle w:val="Hyperlink"/>
        </w:rPr>
        <w:fldChar w:fldCharType="begin"/>
      </w:r>
      <w:r>
        <w:rPr>
          <w:rStyle w:val="Hyperlink"/>
        </w:rPr>
        <w:instrText xml:space="preserve"> HYPERLINK "http://doi.wiley.com/10.1111/jvim.14647" </w:instrText>
      </w:r>
      <w:r>
        <w:rPr>
          <w:rStyle w:val="Hyperlink"/>
        </w:rPr>
      </w:r>
      <w:r>
        <w:rPr>
          <w:rStyle w:val="Hyperlink"/>
        </w:rPr>
        <w:fldChar w:fldCharType="separate"/>
      </w:r>
      <w:pPr>
        <w:pStyle w:val="Normal"/>
      </w:pPr>
      <w:r>
        <w:rPr>
          <w:rStyle w:val="Hyperlink"/>
        </w:rPr>
        <w:t xml:space="preserve">http://doi.wiley.com/10.1111/jvim.14647</w:t>
      </w:r>
      <w:r>
        <w:rPr>
          <w:rStyle w:val="Hyperlink"/>
        </w:rPr>
        <w:fldChar w:fldCharType="end"/>
      </w:r>
    </w:p>
    <w:p>
      <w:pPr>
        <w:pStyle w:val="Normal"/>
      </w:pPr>
      <w:r>
        <w:rPr>
          <w:color w:val="323232"/>
        </w:rPr>
        <w:t xml:space="preserve">————————</w:t>
      </w:r>
    </w:p>
    <w:p>
      <w:pPr>
        <w:pStyle w:val="Heading4"/>
      </w:pPr>
      <w:r>
        <w:t xml:space="preserve">Real-Time 3-Dimensional Echocardiographic Assessment of Effective Regurgitant Orifice Area in Dogs With Myxomatous Mitral Valve Disease.</w:t>
      </w:r>
    </w:p>
    <w:p/>
    <w:p>
      <w:pPr>
        <w:pStyle w:val="Normal"/>
      </w:pPr>
      <w:r>
        <w:rPr>
          <w:color w:val="323232"/>
        </w:rPr>
        <w:t xml:space="preserve">A Tidholm, A Bodegård-Westling, K Höglund, J Haggstrom, and I Ljungvall.</w:t>
      </w:r>
    </w:p>
    <w:p/>
    <w:p>
      <w:pPr>
        <w:pStyle w:val="Normal"/>
      </w:pPr>
      <w:r>
        <w:rPr>
          <w:color w:val="323232"/>
        </w:rPr>
        <w:t xml:space="preserve">BACKGROUND:Effective regurgitant orifice area (EROA), calculated from the vena contracta width (VCW) as the narrowest portion of the proximal regurgitant jet, might be used to estimate severity of mitral regurgitation. However, this simplified assumption only holds when the EROA is circular, which might not be true in dogs with myxomatous mitral valve disease (MMVD).</w:t>
      </w:r>
    </w:p>
    <w:p/>
    <w:p>
      <w:pPr>
        <w:pStyle w:val="Normal"/>
      </w:pPr>
      <w:r>
        <w:rPr>
          <w:color w:val="323232"/>
        </w:rPr>
        <w:t xml:space="preserve">HYPOTHESIS:Effective regurgitant orifice area in dogs with MMVD is noncircular, and using color Doppler real-time 3-dimensional (RT3D) echocardiography, measured EROA in the en face view will be significantly different from calculated EROA.</w:t>
      </w:r>
    </w:p>
    <w:p/>
    <w:p>
      <w:pPr>
        <w:pStyle w:val="Normal"/>
      </w:pPr>
      <w:r>
        <w:rPr>
          <w:color w:val="323232"/>
        </w:rPr>
        <w:t xml:space="preserve">ANIMALS:Hundred and fifty-eight privately owned dogs with naturally occurring MMVD.</w:t>
      </w:r>
    </w:p>
    <w:p/>
    <w:p>
      <w:pPr>
        <w:pStyle w:val="Normal"/>
      </w:pPr>
      <w:r>
        <w:rPr>
          <w:color w:val="323232"/>
        </w:rPr>
        <w:t xml:space="preserve">MATERIALS AND METHODS:Prospective observational study comparing en face view of EROA with calculated EROA using VCW in 4-chamber (4Ch) and 2-chamber (2Ch) view only or combined 4Ch and 2Ch views using RT3D echocardiography.</w:t>
      </w:r>
    </w:p>
    <w:p/>
    <w:p>
      <w:pPr>
        <w:pStyle w:val="Normal"/>
      </w:pPr>
      <w:r>
        <w:rPr>
          <w:color w:val="323232"/>
        </w:rPr>
        <w:t xml:space="preserve">RESULTS:The calculated EROA using the 2Ch view showed a systematic underestimation of 17% compared with the measured en face EROA corrected for body surface area. The calculated EROA using 4Ch and 4Ch + 2Ch views showed less agreement with the en face EROA, and the difference between methods increased with increasing EROA. The difference between calculated and measured EROA showed a systematic underestimation of the calculated EROA by 36% (4Ch) and 33% (4Ch + 2Ch), respectively, compared to measured en face EROA.</w:t>
      </w:r>
    </w:p>
    <w:p/>
    <w:p>
      <w:pPr>
        <w:pStyle w:val="Normal"/>
      </w:pPr>
      <w:r>
        <w:rPr>
          <w:color w:val="323232"/>
        </w:rPr>
        <w:t xml:space="preserve">CONCLUSION AND CLINICAL IMPORTANCE:When replacing measured EROA with calculated EROA using VCW measurements, the 2Ch view is preferred in dogs with MMVD.</w:t>
      </w:r>
    </w:p>
    <w:p/>
    <w:p>
      <w:pPr>
        <w:pStyle w:val="Normal"/>
      </w:pPr>
      <w:r>
        <w:rPr>
          <w:color w:val="323232"/>
        </w:rPr>
        <w:t xml:space="preserve">J Vet Intern Med, 2017 vol. 31 (2) pp. 303-310.</w:t>
      </w:r>
    </w:p>
    <w:p>
      <w:r>
        <w:rPr>
          <w:rStyle w:val="Hyperlink"/>
        </w:rPr>
        <w:fldChar w:fldCharType="begin"/>
      </w:r>
      <w:r>
        <w:rPr>
          <w:rStyle w:val="Hyperlink"/>
        </w:rPr>
        <w:instrText xml:space="preserve"> HYPERLINK "http://doi.wiley.com/10.1111/jvim.14642" </w:instrText>
      </w:r>
      <w:r>
        <w:rPr>
          <w:rStyle w:val="Hyperlink"/>
        </w:rPr>
      </w:r>
      <w:r>
        <w:rPr>
          <w:rStyle w:val="Hyperlink"/>
        </w:rPr>
        <w:fldChar w:fldCharType="separate"/>
      </w:r>
      <w:pPr>
        <w:pStyle w:val="Normal"/>
      </w:pPr>
      <w:r>
        <w:rPr>
          <w:rStyle w:val="Hyperlink"/>
        </w:rPr>
        <w:t xml:space="preserve">http://doi.wiley.com/10.1111/jvim.14642</w:t>
      </w:r>
      <w:r>
        <w:rPr>
          <w:rStyle w:val="Hyperlink"/>
        </w:rPr>
        <w:fldChar w:fldCharType="end"/>
      </w:r>
    </w:p>
    <w:p>
      <w:pPr>
        <w:pStyle w:val="Normal"/>
      </w:pPr>
      <w:r>
        <w:rPr>
          <w:color w:val="323232"/>
        </w:rPr>
        <w:t xml:space="preserve">————————</w:t>
      </w:r>
    </w:p>
    <w:p>
      <w:pPr>
        <w:pStyle w:val="Heading4"/>
      </w:pPr>
      <w:r>
        <w:t xml:space="preserve">Balloon Valvuloplasty of Tricuspid Stenosis: A Retrospective Study of 5 Labrador Retriever Dogs.</w:t>
      </w:r>
    </w:p>
    <w:p/>
    <w:p>
      <w:pPr>
        <w:pStyle w:val="Normal"/>
      </w:pPr>
      <w:r>
        <w:rPr>
          <w:color w:val="323232"/>
        </w:rPr>
        <w:t xml:space="preserve">G A Lake-Bakaar, L G Griffiths, and M D Kittleson.</w:t>
      </w:r>
    </w:p>
    <w:p/>
    <w:p>
      <w:pPr>
        <w:pStyle w:val="Normal"/>
      </w:pPr>
      <w:r>
        <w:rPr>
          <w:color w:val="323232"/>
        </w:rPr>
        <w:t xml:space="preserve">BACKGROUND:There are limited reports of severe tricuspid valve stenosis in dogs and limited data regarding treatment and outcome.</w:t>
      </w:r>
    </w:p>
    <w:p/>
    <w:p>
      <w:pPr>
        <w:pStyle w:val="Normal"/>
      </w:pPr>
      <w:r>
        <w:rPr>
          <w:color w:val="323232"/>
        </w:rPr>
        <w:t xml:space="preserve">OBJECTIVE:To evaluate clinical signs, echocardiographic features, and outcome of balloon valvuloplasty (BV) in dogs with severe tricuspid valve stenosis (TVS) in which BV was attempted.</w:t>
      </w:r>
    </w:p>
    <w:p/>
    <w:p>
      <w:pPr>
        <w:pStyle w:val="Normal"/>
      </w:pPr>
      <w:r>
        <w:rPr>
          <w:color w:val="323232"/>
        </w:rPr>
        <w:t xml:space="preserve">ANIMALS:Five client-owned dogs with severe TVS.</w:t>
      </w:r>
    </w:p>
    <w:p/>
    <w:p>
      <w:pPr>
        <w:pStyle w:val="Normal"/>
      </w:pPr>
      <w:r>
        <w:rPr>
          <w:color w:val="323232"/>
        </w:rPr>
        <w:t xml:space="preserve">METHODS:Records were retrospectively reviewed and data collected regarding signalment, clinical signs, diagnostic findings, procedures, and outcome.</w:t>
      </w:r>
    </w:p>
    <w:p/>
    <w:p>
      <w:pPr>
        <w:pStyle w:val="Normal"/>
      </w:pPr>
      <w:r>
        <w:rPr>
          <w:color w:val="323232"/>
        </w:rPr>
        <w:t xml:space="preserve">RESULTS:All dogs were Labrador Retrievers. Presenting complaints included episodic weakness</w:t>
      </w:r>
      <w:r>
        <w:rPr>
          <w:i w:val="1"/>
          <w:color w:val="323232"/>
        </w:rPr>
        <w:t xml:space="preserve">syncope (4/5), abdominal distension (4/5), lethargy (2/5), and exercise intolerance (2/5). The median and range of measurements before BV were as follows: TV mean velocity 1.5 m</w:t>
      </w:r>
      <w:r>
        <w:rPr>
          <w:color w:val="323232"/>
        </w:rPr>
        <w:t xml:space="preserve"> s (range 1.4-1.7 m/ s); velocity-time integral (VTI) 79.8 cm (42.4-99.1 cm); and TV maximum velocity 2.9 m/ s (2.3-3.2 m/ s). Measurements (available for 3 of 5 dogs) after BV were as follows: TV mean velocity 1.15 m</w:t>
      </w:r>
      <w:r>
        <w:rPr>
          <w:i w:val="1"/>
          <w:color w:val="323232"/>
        </w:rPr>
        <w:t xml:space="preserve">s (0.9-1.4 m</w:t>
      </w:r>
      <w:r>
        <w:rPr>
          <w:color w:val="323232"/>
        </w:rPr>
        <w:t xml:space="preserve"> s); VTI 44.95 cm (41.4-54.8 cm); and TV maximum velocity 1.15 m</w:t>
      </w:r>
      <w:r>
        <w:rPr>
          <w:i w:val="1"/>
          <w:color w:val="323232"/>
        </w:rPr>
        <w:t xml:space="preserve">s (1.9-2.3 m</w:t>
      </w:r>
      <w:r>
        <w:rPr>
          <w:color w:val="323232"/>
        </w:rPr>
        <w:t xml:space="preserve"> s). The procedure was attempted in all dogs and completed in 4/5 dogs. The largest balloon diameter ranged from 15 mm to 25 mm, and length ranged from 4 cm to 5 cm. Right atrial pressure decreased in 4/5 dogs. All but 1 dog had clinical improvement after BV, but recurrence of clinical signs occurred (2/5). Tricuspid regurgitation worsened in 1 dog culminating in right heart failure and euthanasia.</w:t>
      </w:r>
    </w:p>
    <w:p/>
    <w:p>
      <w:pPr>
        <w:pStyle w:val="Normal"/>
      </w:pPr>
      <w:r>
        <w:rPr>
          <w:color w:val="323232"/>
        </w:rPr>
        <w:t xml:space="preserve">CONCLUSIONS AND CLINICAL IMPORTANCE:BV can be an effective treatment; however, clinical signs can recur. Right heart failure due to worsened TR is a potential complication in dogs with pre-existing moderate-to-severe TR.</w:t>
      </w:r>
    </w:p>
    <w:p/>
    <w:p>
      <w:pPr>
        <w:pStyle w:val="Normal"/>
      </w:pPr>
      <w:r>
        <w:rPr>
          <w:color w:val="323232"/>
        </w:rPr>
        <w:t xml:space="preserve">J Vet Intern Med, 2017 vol. 31 (2), 8 pp. 311-315.</w:t>
      </w:r>
    </w:p>
    <w:p>
      <w:r>
        <w:rPr>
          <w:rStyle w:val="Hyperlink"/>
        </w:rPr>
        <w:fldChar w:fldCharType="begin"/>
      </w:r>
      <w:r>
        <w:rPr>
          <w:rStyle w:val="Hyperlink"/>
        </w:rPr>
        <w:instrText xml:space="preserve"> HYPERLINK "http://doi.wiley.com/10.1111/jvim.14671" </w:instrText>
      </w:r>
      <w:r>
        <w:rPr>
          <w:rStyle w:val="Hyperlink"/>
        </w:rPr>
      </w:r>
      <w:r>
        <w:rPr>
          <w:rStyle w:val="Hyperlink"/>
        </w:rPr>
        <w:fldChar w:fldCharType="separate"/>
      </w:r>
      <w:pPr>
        <w:pStyle w:val="Normal"/>
      </w:pPr>
      <w:r>
        <w:rPr>
          <w:rStyle w:val="Hyperlink"/>
        </w:rPr>
        <w:t xml:space="preserve">http://doi.wiley.com/10.1111/jvim.14671</w:t>
      </w:r>
      <w:r>
        <w:rPr>
          <w:rStyle w:val="Hyperlink"/>
        </w:rPr>
        <w:fldChar w:fldCharType="end"/>
      </w:r>
    </w:p>
    <w:p>
      <w:pPr>
        <w:pStyle w:val="Normal"/>
      </w:pPr>
      <w:r>
        <w:rPr>
          <w:color w:val="323232"/>
        </w:rPr>
        <w:t xml:space="preserve">————————</w:t>
      </w:r>
    </w:p>
    <w:p>
      <w:pPr>
        <w:pStyle w:val="Heading4"/>
      </w:pPr>
      <w:r>
        <w:t xml:space="preserve">Left Atrial Strain at Different Stages of Myxomatous Mitral Valve Disease in Dogs.</w:t>
      </w:r>
    </w:p>
    <w:p/>
    <w:p>
      <w:pPr>
        <w:pStyle w:val="Normal"/>
      </w:pPr>
      <w:r>
        <w:rPr>
          <w:color w:val="323232"/>
        </w:rPr>
        <w:t xml:space="preserve">K Nakamura, S Kawamoto, T Osuga, T Morita, N Sasaki, K Morishita, H Ohta, and M Takiguchi.</w:t>
      </w:r>
    </w:p>
    <w:p/>
    <w:p>
      <w:pPr>
        <w:pStyle w:val="Normal"/>
      </w:pPr>
      <w:r>
        <w:rPr>
          <w:color w:val="323232"/>
        </w:rPr>
        <w:t xml:space="preserve">BACKGROUND:Decreased function of the left atrium (LA) is a useful prognostic indicator in dogs with myxomatous mitral valve disease (MMVD). In humans, LA strain is a novel severity indicator of mitral regurgitation, but its clinical utility in dogs has not been confirmed.</w:t>
      </w:r>
    </w:p>
    <w:p/>
    <w:p>
      <w:pPr>
        <w:pStyle w:val="Normal"/>
      </w:pPr>
      <w:r>
        <w:rPr>
          <w:color w:val="323232"/>
        </w:rPr>
        <w:t xml:space="preserve">OBJECTIVES:To examine whether LA strain as evaluated with speckle-tracking echocardiography is associated with MMVD stage in dogs.</w:t>
      </w:r>
    </w:p>
    <w:p/>
    <w:p>
      <w:pPr>
        <w:pStyle w:val="Normal"/>
      </w:pPr>
      <w:r>
        <w:rPr>
          <w:color w:val="323232"/>
        </w:rPr>
        <w:t xml:space="preserve">ANIMALS:Fifty-two client-owned dogs with MMVD.</w:t>
      </w:r>
    </w:p>
    <w:p/>
    <w:p>
      <w:pPr>
        <w:pStyle w:val="Normal"/>
      </w:pPr>
      <w:r>
        <w:rPr>
          <w:color w:val="323232"/>
        </w:rPr>
        <w:t xml:space="preserve">METHODS:Cross-sectional study. Dogs were classified as stage B1, B2, C, or D, according to the American College of Veterinary Internal Medicine consensus. Physical examination findings and echocardiographic variables were compared among the groups. To assess the comparative accuracy of echocardiographic variables in identifying dogs with the presence or history congestive heart failure (CHF), receiver operating characteristic curves and multivariate logistic analysis were used.</w:t>
      </w:r>
    </w:p>
    <w:p/>
    <w:p>
      <w:pPr>
        <w:pStyle w:val="Normal"/>
      </w:pPr>
      <w:r>
        <w:rPr>
          <w:color w:val="323232"/>
        </w:rPr>
        <w:t xml:space="preserve">RESULTS:There were no significant differences in parameters of LA strain between B1 and B2 groups. However, LA longitudinal strain during atrial contraction (εA ) (median, 19.1%; interquartile range, 15.3-24.3% in B1, 19.6%; 14.1-21.4% in B2, 6.2%; 3.18-11.2% in C/ D) and during ventricular systole (εS ) (32.7%; 28.9-39.2% in B1, 35.6%; 31.7-41.9% in B2, 23.6%; 16.9-26.1% in C/ D) were significantly lower in stages C/ D than in stages B1 and B2. In multivariate logistic regression analysis, εA and peak early diastolic mitral inflow velocity were identified as independent indicators of stage C/ D.</w:t>
      </w:r>
    </w:p>
    <w:p/>
    <w:p>
      <w:pPr>
        <w:pStyle w:val="Normal"/>
      </w:pPr>
      <w:r>
        <w:rPr>
          <w:color w:val="323232"/>
        </w:rPr>
        <w:t xml:space="preserve">CONCLUSIONS AND CLINICAL IMPORTANCE:εA was the best predictor of the presence or history of CHF. Further studies are needed to determine the clinical implications of these findings for treatment decisions and prognosis determination.</w:t>
      </w:r>
    </w:p>
    <w:p/>
    <w:p>
      <w:pPr>
        <w:pStyle w:val="Normal"/>
      </w:pPr>
      <w:r>
        <w:rPr>
          <w:color w:val="323232"/>
        </w:rPr>
        <w:t xml:space="preserve">J Vet Intern Med, 2017 vol. 31 (2) pp. 316-325.</w:t>
      </w:r>
    </w:p>
    <w:p>
      <w:r>
        <w:rPr>
          <w:rStyle w:val="Hyperlink"/>
        </w:rPr>
        <w:fldChar w:fldCharType="begin"/>
      </w:r>
      <w:r>
        <w:rPr>
          <w:rStyle w:val="Hyperlink"/>
        </w:rPr>
        <w:instrText xml:space="preserve"> HYPERLINK "http://doi.wiley.com/10.1111/jvim.14660" </w:instrText>
      </w:r>
      <w:r>
        <w:rPr>
          <w:rStyle w:val="Hyperlink"/>
        </w:rPr>
      </w:r>
      <w:r>
        <w:rPr>
          <w:rStyle w:val="Hyperlink"/>
        </w:rPr>
        <w:fldChar w:fldCharType="separate"/>
      </w:r>
      <w:pPr>
        <w:pStyle w:val="Normal"/>
      </w:pPr>
      <w:r>
        <w:rPr>
          <w:rStyle w:val="Hyperlink"/>
        </w:rPr>
        <w:t xml:space="preserve">http://doi.wiley.com/10.1111/jvim.14660</w:t>
      </w:r>
      <w:r>
        <w:rPr>
          <w:rStyle w:val="Hyperlink"/>
        </w:rPr>
        <w:fldChar w:fldCharType="end"/>
      </w:r>
    </w:p>
    <w:p>
      <w:pPr>
        <w:pStyle w:val="Normal"/>
      </w:pPr>
      <w:r>
        <w:rPr>
          <w:color w:val="323232"/>
        </w:rPr>
        <w:t xml:space="preserve">————————</w:t>
      </w:r>
    </w:p>
    <w:p>
      <w:pPr>
        <w:pStyle w:val="Heading4"/>
      </w:pPr>
      <w:r>
        <w:t xml:space="preserve">Clinical Relationship between Cholestatic Disease and Pituitary-Dependent Hyperadrenocorticism in Dogs: A Retrospective Case Series.</w:t>
      </w:r>
    </w:p>
    <w:p/>
    <w:p>
      <w:pPr>
        <w:pStyle w:val="Normal"/>
      </w:pPr>
      <w:r>
        <w:rPr>
          <w:color w:val="323232"/>
        </w:rPr>
        <w:t xml:space="preserve">K-H Kim, S-M Han, K-O Jeon, H-T Kim, Q Li, M-O Ryu, W-J Song, S-C Park, and H-Y Youn.</w:t>
      </w:r>
    </w:p>
    <w:p/>
    <w:p>
      <w:pPr>
        <w:pStyle w:val="Normal"/>
      </w:pPr>
      <w:r>
        <w:rPr>
          <w:color w:val="323232"/>
        </w:rPr>
        <w:t xml:space="preserve">BACKGROUND:A high prevalence of cholestatic disease, including gallbladder mucocele (GBM), has been reported in dogs with naturally occurring pituitary-dependent hyperadrenocorticism (PDH).</w:t>
      </w:r>
    </w:p>
    <w:p/>
    <w:p>
      <w:pPr>
        <w:pStyle w:val="Normal"/>
      </w:pPr>
      <w:r>
        <w:rPr>
          <w:color w:val="323232"/>
        </w:rPr>
        <w:t xml:space="preserve">HYPOTHESIS/OBJECTIVES:Differences exist in the clinical features of dogs with PDH and concurrent cholestatic disease, and also is the management of these dogs with trilostane.</w:t>
      </w:r>
    </w:p>
    <w:p/>
    <w:p>
      <w:pPr>
        <w:pStyle w:val="Normal"/>
      </w:pPr>
      <w:r>
        <w:rPr>
          <w:color w:val="323232"/>
        </w:rPr>
        <w:t xml:space="preserve">ANIMALS:Sixty-five client-owned dogs with naturally occurring PDH.</w:t>
      </w:r>
    </w:p>
    <w:p/>
    <w:p>
      <w:pPr>
        <w:pStyle w:val="Normal"/>
      </w:pPr>
      <w:r>
        <w:rPr>
          <w:color w:val="323232"/>
        </w:rPr>
        <w:t xml:space="preserve">METHODS:This was a retrospective, observational case series. Each dog was treated with trilostane for at least 3 months before the study, and had a good clinical response, as determined by owners. Statistical comparisons of clinical signs, results of routine blood tests, basal and post-ACTH cortisol concentration, and optimal trilostane dosage were made after dogs were separated into the following 3 groups by ultrasonographic imaging: normal on ultrasound (NOU) group, cholestasis group, and GBM group.</w:t>
      </w:r>
    </w:p>
    <w:p/>
    <w:p>
      <w:pPr>
        <w:pStyle w:val="Normal"/>
      </w:pPr>
      <w:r>
        <w:rPr>
          <w:color w:val="323232"/>
        </w:rPr>
        <w:t xml:space="preserve">RESULTS:The GBM group had more severe clinical signs and significantly different total serum cholesterol concentration and post-ACTH stimulation cortisol concentration at the time of diagnosis. Dogs that weighed &lt;6 kg had a significantly higher prevalence of cholestatic disease than did the other dogs (P = .003). The optimal trilostane dosages for the GBM and cholestasis groups were 2.5 and 1.5 times the dosage of the NOU group, respectively (P &lt; .001).</w:t>
      </w:r>
    </w:p>
    <w:p/>
    <w:p>
      <w:pPr>
        <w:pStyle w:val="Normal"/>
      </w:pPr>
      <w:r>
        <w:rPr>
          <w:color w:val="323232"/>
        </w:rPr>
        <w:t xml:space="preserve">CONCLUSIONS AND CLINICAL IMPORTANCE:Gallbladder disease associated with cholestatic disease is correlated with PDH in dogs, in both its clinical features and drug management. These findings may be associated with hypercholesterolemia, unidentified genetic factors, and the hydrophobic nature of trilostane.</w:t>
      </w:r>
    </w:p>
    <w:p/>
    <w:p>
      <w:pPr>
        <w:pStyle w:val="Normal"/>
      </w:pPr>
      <w:r>
        <w:rPr>
          <w:color w:val="323232"/>
        </w:rPr>
        <w:t xml:space="preserve">J Vet Intern Med, 2017 vol. 31 (2) pp. 335-342.</w:t>
      </w:r>
    </w:p>
    <w:p>
      <w:r>
        <w:rPr>
          <w:rStyle w:val="Hyperlink"/>
        </w:rPr>
        <w:fldChar w:fldCharType="begin"/>
      </w:r>
      <w:r>
        <w:rPr>
          <w:rStyle w:val="Hyperlink"/>
        </w:rPr>
        <w:instrText xml:space="preserve"> HYPERLINK "http://doi.wiley.com/10.1111/jvim.14608" </w:instrText>
      </w:r>
      <w:r>
        <w:rPr>
          <w:rStyle w:val="Hyperlink"/>
        </w:rPr>
      </w:r>
      <w:r>
        <w:rPr>
          <w:rStyle w:val="Hyperlink"/>
        </w:rPr>
        <w:fldChar w:fldCharType="separate"/>
      </w:r>
      <w:pPr>
        <w:pStyle w:val="Normal"/>
      </w:pPr>
      <w:r>
        <w:rPr>
          <w:rStyle w:val="Hyperlink"/>
        </w:rPr>
        <w:t xml:space="preserve">http://doi.wiley.com/10.1111/jvim.14608</w:t>
      </w:r>
      <w:r>
        <w:rPr>
          <w:rStyle w:val="Hyperlink"/>
        </w:rPr>
        <w:fldChar w:fldCharType="end"/>
      </w:r>
    </w:p>
    <w:p>
      <w:pPr>
        <w:pStyle w:val="Normal"/>
      </w:pPr>
      <w:r>
        <w:rPr>
          <w:color w:val="323232"/>
        </w:rPr>
        <w:t xml:space="preserve">————————</w:t>
      </w:r>
    </w:p>
    <w:p>
      <w:pPr>
        <w:pStyle w:val="Heading4"/>
      </w:pPr>
      <w:r>
        <w:t xml:space="preserve">The Canine POMC Gene, Obesity in Labrador Retrievers and Susceptibility to Diabetes Mellitus.</w:t>
      </w:r>
    </w:p>
    <w:p/>
    <w:p/>
    <w:p>
      <w:pPr>
        <w:pStyle w:val="Normal"/>
      </w:pPr>
      <w:r>
        <w:rPr>
          <w:color w:val="323232"/>
        </w:rPr>
        <w:t xml:space="preserve">L J Davison, A Holder, B Catchpole, and C A O'Callaghan.</w:t>
      </w:r>
    </w:p>
    <w:p/>
    <w:p>
      <w:pPr>
        <w:pStyle w:val="Normal"/>
      </w:pPr>
      <w:r>
        <w:rPr>
          <w:color w:val="323232"/>
        </w:rPr>
        <w:t xml:space="preserve">BACKGROUND:Diabetes mellitus (DM) in dogs is a common endocrinopathy with a complex genetic architecture. Disease susceptibility in several breeds is associated with polymorphisms in immune response genes, but in the Labrador retriever breed, no genetic associations with DM have been identified. A deletion in the pro-opiomelanocortin (POMC) gene in Labrador retrievers is associated with increased appetite and risk of obesity.</w:t>
      </w:r>
    </w:p>
    <w:p/>
    <w:p>
      <w:pPr>
        <w:pStyle w:val="Normal"/>
      </w:pPr>
      <w:r>
        <w:rPr>
          <w:color w:val="323232"/>
        </w:rPr>
        <w:t xml:space="preserve">HYPOTHESIS/OBJECTIVES:To characterize the POMC deletion in Labrador retrievers, to develop a simple genetic test for this mutation, and to test the hypothesis that the POMC gene deletion is associated with an increased risk of DM in this breed.</w:t>
      </w:r>
    </w:p>
    <w:p/>
    <w:p>
      <w:pPr>
        <w:pStyle w:val="Normal"/>
      </w:pPr>
      <w:r>
        <w:rPr>
          <w:color w:val="323232"/>
        </w:rPr>
        <w:t xml:space="preserve">ANIMALS:Sixty-one non-diabetic Labrador retrievers aged &gt;6</w:t>
      </w:r>
      <w:r>
        <w:rPr>
          <w:color w:val="323232"/>
        </w:rPr>
        <w:t xml:space="preserve"> </w:t>
      </w:r>
      <w:r>
        <w:rPr>
          <w:color w:val="323232"/>
        </w:rPr>
        <w:t xml:space="preserve">years and 57 Labrador retrievers with DM.</w:t>
      </w:r>
    </w:p>
    <w:p/>
    <w:p>
      <w:pPr>
        <w:pStyle w:val="Normal"/>
      </w:pPr>
      <w:r>
        <w:rPr>
          <w:color w:val="323232"/>
        </w:rPr>
        <w:t xml:space="preserve">METHODS:Case-control genotyping study to compare the frequency of the POMC deletion in dogs with and without DM. After polymerase chain reaction (PCR) and sequencing to characterize the mutation, a PCR-based test was developed and validated using 2 different restriction fragment length polymorphism assays.</w:t>
      </w:r>
    </w:p>
    <w:p/>
    <w:p>
      <w:pPr>
        <w:pStyle w:val="Normal"/>
      </w:pPr>
      <w:r>
        <w:rPr>
          <w:color w:val="323232"/>
        </w:rPr>
        <w:t xml:space="preserve">RESULTS:A 14-base-pair deletion was confirmed and localized to exon 3 of the canine POMC gene. A PCR-based test for the deletion was successfully developed. There was no association between the presence of the POMC deletion mutation and DM in this population of Labrador retriever dogs (P</w:t>
      </w:r>
      <w:r>
        <w:rPr>
          <w:color w:val="323232"/>
        </w:rPr>
        <w:t xml:space="preserve"> </w:t>
      </w:r>
      <w:r>
        <w:rPr>
          <w:color w:val="323232"/>
        </w:rPr>
        <w:t xml:space="preserve">=</w:t>
      </w:r>
      <w:r>
        <w:rPr>
          <w:color w:val="323232"/>
        </w:rPr>
        <w:t xml:space="preserve"> </w:t>
      </w:r>
      <w:r>
        <w:rPr>
          <w:color w:val="323232"/>
        </w:rPr>
        <w:t xml:space="preserve">.31).</w:t>
      </w:r>
    </w:p>
    <w:p/>
    <w:p>
      <w:pPr>
        <w:pStyle w:val="Normal"/>
      </w:pPr>
      <w:r>
        <w:rPr>
          <w:color w:val="323232"/>
        </w:rPr>
        <w:t xml:space="preserve">CONCLUSIONS AND CLINICAL IMPORTANCE:This study adds to the existing scientific literature indicating that there is little evidence for a direct link between obesity and DM in dogs.</w:t>
      </w:r>
    </w:p>
    <w:p/>
    <w:p>
      <w:pPr>
        <w:pStyle w:val="Normal"/>
      </w:pPr>
      <w:r>
        <w:rPr>
          <w:color w:val="323232"/>
        </w:rPr>
        <w:t xml:space="preserve">J Vet Intern Med, 2017 vol. 31 (2) pp. 343-348.</w:t>
      </w:r>
    </w:p>
    <w:p>
      <w:r>
        <w:rPr>
          <w:rStyle w:val="Hyperlink"/>
        </w:rPr>
        <w:fldChar w:fldCharType="begin"/>
      </w:r>
      <w:r>
        <w:rPr>
          <w:rStyle w:val="Hyperlink"/>
        </w:rPr>
        <w:instrText xml:space="preserve"> HYPERLINK "http://doi.wiley.com/10.1111/jvim.14636" </w:instrText>
      </w:r>
      <w:r>
        <w:rPr>
          <w:rStyle w:val="Hyperlink"/>
        </w:rPr>
      </w:r>
      <w:r>
        <w:rPr>
          <w:rStyle w:val="Hyperlink"/>
        </w:rPr>
        <w:fldChar w:fldCharType="separate"/>
      </w:r>
      <w:pPr>
        <w:pStyle w:val="Normal"/>
      </w:pPr>
      <w:r>
        <w:rPr>
          <w:rStyle w:val="Hyperlink"/>
        </w:rPr>
        <w:t xml:space="preserve">http://doi.wiley.com/10.1111/jvim.14636</w:t>
      </w:r>
      <w:r>
        <w:rPr>
          <w:rStyle w:val="Hyperlink"/>
        </w:rPr>
        <w:fldChar w:fldCharType="end"/>
      </w:r>
    </w:p>
    <w:p>
      <w:pPr>
        <w:pStyle w:val="Normal"/>
      </w:pPr>
      <w:r>
        <w:rPr>
          <w:color w:val="323232"/>
        </w:rPr>
        <w:t xml:space="preserve">————————</w:t>
      </w:r>
    </w:p>
    <w:p>
      <w:pPr>
        <w:pStyle w:val="Heading4"/>
      </w:pPr>
      <w:r>
        <w:t xml:space="preserve">Association of Hypercalcemia Before Treatment With Hypocalcemia After Treatment in Dogs With Primary Hyperparathyroidism.</w:t>
      </w:r>
    </w:p>
    <w:p/>
    <w:p>
      <w:pPr>
        <w:pStyle w:val="Normal"/>
      </w:pPr>
      <w:r>
        <w:rPr>
          <w:color w:val="323232"/>
        </w:rPr>
        <w:t xml:space="preserve">J D Dear, P H Kass, A M Della Maggiore, and E C Feldman.</w:t>
      </w:r>
    </w:p>
    <w:p/>
    <w:p>
      <w:pPr>
        <w:pStyle w:val="Normal"/>
      </w:pPr>
      <w:r>
        <w:rPr>
          <w:color w:val="323232"/>
        </w:rPr>
        <w:t xml:space="preserve">BACKGROUND:Development of hypocalcemia after treatment of hyperparathyroidism results in increased costs and risk of poorer outcomes. Previous studies have shown conflicting data about predictors of hypocalcemia after these procedures.</w:t>
      </w:r>
    </w:p>
    <w:p/>
    <w:p>
      <w:pPr>
        <w:pStyle w:val="Normal"/>
      </w:pPr>
      <w:r>
        <w:rPr>
          <w:color w:val="323232"/>
        </w:rPr>
        <w:t xml:space="preserve">HYPOTHESIS/OBJECTIVES:The objective of this study was to investigate whether ionized calcium (iCa) concentrations before treatment are predictive of hypocalcemia or its clinical signs after surgical removal or heat ablation in dogs with primary hyperparathyroidism.</w:t>
      </w:r>
    </w:p>
    <w:p/>
    <w:p>
      <w:pPr>
        <w:pStyle w:val="Normal"/>
      </w:pPr>
      <w:r>
        <w:rPr>
          <w:color w:val="323232"/>
        </w:rPr>
        <w:t xml:space="preserve">ANIMALS:Fifty-four dogs with primary hyperparathyroidism (29 female, 25 male; 49 retrospective, 5 prospective).</w:t>
      </w:r>
    </w:p>
    <w:p/>
    <w:p>
      <w:pPr>
        <w:pStyle w:val="Normal"/>
      </w:pPr>
      <w:r>
        <w:rPr>
          <w:color w:val="323232"/>
        </w:rPr>
        <w:t xml:space="preserve">METHODS:Dogs were enrolled if they met the inclusion criteria: persistent hypercalcemia (iCa &gt;1.41 mmol/L) due to primary hyperparathyroidism and absence of preemptive calcitriol treatment. All dogs were treated with parathyroidectomy (n = 37) or percutaneous ultrasound-guided heat ablation (n = 17). After treatment, iCa was monitored twice daily until plateau or intervention.</w:t>
      </w:r>
    </w:p>
    <w:p/>
    <w:p>
      <w:pPr>
        <w:pStyle w:val="Normal"/>
      </w:pPr>
      <w:r>
        <w:rPr>
          <w:color w:val="323232"/>
        </w:rPr>
        <w:t xml:space="preserve">RESULTS:There was a moderate correlation between before-treatment hypercalcemia and after-treatment hypocalcemia. The prospective study was terminated due to ethical concerns given findings in the retrospective section. All dogs were placed into groups according to their pretreatment iCa: 1.46-1.61 mmol /L, 1.62-1.71 mmol /L, iCa 1.72-1.81 mmol /L, or &gt;1.81 mmol /L. After treatment, the mean lowest iCa for each group, respectively, was 1.19, 1.18, 1.13, and 1.01 mmol /L. There was a significant association between higher group and proportion of dogs with iCa &lt;1.00 mmol /L (P = .014).</w:t>
      </w:r>
    </w:p>
    <w:p/>
    <w:p>
      <w:pPr>
        <w:pStyle w:val="Normal"/>
      </w:pPr>
      <w:r>
        <w:rPr>
          <w:color w:val="323232"/>
        </w:rPr>
        <w:t xml:space="preserve">CONCLUSIONS AND CLINICAL IMPORTANCE:This study demonstrates a moderate correlation between iCa concentration before treatment and hypocalcemia after treatment. Dogs with higher initial iCa concentrations should be treated to prevent rapid decline and development of clinical hypocalcemia.</w:t>
      </w:r>
    </w:p>
    <w:p/>
    <w:p>
      <w:pPr>
        <w:pStyle w:val="Normal"/>
      </w:pPr>
      <w:r>
        <w:rPr>
          <w:color w:val="323232"/>
        </w:rPr>
        <w:t xml:space="preserve">J Vet Intern Med, 2017 vol. 31 (2) pp. 349-354.</w:t>
      </w:r>
    </w:p>
    <w:p>
      <w:r>
        <w:rPr>
          <w:rStyle w:val="Hyperlink"/>
        </w:rPr>
        <w:fldChar w:fldCharType="begin"/>
      </w:r>
      <w:r>
        <w:rPr>
          <w:rStyle w:val="Hyperlink"/>
        </w:rPr>
        <w:instrText xml:space="preserve"> HYPERLINK "http://eutils.ncbi.nlm.nih.gov/entrez/eutils/elink.fcgi?dbfrom=pubmed&amp;id=28213926&amp;retmode=ref&amp;cmd=prlinks"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http://eutils.ncbi.nlm.nih.gov/entrez/eutils/elink.fcgi?dbfrom=pubmed&amp;id=28213926&amp;retmode=ref&amp;cmd=prlinks</w:t>
      </w:r>
      <w:r>
        <w:rPr>
          <w:rStyle w:val="Hyperlink"/>
        </w:rPr>
        <w:fldChar w:fldCharType="end"/>
      </w:r>
    </w:p>
    <w:p>
      <w:pPr>
        <w:pStyle w:val="Normal"/>
      </w:pPr>
      <w:r>
        <w:rPr>
          <w:color w:val="323232"/>
        </w:rPr>
        <w:t xml:space="preserve">————————</w:t>
      </w:r>
    </w:p>
    <w:p>
      <w:pPr>
        <w:pStyle w:val="Heading4"/>
      </w:pPr>
      <w:r>
        <w:t xml:space="preserve">Pasireotide Long-Acting Release Treatment for Diabetic Cats with Underlying Hypersomatotropism.</w:t>
      </w:r>
    </w:p>
    <w:p/>
    <w:p>
      <w:pPr>
        <w:pStyle w:val="Normal"/>
      </w:pPr>
      <w:r>
        <w:rPr>
          <w:color w:val="323232"/>
        </w:rPr>
        <w:t xml:space="preserve">R Gostelow, C Scudder, S Keyte, Y Forcada, R C Fowkes, H A Schmid, D B Church, and S J M Niessen.</w:t>
      </w:r>
    </w:p>
    <w:p/>
    <w:p>
      <w:pPr>
        <w:pStyle w:val="Normal"/>
      </w:pPr>
      <w:r>
        <w:rPr>
          <w:color w:val="323232"/>
        </w:rPr>
        <w:t xml:space="preserve">BACKGROUND:Long-term medical management of hypersomatotropism (HS) in cats has proved unrewarding. Pasireotide, a novel somatostatin analogue, decreases serum insulin-like growth factor 1 (IGF-1) and improves insulin sensitivity in cats with HS when administered as a short-acting preparation.</w:t>
      </w:r>
    </w:p>
    <w:p/>
    <w:p>
      <w:pPr>
        <w:pStyle w:val="Normal"/>
      </w:pPr>
      <w:r>
        <w:rPr>
          <w:color w:val="323232"/>
        </w:rPr>
        <w:t xml:space="preserve">OBJECTIVES:Assess once-monthly administration of long-acting pasireotide (pasireotide LAR) for treatment of cats with HS.</w:t>
      </w:r>
    </w:p>
    <w:p/>
    <w:p>
      <w:pPr>
        <w:pStyle w:val="Normal"/>
      </w:pPr>
      <w:r>
        <w:rPr>
          <w:color w:val="323232"/>
        </w:rPr>
        <w:t xml:space="preserve">ANIMALS:Fourteen cats with HS, diagnosed based on diabetes mellitus, pituitary enlargement, and serum IGF-1 &gt; 1000 ng/mL.</w:t>
      </w:r>
    </w:p>
    <w:p/>
    <w:p>
      <w:pPr>
        <w:pStyle w:val="Normal"/>
      </w:pPr>
      <w:r>
        <w:rPr>
          <w:color w:val="323232"/>
        </w:rPr>
        <w:t xml:space="preserve">METHODS:Uncontrolled, prospective cohort study. Cats received pasireotide LAR (6-8 mg/ kg SC) once monthly for 6 months. Fructosamine and IGF-1 concentrations, and 12-hour blood glucose curves (BGCs) were assessed at baseline and then monthly. Product of fructosamine concentration and insulin dose was calculated as an indicator of insulin resistance (Insulin Resistance Index). Linear mixed-effects modeling assessed for significant change in fructosamine, IGF-1, mean blood glucose (MBG) of BGCs, insulin dose (U/kg) and Insulin Resistance Index.</w:t>
      </w:r>
    </w:p>
    <w:p/>
    <w:p>
      <w:pPr>
        <w:pStyle w:val="Normal"/>
      </w:pPr>
      <w:r>
        <w:rPr>
          <w:color w:val="323232"/>
        </w:rPr>
        <w:t xml:space="preserve">RESULTS:Eight cats completed the trial. Three cats entered diabetic remission. Median IGF-1 (baseline: 1962 ng/ mL [range 1051-2000 ng/ mL]; month 6: 1253 ng/ mL [524-1987 ng/ mL]; P &lt; .001) and median Insulin Resistance Index (baseline: 812 μmolU/ L kg [173-3565 μmolU/ L kg]; month 6: 135 μmolU/ L kg [0-443 μmolU/ L kg]; P = .001) decreased significantly. No significant change was found in mean fructosamine (baseline: 494 ± 127 μmol/ L; month 6: 319 ± 113.3 μmol/ L; P = .07) or MBG (baseline: 347.7 ± 111.0 mg</w:t>
      </w:r>
      <w:r>
        <w:rPr>
          <w:i w:val="1"/>
          <w:color w:val="323232"/>
        </w:rPr>
        <w:t xml:space="preserve">dL; month 6: 319.5 ± 113.3 mg</w:t>
      </w:r>
      <w:r>
        <w:rPr>
          <w:color w:val="323232"/>
        </w:rPr>
        <w:t xml:space="preserve">dL; P = .11), despite a significant decrease in median insulin dose (baseline: 1.5 [0.4-5.2] U/ kg; 6 months: 0.3 [0.0-1.4] U/kg; P &lt; .001). Adverse events included diarrhea (n = 11), hypoglycemia (n = 5), and worsening polyphagia (n = 2).</w:t>
      </w:r>
    </w:p>
    <w:p/>
    <w:p>
      <w:pPr>
        <w:pStyle w:val="Normal"/>
      </w:pPr>
      <w:r>
        <w:rPr>
          <w:color w:val="323232"/>
        </w:rPr>
        <w:t xml:space="preserve">CONCLUSIONS AND CLINICAL IMPORTANCE:Pasireotide LAR is the first drug to show potential as a long-term management option for cats with HS.</w:t>
      </w:r>
    </w:p>
    <w:p/>
    <w:p>
      <w:pPr>
        <w:pStyle w:val="Normal"/>
      </w:pPr>
      <w:r>
        <w:rPr>
          <w:color w:val="323232"/>
        </w:rPr>
        <w:t xml:space="preserve">J Vet Intern Med, 2017 vol. 31 (2), 4 pp. 355-364.</w:t>
      </w:r>
    </w:p>
    <w:p>
      <w:r>
        <w:rPr>
          <w:rStyle w:val="Hyperlink"/>
        </w:rPr>
        <w:fldChar w:fldCharType="begin"/>
      </w:r>
      <w:r>
        <w:rPr>
          <w:rStyle w:val="Hyperlink"/>
        </w:rPr>
        <w:instrText xml:space="preserve"> HYPERLINK "http://doi.wiley.com/10.1111/jvim.14662" </w:instrText>
      </w:r>
      <w:r>
        <w:rPr>
          <w:rStyle w:val="Hyperlink"/>
        </w:rPr>
      </w:r>
      <w:r>
        <w:rPr>
          <w:rStyle w:val="Hyperlink"/>
        </w:rPr>
        <w:fldChar w:fldCharType="separate"/>
      </w:r>
      <w:pPr>
        <w:pStyle w:val="Normal"/>
      </w:pPr>
      <w:r>
        <w:rPr>
          <w:rStyle w:val="Hyperlink"/>
        </w:rPr>
        <w:t xml:space="preserve">http://doi.wiley.com/10.1111/jvim.14662</w:t>
      </w:r>
      <w:r>
        <w:rPr>
          <w:rStyle w:val="Hyperlink"/>
        </w:rPr>
        <w:fldChar w:fldCharType="end"/>
      </w:r>
    </w:p>
    <w:p>
      <w:pPr>
        <w:pStyle w:val="Normal"/>
      </w:pPr>
      <w:r>
        <w:rPr>
          <w:color w:val="323232"/>
        </w:rPr>
        <w:t xml:space="preserve">————————</w:t>
      </w:r>
    </w:p>
    <w:p>
      <w:pPr>
        <w:pStyle w:val="Heading4"/>
      </w:pPr>
      <w:r>
        <w:t xml:space="preserve">Applicability of 99m Tc-Labeled Human Serum Albumin Scintigraphy in Dogs With Protein-Losing Enteropathy.</w:t>
      </w:r>
    </w:p>
    <w:p/>
    <w:p>
      <w:pPr>
        <w:pStyle w:val="Normal"/>
      </w:pPr>
      <w:r>
        <w:rPr>
          <w:color w:val="323232"/>
        </w:rPr>
        <w:t xml:space="preserve">N Engelmann, N Ondreka, K von Pückler, S Mohrs, J Sicken, and R Neiger.</w:t>
      </w:r>
    </w:p>
    <w:p/>
    <w:p>
      <w:pPr>
        <w:pStyle w:val="Normal"/>
      </w:pPr>
      <w:r>
        <w:rPr>
          <w:color w:val="323232"/>
        </w:rPr>
        <w:t xml:space="preserve">BACKGROUND:Diagnosis of protein loss into the gastrointestinal tract using noninvasive techniques is challenging. In people, scintigraphy not only is a sensitive tool to confirm protein-losing enteropathy (PLE), but it also allows for localization of protein loss.</w:t>
      </w:r>
    </w:p>
    <w:p/>
    <w:p>
      <w:pPr>
        <w:pStyle w:val="Normal"/>
      </w:pPr>
      <w:r>
        <w:rPr>
          <w:color w:val="323232"/>
        </w:rPr>
        <w:t xml:space="preserve">HYPOTHESIS/OBJECTIVES:To investigate the feasibility of 99m Tc-labeled human serum albumin (HSA) scintigraphy in dogs with PLE in comparison with control dogs.</w:t>
      </w:r>
    </w:p>
    <w:p/>
    <w:p>
      <w:pPr>
        <w:pStyle w:val="Normal"/>
      </w:pPr>
      <w:r>
        <w:rPr>
          <w:color w:val="323232"/>
        </w:rPr>
        <w:t xml:space="preserve">ANIMALS:A total of 8 clinically healthy control research dogs and 7 client-owned dogs with gastrointestinal clinical signs and hypoalbuminemia (serum albumin concentration &lt;2.0 g/dL).</w:t>
      </w:r>
    </w:p>
    <w:p/>
    <w:p>
      <w:pPr>
        <w:pStyle w:val="Normal"/>
      </w:pPr>
      <w:r>
        <w:rPr>
          <w:color w:val="323232"/>
        </w:rPr>
        <w:t xml:space="preserve">METHODS:Prospective case-control study. After IV injection of 400 MBq freshly prepared 99m Tc HSA (30 mg/dog), images of the abdomen were obtained 10, 60, 120, and 240 minutes postinjection. Additional images of the salivary and thyroid glands were obtained to rule out free 99m Tc. A scan was considered positive for PLE when radiopharmaceutical exudation was detectable in the intestinal tract.</w:t>
      </w:r>
    </w:p>
    <w:p/>
    <w:p>
      <w:pPr>
        <w:pStyle w:val="Normal"/>
      </w:pPr>
      <w:r>
        <w:rPr>
          <w:color w:val="323232"/>
        </w:rPr>
        <w:t xml:space="preserve">RESULTS:Only 1 control dog showed exudation of the radiopharmaceutical into the intestinal tract. No free 99m Tc was detected in any dog. In dogs with PLE, focal small intestinal and diffuse small intestinal radiopharmaceutical exudation into the bowel was detected in 2 and 3 dogs, respectively, whereas in 2 dogs, there was disagreement about whether radiopharmaceutical exudation was focal or diffuse.</w:t>
      </w:r>
    </w:p>
    <w:p/>
    <w:p>
      <w:pPr>
        <w:pStyle w:val="Normal"/>
      </w:pPr>
      <w:r>
        <w:rPr>
          <w:color w:val="323232"/>
        </w:rPr>
        <w:t xml:space="preserve">CONCLUSION AND CLINICAL IMPORTANCE:99m Tc-labeled HSA scintigraphy was feasible to diagnose PLE in dogs.</w:t>
      </w:r>
    </w:p>
    <w:p/>
    <w:p>
      <w:pPr>
        <w:pStyle w:val="Normal"/>
      </w:pPr>
      <w:r>
        <w:rPr>
          <w:color w:val="323232"/>
        </w:rPr>
        <w:t xml:space="preserve">J Vet Intern Med, 2017 vol. 31 (2) pp. 365-370.</w:t>
      </w:r>
    </w:p>
    <w:p>
      <w:r>
        <w:rPr>
          <w:rStyle w:val="Hyperlink"/>
        </w:rPr>
        <w:fldChar w:fldCharType="begin"/>
      </w:r>
      <w:r>
        <w:rPr>
          <w:rStyle w:val="Hyperlink"/>
        </w:rPr>
        <w:instrText xml:space="preserve"> HYPERLINK "http://doi.wiley.com/10.1111/jvim.14673" </w:instrText>
      </w:r>
      <w:r>
        <w:rPr>
          <w:rStyle w:val="Hyperlink"/>
        </w:rPr>
      </w:r>
      <w:r>
        <w:rPr>
          <w:rStyle w:val="Hyperlink"/>
        </w:rPr>
        <w:fldChar w:fldCharType="separate"/>
      </w:r>
      <w:pPr>
        <w:pStyle w:val="Normal"/>
      </w:pPr>
      <w:r>
        <w:rPr>
          <w:rStyle w:val="Hyperlink"/>
        </w:rPr>
        <w:t xml:space="preserve">http://doi.wiley.com/10.1111/jvim.14673</w:t>
      </w:r>
      <w:r>
        <w:rPr>
          <w:rStyle w:val="Hyperlink"/>
        </w:rPr>
        <w:fldChar w:fldCharType="end"/>
      </w:r>
    </w:p>
    <w:p>
      <w:pPr>
        <w:pStyle w:val="Normal"/>
      </w:pPr>
      <w:r>
        <w:rPr>
          <w:color w:val="323232"/>
        </w:rPr>
        <w:t xml:space="preserve">————————</w:t>
      </w:r>
    </w:p>
    <w:p>
      <w:pPr>
        <w:pStyle w:val="Heading4"/>
      </w:pPr>
      <w:r>
        <w:t xml:space="preserve">Histopathologic Characteristics of Intestinal Biopsy Samples from Dogs With Chronic Inflammatory Enteropathy With and Without Hypoalbuminemia.</w:t>
      </w:r>
    </w:p>
    <w:p/>
    <w:p>
      <w:pPr>
        <w:pStyle w:val="Normal"/>
      </w:pPr>
      <w:r>
        <w:rPr>
          <w:color w:val="323232"/>
        </w:rPr>
        <w:t xml:space="preserve">S A Wennogle, S L Priestnall, and C B Webb.</w:t>
      </w:r>
    </w:p>
    <w:p/>
    <w:p>
      <w:pPr>
        <w:pStyle w:val="Normal"/>
      </w:pPr>
      <w:r>
        <w:rPr>
          <w:color w:val="323232"/>
        </w:rPr>
        <w:t xml:space="preserve">BACKGROUND:Previous studies have identified hypoalbuminemia as a risk factor for negative outcome in dogs with chronic enteropathy (CE), but it has not been determined whether histopathology differs between CE dogs with and without hypoalbuminemia.</w:t>
      </w:r>
    </w:p>
    <w:p/>
    <w:p>
      <w:pPr>
        <w:pStyle w:val="Normal"/>
      </w:pPr>
      <w:r>
        <w:rPr>
          <w:color w:val="323232"/>
        </w:rPr>
        <w:t xml:space="preserve">OBJECTIVE:To compare histopathologic findings in dogs with biopsy-diagnosed inflammatory CE with and without hypoalbuminemia.</w:t>
      </w:r>
    </w:p>
    <w:p/>
    <w:p>
      <w:pPr>
        <w:pStyle w:val="Normal"/>
      </w:pPr>
      <w:r>
        <w:rPr>
          <w:color w:val="323232"/>
        </w:rPr>
        <w:t xml:space="preserve">ANIMALS:83 dogs that had intestinal biopsy performed between January 2010-July 2015. Dogs had signs compatible with CE of at least 3-weeks' duration and no evidence of clinically relevant extra-gastrointestinal (GI) disease or potential non-GI causes of hypoalbuminemia. Dogs had primary diagnosis of inflammatory enteritis based on histopathology.</w:t>
      </w:r>
    </w:p>
    <w:p/>
    <w:p>
      <w:pPr>
        <w:pStyle w:val="Normal"/>
      </w:pPr>
      <w:r>
        <w:rPr>
          <w:color w:val="323232"/>
        </w:rPr>
        <w:t xml:space="preserve">METHODS:Dogs were grouped into CE with normoalbuminemia (CEN; serum albumin concentration ≥3.0 g</w:t>
      </w:r>
      <w:r>
        <w:rPr>
          <w:i w:val="1"/>
          <w:color w:val="323232"/>
        </w:rPr>
        <w:t xml:space="preserve">dL, N = 46) or chronic enteropathy with hypoalbuminemia (CEH; serum albumin concentration &lt;3.0 g</w:t>
      </w:r>
      <w:r>
        <w:rPr>
          <w:color w:val="323232"/>
        </w:rPr>
        <w:t xml:space="preserve">dL, N = 37). A pathologist (SLP) blinded to the groups reviewed biopsy samples and applied the World Small Animal Veterinary Association scoring system to all samples.</w:t>
      </w:r>
    </w:p>
    <w:p/>
    <w:p>
      <w:pPr>
        <w:pStyle w:val="Normal"/>
      </w:pPr>
      <w:r>
        <w:rPr>
          <w:color w:val="323232"/>
        </w:rPr>
        <w:t xml:space="preserve">RESULTS:Intestinal biopsy samples from dogs in the CEH group were significantly more likely to display villous stunting, epithelial injury, crypt distension, and lacteal dilatation, and were more likely to have intraepithelial lymphocytes and lamina propria neutrophils than biopsy samples from dogs in the CEN group. Additionally, higher scores for each of the above listed histopathologic criteria were associated with a lower serum albumin concentration.</w:t>
      </w:r>
    </w:p>
    <w:p/>
    <w:p>
      <w:pPr>
        <w:pStyle w:val="Normal"/>
      </w:pPr>
      <w:r>
        <w:rPr>
          <w:color w:val="323232"/>
        </w:rPr>
        <w:t xml:space="preserve">CONCLUSIONS AND CLINICAL IMPORTANCE:Histopathologic features of chronic inflammatory enteropathy differ between dogs that are hypo- versus normoalbuminemic. Additional work is needed to elucidate the clinical relevance of these differences.</w:t>
      </w:r>
    </w:p>
    <w:p/>
    <w:p>
      <w:pPr>
        <w:pStyle w:val="Normal"/>
      </w:pPr>
      <w:r>
        <w:rPr>
          <w:color w:val="323232"/>
        </w:rPr>
        <w:t xml:space="preserve">J Vet Intern Med, 2017 vol. 31 (2) pp. 371-376.</w:t>
      </w:r>
    </w:p>
    <w:p>
      <w:r>
        <w:rPr>
          <w:rStyle w:val="Hyperlink"/>
        </w:rPr>
        <w:fldChar w:fldCharType="begin"/>
      </w:r>
      <w:r>
        <w:rPr>
          <w:rStyle w:val="Hyperlink"/>
        </w:rPr>
        <w:instrText xml:space="preserve"> HYPERLINK "http://doi.wiley.com/10.1111/jvim.14669" </w:instrText>
      </w:r>
      <w:r>
        <w:rPr>
          <w:rStyle w:val="Hyperlink"/>
        </w:rPr>
      </w:r>
      <w:r>
        <w:rPr>
          <w:rStyle w:val="Hyperlink"/>
        </w:rPr>
        <w:fldChar w:fldCharType="separate"/>
      </w:r>
      <w:pPr>
        <w:pStyle w:val="Normal"/>
      </w:pPr>
      <w:r>
        <w:rPr>
          <w:rStyle w:val="Hyperlink"/>
        </w:rPr>
        <w:t xml:space="preserve">http://doi.wiley.com/10.1111/jvim.14669</w:t>
      </w:r>
      <w:r>
        <w:rPr>
          <w:rStyle w:val="Hyperlink"/>
        </w:rPr>
        <w:fldChar w:fldCharType="end"/>
      </w:r>
    </w:p>
    <w:p>
      <w:pPr>
        <w:pStyle w:val="Normal"/>
      </w:pPr>
      <w:r>
        <w:rPr>
          <w:color w:val="323232"/>
        </w:rPr>
        <w:t xml:space="preserve">————————</w:t>
      </w:r>
    </w:p>
    <w:p>
      <w:pPr>
        <w:pStyle w:val="Heading4"/>
      </w:pPr>
      <w:r>
        <w:t xml:space="preserve">Efficacy of a Probiotic-Prebiotic Supplement on Incidence of Diarrhea in a Dog Shelter: A Randomized, Double-Blind, Placebo-Controlled Trial.</w:t>
      </w:r>
    </w:p>
    <w:p/>
    <w:p>
      <w:pPr>
        <w:pStyle w:val="Normal"/>
      </w:pPr>
      <w:r>
        <w:rPr>
          <w:color w:val="323232"/>
        </w:rPr>
        <w:t xml:space="preserve">L Rose, J Rose, S Gosling, and M Holmes.</w:t>
      </w:r>
    </w:p>
    <w:p/>
    <w:p>
      <w:pPr>
        <w:pStyle w:val="Normal"/>
      </w:pPr>
      <w:r>
        <w:rPr>
          <w:color w:val="323232"/>
        </w:rPr>
        <w:t xml:space="preserve">BACKGROUND:Diarrhea is the most frequent morbidity affecting kenneled dogs in animal shelters. Diarrhea impacts animal welfare and the finances of the shelter as they must treat, clean, and house affected animals until recovered.</w:t>
      </w:r>
    </w:p>
    <w:p/>
    <w:p>
      <w:pPr>
        <w:pStyle w:val="Normal"/>
      </w:pPr>
      <w:r>
        <w:rPr>
          <w:color w:val="323232"/>
        </w:rPr>
        <w:t xml:space="preserve">HYPOTHESIS/OBJECTIVES:Supplementing dogs entering an animal shelter with a probiotic-prebiotic, known as a synbiotic, will decrease the incidence of diarrhea.</w:t>
      </w:r>
    </w:p>
    <w:p/>
    <w:p>
      <w:pPr>
        <w:pStyle w:val="Normal"/>
      </w:pPr>
      <w:r>
        <w:rPr>
          <w:color w:val="323232"/>
        </w:rPr>
        <w:t xml:space="preserve">ANIMALS:Seven hundred and seventy-three dogs entering an animal shelter in the United Kingdom.</w:t>
      </w:r>
    </w:p>
    <w:p/>
    <w:p>
      <w:pPr>
        <w:pStyle w:val="Normal"/>
      </w:pPr>
      <w:r>
        <w:rPr>
          <w:color w:val="323232"/>
        </w:rPr>
        <w:t xml:space="preserve">METHODS:A prospective double-blind, randomized, placebo-controlled trial.</w:t>
      </w:r>
    </w:p>
    <w:p/>
    <w:p>
      <w:pPr>
        <w:pStyle w:val="Normal"/>
      </w:pPr>
      <w:r>
        <w:rPr>
          <w:color w:val="323232"/>
        </w:rPr>
        <w:t xml:space="preserve">RESULTS:Statistical difference was found between the groups across 3 measures of diarrhea incidence. First, the mean percentage of scored days per dog that were scored as diarrhea throughout their stay was 2.0% in the synbiotic group and 3.2% in the placebo group (P = .0022). Second, the occurrence of diarrhea within the first 14 days' stay was 18.8% in the synbiotic product group and 27.2% in the placebo group (P = .0008). Third, the occurrence of ≥2 consecutive days of diarrhea within the first 14 days' stay was 4.6% in the synbiotic product group and 8.0% in the placebo group (P = .0300).</w:t>
      </w:r>
    </w:p>
    <w:p/>
    <w:p>
      <w:pPr>
        <w:pStyle w:val="Normal"/>
      </w:pPr>
      <w:r>
        <w:rPr>
          <w:color w:val="323232"/>
        </w:rPr>
        <w:t xml:space="preserve">CONCLUSIONS AND CLINICAL IMPORTANCE:Supplementing healthy dogs entering an animal shelter with a synbiotic supplement significantly decreased the incidence of diarrhea in this trial. Animal shelters can use synbiotic supplements to improve animal welfare and decrease costs involved in cleaning and housing animals as well as potentially decreasing veterinary intervention.</w:t>
      </w:r>
    </w:p>
    <w:p/>
    <w:p>
      <w:pPr>
        <w:pStyle w:val="Normal"/>
      </w:pPr>
      <w:r>
        <w:rPr>
          <w:color w:val="323232"/>
        </w:rPr>
        <w:t xml:space="preserve">J Vet Intern Med, 2017 vol. 31 (2) pp. 377-382.</w:t>
      </w:r>
    </w:p>
    <w:p>
      <w:r>
        <w:rPr>
          <w:rStyle w:val="Hyperlink"/>
        </w:rPr>
        <w:fldChar w:fldCharType="begin"/>
      </w:r>
      <w:r>
        <w:rPr>
          <w:rStyle w:val="Hyperlink"/>
        </w:rPr>
        <w:instrText xml:space="preserve"> HYPERLINK "http://doi.wiley.com/10.1111/jvim.14666" </w:instrText>
      </w:r>
      <w:r>
        <w:rPr>
          <w:rStyle w:val="Hyperlink"/>
        </w:rPr>
      </w:r>
      <w:r>
        <w:rPr>
          <w:rStyle w:val="Hyperlink"/>
        </w:rPr>
        <w:fldChar w:fldCharType="separate"/>
      </w:r>
      <w:pPr>
        <w:pStyle w:val="Normal"/>
      </w:pPr>
      <w:r>
        <w:rPr>
          <w:rStyle w:val="Hyperlink"/>
        </w:rPr>
        <w:t xml:space="preserve">http://doi.wiley.com/10.1111/jvim.14666</w:t>
      </w:r>
      <w:r>
        <w:rPr>
          <w:rStyle w:val="Hyperlink"/>
        </w:rPr>
        <w:fldChar w:fldCharType="end"/>
      </w:r>
    </w:p>
    <w:p>
      <w:pPr>
        <w:pStyle w:val="Normal"/>
      </w:pPr>
      <w:r>
        <w:rPr>
          <w:color w:val="323232"/>
        </w:rPr>
        <w:t xml:space="preserve">————————</w:t>
      </w:r>
    </w:p>
    <w:p>
      <w:pPr>
        <w:pStyle w:val="Heading4"/>
      </w:pPr>
      <w:r>
        <w:t xml:space="preserve">Validation of Ultrasonography for Assessment of Gastric Emptying Time in Healthy Cats by Radionuclide Scintigraphy.</w:t>
      </w:r>
    </w:p>
    <w:p/>
    <w:p>
      <w:pPr>
        <w:pStyle w:val="Normal"/>
      </w:pPr>
      <w:r>
        <w:rPr>
          <w:color w:val="323232"/>
        </w:rPr>
        <w:t xml:space="preserve">R Husnik, J M Fletcher, L Gaschen, and F P Gaschen.</w:t>
      </w:r>
    </w:p>
    <w:p/>
    <w:p>
      <w:pPr>
        <w:pStyle w:val="Normal"/>
      </w:pPr>
      <w:r>
        <w:rPr>
          <w:color w:val="323232"/>
        </w:rPr>
        <w:t xml:space="preserve">BACKGROUND:The prevalence of gastric emptying (GE) disorders in cats is unknown due to lack of clinically applicable diagnostic tests.</w:t>
      </w:r>
    </w:p>
    <w:p/>
    <w:p>
      <w:pPr>
        <w:pStyle w:val="Normal"/>
      </w:pPr>
      <w:r>
        <w:rPr>
          <w:color w:val="323232"/>
        </w:rPr>
        <w:t xml:space="preserve">OBJECTIVES:The principal aim of this study was to assess correlation between scintigraphic and ultrasonographic measurements of GE time (GET) in healthy cats. Additionally, variability of ultrasonographic GET, and correlation between scintigraphy and ultrasonographic parameters of gastric motility were evaluated.</w:t>
      </w:r>
    </w:p>
    <w:p/>
    <w:p>
      <w:pPr>
        <w:pStyle w:val="Normal"/>
      </w:pPr>
      <w:r>
        <w:rPr>
          <w:color w:val="323232"/>
        </w:rPr>
        <w:t xml:space="preserve">ANIMALS:Eight healthy domestic shorthair cats.</w:t>
      </w:r>
    </w:p>
    <w:p/>
    <w:p>
      <w:pPr>
        <w:pStyle w:val="Normal"/>
      </w:pPr>
      <w:r>
        <w:rPr>
          <w:color w:val="323232"/>
        </w:rPr>
        <w:t xml:space="preserve">METHODS:Prospective study. Scintigraphic GET was determined using a solid test meal containing 4 mCi 99m Tc-mebrofenin. Each cat had 3 separate ultrasonographic assessments of GE, performed independent of scintigraphic assessment, after solid test meal consumption. The motility index (MI) of antral contractions was plotted against time and time for each fraction of the area under the MI curve determined. Ultrasonographic GET and MI were correlated to scintigraphic GET.</w:t>
      </w:r>
    </w:p>
    <w:p/>
    <w:p>
      <w:pPr>
        <w:pStyle w:val="Normal"/>
      </w:pPr>
      <w:r>
        <w:rPr>
          <w:color w:val="323232"/>
        </w:rPr>
        <w:t xml:space="preserve">RESULTS:Scintigraphic GET (mean ± SD) for 25, 50, and 75% GE was 103 ± 32 minutes, 196 ± 45 minutes, and 288 ± 62 minutes, whereas sonographic GET for 25, 50, and 75% GE was 106 ± 13 minutes, 203 ± 19 minutes, and 305 ± 27 minutes. There was good correlation between scintigraphic and sonographic GET (r = 0.72-0.82) at 45-90% fractional GE and between scintigraphic GET and time of corresponding MI curve fraction (r = 0.78-0.86) at 40-90% fraction of the MI curve. There was moderate intraindividual variability for sonographic GET and MI curve fraction times as well as significant variation among individuals.</w:t>
      </w:r>
    </w:p>
    <w:p/>
    <w:p>
      <w:pPr>
        <w:pStyle w:val="Normal"/>
      </w:pPr>
      <w:r>
        <w:rPr>
          <w:color w:val="323232"/>
        </w:rPr>
        <w:t xml:space="preserve">CONCLUSIONS AND CLINICAL IMPORTANCE:Ultrasonography is a valid alternative to scintigraphy for assessment of solid-phase GE and allows assessment of postprandial gastric motility in healthy cats.</w:t>
      </w:r>
    </w:p>
    <w:p/>
    <w:p>
      <w:pPr>
        <w:pStyle w:val="Normal"/>
      </w:pPr>
      <w:r>
        <w:rPr>
          <w:color w:val="323232"/>
        </w:rPr>
        <w:t xml:space="preserve">J Vet Intern Med, 2017 vol. 31 (2), 7 pp. 394-401.</w:t>
      </w:r>
    </w:p>
    <w:p>
      <w:r>
        <w:rPr>
          <w:rStyle w:val="Hyperlink"/>
        </w:rPr>
        <w:fldChar w:fldCharType="begin"/>
      </w:r>
      <w:r>
        <w:rPr>
          <w:rStyle w:val="Hyperlink"/>
        </w:rPr>
        <w:instrText xml:space="preserve"> HYPERLINK "http://doi.wiley.com/10.1111/jvim.14674" </w:instrText>
      </w:r>
      <w:r>
        <w:rPr>
          <w:rStyle w:val="Hyperlink"/>
        </w:rPr>
      </w:r>
      <w:r>
        <w:rPr>
          <w:rStyle w:val="Hyperlink"/>
        </w:rPr>
        <w:fldChar w:fldCharType="separate"/>
      </w:r>
      <w:pPr>
        <w:pStyle w:val="Normal"/>
      </w:pPr>
      <w:r>
        <w:rPr>
          <w:rStyle w:val="Hyperlink"/>
        </w:rPr>
        <w:t xml:space="preserve">http://doi.wiley.com/10.1111/jvim.14674</w:t>
      </w:r>
      <w:r>
        <w:rPr>
          <w:rStyle w:val="Hyperlink"/>
        </w:rPr>
        <w:fldChar w:fldCharType="end"/>
      </w:r>
    </w:p>
    <w:p>
      <w:pPr>
        <w:pStyle w:val="Normal"/>
      </w:pPr>
      <w:r>
        <w:rPr>
          <w:color w:val="323232"/>
        </w:rPr>
        <w:t xml:space="preserve">————————</w:t>
      </w:r>
    </w:p>
    <w:p>
      <w:pPr>
        <w:pStyle w:val="Heading4"/>
      </w:pPr>
      <w:r>
        <w:t xml:space="preserve">Blood Transfusions in Dogs and Cats Receiving Hemodialysis: 230 Cases (June 1997-September 2012).</w:t>
      </w:r>
    </w:p>
    <w:p/>
    <w:p>
      <w:pPr>
        <w:pStyle w:val="Normal"/>
      </w:pPr>
      <w:r>
        <w:rPr>
          <w:color w:val="323232"/>
        </w:rPr>
        <w:t xml:space="preserve">C Langston, A Cook, A Eatroff, E Mitelberg, and S Chalhoub.</w:t>
      </w:r>
    </w:p>
    <w:p/>
    <w:p>
      <w:pPr>
        <w:pStyle w:val="Normal"/>
      </w:pPr>
      <w:r>
        <w:rPr>
          <w:color w:val="323232"/>
        </w:rPr>
        <w:t xml:space="preserve">BACKGROUND:Multiple factors exist that contribute to anemia in dogs and cats receiving hemodialysis, can necessitate transfusion.</w:t>
      </w:r>
    </w:p>
    <w:p/>
    <w:p>
      <w:pPr>
        <w:pStyle w:val="Normal"/>
      </w:pPr>
      <w:r>
        <w:rPr>
          <w:color w:val="323232"/>
        </w:rPr>
        <w:t xml:space="preserve">OBJECTIVES:To describe blood product usage in dogs and cats with acute and chronic kidney disease that were treated with intermittent hemodialysis to determine risk factors associated with the requirement for blood product transfusion.</w:t>
      </w:r>
    </w:p>
    <w:p/>
    <w:p>
      <w:pPr>
        <w:pStyle w:val="Normal"/>
      </w:pPr>
      <w:r>
        <w:rPr>
          <w:color w:val="323232"/>
        </w:rPr>
        <w:t xml:space="preserve">ANIMALS:83 cats and 147 dogs undergoing renal replacement therapy at the Animal Medical Center for acute or chronic kidney disease.</w:t>
      </w:r>
    </w:p>
    <w:p/>
    <w:p>
      <w:pPr>
        <w:pStyle w:val="Normal"/>
      </w:pPr>
      <w:r>
        <w:rPr>
          <w:color w:val="323232"/>
        </w:rPr>
        <w:t xml:space="preserve">METHODS:Retrospective medical record review of all dogs and cats receiving renal replacement therapy for kidney disease, from June 1997 through September 2012.</w:t>
      </w:r>
    </w:p>
    <w:p/>
    <w:p>
      <w:pPr>
        <w:pStyle w:val="Normal"/>
      </w:pPr>
      <w:r>
        <w:rPr>
          <w:color w:val="323232"/>
        </w:rPr>
        <w:t xml:space="preserve">RESULTS:Blood products (whole blood, packed RBCs, or stromal-free hemoglobin) were administered to 87% of cats and 32% of dogs. The number of dialysis treatments was associated with the requirement for transfusion in cats (adjusted OR 2.21, 95% CI 1.13, 4.32), but not in dogs (adjusted OR 0.98, 95% CI 0.95, 1.03). Administration of a blood product was associated with a higher likelihood of death in dogs (OR 3.198, 95% CI 1.352, 7.565; P = .0098), but not in cats (OR 1.527, 95% CI 0.5404, 4.317, P = .2).</w:t>
      </w:r>
    </w:p>
    <w:p/>
    <w:p>
      <w:pPr>
        <w:pStyle w:val="Normal"/>
      </w:pPr>
      <w:r>
        <w:rPr>
          <w:color w:val="323232"/>
        </w:rPr>
        <w:t xml:space="preserve">CONCLUSIONS AND CLINICAL IMPORTANCE:Veterinary hospitals with a hemodialysis unit should have reliable and rapid access to safe blood products in order to meet the needs of dogs and cats receiving dialysis.</w:t>
      </w:r>
    </w:p>
    <w:p/>
    <w:p>
      <w:pPr>
        <w:pStyle w:val="Normal"/>
      </w:pPr>
      <w:r>
        <w:rPr>
          <w:color w:val="323232"/>
        </w:rPr>
        <w:t xml:space="preserve">J Vet Intern Med, 2017 vol. 31 (2), 2 pp. 402-409.</w:t>
      </w:r>
    </w:p>
    <w:p>
      <w:r>
        <w:rPr>
          <w:rStyle w:val="Hyperlink"/>
        </w:rPr>
        <w:fldChar w:fldCharType="begin"/>
      </w:r>
      <w:r>
        <w:rPr>
          <w:rStyle w:val="Hyperlink"/>
        </w:rPr>
        <w:instrText xml:space="preserve"> HYPERLINK "http://doi.wiley.com/10.1111/jvim.14658" </w:instrText>
      </w:r>
      <w:r>
        <w:rPr>
          <w:rStyle w:val="Hyperlink"/>
        </w:rPr>
      </w:r>
      <w:r>
        <w:rPr>
          <w:rStyle w:val="Hyperlink"/>
        </w:rPr>
        <w:fldChar w:fldCharType="separate"/>
      </w:r>
      <w:pPr>
        <w:pStyle w:val="Normal"/>
      </w:pPr>
      <w:r>
        <w:rPr>
          <w:rStyle w:val="Hyperlink"/>
        </w:rPr>
        <w:t xml:space="preserve">http://doi.wiley.com/10.1111/jvim.14658</w:t>
      </w:r>
      <w:r>
        <w:rPr>
          <w:rStyle w:val="Hyperlink"/>
        </w:rPr>
        <w:fldChar w:fldCharType="end"/>
      </w:r>
    </w:p>
    <w:p>
      <w:pPr>
        <w:pStyle w:val="Normal"/>
      </w:pPr>
      <w:r>
        <w:rPr>
          <w:color w:val="323232"/>
        </w:rPr>
        <w:t xml:space="preserve">————————</w:t>
      </w:r>
    </w:p>
    <w:p>
      <w:pPr>
        <w:pStyle w:val="Heading4"/>
      </w:pPr>
      <w:r>
        <w:t xml:space="preserve">Effects of Leukoreduction and Storage on Erythrocyte Phosphatidylserine Expression and Eicosanoid Concentrations in Units of Canine Packed Red Blood Cells.</w:t>
      </w:r>
    </w:p>
    <w:p/>
    <w:p>
      <w:pPr>
        <w:pStyle w:val="Normal"/>
      </w:pPr>
      <w:r>
        <w:rPr>
          <w:color w:val="323232"/>
        </w:rPr>
        <w:t xml:space="preserve">S M Muro, J H Lee, J V Stokes, M K Ross, T M Archer, R W Wills, A J Mackin, and J M Thomason.</w:t>
      </w:r>
    </w:p>
    <w:p/>
    <w:p>
      <w:pPr>
        <w:pStyle w:val="Normal"/>
      </w:pPr>
      <w:r>
        <w:rPr>
          <w:color w:val="323232"/>
        </w:rPr>
        <w:t xml:space="preserve">BACKGROUND:Storage of canine packed red blood cells (pRBCs) can increase erythrocyte phosphatidylserine (PS) expression and eicosanoid concentrations.</w:t>
      </w:r>
    </w:p>
    <w:p/>
    <w:p>
      <w:pPr>
        <w:pStyle w:val="Normal"/>
      </w:pPr>
      <w:r>
        <w:rPr>
          <w:color w:val="323232"/>
        </w:rPr>
        <w:t xml:space="preserve">HYPOTHESIS/OBJECTIVES:To determine the effects of leukoreduction on erythrocyte PS expression and eicosanoid concentrations in stored units of canine pRBCs. Our hypothesis was that leukoreduction would decrease PS expression and eicosanoid concentrations.</w:t>
      </w:r>
    </w:p>
    <w:p/>
    <w:p>
      <w:pPr>
        <w:pStyle w:val="Normal"/>
      </w:pPr>
      <w:r>
        <w:rPr>
          <w:color w:val="323232"/>
        </w:rPr>
        <w:t xml:space="preserve">ANIMALS:Eight healthy dogs.</w:t>
      </w:r>
    </w:p>
    <w:p/>
    <w:p>
      <w:pPr>
        <w:pStyle w:val="Normal"/>
      </w:pPr>
      <w:r>
        <w:rPr>
          <w:color w:val="323232"/>
        </w:rPr>
        <w:t xml:space="preserve">METHODS:In a cross-over study, units of whole blood were leukoreduced (LR) or non-LR and stored (10 and 21 days) as pRBCs. Samples were collected at donation, and before and after a simulated transfusion. PS expression was measured by flow cytometry, and concentrations of arachidonic acid (AA), prostaglandin F2α (PGF2α ), prostaglandin E2 (PGE2 ), prostaglandin D2 (PGD2 ), thromboxane B2 (TXB2 ), 6-keto-prostaglandin F1α (6-keto-PGF1α ), and leukotriene B4 (LTB4 ) were quantified by liquid chromatography-mass spectrometry.</w:t>
      </w:r>
    </w:p>
    <w:p/>
    <w:p>
      <w:pPr>
        <w:pStyle w:val="Normal"/>
      </w:pPr>
      <w:r>
        <w:rPr>
          <w:color w:val="323232"/>
        </w:rPr>
        <w:t xml:space="preserve">RESULTS:There was no change in PS expression during leukoreduction, storage, and simulated transfusion for non-LR and LR units. Immediately after leukoreduction, there was a significant increase in TXB2 and PGF2α concentrations, but during storage, these eicosanoids decreased to non-LR concentrations. In both LR and non-LR units, 6-keto-PGF1α concentrations increased during storage and simulated transfusion, but there was no difference between unit type. There was no difference in AA, LTB4 , PGE2 , and PGD2 concentrations between unit types.</w:t>
      </w:r>
    </w:p>
    <w:p/>
    <w:p>
      <w:pPr>
        <w:pStyle w:val="Normal"/>
      </w:pPr>
      <w:r>
        <w:rPr>
          <w:color w:val="323232"/>
        </w:rPr>
        <w:t xml:space="preserve">CONCLUSIONS AND CLINICAL IMPORTANCE:Leukoreduction, storage, and simulated transfusion do not alter erythrocyte PS expression. Leukoreduction causes an immediate increase in concentrations of TXB2 and PGF2α , but concentrations decrease to non-LR concentrations with storage. Leukoreduction does not decrease the accumulation of 6-keto-PGF1α during storage.</w:t>
      </w:r>
    </w:p>
    <w:p/>
    <w:p>
      <w:pPr>
        <w:pStyle w:val="Normal"/>
      </w:pPr>
      <w:r>
        <w:rPr>
          <w:color w:val="323232"/>
        </w:rPr>
        <w:t xml:space="preserve">J Vet Intern Med, 2017 vol. 31 (2) pp. 410-418.</w:t>
      </w:r>
    </w:p>
    <w:p>
      <w:r>
        <w:rPr>
          <w:rStyle w:val="Hyperlink"/>
        </w:rPr>
        <w:fldChar w:fldCharType="begin"/>
      </w:r>
      <w:r>
        <w:rPr>
          <w:rStyle w:val="Hyperlink"/>
        </w:rPr>
        <w:instrText xml:space="preserve"> HYPERLINK "http://eutils.ncbi.nlm.nih.gov/entrez/eutils/elink.fcgi?dbfrom=pubmed&amp;id=28140476&amp;retmode=ref&amp;cmd=prlinks"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http://eutils.ncbi.nlm.nih.gov/entrez/eutils/elink.fcgi?dbfrom=pubmed&amp;id=28140476&amp;retmode=ref&amp;cmd=prlinks</w:t>
      </w:r>
      <w:r>
        <w:rPr>
          <w:rStyle w:val="Hyperlink"/>
        </w:rPr>
        <w:fldChar w:fldCharType="end"/>
      </w:r>
    </w:p>
    <w:p>
      <w:pPr>
        <w:pStyle w:val="Normal"/>
      </w:pPr>
      <w:r>
        <w:rPr>
          <w:color w:val="323232"/>
        </w:rPr>
        <w:t xml:space="preserve">————————</w:t>
      </w:r>
    </w:p>
    <w:p>
      <w:pPr>
        <w:pStyle w:val="Heading4"/>
      </w:pPr>
      <w:r>
        <w:t xml:space="preserve">Thromboelastography in Dogs with Chronic Hepatopathies.</w:t>
      </w:r>
    </w:p>
    <w:p/>
    <w:p>
      <w:pPr>
        <w:pStyle w:val="Normal"/>
      </w:pPr>
      <w:r>
        <w:rPr>
          <w:color w:val="323232"/>
        </w:rPr>
        <w:t xml:space="preserve">W Fry, C Lester, N M Etedali, S Shaw, A DeLaforcade, and C R L Webster.</w:t>
      </w:r>
    </w:p>
    <w:p/>
    <w:p>
      <w:pPr>
        <w:pStyle w:val="Normal"/>
      </w:pPr>
      <w:r>
        <w:rPr>
          <w:color w:val="323232"/>
        </w:rPr>
        <w:t xml:space="preserve">BACKGROUND:The coagulation status of dogs with liver disease is difficult to predict using conventional coagulation testing.</w:t>
      </w:r>
    </w:p>
    <w:p/>
    <w:p>
      <w:pPr>
        <w:pStyle w:val="Normal"/>
      </w:pPr>
      <w:r>
        <w:rPr>
          <w:color w:val="323232"/>
        </w:rPr>
        <w:t xml:space="preserve">HYPOTHESIS/OBJECTIVES:To evaluate thromboelastography (TEG) results and associations with conventional coagulation results and indicators of disease severity and prognosis in dogs with chronic hepatopathies (CH).</w:t>
      </w:r>
    </w:p>
    <w:p/>
    <w:p>
      <w:pPr>
        <w:pStyle w:val="Normal"/>
      </w:pPr>
      <w:r>
        <w:rPr>
          <w:color w:val="323232"/>
        </w:rPr>
        <w:t xml:space="preserve">ANIMALS:Twenty-one client-owned dogs.</w:t>
      </w:r>
    </w:p>
    <w:p/>
    <w:p>
      <w:pPr>
        <w:pStyle w:val="Normal"/>
      </w:pPr>
      <w:r>
        <w:rPr>
          <w:color w:val="323232"/>
        </w:rPr>
        <w:t xml:space="preserve">METHODS:Dogs with CH were prospectively (10 dogs) and retrospectively (11 dogs) enrolled from 2008 to 2014. Kaolin-activated TEG was performed and compared with reference intervals by t-tests or Mann-Whitney tests. Correlation coefficients for TEG results and conventional coagulation and clinicopathologic results were determined. Significance was set at P &lt; .05.</w:t>
      </w:r>
    </w:p>
    <w:p/>
    <w:p>
      <w:pPr>
        <w:pStyle w:val="Normal"/>
      </w:pPr>
      <w:r>
        <w:rPr>
          <w:color w:val="323232"/>
        </w:rPr>
        <w:t xml:space="preserve">RESULTS:Dogs with CH had significant increases in R (5.30 min vs 4.33 min), K (3.77 min vs 2.11 min), and LY30 (4.77% vs 0.68%) and decreased angles (55.3° vs 62.4°). G value defined 9 of 21, 7 of 21, and 5 of 21 dogs as normocoagulable, hypercoagulable, and hypocoagulable, respectively. G and MA were correlated with fibrinogen (r = 0.68, 0.83), prothrombin time (PT; r = -0.51, -0.53), and activated partial thromboplastin time (aPTT; r = -0.50, -0.50). K was correlated with PT (r = 0.75) and protein C activity (r = -0.92). Angle was correlated with aPTT (r = -0.63). Clinical score was correlated with PT (r = 0.60), MA (r = -0.53), and R (r = -0.47). Dogs with hyperfibrinolysis (LY30 &gt; 3.04%; 5 of 21) had significantly higher serum transaminase activities. Dogs with portal hypertension had significantly lower G, MA, and angle and prolonged, K, R, and PT.</w:t>
      </w:r>
    </w:p>
    <w:p/>
    <w:p>
      <w:pPr>
        <w:pStyle w:val="Normal"/>
      </w:pPr>
      <w:r>
        <w:rPr>
          <w:color w:val="323232"/>
        </w:rPr>
        <w:t xml:space="preserve">CONCLUSIONS AND CLINICAL RELEVANCE:Dogs with CH have variable TEG results. Negative prognostic indicators in CH correlate with hypocoagulable parameters on TEG. Hyperfibrinolysis in dogs with CH is associated with high disease activity.</w:t>
      </w:r>
    </w:p>
    <w:p/>
    <w:p>
      <w:pPr>
        <w:pStyle w:val="Normal"/>
      </w:pPr>
      <w:r>
        <w:rPr>
          <w:color w:val="323232"/>
        </w:rPr>
        <w:t xml:space="preserve">J Vet Intern Med, 2017 vol. 31 (2) pp. 419-426.</w:t>
      </w:r>
    </w:p>
    <w:p>
      <w:r>
        <w:rPr>
          <w:rStyle w:val="Hyperlink"/>
        </w:rPr>
        <w:fldChar w:fldCharType="begin"/>
      </w:r>
      <w:r>
        <w:rPr>
          <w:rStyle w:val="Hyperlink"/>
        </w:rPr>
        <w:instrText xml:space="preserve"> HYPERLINK "http://doi.wiley.com/10.1111/jvim.14639" </w:instrText>
      </w:r>
      <w:r>
        <w:rPr>
          <w:rStyle w:val="Hyperlink"/>
        </w:rPr>
      </w:r>
      <w:r>
        <w:rPr>
          <w:rStyle w:val="Hyperlink"/>
        </w:rPr>
        <w:fldChar w:fldCharType="separate"/>
      </w:r>
      <w:pPr>
        <w:pStyle w:val="Normal"/>
      </w:pPr>
      <w:r>
        <w:rPr>
          <w:rStyle w:val="Hyperlink"/>
        </w:rPr>
        <w:t xml:space="preserve">http://doi.wiley.com/10.1111/jvim.14639</w:t>
      </w:r>
      <w:r>
        <w:rPr>
          <w:rStyle w:val="Hyperlink"/>
        </w:rPr>
        <w:fldChar w:fldCharType="end"/>
      </w:r>
    </w:p>
    <w:p>
      <w:pPr>
        <w:pStyle w:val="Normal"/>
      </w:pPr>
      <w:r>
        <w:rPr>
          <w:color w:val="323232"/>
        </w:rPr>
        <w:t xml:space="preserve">————————</w:t>
      </w:r>
    </w:p>
    <w:p>
      <w:pPr>
        <w:pStyle w:val="Heading4"/>
      </w:pPr>
      <w:r>
        <w:t xml:space="preserve">Urethral Stenting for Obstructive Uropathy Utilizing Digital Radiography for Guidance: Feasibility and Clinical Outcome in 26 Dogs.</w:t>
      </w:r>
    </w:p>
    <w:p/>
    <w:p>
      <w:pPr>
        <w:pStyle w:val="Normal"/>
      </w:pPr>
      <w:r>
        <w:rPr>
          <w:color w:val="323232"/>
        </w:rPr>
        <w:t xml:space="preserve">A Radhakrishnan.</w:t>
      </w:r>
    </w:p>
    <w:p/>
    <w:p>
      <w:pPr>
        <w:pStyle w:val="Normal"/>
      </w:pPr>
      <w:r>
        <w:rPr>
          <w:color w:val="323232"/>
        </w:rPr>
        <w:t xml:space="preserve">BACKGROUND:Urethral stent placement is an interventional treatment option to alleviate urethral outflow obstruction. It has been described utilizing fluoroscopy, but fluoroscopy is not as readily available in private practice as digital radiography.</w:t>
      </w:r>
    </w:p>
    <w:p/>
    <w:p>
      <w:pPr>
        <w:pStyle w:val="Normal"/>
      </w:pPr>
      <w:r>
        <w:rPr>
          <w:color w:val="323232"/>
        </w:rPr>
        <w:t xml:space="preserve">OBJECTIVES:To describe the use of digital radiography for urethral stent placement in dogs with obstructive uropathy.</w:t>
      </w:r>
    </w:p>
    <w:p/>
    <w:p>
      <w:pPr>
        <w:pStyle w:val="Normal"/>
      </w:pPr>
      <w:r>
        <w:rPr>
          <w:color w:val="323232"/>
        </w:rPr>
        <w:t xml:space="preserve">ANIMALS:Twenty-six client-owned dogs presented for dysuria associated with benign and malignant causes of obstructive uropathy that underwent urethral stent placement.</w:t>
      </w:r>
    </w:p>
    <w:p/>
    <w:p>
      <w:pPr>
        <w:pStyle w:val="Normal"/>
      </w:pPr>
      <w:r>
        <w:rPr>
          <w:color w:val="323232"/>
        </w:rPr>
        <w:t xml:space="preserve">METHODS:Retrospective study.</w:t>
      </w:r>
    </w:p>
    <w:p/>
    <w:p>
      <w:pPr>
        <w:pStyle w:val="Normal"/>
      </w:pPr>
      <w:r>
        <w:rPr>
          <w:color w:val="323232"/>
        </w:rPr>
        <w:t xml:space="preserve">RESULTS:Causes of obstructive uropathy included transitional cell carcinoma, prostatic carcinoma, hemangiosarcoma, obstructive proliferative urethritis, compressive vaginal leiomyosarcoma, and detrusor-sphincter dyssynergia. Survival time range was 1-48 months (median, 5 months). All dogs were discharged from the hospital with urine outflow restored. Intraprocedural complications included guide wire penetration of the urethral wall in 1 dog and improper stent placement in a second dog. Both complications were successfully managed at the time of the procedure with no follow-up problems noted in either patient.</w:t>
      </w:r>
    </w:p>
    <w:p/>
    <w:p>
      <w:pPr>
        <w:pStyle w:val="Normal"/>
      </w:pPr>
      <w:r>
        <w:rPr>
          <w:color w:val="323232"/>
        </w:rPr>
        <w:t xml:space="preserve">CONCLUSION AND CLINICAL IMPORTANCE:Urethral stent placement can be successfully performed utilizing digital radiography. The complications experienced can be avoided by more cautious progression with each step through the procedure and serial radiography. The application of digital radiography may allow treatment of urethral obstruction to become more readily available.</w:t>
      </w:r>
    </w:p>
    <w:p/>
    <w:p>
      <w:pPr>
        <w:pStyle w:val="Normal"/>
      </w:pPr>
      <w:r>
        <w:rPr>
          <w:color w:val="323232"/>
        </w:rPr>
        <w:t xml:space="preserve">J Vet Intern Med, 2017 vol. 31 (2) pp. 427-433.</w:t>
      </w:r>
    </w:p>
    <w:p>
      <w:r>
        <w:rPr>
          <w:rStyle w:val="Hyperlink"/>
        </w:rPr>
        <w:fldChar w:fldCharType="begin"/>
      </w:r>
      <w:r>
        <w:rPr>
          <w:rStyle w:val="Hyperlink"/>
        </w:rPr>
        <w:instrText xml:space="preserve"> HYPERLINK "http://doi.wiley.com/10.1111/jvim.14652" </w:instrText>
      </w:r>
      <w:r>
        <w:rPr>
          <w:rStyle w:val="Hyperlink"/>
        </w:rPr>
      </w:r>
      <w:r>
        <w:rPr>
          <w:rStyle w:val="Hyperlink"/>
        </w:rPr>
        <w:fldChar w:fldCharType="separate"/>
      </w:r>
      <w:pPr>
        <w:pStyle w:val="Normal"/>
      </w:pPr>
      <w:r>
        <w:rPr>
          <w:rStyle w:val="Hyperlink"/>
        </w:rPr>
        <w:t xml:space="preserve">http://doi.wiley.com/10.1111/jvim.14652</w:t>
      </w:r>
      <w:r>
        <w:rPr>
          <w:rStyle w:val="Hyperlink"/>
        </w:rPr>
        <w:fldChar w:fldCharType="end"/>
      </w:r>
    </w:p>
    <w:p>
      <w:pPr>
        <w:pStyle w:val="Normal"/>
      </w:pPr>
      <w:r>
        <w:rPr>
          <w:color w:val="323232"/>
        </w:rPr>
        <w:t xml:space="preserve">————————</w:t>
      </w:r>
    </w:p>
    <w:p>
      <w:pPr>
        <w:pStyle w:val="Heading4"/>
      </w:pPr>
      <w:r>
        <w:t xml:space="preserve">Changes in Serum Creatinine Concentration and Acute Kidney Injury (AKI) Grade in Dogs Treated with Hydroxyethyl Starch 130/0.4 From 2013 to 2015.</w:t>
      </w:r>
    </w:p>
    <w:p/>
    <w:p>
      <w:pPr>
        <w:pStyle w:val="Normal"/>
      </w:pPr>
      <w:r>
        <w:rPr>
          <w:color w:val="323232"/>
        </w:rPr>
        <w:t xml:space="preserve">N E Sigrist, N Kälin, and A Dreyfus.</w:t>
      </w:r>
    </w:p>
    <w:p/>
    <w:p>
      <w:pPr>
        <w:pStyle w:val="Normal"/>
      </w:pPr>
      <w:r>
        <w:rPr>
          <w:color w:val="323232"/>
        </w:rPr>
        <w:t xml:space="preserve">BACKGROUND:Hydroxyethyl starch (HES) solutions may cause acute kidney injury (AKI) in humans.</w:t>
      </w:r>
    </w:p>
    <w:p/>
    <w:p>
      <w:pPr>
        <w:pStyle w:val="Normal"/>
      </w:pPr>
      <w:r>
        <w:rPr>
          <w:color w:val="323232"/>
        </w:rPr>
        <w:t xml:space="preserve">OBJECTIVE:To compare AKI grades in 94 dogs exposed and 90 dogs that were unexposed to 6% HES-130/0.4.</w:t>
      </w:r>
    </w:p>
    <w:p/>
    <w:p>
      <w:pPr>
        <w:pStyle w:val="Normal"/>
      </w:pPr>
      <w:r>
        <w:rPr>
          <w:color w:val="323232"/>
        </w:rPr>
        <w:t xml:space="preserve">ANIMALS:Dogs receiving 6% HES-130/0.4 (HES cohort) or crystalloids (unexposed cohort) between 2013 and 2015.</w:t>
      </w:r>
    </w:p>
    <w:p/>
    <w:p>
      <w:pPr>
        <w:pStyle w:val="Normal"/>
      </w:pPr>
      <w:r>
        <w:rPr>
          <w:color w:val="323232"/>
        </w:rPr>
        <w:t xml:space="preserve">METHODS:Historical cohort study. Diagnosis, total cumulative dose and total mL/kg of HES administered, time frame of HES administration and serum creatinine concentrations up to 90 days after initiation of HES treatment were retrospectively reviewed. The AKI grades were retrospectively determined by IRIS guidelines.</w:t>
      </w:r>
    </w:p>
    <w:p/>
    <w:p>
      <w:pPr>
        <w:pStyle w:val="Normal"/>
      </w:pPr>
      <w:r>
        <w:rPr>
          <w:color w:val="323232"/>
        </w:rPr>
        <w:t xml:space="preserve">RESULTS:Exposed dogs received a median cumulative dose of 69.4 mL</w:t>
      </w:r>
      <w:r>
        <w:rPr>
          <w:i w:val="1"/>
          <w:color w:val="323232"/>
        </w:rPr>
        <w:t xml:space="preserve">kg (range, 2-429 mL</w:t>
      </w:r>
      <w:r>
        <w:rPr>
          <w:color w:val="323232"/>
        </w:rPr>
        <w:t xml:space="preserve">kg) HES over a median of 4 (range, 1-16) days, resulting in a median dose of 20.7 (range, 2-87) mL</w:t>
      </w:r>
      <w:r>
        <w:rPr>
          <w:i w:val="1"/>
          <w:color w:val="323232"/>
        </w:rPr>
        <w:t xml:space="preserve">kg</w:t>
      </w:r>
      <w:r>
        <w:rPr>
          <w:color w:val="323232"/>
        </w:rPr>
        <w:t xml:space="preserve">d. Although the cohorts differed in terms of age and diagnosis, AKI grades were not significantly different at the evaluated short- and long-term time points. Results of ordinal logistic regression identified the number of days of HES administration as significantly associated with an increase in AKI grade within 10 days (P = .038), whereas there was no significant association among HES exposure, HES mL</w:t>
      </w:r>
      <w:r>
        <w:rPr>
          <w:i w:val="1"/>
          <w:color w:val="323232"/>
        </w:rPr>
        <w:t xml:space="preserve">kg</w:t>
      </w:r>
      <w:r>
        <w:rPr>
          <w:color w:val="323232"/>
        </w:rPr>
        <w:t xml:space="preserve">d, and an increase in AKI grade.</w:t>
      </w:r>
    </w:p>
    <w:p/>
    <w:p>
      <w:pPr>
        <w:pStyle w:val="Normal"/>
      </w:pPr>
      <w:r>
        <w:rPr>
          <w:color w:val="323232"/>
        </w:rPr>
        <w:t xml:space="preserve">CONCLUSIONS AND CLINICAL IMPORTANCE:HES-130/0.4-treated dogs were not more prone to develop AKI than HES-untreated, but the number of HES days was significantly associated with an increase in AKI grade within 10 days post-HES administration. The time frame of HES treatment should be kept short. Prospective, randomized clinical trials are required to assess the effect of HES on renal function in dogs.</w:t>
      </w:r>
    </w:p>
    <w:p/>
    <w:p>
      <w:pPr>
        <w:pStyle w:val="Normal"/>
      </w:pPr>
      <w:r>
        <w:rPr>
          <w:color w:val="323232"/>
        </w:rPr>
        <w:t xml:space="preserve">J Vet Intern Med, 2017 vol. 31 (2), 2 pp. 434-441.</w:t>
      </w:r>
    </w:p>
    <w:p>
      <w:r>
        <w:rPr>
          <w:rStyle w:val="Hyperlink"/>
        </w:rPr>
        <w:fldChar w:fldCharType="begin"/>
      </w:r>
      <w:r>
        <w:rPr>
          <w:rStyle w:val="Hyperlink"/>
        </w:rPr>
        <w:instrText xml:space="preserve"> HYPERLINK "http://doi.wiley.com/10.1111/jvim.14645" </w:instrText>
      </w:r>
      <w:r>
        <w:rPr>
          <w:rStyle w:val="Hyperlink"/>
        </w:rPr>
      </w:r>
      <w:r>
        <w:rPr>
          <w:rStyle w:val="Hyperlink"/>
        </w:rPr>
        <w:fldChar w:fldCharType="separate"/>
      </w:r>
      <w:pPr>
        <w:pStyle w:val="Normal"/>
      </w:pPr>
      <w:r>
        <w:rPr>
          <w:rStyle w:val="Hyperlink"/>
        </w:rPr>
        <w:t xml:space="preserve">http://doi.wiley.com/10.1111/jvim.14645</w:t>
      </w:r>
      <w:r>
        <w:rPr>
          <w:rStyle w:val="Hyperlink"/>
        </w:rPr>
        <w:fldChar w:fldCharType="end"/>
      </w:r>
    </w:p>
    <w:p>
      <w:pPr>
        <w:pStyle w:val="Normal"/>
      </w:pPr>
      <w:r>
        <w:rPr>
          <w:color w:val="323232"/>
        </w:rPr>
        <w:t xml:space="preserve">————————</w:t>
      </w:r>
    </w:p>
    <w:p>
      <w:pPr>
        <w:pStyle w:val="Heading4"/>
      </w:pPr>
      <w:r>
        <w:t xml:space="preserve">Urethral Sphincter Mechanism Incompetence in 163 Neutered Female Dogs: Diagnosis, Treatment, and Relationship of Weight and Age at Neuter to Development of Disease.</w:t>
      </w:r>
    </w:p>
    <w:p/>
    <w:p>
      <w:pPr>
        <w:pStyle w:val="Normal"/>
      </w:pPr>
      <w:r>
        <w:rPr>
          <w:color w:val="323232"/>
        </w:rPr>
        <w:t xml:space="preserve">J K Byron, K H Taylor, G S Phillips, and M S Stahl.</w:t>
      </w:r>
    </w:p>
    <w:p/>
    <w:p>
      <w:pPr>
        <w:pStyle w:val="Normal"/>
      </w:pPr>
      <w:r>
        <w:rPr>
          <w:color w:val="323232"/>
        </w:rPr>
        <w:t xml:space="preserve">BACKGROUND:Urethral sphincter mechanism incompetence (USMI) is the most common cause of urinary incontinence in neutered bitches and is most common in dogs weighing &gt;20 kg.</w:t>
      </w:r>
    </w:p>
    <w:p/>
    <w:p>
      <w:pPr>
        <w:pStyle w:val="Normal"/>
      </w:pPr>
      <w:r>
        <w:rPr>
          <w:color w:val="323232"/>
        </w:rPr>
        <w:t xml:space="preserve">OBJECTIVES:To describe a population of neutered bitches with USMI and investigate their initial presentation, the relationship between weight and age at neuter, and treatment.</w:t>
      </w:r>
    </w:p>
    <w:p/>
    <w:p>
      <w:pPr>
        <w:pStyle w:val="Normal"/>
      </w:pPr>
      <w:r>
        <w:rPr>
          <w:color w:val="323232"/>
        </w:rPr>
        <w:t xml:space="preserve">ANIMALS:One hundred and sixty-three female dogs with USMI (UI) diagnosed between January 2009 and December 2012, and 193 continent neutered control (C) bitches.</w:t>
      </w:r>
    </w:p>
    <w:p/>
    <w:p>
      <w:pPr>
        <w:pStyle w:val="Normal"/>
      </w:pPr>
      <w:r>
        <w:rPr>
          <w:color w:val="323232"/>
        </w:rPr>
        <w:t xml:space="preserve">METHODS:Retrospective data were collected from neutered female dogs with USMI and healthy, continent neutered females presented between January 2009 and December 2012.</w:t>
      </w:r>
    </w:p>
    <w:p/>
    <w:p>
      <w:pPr>
        <w:pStyle w:val="Normal"/>
      </w:pPr>
      <w:r>
        <w:rPr>
          <w:color w:val="323232"/>
        </w:rPr>
        <w:t xml:space="preserve">RESULTS:Urinary incontinent dogs weighed more than C dogs (P = .003), and there was no difference in age at neuter. The relationship between weight at diagnosis and age at neuter was found to impact the hazard of USMI. A decrease in the hazard of USMI was found in dogs weighing &gt;25 kg for every month delay of neuter in the first year. The hazard did not change for dogs &lt;15 kg. Median time from neuter to development of incontinence was 3.73 years. Phenylpropanolamine was prescribed in 75.5%, diethylstilbestrol in 21.5%, and both in 3.1% of dogs.</w:t>
      </w:r>
    </w:p>
    <w:p/>
    <w:p>
      <w:pPr>
        <w:pStyle w:val="Normal"/>
      </w:pPr>
      <w:r>
        <w:rPr>
          <w:color w:val="323232"/>
        </w:rPr>
        <w:t xml:space="preserve">CONCLUSIONS AND CLINICAL IMPORTANCE:Neutering bitches expected to be &gt;25 kg adult weight later in their first year may decrease the hazard of developing USMI, whereas age at neutering of bitches &lt;25 kg may not impact continence. Heavier dogs have increased risk of USMI, and onset occurs within a few years of neuter.</w:t>
      </w:r>
    </w:p>
    <w:p/>
    <w:p>
      <w:pPr>
        <w:pStyle w:val="Normal"/>
      </w:pPr>
      <w:r>
        <w:rPr>
          <w:color w:val="323232"/>
        </w:rPr>
        <w:t xml:space="preserve">J Vet Intern Med, 2017 vol. 31 (2), 7 pp. 442-448.</w:t>
      </w:r>
    </w:p>
    <w:p>
      <w:r>
        <w:rPr>
          <w:rStyle w:val="Hyperlink"/>
        </w:rPr>
        <w:fldChar w:fldCharType="begin"/>
      </w:r>
      <w:r>
        <w:rPr>
          <w:rStyle w:val="Hyperlink"/>
        </w:rPr>
        <w:instrText xml:space="preserve"> HYPERLINK "http://doi.wiley.com/10.1111/jvim.14678" </w:instrText>
      </w:r>
      <w:r>
        <w:rPr>
          <w:rStyle w:val="Hyperlink"/>
        </w:rPr>
      </w:r>
      <w:r>
        <w:rPr>
          <w:rStyle w:val="Hyperlink"/>
        </w:rPr>
        <w:fldChar w:fldCharType="separate"/>
      </w:r>
      <w:pPr>
        <w:pStyle w:val="Normal"/>
      </w:pPr>
      <w:r>
        <w:rPr>
          <w:rStyle w:val="Hyperlink"/>
        </w:rPr>
        <w:t xml:space="preserve">http://doi.wiley.com/10.1111/jvim.14678</w:t>
      </w:r>
      <w:r>
        <w:rPr>
          <w:rStyle w:val="Hyperlink"/>
        </w:rPr>
        <w:fldChar w:fldCharType="end"/>
      </w:r>
    </w:p>
    <w:p>
      <w:pPr>
        <w:pStyle w:val="Normal"/>
      </w:pPr>
      <w:r>
        <w:rPr>
          <w:color w:val="323232"/>
        </w:rPr>
        <w:t xml:space="preserve">————————</w:t>
      </w:r>
    </w:p>
    <w:p>
      <w:pPr>
        <w:pStyle w:val="Heading4"/>
      </w:pPr>
      <w:r>
        <w:t xml:space="preserve">Urinary F2 -Isoprostanes in Cats with International Renal Interest Society Stage 1-4 Chronic Kidney Disease.</w:t>
      </w:r>
    </w:p>
    <w:p/>
    <w:p>
      <w:pPr>
        <w:pStyle w:val="Normal"/>
      </w:pPr>
      <w:r>
        <w:rPr>
          <w:color w:val="323232"/>
        </w:rPr>
        <w:t xml:space="preserve">W Whitehouse, J Quimby, S Wan, K Monaghan, R Robbins, and L A Trepanier.</w:t>
      </w:r>
    </w:p>
    <w:p/>
    <w:p>
      <w:pPr>
        <w:pStyle w:val="Normal"/>
      </w:pPr>
      <w:r>
        <w:rPr>
          <w:color w:val="323232"/>
        </w:rPr>
        <w:t xml:space="preserve">BACKGROUND:F2 -isoprostanes, a biomarker of oxidant injury, increase with advancing chronic kidney disease (CKD) in humans. In cats, the relationship between CKD and oxidative stress is poorly understood.</w:t>
      </w:r>
    </w:p>
    <w:p/>
    <w:p>
      <w:pPr>
        <w:pStyle w:val="Normal"/>
      </w:pPr>
      <w:r>
        <w:rPr>
          <w:color w:val="323232"/>
        </w:rPr>
        <w:t xml:space="preserve">OBJECTIVES:To determine whether cats with advancing CKD have increasing urinary F2 -isoprostanes.</w:t>
      </w:r>
    </w:p>
    <w:p/>
    <w:p>
      <w:pPr>
        <w:pStyle w:val="Normal"/>
      </w:pPr>
      <w:r>
        <w:rPr>
          <w:color w:val="323232"/>
        </w:rPr>
        <w:t xml:space="preserve">ANIMALS:Control cats without evidence of CKD (≥6 years old; n = 11), and cats with IRIS stage 1 (n = 8), 2 (n = 38), 3 (n = 21), and 4 (n = 10) CKD.</w:t>
      </w:r>
    </w:p>
    <w:p/>
    <w:p>
      <w:pPr>
        <w:pStyle w:val="Normal"/>
      </w:pPr>
      <w:r>
        <w:rPr>
          <w:color w:val="323232"/>
        </w:rPr>
        <w:t xml:space="preserve">METHODS:This was a prospective observational study. Urinary F2 -isoprostanes (specifically free 15-F2t -isoprostanes) normalized to urine creatinine (IsoPs) were compared among groups and tested for correlations with blood pressure, proteinuria, serum creatinine concentration, and urine specific gravity. The IsoPs also were compared between cats with and without hypertension or proteinuria, and in cats fed predominantly standard versus renal diets.</w:t>
      </w:r>
    </w:p>
    <w:p/>
    <w:p>
      <w:pPr>
        <w:pStyle w:val="Normal"/>
      </w:pPr>
      <w:r>
        <w:rPr>
          <w:color w:val="323232"/>
        </w:rPr>
        <w:t xml:space="preserve">RESULTS:Urinary IsoPs were increased, but not significantly, in cats with stage 1 CKD (median 263 pg</w:t>
      </w:r>
      <w:r>
        <w:rPr>
          <w:i w:val="1"/>
          <w:color w:val="323232"/>
        </w:rPr>
        <w:t xml:space="preserve">mg creatinine; range, 211-380) compared to controls (182 pg</w:t>
      </w:r>
      <w:r>
        <w:rPr>
          <w:color w:val="323232"/>
        </w:rPr>
        <w:t xml:space="preserve">mg; range, 80-348) and decreased significantly from stage 1 through advancing CKD (stage 2, 144 pg</w:t>
      </w:r>
      <w:r>
        <w:rPr>
          <w:i w:val="1"/>
          <w:color w:val="323232"/>
        </w:rPr>
        <w:t xml:space="preserve">mg; range, 49-608; stage 3, 102 pg</w:t>
      </w:r>
      <w:r>
        <w:rPr>
          <w:color w:val="323232"/>
        </w:rPr>
        <w:t xml:space="preserve">mg; range, 25-158; stage 4, 67 pg/mg; range, 26-117; P &lt; .01). Urinary IsoPs were inversely correlated with serum creatinine (r = -0.66, P &lt; .0001).</w:t>
      </w:r>
    </w:p>
    <w:p/>
    <w:p>
      <w:pPr>
        <w:pStyle w:val="Normal"/>
      </w:pPr>
      <w:r>
        <w:rPr>
          <w:color w:val="323232"/>
        </w:rPr>
        <w:t xml:space="preserve">CONCLUSION AND CLINICAL IMPORTANCE:Urinary IsoPs are significantly higher in early CKD (stage 1) compared to cats with more advanced CKD. Additional studies are warranted to characterize oxidative stress in cats with stage 1 CKD and determine whether early antioxidant treatments have a protective effect on CKD progression.</w:t>
      </w:r>
    </w:p>
    <w:p/>
    <w:p>
      <w:pPr>
        <w:pStyle w:val="Normal"/>
      </w:pPr>
      <w:r>
        <w:rPr>
          <w:color w:val="323232"/>
        </w:rPr>
        <w:t xml:space="preserve">J Vet Intern Med, 2017 vol. 31 (2) pp. 449-456.</w:t>
      </w:r>
    </w:p>
    <w:p>
      <w:r>
        <w:rPr>
          <w:rStyle w:val="Hyperlink"/>
        </w:rPr>
        <w:fldChar w:fldCharType="begin"/>
      </w:r>
      <w:r>
        <w:rPr>
          <w:rStyle w:val="Hyperlink"/>
        </w:rPr>
        <w:instrText xml:space="preserve"> HYPERLINK "http://doi.wiley.com/10.1111/jvim.14634" </w:instrText>
      </w:r>
      <w:r>
        <w:rPr>
          <w:rStyle w:val="Hyperlink"/>
        </w:rPr>
      </w:r>
      <w:r>
        <w:rPr>
          <w:rStyle w:val="Hyperlink"/>
        </w:rPr>
        <w:fldChar w:fldCharType="separate"/>
      </w:r>
      <w:pPr>
        <w:pStyle w:val="Normal"/>
      </w:pPr>
      <w:r>
        <w:rPr>
          <w:rStyle w:val="Hyperlink"/>
        </w:rPr>
        <w:t xml:space="preserve">http://doi.wiley.com/10.1111/jvim.14634</w:t>
      </w:r>
      <w:r>
        <w:rPr>
          <w:rStyle w:val="Hyperlink"/>
        </w:rPr>
        <w:fldChar w:fldCharType="end"/>
      </w:r>
    </w:p>
    <w:p>
      <w:pPr>
        <w:pStyle w:val="Normal"/>
      </w:pPr>
      <w:r>
        <w:rPr>
          <w:color w:val="323232"/>
        </w:rPr>
        <w:t xml:space="preserve">————————</w:t>
      </w:r>
    </w:p>
    <w:p>
      <w:pPr>
        <w:pStyle w:val="Heading4"/>
      </w:pPr>
      <w:r>
        <w:t xml:space="preserve">Acute-Phase Proteins and Iron Status in Cats with Chronic Kidney Disease.</w:t>
      </w:r>
    </w:p>
    <w:p/>
    <w:p>
      <w:pPr>
        <w:pStyle w:val="Normal"/>
      </w:pPr>
      <w:r>
        <w:rPr>
          <w:color w:val="323232"/>
        </w:rPr>
        <w:t xml:space="preserve">R Javard, C Grimes, L Bau-Gaudreault, and M Dunn.</w:t>
      </w:r>
    </w:p>
    <w:p/>
    <w:p>
      <w:pPr>
        <w:pStyle w:val="Normal"/>
      </w:pPr>
      <w:r>
        <w:rPr>
          <w:color w:val="323232"/>
        </w:rPr>
        <w:t xml:space="preserve">BACKGROUND:The role of inflammation in the development and progression of chronic kidney disease (CKD) in cats is not well characterized. Hepcidin is a recently discovered acute-phase protein (APP) that plays an important role in iron metabolism and contributes to the development of anemia in humans with CKD.</w:t>
      </w:r>
    </w:p>
    <w:p/>
    <w:p>
      <w:pPr>
        <w:pStyle w:val="Normal"/>
      </w:pPr>
      <w:r>
        <w:rPr>
          <w:color w:val="323232"/>
        </w:rPr>
        <w:t xml:space="preserve">OBJECTIVES:To compare serum APP concentrations, iron status, and erythropoietin (EPO) concentrations in healthy cats and cats with naturally occurring CKD.</w:t>
      </w:r>
    </w:p>
    <w:p/>
    <w:p>
      <w:pPr>
        <w:pStyle w:val="Normal"/>
      </w:pPr>
      <w:r>
        <w:rPr>
          <w:color w:val="323232"/>
        </w:rPr>
        <w:t xml:space="preserve">ANIMALS:A total of 18 healthy control cats and 38 cats with CKD.</w:t>
      </w:r>
    </w:p>
    <w:p/>
    <w:p>
      <w:pPr>
        <w:pStyle w:val="Normal"/>
      </w:pPr>
      <w:r>
        <w:rPr>
          <w:color w:val="323232"/>
        </w:rPr>
        <w:t xml:space="preserve">METHODS:Prospective study. After complete physical examination and routine blood analysis, the following tests were performed: serum amyloid A (SAA), haptoglobin (HAP), EPO, serum iron and ferritin concentration as well as total iron-binding capacity (TIBC). Serum hepcidin-25 concentration was measured by ELISA kit designed for use in humans.</w:t>
      </w:r>
    </w:p>
    <w:p/>
    <w:p>
      <w:pPr>
        <w:pStyle w:val="Normal"/>
      </w:pPr>
      <w:r>
        <w:rPr>
          <w:color w:val="323232"/>
        </w:rPr>
        <w:t xml:space="preserve">RESULTS:Mean SAA and hepcidin concentrations were significantly higher and mean total iron and TIBC were significantly lower in the CKD group (P &lt; .05). There was a significant positive correlation between serum creatinine concentration (CRT) and 2 of the APPs (SAA and hepcidin; P &lt; .05). Increases in SAA and hepcidin were associated with decreases in TIBC and hematocrit in the CKD group. Fourteen (37%) of the cats with CKD were anemic, and these cats had significantly lower TIBC (P &lt; .05), suggesting a functional iron deficiency. There was no association between survival time and APP, iron status, or EPO concentrations.</w:t>
      </w:r>
    </w:p>
    <w:p/>
    <w:p>
      <w:pPr>
        <w:pStyle w:val="Normal"/>
      </w:pPr>
      <w:r>
        <w:rPr>
          <w:color w:val="323232"/>
        </w:rPr>
        <w:t xml:space="preserve">CONCLUSIONS:Our data suggest that CKD in cats is associated with systemic inflammation and altered iron metabolism. With further validation in cats, hepcidin assays may help better characterize these relationships.</w:t>
      </w:r>
    </w:p>
    <w:p/>
    <w:p>
      <w:pPr>
        <w:pStyle w:val="Normal"/>
      </w:pPr>
      <w:r>
        <w:rPr>
          <w:color w:val="323232"/>
        </w:rPr>
        <w:t xml:space="preserve">J Vet Intern Med, 2017 vol. 31 (2) pp. 457-464.</w:t>
      </w:r>
    </w:p>
    <w:p>
      <w:r>
        <w:rPr>
          <w:rStyle w:val="Hyperlink"/>
        </w:rPr>
        <w:fldChar w:fldCharType="begin"/>
      </w:r>
      <w:r>
        <w:rPr>
          <w:rStyle w:val="Hyperlink"/>
        </w:rPr>
        <w:instrText xml:space="preserve"> HYPERLINK "http://doi.wiley.com/10.1111/jvim.14661" </w:instrText>
      </w:r>
      <w:r>
        <w:rPr>
          <w:rStyle w:val="Hyperlink"/>
        </w:rPr>
      </w:r>
      <w:r>
        <w:rPr>
          <w:rStyle w:val="Hyperlink"/>
        </w:rPr>
        <w:fldChar w:fldCharType="separate"/>
      </w:r>
      <w:pPr>
        <w:pStyle w:val="Normal"/>
      </w:pPr>
      <w:r>
        <w:rPr>
          <w:rStyle w:val="Hyperlink"/>
        </w:rPr>
        <w:t xml:space="preserve">http://doi.wiley.com/10.1111/jvim.14661</w:t>
      </w:r>
      <w:r>
        <w:rPr>
          <w:rStyle w:val="Hyperlink"/>
        </w:rPr>
        <w:fldChar w:fldCharType="end"/>
      </w:r>
    </w:p>
    <w:p>
      <w:pPr>
        <w:pStyle w:val="Normal"/>
      </w:pPr>
      <w:r>
        <w:rPr>
          <w:color w:val="323232"/>
        </w:rPr>
        <w:t xml:space="preserve">————————</w:t>
      </w:r>
    </w:p>
    <w:p>
      <w:pPr>
        <w:pStyle w:val="Heading4"/>
      </w:pPr>
      <w:r>
        <w:t xml:space="preserve">Chronic Kidney Disease in Cats and the Risk of Total Hypercalcemia.</w:t>
      </w:r>
    </w:p>
    <w:p/>
    <w:p>
      <w:pPr>
        <w:pStyle w:val="Normal"/>
      </w:pPr>
      <w:r>
        <w:rPr>
          <w:color w:val="323232"/>
        </w:rPr>
        <w:t xml:space="preserve">D H N van den Broek, Y M Chang, J Elliott, and R E Jepson.</w:t>
      </w:r>
    </w:p>
    <w:p/>
    <w:p>
      <w:pPr>
        <w:pStyle w:val="Normal"/>
      </w:pPr>
      <w:r>
        <w:rPr>
          <w:color w:val="323232"/>
        </w:rPr>
        <w:t xml:space="preserve">BACKGROUND:Chronic kidney disease (CKD) is a common comorbidity in cats with hypercalcemia, but whether CKD is a risk factor for hypercalcemia is unclear. Hypercalcemia often is diagnosed based on total calcium concentration (tCa), which tends to underestimate the ionized calcium concentration (iCa) in cats.</w:t>
      </w:r>
    </w:p>
    <w:p/>
    <w:p>
      <w:pPr>
        <w:pStyle w:val="Normal"/>
      </w:pPr>
      <w:r>
        <w:rPr>
          <w:color w:val="323232"/>
        </w:rPr>
        <w:t xml:space="preserve">OBJECTIVES:Assessment of the performance of tCa for the diagnosis of ionized hypercalcemia, and exploration of factors influencing the relationship between iCa and tCa. Determination of risk factors for incident total hypercalcemia (ie, the development of hypercalcemia based on tCa during follow-up).</w:t>
      </w:r>
    </w:p>
    <w:p/>
    <w:p>
      <w:pPr>
        <w:pStyle w:val="Normal"/>
      </w:pPr>
      <w:r>
        <w:rPr>
          <w:color w:val="323232"/>
        </w:rPr>
        <w:t xml:space="preserve">ANIMALS:Records of a cross-section (n = 477) and observational cohort (n = 367) of client-owned cats with and without azotemic CKD from first opinion practice.</w:t>
      </w:r>
    </w:p>
    <w:p/>
    <w:p>
      <w:pPr>
        <w:pStyle w:val="Normal"/>
      </w:pPr>
      <w:r>
        <w:rPr>
          <w:color w:val="323232"/>
        </w:rPr>
        <w:t xml:space="preserve">METHODS:Retrospective cross-sectional and retrospective cohort study. The diagnostic accuracy of tCa as an index test for ionized hypercalcemia was evaluated, and risk factors for underestimation were explored by binary logistic and linear regression in a cross-section of cats with and without azotemic CKD. Chronic kidney disease and clinicopathological variables were assessed as predictors of incident total hypercalcemia by both time-invariant and time-dependent Cox regression in a cohort of cats.</w:t>
      </w:r>
    </w:p>
    <w:p/>
    <w:p>
      <w:pPr>
        <w:pStyle w:val="Normal"/>
      </w:pPr>
      <w:r>
        <w:rPr>
          <w:color w:val="323232"/>
        </w:rPr>
        <w:t xml:space="preserve">RESULTS:Specificity of tCa for identification of ionized hypercalcemia was high (100%), but sensitivity was low. Underestimation was associated with lower venous bicarbonate concentrations. Cats with CKD had increased risk for incident total hypercalcemia (hazard ratio, 4.29; 95% confidence interval, 1.96-9.37; P &lt; .001). Higher tCa predicted incident total hypercalcemia in both azotemic and nonazotemic cats (P &lt; .001).</w:t>
      </w:r>
    </w:p>
    <w:p/>
    <w:p>
      <w:pPr>
        <w:pStyle w:val="Normal"/>
      </w:pPr>
      <w:r>
        <w:rPr>
          <w:color w:val="323232"/>
        </w:rPr>
        <w:t xml:space="preserve">CONCLUSIONS AND CLINICAL IMPORTANCE:Chronic kidney disease is a risk factor for incident total hypercalcemia, and most cats with increased tCa had concurrent ionized hypercalcemia. Higher baseline tCa predicts incident total hypercalcemia. Prospective studies assessing changes in iCa are warranted.</w:t>
      </w:r>
    </w:p>
    <w:p/>
    <w:p>
      <w:pPr>
        <w:pStyle w:val="Normal"/>
      </w:pPr>
      <w:r>
        <w:rPr>
          <w:color w:val="323232"/>
        </w:rPr>
        <w:t xml:space="preserve">J Vet Intern Med, 2017 vol. 31 (2) pp. 465-475.</w:t>
      </w:r>
    </w:p>
    <w:p>
      <w:r>
        <w:rPr>
          <w:rStyle w:val="Hyperlink"/>
        </w:rPr>
        <w:fldChar w:fldCharType="begin"/>
      </w:r>
      <w:r>
        <w:rPr>
          <w:rStyle w:val="Hyperlink"/>
        </w:rPr>
        <w:instrText xml:space="preserve"> HYPERLINK "http://eutils.ncbi.nlm.nih.gov/entrez/eutils/elink.fcgi?dbfrom=pubmed&amp;id=28190275&amp;retmode=ref&amp;cmd=prlinks"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http://eutils.ncbi.nlm.nih.gov/entrez/eutils/elink.fcgi?dbfrom=pubmed&amp;id=28190275&amp;retmode=ref&amp;cmd=prlinks</w:t>
      </w:r>
      <w:r>
        <w:rPr>
          <w:rStyle w:val="Hyperlink"/>
        </w:rPr>
        <w:fldChar w:fldCharType="end"/>
      </w:r>
    </w:p>
    <w:p>
      <w:pPr>
        <w:pStyle w:val="Normal"/>
      </w:pPr>
      <w:r>
        <w:rPr>
          <w:color w:val="323232"/>
        </w:rPr>
        <w:t xml:space="preserve">————————</w:t>
      </w:r>
    </w:p>
    <w:p>
      <w:pPr>
        <w:pStyle w:val="Heading4"/>
      </w:pPr>
      <w:r>
        <w:t xml:space="preserve">The Use of Darbepoetin to Stimulate Erythropoiesis in the Treatment of Anemia of Chronic Kidney Disease in Dogs.</w:t>
      </w:r>
    </w:p>
    <w:p/>
    <w:p>
      <w:pPr>
        <w:pStyle w:val="Normal"/>
      </w:pPr>
      <w:r>
        <w:rPr>
          <w:color w:val="323232"/>
        </w:rPr>
        <w:t xml:space="preserve">E H Fiocchi, L D Cowgill, D C Brown, J E Markovich, S Tucker, M A Labato, and M B Callan.</w:t>
      </w:r>
    </w:p>
    <w:p/>
    <w:p>
      <w:pPr>
        <w:pStyle w:val="Normal"/>
      </w:pPr>
      <w:r>
        <w:rPr>
          <w:color w:val="323232"/>
        </w:rPr>
        <w:t xml:space="preserve">BACKGROUND:Darbepoetin alfa (darbepoetin) is an erythropoiesis-stimulating agent used for the treatment of anemia secondary to chronic kidney disease (CKD) in dogs, but reports describing response are lacking.</w:t>
      </w:r>
    </w:p>
    <w:p/>
    <w:p>
      <w:pPr>
        <w:pStyle w:val="Normal"/>
      </w:pPr>
      <w:r>
        <w:rPr>
          <w:color w:val="323232"/>
        </w:rPr>
        <w:t xml:space="preserve">HYPOTHESIS/OBJECTIVES:To evaluate the effectiveness of darbepoetin in dogs with anemia secondary to CKD, dosing protocols, and adverse events.</w:t>
      </w:r>
    </w:p>
    <w:p/>
    <w:p>
      <w:pPr>
        <w:pStyle w:val="Normal"/>
      </w:pPr>
      <w:r>
        <w:rPr>
          <w:color w:val="323232"/>
        </w:rPr>
        <w:t xml:space="preserve">ANIMALS:Thirty-three client-owned dogs with naturally occurring CKD, including 26 with comorbidities.</w:t>
      </w:r>
    </w:p>
    <w:p/>
    <w:p>
      <w:pPr>
        <w:pStyle w:val="Normal"/>
      </w:pPr>
      <w:r>
        <w:rPr>
          <w:color w:val="323232"/>
        </w:rPr>
        <w:t xml:space="preserve">METHODS:Multi-institutional retrospective study.</w:t>
      </w:r>
    </w:p>
    <w:p/>
    <w:p>
      <w:pPr>
        <w:pStyle w:val="Normal"/>
      </w:pPr>
      <w:r>
        <w:rPr>
          <w:color w:val="323232"/>
        </w:rPr>
        <w:t xml:space="preserve">RESULTS:The median starting dosage and highest dosage of darbepoetin administered were 0.5 and 0.8 μg/kg SC once weekly, respectively. Response to treatment was defined as achieving a packed cell volume (PCV) ≥30% or an increase in PCV ≥10%. Twenty-eight of 33 dogs (85%) achieved a PCV ≥30% and 22 of 33 (67%) dogs achieved an increase in PCV ≥10%. Median time to achieve a PCV ≥30% was 29 days. A higher starting dosage was associated with achieving an increase in PCV ≥10% (P = .01). No dog sustained a response at a dosing interval &gt;q21d. Potential adverse events included increased blood pressure requiring treatment (n = 12), seizures (n = 5), vomiting (n = 3), diarrhea (n = 3), and possible pure red cell aplasia (PRCA) (n = 2).</w:t>
      </w:r>
    </w:p>
    <w:p/>
    <w:p>
      <w:pPr>
        <w:pStyle w:val="Normal"/>
      </w:pPr>
      <w:r>
        <w:rPr>
          <w:color w:val="323232"/>
        </w:rPr>
        <w:t xml:space="preserve">CONCLUSIONS AND CLINICAL IMPORTANCE:Darbepoetin, when combined with treatment of comorbidities, is an effective treatment for anemia secondary to CKD in dogs. A dosing interval &gt;q21d was ineffective at maintaining a response to treatment. PRCA was a possible adverse event in 2 of 33 dogs (6%).</w:t>
      </w:r>
    </w:p>
    <w:p/>
    <w:p>
      <w:pPr>
        <w:pStyle w:val="Normal"/>
      </w:pPr>
      <w:r>
        <w:rPr>
          <w:color w:val="323232"/>
        </w:rPr>
        <w:t xml:space="preserve">J Vet Intern Med, 2017 vol. 31 (2) pp. 476-485.</w:t>
      </w:r>
    </w:p>
    <w:p>
      <w:r>
        <w:rPr>
          <w:rStyle w:val="Hyperlink"/>
        </w:rPr>
        <w:fldChar w:fldCharType="begin"/>
      </w:r>
      <w:r>
        <w:rPr>
          <w:rStyle w:val="Hyperlink"/>
        </w:rPr>
        <w:instrText xml:space="preserve"> HYPERLINK "http://doi.wiley.com/10.1111/jvim.14681" </w:instrText>
      </w:r>
      <w:r>
        <w:rPr>
          <w:rStyle w:val="Hyperlink"/>
        </w:rPr>
      </w:r>
      <w:r>
        <w:rPr>
          <w:rStyle w:val="Hyperlink"/>
        </w:rPr>
        <w:fldChar w:fldCharType="separate"/>
      </w:r>
      <w:pPr>
        <w:pStyle w:val="Normal"/>
      </w:pPr>
      <w:r>
        <w:rPr>
          <w:rStyle w:val="Hyperlink"/>
        </w:rPr>
        <w:t xml:space="preserve">http://doi.wiley.com/10.1111/jvim.14681</w:t>
      </w:r>
      <w:r>
        <w:rPr>
          <w:rStyle w:val="Hyperlink"/>
        </w:rPr>
        <w:fldChar w:fldCharType="end"/>
      </w:r>
    </w:p>
    <w:p>
      <w:pPr>
        <w:pStyle w:val="Normal"/>
      </w:pPr>
      <w:r>
        <w:rPr>
          <w:color w:val="323232"/>
        </w:rPr>
        <w:t xml:space="preserve">————————</w:t>
      </w:r>
    </w:p>
    <w:p>
      <w:pPr>
        <w:pStyle w:val="Heading4"/>
      </w:pPr>
      <w:r>
        <w:t xml:space="preserve">Quantification of Urine Elimination Behaviors in Cats with a Video Recording System.</w:t>
      </w:r>
    </w:p>
    <w:p/>
    <w:p>
      <w:pPr>
        <w:pStyle w:val="Normal"/>
      </w:pPr>
      <w:r>
        <w:rPr>
          <w:color w:val="323232"/>
        </w:rPr>
        <w:t xml:space="preserve">D R Dulaney, M Hopfensperger, R Malinowski, J Hauptman, and J M Kruger.</w:t>
      </w:r>
    </w:p>
    <w:p/>
    <w:p>
      <w:pPr>
        <w:pStyle w:val="Normal"/>
      </w:pPr>
      <w:r>
        <w:rPr>
          <w:color w:val="323232"/>
        </w:rPr>
        <w:t xml:space="preserve">BACKGROUND:Urinary disorders in cats often require subjective caregiver quantification of clinical signs to establish a diagnosis and monitor therapeutic outcomes.</w:t>
      </w:r>
    </w:p>
    <w:p/>
    <w:p>
      <w:pPr>
        <w:pStyle w:val="Normal"/>
      </w:pPr>
      <w:r>
        <w:rPr>
          <w:color w:val="323232"/>
        </w:rPr>
        <w:t xml:space="preserve">OBJECTIVE:To investigate use of a video recording system (VRS) to better assess and quantify urination behaviors in cats.</w:t>
      </w:r>
    </w:p>
    <w:p/>
    <w:p>
      <w:pPr>
        <w:pStyle w:val="Normal"/>
      </w:pPr>
      <w:r>
        <w:rPr>
          <w:color w:val="323232"/>
        </w:rPr>
        <w:t xml:space="preserve">ANIMALS:Eleven healthy cats and 8 cats with disorders potentially associated with abnormal urination patterns.</w:t>
      </w:r>
    </w:p>
    <w:p/>
    <w:p>
      <w:pPr>
        <w:pStyle w:val="Normal"/>
      </w:pPr>
      <w:r>
        <w:rPr>
          <w:color w:val="323232"/>
        </w:rPr>
        <w:t xml:space="preserve">METHODS:Prospective study design. Litter box urination behaviors were quantified with a VRS for 14 days and compared to daily caregiver observations. Video recordings were analyzed by a behavior analysis software program.</w:t>
      </w:r>
    </w:p>
    <w:p/>
    <w:p>
      <w:pPr>
        <w:pStyle w:val="Normal"/>
      </w:pPr>
      <w:r>
        <w:rPr>
          <w:color w:val="323232"/>
        </w:rPr>
        <w:t xml:space="preserve">RESULTS:The mean number of urinations per day detected by VRS (2.5 ± 0.7) was significantly higher compared with caregiver observations (0.6 ± 0.6; P &lt; .0001). Five cats were never observed in the litter box by their caregivers. The mean number of urinations per day detected by VRS was significantly higher for abnormal cats (2.9 ± 0.7) compared with healthy cats (2.1 ± 0.7; P = .02); there were no apparent differences in frequency between these groups reported by caregivers (0.7 ± 1.0 and 0.5 ± 1.0, respectively). There were no differences in mean urination time between healthy and abnormal cats as determined by VRS or caregivers. Mean cover-up time determined by VRS was significantly longer in healthy cats (22.7 ± 12.9 seconds</w:t>
      </w:r>
      <w:r>
        <w:rPr>
          <w:i w:val="1"/>
          <w:color w:val="323232"/>
        </w:rPr>
        <w:t xml:space="preserve">urination) compared with abnormal cats (8.7 ± 12.9 seconds</w:t>
      </w:r>
      <w:r>
        <w:rPr>
          <w:color w:val="323232"/>
        </w:rPr>
        <w:t xml:space="preserve">urination; P = .03); differences in cover-up time were not detected by caregivers.</w:t>
      </w:r>
    </w:p>
    <w:p/>
    <w:p>
      <w:pPr>
        <w:pStyle w:val="Normal"/>
      </w:pPr>
      <w:r>
        <w:rPr>
          <w:color w:val="323232"/>
        </w:rPr>
        <w:t xml:space="preserve">CONCLUSIONS AND CLINICAL IMPORTANCE:Caregivers commonly underestimate urination frequency in cats when compared to video-based observations. Video recording appears to facilitate objective assessment of urination behaviors and could be of value in future clinical studies of urinary disorders in cats.</w:t>
      </w:r>
    </w:p>
    <w:p/>
    <w:p>
      <w:pPr>
        <w:pStyle w:val="Normal"/>
      </w:pPr>
      <w:r>
        <w:rPr>
          <w:color w:val="323232"/>
        </w:rPr>
        <w:t xml:space="preserve">J Vet Intern Med, 2017 vol. 31 (2) pp. 486-491.</w:t>
      </w:r>
    </w:p>
    <w:p>
      <w:r>
        <w:rPr>
          <w:rStyle w:val="Hyperlink"/>
        </w:rPr>
        <w:fldChar w:fldCharType="begin"/>
      </w:r>
      <w:r>
        <w:rPr>
          <w:rStyle w:val="Hyperlink"/>
        </w:rPr>
        <w:instrText xml:space="preserve"> HYPERLINK "http://doi.wiley.com/10.1111/jvim.14680" </w:instrText>
      </w:r>
      <w:r>
        <w:rPr>
          <w:rStyle w:val="Hyperlink"/>
        </w:rPr>
      </w:r>
      <w:r>
        <w:rPr>
          <w:rStyle w:val="Hyperlink"/>
        </w:rPr>
        <w:fldChar w:fldCharType="separate"/>
      </w:r>
      <w:pPr>
        <w:pStyle w:val="Normal"/>
      </w:pPr>
      <w:r>
        <w:rPr>
          <w:rStyle w:val="Hyperlink"/>
        </w:rPr>
        <w:t xml:space="preserve">http://doi.wiley.com/10.1111/jvim.14680</w:t>
      </w:r>
      <w:r>
        <w:rPr>
          <w:rStyle w:val="Hyperlink"/>
        </w:rPr>
        <w:fldChar w:fldCharType="end"/>
      </w:r>
    </w:p>
    <w:p>
      <w:pPr>
        <w:pStyle w:val="Normal"/>
      </w:pPr>
      <w:r>
        <w:rPr>
          <w:color w:val="323232"/>
        </w:rPr>
        <w:t xml:space="preserve">————————</w:t>
      </w:r>
    </w:p>
    <w:p>
      <w:pPr>
        <w:pStyle w:val="Heading4"/>
      </w:pPr>
      <w:r>
        <w:t xml:space="preserve">Acquisition of Involuntary Spinal Locomotion (Spinal Walking) in Dogs with Irreversible Thoracolumbar Spinal Cord Lesion: 81 Dogs.</w:t>
      </w:r>
    </w:p>
    <w:p/>
    <w:p>
      <w:pPr>
        <w:pStyle w:val="Normal"/>
      </w:pPr>
      <w:r>
        <w:rPr>
          <w:color w:val="323232"/>
        </w:rPr>
        <w:t xml:space="preserve">A Gallucci, L Dragone, M Menchetti, T Gagliardo, M Pietra, M Cardinali, and G Gandini.</w:t>
      </w:r>
    </w:p>
    <w:p/>
    <w:p>
      <w:pPr>
        <w:pStyle w:val="Normal"/>
      </w:pPr>
      <w:r>
        <w:rPr>
          <w:color w:val="323232"/>
        </w:rPr>
        <w:t xml:space="preserve">BACKGROUND:Spinal walking (SW) is described as the acquisition of an involuntary motor function in paraplegic dogs and cats without pain perception affected by a thoracolumbar lesion. Whereas spinal locomotion is well described in cats that underwent training trials after experimental spinal cord resection, less consistent information is available for dogs.</w:t>
      </w:r>
    </w:p>
    <w:p/>
    <w:p>
      <w:pPr>
        <w:pStyle w:val="Normal"/>
      </w:pPr>
      <w:r>
        <w:rPr>
          <w:color w:val="323232"/>
        </w:rPr>
        <w:t xml:space="preserve">HYPOTHESIS:Paraplegic dogs affected by a thoracolumbar complete spinal cord lesion undergoing intensive physical rehabilitation could acquire an autonomous SW gait under field conditions.</w:t>
      </w:r>
    </w:p>
    <w:p/>
    <w:p>
      <w:pPr>
        <w:pStyle w:val="Normal"/>
      </w:pPr>
      <w:r>
        <w:rPr>
          <w:color w:val="323232"/>
        </w:rPr>
        <w:t xml:space="preserve">ANIMALS:Eighty-one acute paraplegic thoracolumbar dogs without pelvic limb pain perception.</w:t>
      </w:r>
    </w:p>
    <w:p/>
    <w:p>
      <w:pPr>
        <w:pStyle w:val="Normal"/>
      </w:pPr>
      <w:r>
        <w:rPr>
          <w:color w:val="323232"/>
        </w:rPr>
        <w:t xml:space="preserve">METHODS:Retrospective study of medical records of dogs selected for intensive rehabilitation treatment in paraplegic dogs with absence of pain perception on admission and during the whole treatment. Binary regression and multivariate logistic regression were used to analyze potential associations with the development of SW.</w:t>
      </w:r>
    </w:p>
    <w:p/>
    <w:p>
      <w:pPr>
        <w:pStyle w:val="Normal"/>
      </w:pPr>
      <w:r>
        <w:rPr>
          <w:color w:val="323232"/>
        </w:rPr>
        <w:t xml:space="preserve">RESULTS:Autonomous SW was achieved in 48 dogs (59%). Median time to achieve SW was of 75.5 days (range: 16-350 days). On univariate analysis, SW gait was associated with younger age (P = .002) and early start of physiotherapy (P = .024). Multivariate logistic regression showed that younger age (≤60 months) and lightweight (≤7.8 kg) were positively associated with development of SW (P = .012 and P &lt; .001, respectively). BCS, full-time hospitalization, and type and site of the lesion were not significantly associated with development of SW.</w:t>
      </w:r>
    </w:p>
    <w:p/>
    <w:p>
      <w:pPr>
        <w:pStyle w:val="Normal"/>
      </w:pPr>
      <w:r>
        <w:rPr>
          <w:color w:val="323232"/>
        </w:rPr>
        <w:t xml:space="preserve">CONCLUSIONS:Dogs with irreversible thoracolumbar lesion undergoing intensive physiotherapic treatment can acquire SW. Younger age and lightweight are positively associated with the development of SW gait.</w:t>
      </w:r>
    </w:p>
    <w:p/>
    <w:p>
      <w:pPr>
        <w:pStyle w:val="Normal"/>
      </w:pPr>
      <w:r>
        <w:rPr>
          <w:color w:val="323232"/>
        </w:rPr>
        <w:t xml:space="preserve">J Vet Intern Med, 2017 vol. 31 (2), 4 pp. 492-497.</w:t>
      </w:r>
    </w:p>
    <w:p>
      <w:r>
        <w:rPr>
          <w:rStyle w:val="Hyperlink"/>
        </w:rPr>
        <w:fldChar w:fldCharType="begin"/>
      </w:r>
      <w:r>
        <w:rPr>
          <w:rStyle w:val="Hyperlink"/>
        </w:rPr>
        <w:instrText xml:space="preserve"> HYPERLINK "http://doi.wiley.com/10.1111/jvim.14651" </w:instrText>
      </w:r>
      <w:r>
        <w:rPr>
          <w:rStyle w:val="Hyperlink"/>
        </w:rPr>
      </w:r>
      <w:r>
        <w:rPr>
          <w:rStyle w:val="Hyperlink"/>
        </w:rPr>
        <w:fldChar w:fldCharType="separate"/>
      </w:r>
      <w:pPr>
        <w:pStyle w:val="Normal"/>
      </w:pPr>
      <w:r>
        <w:rPr>
          <w:rStyle w:val="Hyperlink"/>
        </w:rPr>
        <w:t xml:space="preserve">http://doi.wiley.com/10.1111/jvim.14651</w:t>
      </w:r>
      <w:r>
        <w:rPr>
          <w:rStyle w:val="Hyperlink"/>
        </w:rPr>
        <w:fldChar w:fldCharType="end"/>
      </w:r>
    </w:p>
    <w:p>
      <w:pPr>
        <w:pStyle w:val="Normal"/>
      </w:pPr>
      <w:r>
        <w:rPr>
          <w:color w:val="323232"/>
        </w:rPr>
        <w:t xml:space="preserve">————————</w:t>
      </w:r>
    </w:p>
    <w:p>
      <w:pPr>
        <w:pStyle w:val="Heading4"/>
      </w:pPr>
      <w:r>
        <w:t xml:space="preserve">Prevalence and Risk Factors for Presumptive Ascending/Descending Myelomalacia in Dogs after Thoracolumbar Intervertebral Disk Herniation.</w:t>
      </w:r>
    </w:p>
    <w:p/>
    <w:p>
      <w:pPr>
        <w:pStyle w:val="Normal"/>
      </w:pPr>
      <w:r>
        <w:rPr>
          <w:color w:val="323232"/>
        </w:rPr>
        <w:t xml:space="preserve">F Balducci, S Canal, B Contiero, and M Bernardini.</w:t>
      </w:r>
    </w:p>
    <w:p/>
    <w:p>
      <w:pPr>
        <w:pStyle w:val="Normal"/>
      </w:pPr>
      <w:r>
        <w:rPr>
          <w:color w:val="323232"/>
        </w:rPr>
        <w:t xml:space="preserve">BACKGROUND:Ascending/descending myelomalacia (ADMM) is a severe complication of thoracolumbar intervertebral disk herniation (TL-IVDH) in dogs.</w:t>
      </w:r>
    </w:p>
    <w:p/>
    <w:p>
      <w:pPr>
        <w:pStyle w:val="Normal"/>
      </w:pPr>
      <w:r>
        <w:rPr>
          <w:color w:val="323232"/>
        </w:rPr>
        <w:t xml:space="preserve">HYPOTHESIS/OBJECTIVES:To investigate the prevalence and risk factors for ADMM in nonambulatory dogs with surgically treated TL-IVDH.</w:t>
      </w:r>
    </w:p>
    <w:p/>
    <w:p>
      <w:pPr>
        <w:pStyle w:val="Normal"/>
      </w:pPr>
      <w:r>
        <w:rPr>
          <w:color w:val="323232"/>
        </w:rPr>
        <w:t xml:space="preserve">ANIMALS:Six-hundred and fifty-two client-owned dogs evaluated for TL-IVDH that underwent decompressive spinal surgery.</w:t>
      </w:r>
    </w:p>
    <w:p/>
    <w:p>
      <w:pPr>
        <w:pStyle w:val="Normal"/>
      </w:pPr>
      <w:r>
        <w:rPr>
          <w:color w:val="323232"/>
        </w:rPr>
        <w:t xml:space="preserve">METHODS:Retrospective medical record review from February 2007 through December 2015.</w:t>
      </w:r>
    </w:p>
    <w:p/>
    <w:p>
      <w:pPr>
        <w:pStyle w:val="Normal"/>
      </w:pPr>
      <w:r>
        <w:rPr>
          <w:color w:val="323232"/>
        </w:rPr>
        <w:t xml:space="preserve">RESULTS:Thirteen dogs developed ADMM, with an overall prevalence of 2.0%. The prevalence of ADMM was 0% in dogs with neurological signs graded 1 or 2 at admission or before magnetic resonance imaging (MRI) or surgical procedures, 0.6% in dogs with neurological signs graded 3, 2.7% in dogs with neurological signs graded 4, and 14.5% in dogs with neurological signs graded 5. Age (&lt;5.8 years), neurological status (grade 5), site of disk herniation (L5-L6), duration of clinical signs before becoming nonambulatory (&lt;24 hours), detection of intramedullary T2-weighted (T2W) hyperintensity, and a T2 length ratio &gt;4.57 were significant risk factors in the univariate analysis for development of ADMM.</w:t>
      </w:r>
    </w:p>
    <w:p/>
    <w:p>
      <w:pPr>
        <w:pStyle w:val="Normal"/>
      </w:pPr>
      <w:r>
        <w:rPr>
          <w:color w:val="323232"/>
        </w:rPr>
        <w:t xml:space="preserve">CONCLUSIONS AND CLINICAL IMPORTANCE:The factors identified in this study may be useful for the prediction of ADMM. Multicenter studies with a higher number of dogs with ADMM are required to confirm these data.</w:t>
      </w:r>
    </w:p>
    <w:p/>
    <w:p>
      <w:pPr>
        <w:pStyle w:val="Normal"/>
      </w:pPr>
      <w:r>
        <w:rPr>
          <w:color w:val="323232"/>
        </w:rPr>
        <w:t xml:space="preserve">J Vet Intern Med, 2017 vol. 31 (2) pp. 498-504.</w:t>
      </w:r>
    </w:p>
    <w:p>
      <w:r>
        <w:rPr>
          <w:rStyle w:val="Hyperlink"/>
        </w:rPr>
        <w:fldChar w:fldCharType="begin"/>
      </w:r>
      <w:r>
        <w:rPr>
          <w:rStyle w:val="Hyperlink"/>
        </w:rPr>
        <w:instrText xml:space="preserve"> HYPERLINK "http://doi.wiley.com/10.1111/jvim.14656" </w:instrText>
      </w:r>
      <w:r>
        <w:rPr>
          <w:rStyle w:val="Hyperlink"/>
        </w:rPr>
      </w:r>
      <w:r>
        <w:rPr>
          <w:rStyle w:val="Hyperlink"/>
        </w:rPr>
        <w:fldChar w:fldCharType="separate"/>
      </w:r>
      <w:pPr>
        <w:pStyle w:val="Normal"/>
      </w:pPr>
      <w:r>
        <w:rPr>
          <w:rStyle w:val="Hyperlink"/>
        </w:rPr>
        <w:t xml:space="preserve">http://doi.wiley.com/10.1111/jvim.14656</w:t>
      </w:r>
      <w:r>
        <w:rPr>
          <w:rStyle w:val="Hyperlink"/>
        </w:rPr>
        <w:fldChar w:fldCharType="end"/>
      </w:r>
    </w:p>
    <w:p>
      <w:pPr>
        <w:pStyle w:val="Normal"/>
      </w:pPr>
      <w:r>
        <w:rPr>
          <w:color w:val="323232"/>
        </w:rPr>
        <w:t xml:space="preserve">————————</w:t>
      </w:r>
    </w:p>
    <w:p>
      <w:pPr>
        <w:pStyle w:val="Heading4"/>
      </w:pPr>
      <w:r>
        <w:t xml:space="preserve">Clinical Features, Imaging Characteristics, and Long-term Outcome of Dogs with Cranial Meningocele or Meningoencephalocele.</w:t>
      </w:r>
    </w:p>
    <w:p/>
    <w:p>
      <w:pPr>
        <w:pStyle w:val="Normal"/>
      </w:pPr>
      <w:r>
        <w:rPr>
          <w:color w:val="323232"/>
        </w:rPr>
        <w:t xml:space="preserve">K Lazzerini, R Gutierrez-Quintana, R José-López, F McConnell, R Gonçalves, J McMurrough, S De Decker, C Muir, S L Priestnall, L Mari, F Stabile, L De Risio, C Loeffler, A Tauro, C Rusbridge, S Rodenas, S Añor, C de la Fuente, A Fischer, A Bruehschwein, J Penderis, and J Guevar.</w:t>
      </w:r>
    </w:p>
    <w:p/>
    <w:p>
      <w:pPr>
        <w:pStyle w:val="Normal"/>
      </w:pPr>
      <w:r>
        <w:rPr>
          <w:color w:val="323232"/>
        </w:rPr>
        <w:t xml:space="preserve">BACKGROUND:The term meningoencephalocele (MEC) describes a herniation of cerebral tissue and meninges through a defect in the cranium, whereas a meningocele (MC) is a herniation of the meninges alone.</w:t>
      </w:r>
    </w:p>
    <w:p/>
    <w:p>
      <w:pPr>
        <w:pStyle w:val="Normal"/>
      </w:pPr>
      <w:r>
        <w:rPr>
          <w:color w:val="323232"/>
        </w:rPr>
        <w:t xml:space="preserve">HYPOTHESIS/OBJECTIVES:To describe the clinical features, magnetic resonance imaging (MRI) characteristics, and outcomes of dogs with cranial MC and MEC.</w:t>
      </w:r>
    </w:p>
    <w:p/>
    <w:p>
      <w:pPr>
        <w:pStyle w:val="Normal"/>
      </w:pPr>
      <w:r>
        <w:rPr>
          <w:color w:val="323232"/>
        </w:rPr>
        <w:t xml:space="preserve">ANIMALS:Twenty-two client-owned dogs diagnosed with cranial MC or MEC.</w:t>
      </w:r>
    </w:p>
    <w:p/>
    <w:p>
      <w:pPr>
        <w:pStyle w:val="Normal"/>
      </w:pPr>
      <w:r>
        <w:rPr>
          <w:color w:val="323232"/>
        </w:rPr>
        <w:t xml:space="preserve">METHODS:Multicentric retrospective descriptive study. Clinical records of 13 institutions were reviewed. Signalment, clinical history, neurologic findings and MRI characteristics as well as treatment and outcome were recorded and evaluated.</w:t>
      </w:r>
    </w:p>
    <w:p/>
    <w:p>
      <w:pPr>
        <w:pStyle w:val="Normal"/>
      </w:pPr>
      <w:r>
        <w:rPr>
          <w:color w:val="323232"/>
        </w:rPr>
        <w:t xml:space="preserve">RESULTS:Most affected dogs were presented at a young age (median, 6.5 months; range, 1 month - 8 years). The most common presenting complaints were seizures and behavioral abnormalities. Intranasal MEC was more common than parietal MC. Magnetic resonance imaging identified meningeal enhancement of the protruded tissue in 77% of the cases. Porencephaly was seen in all cases with parietal MC. Cerebrospinal fluid (CSF) analysis identified mild abnormalities in 4 of 11 cases. Surgery was not performed in any affected dog. Seventeen patients were treated medically, and seizures were adequately controlled with anti-epileptic drugs in 10 dogs. Dogs with intranasal MEC and mild neurologic signs had a fair prognosis with medical treatment.</w:t>
      </w:r>
    </w:p>
    <w:p/>
    <w:p>
      <w:pPr>
        <w:pStyle w:val="Normal"/>
      </w:pPr>
      <w:r>
        <w:rPr>
          <w:color w:val="323232"/>
        </w:rPr>
        <w:t xml:space="preserve">CONCLUSION AND CLINICAL IMPORTANCE:Although uncommon, MC and MEC should be considered as a differential diagnosis in young dogs presenting with seizures or alterations in behavior. Medical treatment is a valid option with a fair prognosis when the neurologic signs are mild.</w:t>
      </w:r>
    </w:p>
    <w:p/>
    <w:p>
      <w:pPr>
        <w:pStyle w:val="Normal"/>
      </w:pPr>
      <w:r>
        <w:rPr>
          <w:color w:val="323232"/>
        </w:rPr>
        <w:t xml:space="preserve">J Vet Intern Med, 2017 vol. 31 (2) pp. 505-512.</w:t>
      </w:r>
    </w:p>
    <w:p>
      <w:r>
        <w:rPr>
          <w:rStyle w:val="Hyperlink"/>
        </w:rPr>
        <w:fldChar w:fldCharType="begin"/>
      </w:r>
      <w:r>
        <w:rPr>
          <w:rStyle w:val="Hyperlink"/>
        </w:rPr>
        <w:instrText xml:space="preserve"> HYPERLINK "http://doi.wiley.com/10.1111/jvim.14638" </w:instrText>
      </w:r>
      <w:r>
        <w:rPr>
          <w:rStyle w:val="Hyperlink"/>
        </w:rPr>
      </w:r>
      <w:r>
        <w:rPr>
          <w:rStyle w:val="Hyperlink"/>
        </w:rPr>
        <w:fldChar w:fldCharType="separate"/>
      </w:r>
      <w:pPr>
        <w:pStyle w:val="Normal"/>
      </w:pPr>
      <w:r>
        <w:rPr>
          <w:rStyle w:val="Hyperlink"/>
        </w:rPr>
        <w:t xml:space="preserve">http://doi.wiley.com/10.1111/jvim.14638</w:t>
      </w:r>
      <w:r>
        <w:rPr>
          <w:rStyle w:val="Hyperlink"/>
        </w:rPr>
        <w:fldChar w:fldCharType="end"/>
      </w:r>
    </w:p>
    <w:p>
      <w:pPr>
        <w:pStyle w:val="Normal"/>
      </w:pPr>
      <w:r>
        <w:rPr>
          <w:color w:val="323232"/>
        </w:rPr>
        <w:t xml:space="preserve">————————</w:t>
      </w:r>
    </w:p>
    <w:p>
      <w:pPr>
        <w:pStyle w:val="Heading4"/>
      </w:pPr>
      <w:r>
        <w:t xml:space="preserve">Cerebrospinal Fluid Levels of Phosphorylated Neurofilament Heavy as a Diagnostic Marker of Canine Degenerative Myelopathy.</w:t>
      </w:r>
    </w:p>
    <w:p/>
    <w:p>
      <w:pPr>
        <w:pStyle w:val="Normal"/>
      </w:pPr>
      <w:r>
        <w:rPr>
          <w:color w:val="323232"/>
        </w:rPr>
        <w:t xml:space="preserve">C M Toedebusch, M D Bachrach, V B Garcia, G C Johnson, M L Katz, G Shaw, J R Coates, and M L Garcia.</w:t>
      </w:r>
    </w:p>
    <w:p/>
    <w:p>
      <w:pPr>
        <w:pStyle w:val="Normal"/>
      </w:pPr>
      <w:r>
        <w:rPr>
          <w:color w:val="323232"/>
        </w:rPr>
        <w:t xml:space="preserve">BACKGROUND:No definitive, antemortem diagnostic test for canine degenerative myelopathy (DM) is available. Phosphorylated neurofilament heavy (pNF-H) is a promising biomarker for nervous system diseases.</w:t>
      </w:r>
    </w:p>
    <w:p/>
    <w:p>
      <w:pPr>
        <w:pStyle w:val="Normal"/>
      </w:pPr>
      <w:r>
        <w:rPr>
          <w:color w:val="323232"/>
        </w:rPr>
        <w:t xml:space="preserve">HYPOTHESIS/OBJECTIVE:Cerebrospinal fluid (CSF) and serum pNF-H is a detectable biological marker for diagnosis of canine DM.</w:t>
      </w:r>
    </w:p>
    <w:p/>
    <w:p>
      <w:pPr>
        <w:pStyle w:val="Normal"/>
      </w:pPr>
      <w:r>
        <w:rPr>
          <w:color w:val="323232"/>
        </w:rPr>
        <w:t xml:space="preserve">ANIMALS:Fifty-three DM-affected, 27 neurologically normal, 7 asymptomatic at-risk, and 12 DM mimic dogs.</w:t>
      </w:r>
    </w:p>
    <w:p/>
    <w:p>
      <w:pPr>
        <w:pStyle w:val="Normal"/>
      </w:pPr>
      <w:r>
        <w:rPr>
          <w:color w:val="323232"/>
        </w:rPr>
        <w:t xml:space="preserve">METHODS:Archived CSF and serum pNF-H concentrations were determined by a commercially available ELISA. A receiver-operating characteristic (ROC) curve was generated with CSF values.</w:t>
      </w:r>
    </w:p>
    <w:p/>
    <w:p>
      <w:pPr>
        <w:pStyle w:val="Normal"/>
      </w:pPr>
      <w:r>
        <w:rPr>
          <w:color w:val="323232"/>
        </w:rPr>
        <w:t xml:space="preserve">RESULTS:Compared with old control dogs, median CSF pNF-H concentration was increased in all stages of DM; old dogs 5.1 ng</w:t>
      </w:r>
      <w:r>
        <w:rPr>
          <w:i w:val="1"/>
          <w:color w:val="323232"/>
        </w:rPr>
        <w:t xml:space="preserve">mL (interquartile range [IQR] 1.4-9.3) versus DM stage 1 23.9 ng</w:t>
      </w:r>
      <w:r>
        <w:rPr>
          <w:color w:val="323232"/>
        </w:rPr>
        <w:t xml:space="preserve">mL (IQR 20.8-29.6; P &lt; .05) versus DM stage 2 36.8 ng</w:t>
      </w:r>
      <w:r>
        <w:rPr>
          <w:i w:val="1"/>
          <w:color w:val="323232"/>
        </w:rPr>
        <w:t xml:space="preserve">mL (IQR 22.9-51.2; P &lt; .0001) versus DM stage 3 25.2 ng</w:t>
      </w:r>
      <w:r>
        <w:rPr>
          <w:color w:val="323232"/>
        </w:rPr>
        <w:t xml:space="preserve">mL (IQR 20.2-61.8; P &lt; .001) versus DM stage 4 38.0 ng</w:t>
      </w:r>
      <w:r>
        <w:rPr>
          <w:i w:val="1"/>
          <w:color w:val="323232"/>
        </w:rPr>
        <w:t xml:space="preserve">mL (IQR 11.6-59.9; P &lt; .01). Degenerative myelopathy stage 1 dogs had increased median CSF pNF-H concentrations compared with asymptomatic, at-risk dogs (3.4 ng</w:t>
      </w:r>
      <w:r>
        <w:rPr>
          <w:color w:val="323232"/>
        </w:rPr>
        <w:t xml:space="preserve">mL [IQR 1.5-10.9; P &lt; .01]) and DM mimics (6.6 ng</w:t>
      </w:r>
      <w:r>
        <w:rPr>
          <w:i w:val="1"/>
          <w:color w:val="323232"/>
        </w:rPr>
        <w:t xml:space="preserve">mL [IQR 3.0-12.3; P &lt; .01]). CSF pNF-H concentration &gt;20.25 ng</w:t>
      </w:r>
      <w:r>
        <w:rPr>
          <w:color w:val="323232"/>
        </w:rPr>
        <w:t xml:space="preserve">mL was 80.4% sensitive (confidence interval [CI] 66.09-90.64%) and 93.6% specific (CI 78.58-99.21%) for DM. Area under the ROC curve was 0.9467 (CI 0.92-0.9974). No differences in serum pNF-H concentration were found between control and DM-affected dogs.</w:t>
      </w:r>
    </w:p>
    <w:p/>
    <w:p>
      <w:pPr>
        <w:pStyle w:val="Normal"/>
      </w:pPr>
      <w:r>
        <w:rPr>
          <w:color w:val="323232"/>
        </w:rPr>
        <w:t xml:space="preserve">CONCLUSIONS AND CLINICAL IMPORTANCE:pNF-H concentration in CSF is a sensitive biomarker for diagnosis of DM. Although there was high specificity for DM in this cohort, further study should focus on a larger cohort of DM mimics, particularly other central and peripheral axonopathies.</w:t>
      </w:r>
    </w:p>
    <w:p/>
    <w:p>
      <w:pPr>
        <w:pStyle w:val="Normal"/>
      </w:pPr>
      <w:r>
        <w:rPr>
          <w:color w:val="323232"/>
        </w:rPr>
        <w:t xml:space="preserve">J Vet Intern Med, 2017 vol. 31 (2) pp. 513-520.</w:t>
      </w:r>
    </w:p>
    <w:p>
      <w:r>
        <w:rPr>
          <w:rStyle w:val="Hyperlink"/>
        </w:rPr>
        <w:fldChar w:fldCharType="begin"/>
      </w:r>
      <w:r>
        <w:rPr>
          <w:rStyle w:val="Hyperlink"/>
        </w:rPr>
        <w:instrText xml:space="preserve"> HYPERLINK "http://doi.wiley.com/10.1111/jvim.14659" </w:instrText>
      </w:r>
      <w:r>
        <w:rPr>
          <w:rStyle w:val="Hyperlink"/>
        </w:rPr>
      </w:r>
      <w:r>
        <w:rPr>
          <w:rStyle w:val="Hyperlink"/>
        </w:rPr>
        <w:fldChar w:fldCharType="separate"/>
      </w:r>
      <w:pPr>
        <w:pStyle w:val="Normal"/>
      </w:pPr>
      <w:r>
        <w:rPr>
          <w:rStyle w:val="Hyperlink"/>
        </w:rPr>
        <w:t xml:space="preserve">http://doi.wiley.com/10.1111/jvim.14659</w:t>
      </w:r>
      <w:r>
        <w:rPr>
          <w:rStyle w:val="Hyperlink"/>
        </w:rPr>
        <w:fldChar w:fldCharType="end"/>
      </w:r>
    </w:p>
    <w:p>
      <w:pPr>
        <w:pStyle w:val="Normal"/>
      </w:pPr>
      <w:r>
        <w:rPr>
          <w:color w:val="323232"/>
        </w:rPr>
        <w:t xml:space="preserve">————————</w:t>
      </w:r>
    </w:p>
    <w:p>
      <w:pPr>
        <w:pStyle w:val="Heading4"/>
      </w:pPr>
      <w:r>
        <w:t xml:space="preserve">Performance of 4 Point-of-Care Screening Tests for Feline Leukemia Virus and Feline Immunodeficiency Virus.</w:t>
      </w:r>
    </w:p>
    <w:p/>
    <w:p>
      <w:pPr>
        <w:pStyle w:val="Normal"/>
      </w:pPr>
      <w:r>
        <w:rPr>
          <w:color w:val="323232"/>
        </w:rPr>
        <w:t xml:space="preserve">J K Levy, P Cynda Crawford, and S J Tucker.</w:t>
      </w:r>
    </w:p>
    <w:p/>
    <w:p>
      <w:pPr>
        <w:pStyle w:val="Normal"/>
      </w:pPr>
      <w:r>
        <w:rPr>
          <w:color w:val="323232"/>
        </w:rPr>
        <w:t xml:space="preserve">BACKGROUND:More than 3 million cats in the United States are infected with FeLV or FIV. The cornerstone of control is identification and segregation of infected cats.</w:t>
      </w:r>
    </w:p>
    <w:p/>
    <w:p>
      <w:pPr>
        <w:pStyle w:val="Normal"/>
      </w:pPr>
      <w:r>
        <w:rPr>
          <w:color w:val="323232"/>
        </w:rPr>
        <w:t xml:space="preserve">HYPOTHESIS</w:t>
      </w:r>
      <w:r>
        <w:rPr>
          <w:i w:val="1"/>
          <w:color w:val="323232"/>
        </w:rPr>
        <w:t xml:space="preserve">OBJECTIVES:To compare test performance with well-characterized clinical samples of currently available FeLV antigen</w:t>
      </w:r>
      <w:r>
        <w:rPr>
          <w:color w:val="323232"/>
        </w:rPr>
        <w:t xml:space="preserve">FIV antibody combination test kits.</w:t>
      </w:r>
    </w:p>
    <w:p/>
    <w:p>
      <w:pPr>
        <w:pStyle w:val="Normal"/>
      </w:pPr>
      <w:r>
        <w:rPr>
          <w:color w:val="323232"/>
        </w:rPr>
        <w:t xml:space="preserve">ANIMALS:Surplus serum and plasma from diagnostic samples submitted by animal shelters, diagnostic laboratories, veterinary clinics, and cat research colonies. None of the cats had been vaccinated against FIV. The final sample set included 146 FeLV+, 154 FeLV-, 94 FIV+, and 97 FIV- samples.</w:t>
      </w:r>
    </w:p>
    <w:p/>
    <w:p>
      <w:pPr>
        <w:pStyle w:val="Normal"/>
      </w:pPr>
      <w:r>
        <w:rPr>
          <w:color w:val="323232"/>
        </w:rPr>
        <w:t xml:space="preserve">METHODS:Prospective, blind comparison to a gold standard: Samples were evaluated in 4 different point-of-care tests by ELISA antigen plate tests (FeLV) and virus isolation (FIV) as the reference standards. All test results were visually read by 2 blinded observers.</w:t>
      </w:r>
    </w:p>
    <w:p/>
    <w:p>
      <w:pPr>
        <w:pStyle w:val="Normal"/>
      </w:pPr>
      <w:r>
        <w:rPr>
          <w:color w:val="323232"/>
        </w:rPr>
        <w:t xml:space="preserve">RESULTS:Sensitivity and specificity, respectively, for FeLV were SNAP® (100%/100%), WITNESS® (89.0%/95.5%), Anigen® (91.8%/95.5%), and VetScan® (85.6%/85.7%). Sensitivity and specificity for FIV were SNAP® (97.9%/99.0%), WITNESS® (94.7%/100%), Anigen® (96.8%/99.0%), and VetScan® (91.5%/99.0%).</w:t>
      </w:r>
    </w:p>
    <w:p/>
    <w:p>
      <w:pPr>
        <w:pStyle w:val="Normal"/>
      </w:pPr>
      <w:r>
        <w:rPr>
          <w:color w:val="323232"/>
        </w:rPr>
        <w:t xml:space="preserve">CONCLUSIONS AND CLINICAL IMPORTANCE:The SNAP® test had the best performance for FeLV, but there were no significant differences for FIV. In typical cat populations with seroprevalence of 1-5%, a majority of positive results reported by most point-of-care test devices would be false-positives. This could result in unnecessary segregation or even euthanasia.</w:t>
      </w:r>
    </w:p>
    <w:p/>
    <w:p>
      <w:pPr>
        <w:pStyle w:val="Normal"/>
      </w:pPr>
      <w:r>
        <w:rPr>
          <w:color w:val="323232"/>
        </w:rPr>
        <w:t xml:space="preserve">J Vet Intern Med, 2017 vol. 31 (2) pp. 521-526.</w:t>
      </w:r>
    </w:p>
    <w:p>
      <w:r>
        <w:rPr>
          <w:rStyle w:val="Hyperlink"/>
        </w:rPr>
        <w:fldChar w:fldCharType="begin"/>
      </w:r>
      <w:r>
        <w:rPr>
          <w:rStyle w:val="Hyperlink"/>
        </w:rPr>
        <w:instrText xml:space="preserve"> HYPERLINK "http://doi.wiley.com/10.1111/jvim.14648" </w:instrText>
      </w:r>
      <w:r>
        <w:rPr>
          <w:rStyle w:val="Hyperlink"/>
        </w:rPr>
      </w:r>
      <w:r>
        <w:rPr>
          <w:rStyle w:val="Hyperlink"/>
        </w:rPr>
        <w:fldChar w:fldCharType="separate"/>
      </w:r>
      <w:pPr>
        <w:pStyle w:val="Normal"/>
      </w:pPr>
      <w:r>
        <w:rPr>
          <w:rStyle w:val="Hyperlink"/>
        </w:rPr>
        <w:t xml:space="preserve">http://doi.wiley.com/10.1111/jvim.14648</w:t>
      </w:r>
      <w:r>
        <w:rPr>
          <w:rStyle w:val="Hyperlink"/>
        </w:rPr>
        <w:fldChar w:fldCharType="end"/>
      </w:r>
    </w:p>
    <w:p>
      <w:pPr>
        <w:pStyle w:val="Normal"/>
      </w:pPr>
      <w:r>
        <w:rPr>
          <w:color w:val="323232"/>
        </w:rPr>
        <w:t xml:space="preserve">————————</w:t>
      </w:r>
    </w:p>
    <w:p>
      <w:pPr>
        <w:pStyle w:val="Heading4"/>
      </w:pPr>
      <w:r>
        <w:t xml:space="preserve">Assessment of Left Atrial Deformation and Function by 2-Dimensional Speckle Tracking Echocardiography in Healthy Dogs and Dogs With Myxomatous Mitral Valve Disease.</w:t>
      </w:r>
    </w:p>
    <w:p/>
    <w:p>
      <w:pPr>
        <w:pStyle w:val="Normal"/>
      </w:pPr>
      <w:r>
        <w:rPr>
          <w:color w:val="323232"/>
        </w:rPr>
        <w:t xml:space="preserve">M Baron Toaldo, G Romito, C Guglielmini, A Diana, N G Pelle, B Contiero, and M Cipone.</w:t>
      </w:r>
    </w:p>
    <w:p/>
    <w:p>
      <w:pPr>
        <w:pStyle w:val="Normal"/>
      </w:pPr>
      <w:r>
        <w:rPr>
          <w:color w:val="323232"/>
        </w:rPr>
        <w:t xml:space="preserve">BACKGROUND:The assessment of left atrial (LA) function by 2-dimensional speckle tracking echocardiography (STE) holds important clinical implications in human medicine. Few similar data are available in dogs.</w:t>
      </w:r>
    </w:p>
    <w:p/>
    <w:p>
      <w:pPr>
        <w:pStyle w:val="Normal"/>
      </w:pPr>
      <w:r>
        <w:rPr>
          <w:color w:val="323232"/>
        </w:rPr>
        <w:t xml:space="preserve">OBJECTIVES:To assess LA function by STE in dogs with and without myxomatous mitral valve disease (MMVD), analyzing LA areas, systolic function, and strain.</w:t>
      </w:r>
    </w:p>
    <w:p/>
    <w:p>
      <w:pPr>
        <w:pStyle w:val="Normal"/>
      </w:pPr>
      <w:r>
        <w:rPr>
          <w:color w:val="323232"/>
        </w:rPr>
        <w:t xml:space="preserve">ANIMALS:One hundred and fifty dogs were divided according to the American College of Veterinary Internal Medicine classification of heart failure: 23 dogs in class A, 52 in class B1, 36 in class B2, and 39 in class C + D.</w:t>
      </w:r>
    </w:p>
    <w:p/>
    <w:p>
      <w:pPr>
        <w:pStyle w:val="Normal"/>
      </w:pPr>
      <w:r>
        <w:rPr>
          <w:color w:val="323232"/>
        </w:rPr>
        <w:t xml:space="preserve">METHODS:Prospective observational study. Conventional morphologic and Doppler variables, LA areas, and STE-based LA strain analysis were performed in all dogs and results were compared among groups. Correlation analysis was carried out between LA STE variables and other echocardiographic variables.</w:t>
      </w:r>
    </w:p>
    <w:p/>
    <w:p>
      <w:pPr>
        <w:pStyle w:val="Normal"/>
      </w:pPr>
      <w:r>
        <w:rPr>
          <w:color w:val="323232"/>
        </w:rPr>
        <w:t xml:space="preserve">RESULTS:Variability study showed good reproducibility for all the tested variables (coefficient of variation &lt;16%). Left atrial areas, fractional area change, peak atrial longitudinal strain (PALS), peak atrial contraction strain, and contraction strain index (CSI) differed significantly between groups B2 and C + D and all the other groups (overall P &lt; .001), whereas only PALS differed between groups B1 and A (P = .01). Left atrial areas increased with progression of the disease, whereas LA functional parameters decreased. Only CSI increased nonsignificantly from group A to group B1 and then progressively decreased. Thirty-one significant correlations (P &lt; .001, r &gt; .3) were found between conventional left heart echocardiographic variables and LA areas and strain variables.</w:t>
      </w:r>
    </w:p>
    <w:p/>
    <w:p>
      <w:pPr>
        <w:pStyle w:val="Normal"/>
      </w:pPr>
      <w:r>
        <w:rPr>
          <w:color w:val="323232"/>
        </w:rPr>
        <w:t xml:space="preserve">CONCLUSIONS AND CLINICAL IMPORTANCE:Left atrial STE analysis provides useful information on atrial function in the dog, highlighting a progressive decline in atrial function with worsening of MMVD.</w:t>
      </w:r>
    </w:p>
    <w:p/>
    <w:p>
      <w:pPr>
        <w:pStyle w:val="Normal"/>
      </w:pPr>
      <w:r>
        <w:rPr>
          <w:color w:val="323232"/>
        </w:rPr>
        <w:t xml:space="preserve">J Vet Intern Med, 2017 vol. 31 (3), 1 pp. 641-649.</w:t>
      </w:r>
    </w:p>
    <w:p>
      <w:r>
        <w:rPr>
          <w:rStyle w:val="Hyperlink"/>
        </w:rPr>
        <w:fldChar w:fldCharType="begin"/>
      </w:r>
      <w:r>
        <w:rPr>
          <w:rStyle w:val="Hyperlink"/>
        </w:rPr>
        <w:instrText xml:space="preserve"> HYPERLINK "http://doi.wiley.com/10.1111/jvim.14722" </w:instrText>
      </w:r>
      <w:r>
        <w:rPr>
          <w:rStyle w:val="Hyperlink"/>
        </w:rPr>
      </w:r>
      <w:r>
        <w:rPr>
          <w:rStyle w:val="Hyperlink"/>
        </w:rPr>
        <w:fldChar w:fldCharType="separate"/>
      </w:r>
      <w:pPr>
        <w:pStyle w:val="Normal"/>
      </w:pPr>
      <w:r>
        <w:rPr>
          <w:rStyle w:val="Hyperlink"/>
        </w:rPr>
        <w:t xml:space="preserve">http://doi.wiley.com/10.1111/jvim.14722</w:t>
      </w:r>
      <w:r>
        <w:rPr>
          <w:rStyle w:val="Hyperlink"/>
        </w:rPr>
        <w:fldChar w:fldCharType="end"/>
      </w:r>
    </w:p>
    <w:p>
      <w:pPr>
        <w:pStyle w:val="Normal"/>
      </w:pPr>
      <w:r>
        <w:rPr>
          <w:color w:val="323232"/>
        </w:rPr>
        <w:t xml:space="preserve">————————</w:t>
      </w:r>
    </w:p>
    <w:p>
      <w:pPr>
        <w:pStyle w:val="Heading4"/>
      </w:pPr>
      <w:r>
        <w:t xml:space="preserve">Plasma N-Terminal Probrain Natriuretic Peptide, Vascular Endothelial Growth Factor, and Cardiac Troponin I as Novel Biomarkers of Hypertensive Disease and Target Organ Damage in Cats.</w:t>
      </w:r>
    </w:p>
    <w:p/>
    <w:p>
      <w:pPr>
        <w:pStyle w:val="Normal"/>
      </w:pPr>
      <w:r>
        <w:rPr>
          <w:color w:val="323232"/>
        </w:rPr>
        <w:t xml:space="preserve">E S Bijsmans, R E Jepson, C Wheeler, H M Syme, and J Elliott.</w:t>
      </w:r>
    </w:p>
    <w:p/>
    <w:p>
      <w:pPr>
        <w:pStyle w:val="Normal"/>
      </w:pPr>
      <w:r>
        <w:rPr>
          <w:color w:val="323232"/>
        </w:rPr>
        <w:t xml:space="preserve">BACKGROUND:In the absence of ocular target organ damage (ocular-TOD), diagnosis of hypertension is challenging in cats. Biomarkers would provide additional support for the diagnosis of hypertension.</w:t>
      </w:r>
    </w:p>
    <w:p/>
    <w:p>
      <w:pPr>
        <w:pStyle w:val="Normal"/>
      </w:pPr>
      <w:r>
        <w:rPr>
          <w:color w:val="323232"/>
        </w:rPr>
        <w:t xml:space="preserve">HYPOTHESIS:Vascular endothelial growth factor (VEGF), N-terminal probrain natriuretic peptide (NT-proBNP), cardiac troponin I (cTnI), and urine protein-to-creatinine ratio (UPC) are predictors of systemic hypertension, will be increased in cats with hypertension with or without ocular-TOD, and will decrease with antihypertensive treatment.</w:t>
      </w:r>
    </w:p>
    <w:p/>
    <w:p>
      <w:pPr>
        <w:pStyle w:val="Normal"/>
      </w:pPr>
      <w:r>
        <w:rPr>
          <w:color w:val="323232"/>
        </w:rPr>
        <w:t xml:space="preserve">METHODS:Plasma VEGF, NT-proBNP, and cTnI concentrations and UPC were determined in healthy geriatric cats, normotensive cats with chronic kidney disease (CKD), hypertensive cats with evidence of hypertensive retinopathy (HT-ocular-TOD), and hypertensive cats without hypertensive ocular-TOD (HT-noTOD). Comparisons among groups were performed. Multivariable binary logistic regression models were built to identify independent biomarkers of hypertension and ocular-TOD. Receiver operator characteristic (ROC) curves were drawn to assess clinical use.</w:t>
      </w:r>
    </w:p>
    <w:p/>
    <w:p>
      <w:pPr>
        <w:pStyle w:val="Normal"/>
      </w:pPr>
      <w:r>
        <w:rPr>
          <w:color w:val="323232"/>
        </w:rPr>
        <w:t xml:space="preserve">RESULTS:Cats with HT-ocular-TOD had significantly higher VEGF than all other groups (P &lt; .05) and significantly higher NT-proBNP than healthy cats (P &lt; .001). Healthy cats had significantly lower cTnI than all other groups (P &lt; .05). No differences were found among groups for UPC (P = .08). Cardiac troponin I and VEGF were independent predictors of hypertension (P &lt; .05), but none of the biomarkers were independent predictors of ocular-TOD. N-terminal probrain natriuretic peptide concentrations decreased with antihypertensive treatment (P &lt; .001). The ROC curves indicated that none of the biomarkers met the criteria to function as diagnostic tests for the diagnosis of hypertension or associated ocular-TOD.</w:t>
      </w:r>
    </w:p>
    <w:p/>
    <w:p>
      <w:pPr>
        <w:pStyle w:val="Normal"/>
      </w:pPr>
      <w:r>
        <w:rPr>
          <w:color w:val="323232"/>
        </w:rPr>
        <w:t xml:space="preserve">CONCLUSIONS AND CLINICAL SIGNIFICANCE:Despite statistical significance and changes with ocular-TOD, antihypertensive treatment, or both, VEGF, NT-proBNP, and cTnI did not function as useful diagnostic tests for hypertension. Persistently increased systolic blood pressure (SBP) measurements in combination with fundoscopy remains the preferred method for diagnosis of feline hypertension.</w:t>
      </w:r>
    </w:p>
    <w:p/>
    <w:p>
      <w:pPr>
        <w:pStyle w:val="Normal"/>
      </w:pPr>
      <w:r>
        <w:rPr>
          <w:color w:val="323232"/>
        </w:rPr>
        <w:t xml:space="preserve">J Vet Intern Med, 2017 vol. 31 (3) pp. 650-660.</w:t>
      </w:r>
    </w:p>
    <w:p>
      <w:r>
        <w:rPr>
          <w:rStyle w:val="Hyperlink"/>
        </w:rPr>
        <w:fldChar w:fldCharType="begin"/>
      </w:r>
      <w:r>
        <w:rPr>
          <w:rStyle w:val="Hyperlink"/>
        </w:rPr>
        <w:instrText xml:space="preserve"> HYPERLINK "http://doi.wiley.com/10.1111/jvim.14655" </w:instrText>
      </w:r>
      <w:r>
        <w:rPr>
          <w:rStyle w:val="Hyperlink"/>
        </w:rPr>
      </w:r>
      <w:r>
        <w:rPr>
          <w:rStyle w:val="Hyperlink"/>
        </w:rPr>
        <w:fldChar w:fldCharType="separate"/>
      </w:r>
      <w:pPr>
        <w:pStyle w:val="Normal"/>
      </w:pPr>
      <w:r>
        <w:rPr>
          <w:rStyle w:val="Hyperlink"/>
        </w:rPr>
        <w:t xml:space="preserve">http://doi.wiley.com/10.1111/jvim.14655</w:t>
      </w:r>
      <w:r>
        <w:rPr>
          <w:rStyle w:val="Hyperlink"/>
        </w:rPr>
        <w:fldChar w:fldCharType="end"/>
      </w:r>
    </w:p>
    <w:p>
      <w:pPr>
        <w:pStyle w:val="Normal"/>
      </w:pPr>
      <w:r>
        <w:rPr>
          <w:color w:val="323232"/>
        </w:rPr>
        <w:t xml:space="preserve">————————</w:t>
      </w:r>
    </w:p>
    <w:p>
      <w:pPr>
        <w:pStyle w:val="Heading4"/>
      </w:pPr>
      <w:r>
        <w:t xml:space="preserve">Echocardiographic Assessment of Right Ventricular Size and Function in Cats With Hypertrophic Cardiomyopathy.</w:t>
      </w:r>
    </w:p>
    <w:p/>
    <w:p>
      <w:pPr>
        <w:pStyle w:val="Normal"/>
      </w:pPr>
      <w:r>
        <w:rPr>
          <w:color w:val="323232"/>
        </w:rPr>
        <w:t xml:space="preserve">L C Visser, C Q Sloan, and J A Stern.</w:t>
      </w:r>
    </w:p>
    <w:p/>
    <w:p>
      <w:pPr>
        <w:pStyle w:val="Normal"/>
      </w:pPr>
      <w:r>
        <w:rPr>
          <w:color w:val="323232"/>
        </w:rPr>
        <w:t xml:space="preserve">BACKGROUND:Studies evaluating right ventricular (RV) structural and functional abnormalities in feline hypertrophic cardiomyopathy (HCM) are limited.</w:t>
      </w:r>
    </w:p>
    <w:p/>
    <w:p>
      <w:pPr>
        <w:pStyle w:val="Normal"/>
      </w:pPr>
      <w:r>
        <w:rPr>
          <w:color w:val="323232"/>
        </w:rPr>
        <w:t xml:space="preserve">HYPOTHESIS:Right ventricular structural and functional abnormalities are present in cats with HCM and are associated with clinical severity.</w:t>
      </w:r>
    </w:p>
    <w:p/>
    <w:p>
      <w:pPr>
        <w:pStyle w:val="Normal"/>
      </w:pPr>
      <w:r>
        <w:rPr>
          <w:color w:val="323232"/>
        </w:rPr>
        <w:t xml:space="preserve">ANIMALS:Eighty-one client-owned cats.</w:t>
      </w:r>
    </w:p>
    <w:p/>
    <w:p>
      <w:pPr>
        <w:pStyle w:val="Normal"/>
      </w:pPr>
      <w:r>
        <w:rPr>
          <w:color w:val="323232"/>
        </w:rPr>
        <w:t xml:space="preserve">METHODS:Retrospective 2-dimensional (2D) echocardiographic study. Right atrial diameter (RAD), RV free wall thickness (RVFWd), RV internal dimension (RVIDd), RV fractional area change (FAC), and tricuspid annular plane systolic excursion (TAPSE) were measured in control cats (n = 26), cats with subclinical HCM (subclinical HCM; n = 31), and cats with HCM and congestive heart failure (HCM + CHF; n = 24).</w:t>
      </w:r>
    </w:p>
    <w:p/>
    <w:p>
      <w:pPr>
        <w:pStyle w:val="Normal"/>
      </w:pPr>
      <w:r>
        <w:rPr>
          <w:color w:val="323232"/>
        </w:rPr>
        <w:t xml:space="preserve">RESULTS:Right heart size (RAD, RVFWd, and RVIDd) and RV function (FAC and TAPSE) significantly (all P &lt; .05) increased and decreased, respectively, in the HCM + CHF group compared with controls. In the subclinical HCM group, only RVFWd was significantly (P &lt; .05) higher than in controls. Compared with reference intervals derived from controls, 29% of cats with HCM had increased RVFWd. Increased left ventricular free wall thickness, increased RVIDd and decreased TAPSE independently correlated with increased left atrial size. Cats with HCM and pleural effusion were significantly more likely to have increased RVFWd and had increased RAD and decreased TAPSE compared with cats without pleural effusion.</w:t>
      </w:r>
    </w:p>
    <w:p/>
    <w:p>
      <w:pPr>
        <w:pStyle w:val="Normal"/>
      </w:pPr>
      <w:r>
        <w:rPr>
          <w:color w:val="323232"/>
        </w:rPr>
        <w:t xml:space="preserve">CONCLUSIONS AND CLINICAL IMPORTANCE:Right ventricular remodeling and dysfunction occur in some cats with HCM and may be associated with clinical severity. Our results support involvement of RV in the pathophysiology of HCM in some cats and support echocardiographic assessment of the RV in cats with HCM.</w:t>
      </w:r>
    </w:p>
    <w:p/>
    <w:p>
      <w:pPr>
        <w:pStyle w:val="Normal"/>
      </w:pPr>
      <w:r>
        <w:rPr>
          <w:color w:val="323232"/>
        </w:rPr>
        <w:t xml:space="preserve">J Vet Intern Med, 2017 vol. 31 (3) pp. 668-677.</w:t>
      </w:r>
    </w:p>
    <w:p>
      <w:r>
        <w:rPr>
          <w:rStyle w:val="Hyperlink"/>
        </w:rPr>
        <w:fldChar w:fldCharType="begin"/>
      </w:r>
      <w:r>
        <w:rPr>
          <w:rStyle w:val="Hyperlink"/>
        </w:rPr>
        <w:instrText xml:space="preserve"> HYPERLINK "http://dx.doi.org/10.1111/jvim.14688" </w:instrText>
      </w:r>
      <w:r>
        <w:rPr>
          <w:rStyle w:val="Hyperlink"/>
        </w:rPr>
      </w:r>
      <w:r>
        <w:rPr>
          <w:rStyle w:val="Hyperlink"/>
        </w:rPr>
        <w:fldChar w:fldCharType="separate"/>
      </w:r>
      <w:pPr>
        <w:pStyle w:val="Normal"/>
      </w:pPr>
      <w:r>
        <w:rPr>
          <w:rStyle w:val="Hyperlink"/>
        </w:rPr>
        <w:t xml:space="preserve">http://dx.doi.org/10.1111/jvim.14688</w:t>
      </w:r>
      <w:r>
        <w:rPr>
          <w:rStyle w:val="Hyperlink"/>
        </w:rPr>
        <w:fldChar w:fldCharType="end"/>
      </w:r>
    </w:p>
    <w:p>
      <w:pPr>
        <w:pStyle w:val="Normal"/>
      </w:pPr>
      <w:r>
        <w:rPr>
          <w:color w:val="323232"/>
        </w:rPr>
        <w:t xml:space="preserve">————————</w:t>
      </w:r>
    </w:p>
    <w:p>
      <w:pPr>
        <w:pStyle w:val="Heading4"/>
      </w:pPr>
      <w:r>
        <w:t xml:space="preserve">Association between Survival Time and Changes in NT-proBNP in Cats Treated for Congestive Heart Failure.</w:t>
      </w:r>
    </w:p>
    <w:p/>
    <w:p>
      <w:pPr>
        <w:pStyle w:val="Normal"/>
      </w:pPr>
      <w:r>
        <w:rPr>
          <w:color w:val="323232"/>
        </w:rPr>
        <w:t xml:space="preserve">K V Pierce, J E Rush, L M Freeman, S M Cunningham, and V K Yang.</w:t>
      </w:r>
    </w:p>
    <w:p/>
    <w:p>
      <w:pPr>
        <w:pStyle w:val="Normal"/>
      </w:pPr>
      <w:r>
        <w:rPr>
          <w:color w:val="323232"/>
        </w:rPr>
        <w:t xml:space="preserve">BACKGROUND:Reductions in N-terminal pro-B-type natriuretic peptide (NT-proBNP) concentrations after treatment have been associated with improved survival in people with congestive heart failure (CHF), but have not been reported in cats with CHF.</w:t>
      </w:r>
    </w:p>
    <w:p/>
    <w:p>
      <w:pPr>
        <w:pStyle w:val="Normal"/>
      </w:pPr>
      <w:r>
        <w:rPr>
          <w:color w:val="323232"/>
        </w:rPr>
        <w:t xml:space="preserve">OBJECTIVES:To evaluate changes in NT-proBNP concentrations in cats with CHF after treatment and determine whether serial NT-proBNP measurements provide prognostic information.</w:t>
      </w:r>
    </w:p>
    <w:p/>
    <w:p>
      <w:pPr>
        <w:pStyle w:val="Normal"/>
      </w:pPr>
      <w:r>
        <w:rPr>
          <w:color w:val="323232"/>
        </w:rPr>
        <w:t xml:space="preserve">ANIMALS:Thirty-one client-owned cats.</w:t>
      </w:r>
    </w:p>
    <w:p/>
    <w:p>
      <w:pPr>
        <w:pStyle w:val="Normal"/>
      </w:pPr>
      <w:r>
        <w:rPr>
          <w:color w:val="323232"/>
        </w:rPr>
        <w:t xml:space="preserve">METHODS:Prospective, observational study in cats with new onset CHF secondary to cardiomyopathy. Concentrations of NT-proBNP were measured within 4 hours of admission to the hospital, on the day of discharge, and at re-evaluation 7-10 days later.</w:t>
      </w:r>
    </w:p>
    <w:p/>
    <w:p>
      <w:pPr>
        <w:pStyle w:val="Normal"/>
      </w:pPr>
      <w:r>
        <w:rPr>
          <w:color w:val="323232"/>
        </w:rPr>
        <w:t xml:space="preserve">RESULTS:Median NT-proBNP concentrations decreased significantly from admission (1,713 pmol</w:t>
      </w:r>
      <w:r>
        <w:rPr>
          <w:i w:val="1"/>
          <w:color w:val="323232"/>
        </w:rPr>
        <w:t xml:space="preserve">L [range, 160-3,784 pmol</w:t>
      </w:r>
      <w:r>
        <w:rPr>
          <w:color w:val="323232"/>
        </w:rPr>
        <w:t xml:space="preserve">L]) to discharge (902 pmol</w:t>
      </w:r>
      <w:r>
        <w:rPr>
          <w:i w:val="1"/>
          <w:color w:val="323232"/>
        </w:rPr>
        <w:t xml:space="preserve">L [range, 147-3,223 pmol</w:t>
      </w:r>
      <w:r>
        <w:rPr>
          <w:color w:val="323232"/>
        </w:rPr>
        <w:t xml:space="preserve">L]); P = .005) and from admission to re-evaluation (1,124 pmol</w:t>
      </w:r>
      <w:r>
        <w:rPr>
          <w:i w:val="1"/>
          <w:color w:val="323232"/>
        </w:rPr>
        <w:t xml:space="preserve">L [range, 111-2,727 pmol</w:t>
      </w:r>
      <w:r>
        <w:rPr>
          <w:color w:val="323232"/>
        </w:rPr>
        <w:t xml:space="preserve">L]; P = .024). Median survival time was 109 days (range, 1-709 days), with 5 cats still alive at the time of analysis. Cats with a larger percent decrease in NT-proBNP from admission to discharge had a longer survival time (P = .048). Cats with evidence of active CHF at the time of re-evaluation (P = .010) and cats whose owners had difficulty administering medications (P = .045) had shorter survival times.</w:t>
      </w:r>
    </w:p>
    <w:p/>
    <w:p>
      <w:pPr>
        <w:pStyle w:val="Normal"/>
      </w:pPr>
      <w:r>
        <w:rPr>
          <w:color w:val="323232"/>
        </w:rPr>
        <w:t xml:space="preserve">CONCLUSIONS AND CLINICAL IMPORTANCE:Cats with a larger percent decrease in NT-proBNP during hospitalization and no evidence of CHF at the time of re-evaluation had longer survival times. Additional studies are needed to determine whether NT-proBNP can help guide treatment in cats with CHF.</w:t>
      </w:r>
    </w:p>
    <w:p/>
    <w:p>
      <w:pPr>
        <w:pStyle w:val="Normal"/>
      </w:pPr>
      <w:r>
        <w:rPr>
          <w:color w:val="323232"/>
        </w:rPr>
        <w:t xml:space="preserve">J Vet Intern Med, 2017 vol. 31 (3), 7 pp. 678-684.</w:t>
      </w:r>
    </w:p>
    <w:p>
      <w:r>
        <w:rPr>
          <w:rStyle w:val="Hyperlink"/>
        </w:rPr>
        <w:fldChar w:fldCharType="begin"/>
      </w:r>
      <w:r>
        <w:rPr>
          <w:rStyle w:val="Hyperlink"/>
        </w:rPr>
        <w:instrText xml:space="preserve"> HYPERLINK "http://dx.doi.org/10.1111/jvim.14690" </w:instrText>
      </w:r>
      <w:r>
        <w:rPr>
          <w:rStyle w:val="Hyperlink"/>
        </w:rPr>
      </w:r>
      <w:r>
        <w:rPr>
          <w:rStyle w:val="Hyperlink"/>
        </w:rPr>
        <w:fldChar w:fldCharType="separate"/>
      </w:r>
      <w:pPr>
        <w:pStyle w:val="Normal"/>
      </w:pPr>
      <w:r>
        <w:rPr>
          <w:rStyle w:val="Hyperlink"/>
        </w:rPr>
        <w:t xml:space="preserve">http://dx.doi.org/10.1111/jvim.14690</w:t>
      </w:r>
      <w:r>
        <w:rPr>
          <w:rStyle w:val="Hyperlink"/>
        </w:rPr>
        <w:fldChar w:fldCharType="end"/>
      </w:r>
    </w:p>
    <w:p>
      <w:pPr>
        <w:pStyle w:val="Normal"/>
      </w:pPr>
      <w:r>
        <w:rPr>
          <w:color w:val="323232"/>
        </w:rPr>
        <w:t xml:space="preserve">————————</w:t>
      </w:r>
    </w:p>
    <w:p>
      <w:pPr>
        <w:pStyle w:val="Heading4"/>
      </w:pPr>
      <w:r>
        <w:t xml:space="preserve">Clinical Characteristics of Adult Dogs More Than 5 Years of Age at Presentation for Patent Ductus Arteriosus.</w:t>
      </w:r>
    </w:p>
    <w:p/>
    <w:p>
      <w:pPr>
        <w:pStyle w:val="Normal"/>
      </w:pPr>
      <w:r>
        <w:rPr>
          <w:color w:val="323232"/>
        </w:rPr>
        <w:t xml:space="preserve">B G Boutet, A B Saunders, and S G Gordon.</w:t>
      </w:r>
    </w:p>
    <w:p/>
    <w:p>
      <w:pPr>
        <w:pStyle w:val="Normal"/>
      </w:pPr>
      <w:r>
        <w:rPr>
          <w:color w:val="323232"/>
        </w:rPr>
        <w:t xml:space="preserve">BACKGROUND:The median age at presentation for dogs with patent ductus arteriosus (PDA) is &lt;6</w:t>
      </w:r>
      <w:r>
        <w:rPr>
          <w:color w:val="323232"/>
        </w:rPr>
        <w:t xml:space="preserve"> </w:t>
      </w:r>
      <w:r>
        <w:rPr>
          <w:color w:val="323232"/>
        </w:rPr>
        <w:t xml:space="preserve">months of age, and closure is associated with a decrease in heart size and increased survival time, which are not well described in older dogs.</w:t>
      </w:r>
    </w:p>
    <w:p/>
    <w:p>
      <w:pPr>
        <w:pStyle w:val="Normal"/>
      </w:pPr>
      <w:r>
        <w:rPr>
          <w:color w:val="323232"/>
        </w:rPr>
        <w:t xml:space="preserve">OBJECTIVES:To describe the clinical characteristics of dogs with PDA ≥5</w:t>
      </w:r>
      <w:r>
        <w:rPr>
          <w:color w:val="323232"/>
        </w:rPr>
        <w:t xml:space="preserve"> </w:t>
      </w:r>
      <w:r>
        <w:rPr>
          <w:color w:val="323232"/>
        </w:rPr>
        <w:t xml:space="preserve">years of age at the time of presentation to a veterinary referral hospital.</w:t>
      </w:r>
    </w:p>
    <w:p/>
    <w:p>
      <w:pPr>
        <w:pStyle w:val="Normal"/>
      </w:pPr>
      <w:r>
        <w:rPr>
          <w:color w:val="323232"/>
        </w:rPr>
        <w:t xml:space="preserve">ANIMALS:35 client-owned dogs.</w:t>
      </w:r>
    </w:p>
    <w:p/>
    <w:p>
      <w:pPr>
        <w:pStyle w:val="Normal"/>
      </w:pPr>
      <w:r>
        <w:rPr>
          <w:color w:val="323232"/>
        </w:rPr>
        <w:t xml:space="preserve">METHODS:Retrospective case series.</w:t>
      </w:r>
    </w:p>
    <w:p/>
    <w:p>
      <w:pPr>
        <w:pStyle w:val="Normal"/>
      </w:pPr>
      <w:r>
        <w:rPr>
          <w:color w:val="323232"/>
        </w:rPr>
        <w:t xml:space="preserve">RESULTS:PDA was diagnosed at a median age of 7.4</w:t>
      </w:r>
      <w:r>
        <w:rPr>
          <w:color w:val="323232"/>
        </w:rPr>
        <w:t xml:space="preserve"> </w:t>
      </w:r>
      <w:r>
        <w:rPr>
          <w:color w:val="323232"/>
        </w:rPr>
        <w:t xml:space="preserve">years (range, 5.1-12.3</w:t>
      </w:r>
      <w:r>
        <w:rPr>
          <w:color w:val="323232"/>
        </w:rPr>
        <w:t xml:space="preserve"> </w:t>
      </w:r>
      <w:r>
        <w:rPr>
          <w:color w:val="323232"/>
        </w:rPr>
        <w:t xml:space="preserve">years). Females represented 23/35 (65.7%) of the patients. Concurrent heart disease included degenerative mitral valve disease (DMVD; 13), arrhythmias (11), pulmonary hypertension (7), and other congenital defects (2). Cardiomegaly was documented in the majority of dogs consisting of left ventricular enlargement (91%) and left atrial enlargement (86%). Median vertebral heart size in 24 dogs was 12.9 (range, 10.7-18.2). The PDA shunt direction was left-to-right in 33 and bidirectional in 2 dogs. Closure was performed in 26 dogs, including 4 with pulmonary hypertension. In 10 dogs receiving furosemide pre-operatively for management of heart failure, furosemide was discontinued (8) or the dosage decreased (2) at the time of discharge.</w:t>
      </w:r>
    </w:p>
    <w:p/>
    <w:p>
      <w:pPr>
        <w:pStyle w:val="Normal"/>
      </w:pPr>
      <w:r>
        <w:rPr>
          <w:color w:val="323232"/>
        </w:rPr>
        <w:t xml:space="preserve">CONCLUSIONS AND CLINICAL IMPORTANCE:Adult dogs can present with a left-to-right shunting PDA that results in cardiomegaly and clinical signs that can improve or resolve with PDA closure. This improvement is also apparent in dogs with PDA complicated by DMVD. Pulmonary hypertension that does not result in complete right-to-left shunting should not be considered a contraindication to closure.</w:t>
      </w:r>
    </w:p>
    <w:p/>
    <w:p>
      <w:pPr>
        <w:pStyle w:val="Normal"/>
      </w:pPr>
      <w:r>
        <w:rPr>
          <w:color w:val="323232"/>
        </w:rPr>
        <w:t xml:space="preserve">J Vet Intern Med, 2017 vol. 31 (3) pp. 685-690.</w:t>
      </w:r>
    </w:p>
    <w:p>
      <w:r>
        <w:rPr>
          <w:rStyle w:val="Hyperlink"/>
        </w:rPr>
        <w:fldChar w:fldCharType="begin"/>
      </w:r>
      <w:r>
        <w:rPr>
          <w:rStyle w:val="Hyperlink"/>
        </w:rPr>
        <w:instrText xml:space="preserve"> HYPERLINK "http://dx.doi.org/10.1111/jvim.14689" </w:instrText>
      </w:r>
      <w:r>
        <w:rPr>
          <w:rStyle w:val="Hyperlink"/>
        </w:rPr>
      </w:r>
      <w:r>
        <w:rPr>
          <w:rStyle w:val="Hyperlink"/>
        </w:rPr>
        <w:fldChar w:fldCharType="separate"/>
      </w:r>
      <w:pPr>
        <w:pStyle w:val="Normal"/>
      </w:pPr>
      <w:r>
        <w:rPr>
          <w:rStyle w:val="Hyperlink"/>
        </w:rPr>
        <w:t xml:space="preserve">http://dx.doi.org/10.1111/jvim.14689</w:t>
      </w:r>
      <w:r>
        <w:rPr>
          <w:rStyle w:val="Hyperlink"/>
        </w:rPr>
        <w:fldChar w:fldCharType="end"/>
      </w:r>
    </w:p>
    <w:p>
      <w:pPr>
        <w:pStyle w:val="Normal"/>
      </w:pPr>
      <w:r>
        <w:rPr>
          <w:color w:val="323232"/>
        </w:rPr>
        <w:t xml:space="preserve">————————</w:t>
      </w:r>
    </w:p>
    <w:p>
      <w:pPr>
        <w:pStyle w:val="Heading4"/>
      </w:pPr>
      <w:r>
        <w:t xml:space="preserve">Mitral Annular Plane Systolic Excursion and Tricuspid Annular Plane Systolic Excursion in Cats with Hypertrophic Cardiomyopathy.</w:t>
      </w:r>
    </w:p>
    <w:p/>
    <w:p>
      <w:pPr>
        <w:pStyle w:val="Normal"/>
      </w:pPr>
      <w:r>
        <w:rPr>
          <w:color w:val="323232"/>
        </w:rPr>
        <w:t xml:space="preserve">I Spalla, J R Payne, K Borgeat, A Pope, V Luis Fuentes, and D J Connolly.</w:t>
      </w:r>
    </w:p>
    <w:p/>
    <w:p>
      <w:pPr>
        <w:pStyle w:val="Normal"/>
      </w:pPr>
      <w:r>
        <w:rPr>
          <w:color w:val="323232"/>
        </w:rPr>
        <w:t xml:space="preserve">BACKGROUND:Left ventricular (LV) systolic dysfunction is associated with increased risk of death in cats with hypertrophic cardiomyopathy (HCM). Mitral and tricuspid annular plane systolic excursion (MAPSE and TAPSE, respectively) are measures of longitudinal systolic function and are reduced in human patients with HCM.</w:t>
      </w:r>
    </w:p>
    <w:p/>
    <w:p>
      <w:pPr>
        <w:pStyle w:val="Normal"/>
      </w:pPr>
      <w:r>
        <w:rPr>
          <w:color w:val="323232"/>
        </w:rPr>
        <w:t xml:space="preserve">HYPOTHESES:Cats with HCM have lower MAPSE and TAPSE compared to control cats; lower MAPSE and TAPSE are associated with the presence of congestive heart failure (CHF) and reduced survival time.</w:t>
      </w:r>
    </w:p>
    <w:p/>
    <w:p>
      <w:pPr>
        <w:pStyle w:val="Normal"/>
      </w:pPr>
      <w:r>
        <w:rPr>
          <w:color w:val="323232"/>
        </w:rPr>
        <w:t xml:space="preserve">ANIMALS:64 cats with HCM and 27 healthy cats. Forty-five cats with HCM were not showing clinical signs, and 19 had CHF.</w:t>
      </w:r>
    </w:p>
    <w:p/>
    <w:p>
      <w:pPr>
        <w:pStyle w:val="Normal"/>
      </w:pPr>
      <w:r>
        <w:rPr>
          <w:color w:val="323232"/>
        </w:rPr>
        <w:t xml:space="preserve">METHODS:Retrospective study. Anatomic M-mode from the left apical 4-chamber view was used to record MAPSE from the free wall (MAPSE FW) and septum (MAPSE IVS) and TAPSE.</w:t>
      </w:r>
    </w:p>
    <w:p/>
    <w:p>
      <w:pPr>
        <w:pStyle w:val="Normal"/>
      </w:pPr>
      <w:r>
        <w:rPr>
          <w:color w:val="323232"/>
        </w:rPr>
        <w:t xml:space="preserve">RESULTS:Compared to controls, cats with HCM had lower MAPSE IVS (controls 5.2 [4.6-5.6] mm, asymptomatic HCM 4.7 [4.1-5.2] mm, HCM with CHF 2.6 [2.5-3.2] mm, P &lt; .001), MAPSE FW (controls 5.9 [5.3-6.2] mm, asymptomatic HCM 4.7 [4.1-5.1] mm, HCM with CHF 2.8 [2.4-3.2] mm) and TAPSE (controls 8.6 [7.4-10.2] mm, asymptomatic HCM 7.2 [6.3-8.2] mm, HCM with CHF 4.6 [4.1-5.4] mm), with the lowest in the CHF group. Univariate survival analysis showed a shorter survival in cats displaying lower MAPSE IVS, MAPSE FW, and TAPSE.</w:t>
      </w:r>
    </w:p>
    <w:p/>
    <w:p>
      <w:pPr>
        <w:pStyle w:val="Normal"/>
      </w:pPr>
      <w:r>
        <w:rPr>
          <w:color w:val="323232"/>
        </w:rPr>
        <w:t xml:space="preserve">CONCLUSIONS AND CLINICAL IMPORTANCE:MAPSE and TAPSE were lower in cats with HCM than in control cats and were lowest in CHF, suggesting that systolic longitudinal dysfunction is present in cats with HCM. MAPSE and TAPSE have potential prognostic significance.</w:t>
      </w:r>
    </w:p>
    <w:p/>
    <w:p>
      <w:pPr>
        <w:pStyle w:val="Normal"/>
      </w:pPr>
      <w:r>
        <w:rPr>
          <w:color w:val="323232"/>
        </w:rPr>
        <w:t xml:space="preserve">J Vet Intern Med, 2017 vol. 31 (3) pp. 691-699.</w:t>
      </w:r>
    </w:p>
    <w:p>
      <w:r>
        <w:rPr>
          <w:rStyle w:val="Hyperlink"/>
        </w:rPr>
        <w:fldChar w:fldCharType="begin"/>
      </w:r>
      <w:r>
        <w:rPr>
          <w:rStyle w:val="Hyperlink"/>
        </w:rPr>
        <w:instrText xml:space="preserve"> HYPERLINK "http://dx.doi.org/10.1111/jvim.14697" </w:instrText>
      </w:r>
      <w:r>
        <w:rPr>
          <w:rStyle w:val="Hyperlink"/>
        </w:rPr>
      </w:r>
      <w:r>
        <w:rPr>
          <w:rStyle w:val="Hyperlink"/>
        </w:rPr>
        <w:fldChar w:fldCharType="separate"/>
      </w:r>
      <w:pPr>
        <w:pStyle w:val="Normal"/>
      </w:pPr>
      <w:r>
        <w:rPr>
          <w:rStyle w:val="Hyperlink"/>
        </w:rPr>
        <w:t xml:space="preserve">http://dx.doi.org/10.1111/jvim.14697</w:t>
      </w:r>
      <w:r>
        <w:rPr>
          <w:rStyle w:val="Hyperlink"/>
        </w:rPr>
        <w:fldChar w:fldCharType="end"/>
      </w:r>
    </w:p>
    <w:p>
      <w:pPr>
        <w:pStyle w:val="Normal"/>
      </w:pPr>
      <w:r>
        <w:rPr>
          <w:color w:val="323232"/>
        </w:rPr>
        <w:t xml:space="preserve">————————</w:t>
      </w:r>
    </w:p>
    <w:p>
      <w:pPr>
        <w:pStyle w:val="Heading4"/>
      </w:pPr>
      <w:r>
        <w:t xml:space="preserve">Assessment of Lung Ultrasound B-Lines in Dogs with Different Stages of Chronic Valvular Heart Disease.</w:t>
      </w:r>
    </w:p>
    <w:p/>
    <w:p>
      <w:pPr>
        <w:pStyle w:val="Normal"/>
      </w:pPr>
      <w:r>
        <w:rPr>
          <w:color w:val="323232"/>
        </w:rPr>
        <w:t xml:space="preserve">T Vezzosi, T Mannucci, A Pistoresi, F Toma, R Tognetti, E Zini, O Domenech, E Auriemma, and S Citi.</w:t>
      </w:r>
    </w:p>
    <w:p/>
    <w:p>
      <w:pPr>
        <w:pStyle w:val="Normal"/>
      </w:pPr>
      <w:r>
        <w:rPr>
          <w:color w:val="323232"/>
        </w:rPr>
        <w:t xml:space="preserve">BACKGROUND:In dogs with chronic valvular heart disease (CVHD), early recognition of pulmonary edema (PE) is of paramount importance. Recent studies in dogs showed that lung ultrasound examination (LUS) is a useful technique to diagnose cardiogenic PE.</w:t>
      </w:r>
    </w:p>
    <w:p/>
    <w:p>
      <w:pPr>
        <w:pStyle w:val="Normal"/>
      </w:pPr>
      <w:r>
        <w:rPr>
          <w:color w:val="323232"/>
        </w:rPr>
        <w:t xml:space="preserve">OBJECTIVES:To describe LUS features in dogs with different stages of CVHD, and to determine its diagnostic accuracy in detecting PE using thoracic radiography as the reference standard.</w:t>
      </w:r>
    </w:p>
    <w:p/>
    <w:p>
      <w:pPr>
        <w:pStyle w:val="Normal"/>
      </w:pPr>
      <w:r>
        <w:rPr>
          <w:color w:val="323232"/>
        </w:rPr>
        <w:t xml:space="preserve">ANIMALS:Sixty-three dogs with CVHD.</w:t>
      </w:r>
    </w:p>
    <w:p/>
    <w:p>
      <w:pPr>
        <w:pStyle w:val="Normal"/>
      </w:pPr>
      <w:r>
        <w:rPr>
          <w:color w:val="323232"/>
        </w:rPr>
        <w:t xml:space="preserve">METHODS:Prospective, multicenter, cross-sectional study. Each dog underwent physical examination, echocardiography, thoracic radiography, and LUS. The LUS findings were classified as absent, rare, numerous, or confluent B-lines. Sensitivity, specificity, and positive and negative predictive values of LUS B-lines to identify PE were calculated using thoracic radiography as the reference standard.</w:t>
      </w:r>
    </w:p>
    <w:p/>
    <w:p>
      <w:pPr>
        <w:pStyle w:val="Normal"/>
      </w:pPr>
      <w:r>
        <w:rPr>
          <w:color w:val="323232"/>
        </w:rPr>
        <w:t xml:space="preserve">RESULTS:Dogs in stage B1 had absent or rare B-lines in 14 of 15 cases (93.3%). Dogs in stage B2 had absent or rare B-lines in 16 of 18 cases (88.9%). All dogs in stage C, without radiographic signs of PE, had absent or rare B-lines. Dogs in stage C, with radiographic signs of PE, had numerous or confluent B-lines in 18 of 20 cases (90%). Lung ultrasound examination detected PE with a sensitivity of 90%, specificity of 93%, and with positive and negative predictive values of 85.7 and 95.2%, respectively.</w:t>
      </w:r>
    </w:p>
    <w:p/>
    <w:p>
      <w:pPr>
        <w:pStyle w:val="Normal"/>
      </w:pPr>
      <w:r>
        <w:rPr>
          <w:color w:val="323232"/>
        </w:rPr>
        <w:t xml:space="preserve">CONCLUSIONS AND CLINICAL IMPORTANCE:Lung ultrasound examination showed good diagnostic accuracy to identify cardiogenic PE and might be helpful in staging dogs with CVHD. Lung ultrasound examination should be considered as a new, noninvasive diagnostic tool for clinicians managing CVHD in dogs.</w:t>
      </w:r>
    </w:p>
    <w:p/>
    <w:p>
      <w:pPr>
        <w:pStyle w:val="Normal"/>
      </w:pPr>
      <w:r>
        <w:rPr>
          <w:color w:val="323232"/>
        </w:rPr>
        <w:t xml:space="preserve">J Vet Intern Med, 2017 vol. 31 (3) pp. 700-704.</w:t>
      </w:r>
    </w:p>
    <w:p>
      <w:r>
        <w:rPr>
          <w:rStyle w:val="Hyperlink"/>
        </w:rPr>
        <w:fldChar w:fldCharType="begin"/>
      </w:r>
      <w:r>
        <w:rPr>
          <w:rStyle w:val="Hyperlink"/>
        </w:rPr>
        <w:instrText xml:space="preserve"> HYPERLINK "http://eutils.ncbi.nlm.nih.gov/entrez/eutils/elink.fcgi?dbfrom=pubmed&amp;id=28370336&amp;retmode=ref&amp;cmd=prlinks"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http://eutils.ncbi.nlm.nih.gov/entrez/eutils/elink.fcgi?dbfrom=pubmed&amp;id=28370336&amp;retmode=ref&amp;cmd=prlinks</w:t>
      </w:r>
      <w:r>
        <w:rPr>
          <w:rStyle w:val="Hyperlink"/>
        </w:rPr>
        <w:fldChar w:fldCharType="end"/>
      </w:r>
    </w:p>
    <w:p>
      <w:pPr>
        <w:pStyle w:val="Normal"/>
      </w:pPr>
      <w:r>
        <w:rPr>
          <w:color w:val="323232"/>
        </w:rPr>
        <w:t xml:space="preserve">————————</w:t>
      </w:r>
    </w:p>
    <w:p>
      <w:pPr>
        <w:pStyle w:val="Heading4"/>
      </w:pPr>
      <w:r>
        <w:t xml:space="preserve">Effects of Levothyroxine Administration and Withdrawal on the Hypothalamic-Pituitary-Thyroid Axis in Euthyroid Dogs.</w:t>
      </w:r>
    </w:p>
    <w:p/>
    <w:p>
      <w:pPr>
        <w:pStyle w:val="Normal"/>
      </w:pPr>
      <w:r>
        <w:rPr>
          <w:color w:val="323232"/>
        </w:rPr>
        <w:t xml:space="preserve">V Ziglioli, D L Panciera, G C Troy, W E Monroe, K M Boes, and K R Refsal.</w:t>
      </w:r>
    </w:p>
    <w:p/>
    <w:p>
      <w:pPr>
        <w:pStyle w:val="Normal"/>
      </w:pPr>
      <w:r>
        <w:rPr>
          <w:color w:val="323232"/>
        </w:rPr>
        <w:t xml:space="preserve">BACKGROUND:Chronic supplementation can suppress the hypothalamic-pituitary-thyroid axis (HPTA) and make it difficult to assess thyroid function after withdrawal of levothyroxine.</w:t>
      </w:r>
    </w:p>
    <w:p/>
    <w:p>
      <w:pPr>
        <w:pStyle w:val="Normal"/>
      </w:pPr>
      <w:r>
        <w:rPr>
          <w:color w:val="323232"/>
        </w:rPr>
        <w:t xml:space="preserve">OBJECTIVES:To determine whether the HPTA is suppressed after levothyroxine administration in euthyroid dogs and the time required for resolution of any suppression.</w:t>
      </w:r>
    </w:p>
    <w:p/>
    <w:p>
      <w:pPr>
        <w:pStyle w:val="Normal"/>
      </w:pPr>
      <w:r>
        <w:rPr>
          <w:color w:val="323232"/>
        </w:rPr>
        <w:t xml:space="preserve">ANIMALS:Twenty-eight healthy euthyroid dogs.</w:t>
      </w:r>
    </w:p>
    <w:p/>
    <w:p>
      <w:pPr>
        <w:pStyle w:val="Normal"/>
      </w:pPr>
      <w:r>
        <w:rPr>
          <w:color w:val="323232"/>
        </w:rPr>
        <w:t xml:space="preserve">METHODS:A prospective, randomized study administering levothyroxine to euthyroid dogs for 8 weeks (group 1) or 16 weeks (group 2). Serum concentrations of total thyroxine (T4 ), free thyroxine (fT4 ) by equilibrium dialysis, thyroid stimulating hormone; thyrotropin (TSH), and 3,5,3'-triiodothyronine (T3 ) were measured every 4 weeks during supplementation and for 16 weeks after levothyroxine was discontinued.</w:t>
      </w:r>
    </w:p>
    <w:p/>
    <w:p>
      <w:pPr>
        <w:pStyle w:val="Normal"/>
      </w:pPr>
      <w:r>
        <w:rPr>
          <w:color w:val="323232"/>
        </w:rPr>
        <w:t xml:space="preserve">RESULTS:Mean serum concentrations of T4 and fT4 were significantly higher (P &lt; .0001) and TSH was lower (P &lt; .0001) in all dogs during levothyroxine administration compared to baseline. Mean serum concentrations of T4 , fT4, and TSH in both groups, beginning 1 week after levothyroxine was discontinued, were significantly different (P &lt; .01) compared to values during levothyroxine administration but not compared to baseline values (P &gt; .3).</w:t>
      </w:r>
    </w:p>
    <w:p/>
    <w:p>
      <w:pPr>
        <w:pStyle w:val="Normal"/>
      </w:pPr>
      <w:r>
        <w:rPr>
          <w:color w:val="323232"/>
        </w:rPr>
        <w:t xml:space="preserve">CONCLUSIONS AND CLINICAL IMPORTANCE:Assessing thyroid function tests 1 week after cessation of levothyroxine at 26 μg/kg once a day for up to 16 weeks will provide an accurate assessment of thyroid function in healthy euthyroid dogs.</w:t>
      </w:r>
    </w:p>
    <w:p/>
    <w:p>
      <w:pPr>
        <w:pStyle w:val="Normal"/>
      </w:pPr>
      <w:r>
        <w:rPr>
          <w:color w:val="323232"/>
        </w:rPr>
        <w:t xml:space="preserve">J Vet Intern Med, 2017 vol. 31 (3) pp. 705-710.</w:t>
      </w:r>
    </w:p>
    <w:p>
      <w:r>
        <w:rPr>
          <w:rStyle w:val="Hyperlink"/>
        </w:rPr>
        <w:fldChar w:fldCharType="begin"/>
      </w:r>
      <w:r>
        <w:rPr>
          <w:rStyle w:val="Hyperlink"/>
        </w:rPr>
        <w:instrText xml:space="preserve"> HYPERLINK "http://dx.doi.org/10.1111/jvim.14711" </w:instrText>
      </w:r>
      <w:r>
        <w:rPr>
          <w:rStyle w:val="Hyperlink"/>
        </w:rPr>
      </w:r>
      <w:r>
        <w:rPr>
          <w:rStyle w:val="Hyperlink"/>
        </w:rPr>
        <w:fldChar w:fldCharType="separate"/>
      </w:r>
      <w:pPr>
        <w:pStyle w:val="Normal"/>
      </w:pPr>
      <w:r>
        <w:rPr>
          <w:rStyle w:val="Hyperlink"/>
        </w:rPr>
        <w:t xml:space="preserve">http://dx.doi.org/10.1111/jvim.14711</w:t>
      </w:r>
      <w:r>
        <w:rPr>
          <w:rStyle w:val="Hyperlink"/>
        </w:rPr>
        <w:fldChar w:fldCharType="end"/>
      </w:r>
    </w:p>
    <w:p>
      <w:pPr>
        <w:pStyle w:val="Normal"/>
      </w:pPr>
      <w:r>
        <w:rPr>
          <w:color w:val="323232"/>
        </w:rPr>
        <w:t xml:space="preserve">————————</w:t>
      </w:r>
    </w:p>
    <w:p>
      <w:pPr>
        <w:pStyle w:val="Heading4"/>
      </w:pPr>
      <w:r>
        <w:t xml:space="preserve">Biological Variability in Serum Cortisol Concentration Post-adrenocorticotropic Hormone Stimulation in Healthy Dogs.</w:t>
      </w:r>
    </w:p>
    <w:p/>
    <w:p>
      <w:pPr>
        <w:pStyle w:val="Normal"/>
      </w:pPr>
      <w:r>
        <w:rPr>
          <w:color w:val="323232"/>
        </w:rPr>
        <w:t xml:space="preserve">A Gal, K Weidgraaf, J P Bowden, N Lopez-Villalobos, N J Cave, J P Chambers, and F Castillo-Alcala.</w:t>
      </w:r>
    </w:p>
    <w:p/>
    <w:p>
      <w:pPr>
        <w:pStyle w:val="Normal"/>
      </w:pPr>
      <w:r>
        <w:rPr>
          <w:color w:val="323232"/>
        </w:rPr>
        <w:t xml:space="preserve">BACKGROUND:The ACTH stimulation has low sensitivity for the diagnosis of hypercortisolism possibly as a result of biological and analytical variability.</w:t>
      </w:r>
    </w:p>
    <w:p/>
    <w:p>
      <w:pPr>
        <w:pStyle w:val="Normal"/>
      </w:pPr>
      <w:r>
        <w:rPr>
          <w:color w:val="323232"/>
        </w:rPr>
        <w:t xml:space="preserve">HYPOTHESIS/OBJECTIVES:To report the components of biological and analytical variability in serum cortisol concentration post-ACTH stimulation ([cortisol]) in healthy dogs.</w:t>
      </w:r>
    </w:p>
    <w:p/>
    <w:p>
      <w:pPr>
        <w:pStyle w:val="Normal"/>
      </w:pPr>
      <w:r>
        <w:rPr>
          <w:color w:val="323232"/>
        </w:rPr>
        <w:t xml:space="preserve">ANIMALS:Fourteen healthy harrier hound dogs.</w:t>
      </w:r>
    </w:p>
    <w:p/>
    <w:p>
      <w:pPr>
        <w:pStyle w:val="Normal"/>
      </w:pPr>
      <w:r>
        <w:rPr>
          <w:color w:val="323232"/>
        </w:rPr>
        <w:t xml:space="preserve">METHODS:The data were extracted from a separate, prospective, randomized, double-blinded, controlled discovery study in which dogs treated with vehicle control and 4 different doses of cortisone acetate (CA) for 7 days had an ACTH stimulation test performed to confirm the dose-dependent effect of CA. The index of individuality (IoI), the critical difference between sequential measurements (CD ), and the number of measurements required to assess the homeostatic set point (HSP) of [cortisol] with confidence intervals (CI) of 90 and 95% were estimated.</w:t>
      </w:r>
    </w:p>
    <w:p/>
    <w:p>
      <w:pPr>
        <w:pStyle w:val="Normal"/>
      </w:pPr>
      <w:r>
        <w:rPr>
          <w:color w:val="323232"/>
        </w:rPr>
        <w:t xml:space="preserve">RESULTS:The IoI was equal to 1.1 and the CD was 3.3 μg</w:t>
      </w:r>
      <w:r>
        <w:rPr>
          <w:i w:val="1"/>
          <w:color w:val="323232"/>
        </w:rPr>
        <w:t xml:space="preserve">dL (92 nmol</w:t>
      </w:r>
      <w:r>
        <w:rPr>
          <w:color w:val="323232"/>
        </w:rPr>
        <w:t xml:space="preserve">L). The number of measurements required to assess the HSP of [cortisol] with CI of 90 and 95% were 3 and 15, respectively. Additionally, mean [cortisol] was higher in males than in females (13.3 ± 4 μg/ dL [366 ± 114 nmol/ L] vs. 11.5 ± 2.5 μg/dL [318 ± 65 nmol / L], respectively; P = .046). As expected, treatment with CA resulted in a dose-dependent suppression of [cortisol].</w:t>
      </w:r>
    </w:p>
    <w:p/>
    <w:p>
      <w:pPr>
        <w:pStyle w:val="Normal"/>
      </w:pPr>
      <w:r>
        <w:rPr>
          <w:color w:val="323232"/>
        </w:rPr>
        <w:t xml:space="preserve">CONCLUSIONS AND CLINICAL IMPORTANCE:False-negative test results in hypercortisolism could occur when [cortisol] is outside of the individual's HSP and within the reference interval. The large CD emphasizes the importance of assessing clinically relevant parameters in the diagnosis and monitoring of HC.</w:t>
      </w:r>
    </w:p>
    <w:p/>
    <w:p>
      <w:pPr>
        <w:pStyle w:val="Normal"/>
      </w:pPr>
      <w:r>
        <w:rPr>
          <w:color w:val="323232"/>
        </w:rPr>
        <w:t xml:space="preserve">J Vet Intern Med, 2017 vol. 31 (3), 1 pp. 711-716.</w:t>
      </w:r>
    </w:p>
    <w:p>
      <w:r>
        <w:rPr>
          <w:rStyle w:val="Hyperlink"/>
        </w:rPr>
        <w:fldChar w:fldCharType="begin"/>
      </w:r>
      <w:r>
        <w:rPr>
          <w:rStyle w:val="Hyperlink"/>
        </w:rPr>
        <w:instrText xml:space="preserve"> HYPERLINK "http://dx.doi.org/10.1111/jvim.14710" </w:instrText>
      </w:r>
      <w:r>
        <w:rPr>
          <w:rStyle w:val="Hyperlink"/>
        </w:rPr>
      </w:r>
      <w:r>
        <w:rPr>
          <w:rStyle w:val="Hyperlink"/>
        </w:rPr>
        <w:fldChar w:fldCharType="separate"/>
      </w:r>
      <w:pPr>
        <w:pStyle w:val="Normal"/>
      </w:pPr>
      <w:r>
        <w:rPr>
          <w:rStyle w:val="Hyperlink"/>
        </w:rPr>
        <w:t xml:space="preserve">http://dx.doi.org/10.1111/jvim.14710</w:t>
      </w:r>
      <w:r>
        <w:rPr>
          <w:rStyle w:val="Hyperlink"/>
        </w:rPr>
        <w:fldChar w:fldCharType="end"/>
      </w:r>
    </w:p>
    <w:p>
      <w:pPr>
        <w:pStyle w:val="Normal"/>
      </w:pPr>
      <w:r>
        <w:rPr>
          <w:color w:val="323232"/>
        </w:rPr>
        <w:t xml:space="preserve">————————</w:t>
      </w:r>
    </w:p>
    <w:p>
      <w:pPr>
        <w:pStyle w:val="Heading4"/>
      </w:pPr>
      <w:r>
        <w:t xml:space="preserve">Therapy of Canine Hyperlipidemia with Bezafibrate.</w:t>
      </w:r>
    </w:p>
    <w:p/>
    <w:p>
      <w:pPr>
        <w:pStyle w:val="Normal"/>
      </w:pPr>
      <w:r>
        <w:rPr>
          <w:color w:val="323232"/>
        </w:rPr>
        <w:t xml:space="preserve">V De Marco, K S M Noronha, T C Casado, E R Nakandakare, J C Florio, E Z Santos, and C Gilor.</w:t>
      </w:r>
    </w:p>
    <w:p/>
    <w:p>
      <w:pPr>
        <w:pStyle w:val="Normal"/>
      </w:pPr>
      <w:r>
        <w:rPr>
          <w:color w:val="323232"/>
        </w:rPr>
        <w:t xml:space="preserve">BACKGROUND:Bezafibrate (BZF) is effective in the treatment of hypertriglyceridemia in human patients, but there are no data on its use in dogs.</w:t>
      </w:r>
    </w:p>
    <w:p/>
    <w:p>
      <w:pPr>
        <w:pStyle w:val="Normal"/>
      </w:pPr>
      <w:r>
        <w:rPr>
          <w:color w:val="323232"/>
        </w:rPr>
        <w:t xml:space="preserve">OBJECTIVE:To assess the safety of BZF in hyperlipidemic dogs and its efficacy in decreasing serum triglyceride (TG) and cholesterol (CHO) concentrations.</w:t>
      </w:r>
    </w:p>
    <w:p/>
    <w:p>
      <w:pPr>
        <w:pStyle w:val="Normal"/>
      </w:pPr>
      <w:r>
        <w:rPr>
          <w:color w:val="323232"/>
        </w:rPr>
        <w:t xml:space="preserve">ANIMALS:Forty-six dogs, 26 females and 20 males, mean (±SD) age of 9 (±3) years, with TG ≥150 mg</w:t>
      </w:r>
      <w:r>
        <w:rPr>
          <w:i w:val="1"/>
          <w:color w:val="323232"/>
        </w:rPr>
        <w:t xml:space="preserve">dL (33 dogs also were hypercholesterolemic [&gt;300 mg</w:t>
      </w:r>
      <w:r>
        <w:rPr>
          <w:color w:val="323232"/>
        </w:rPr>
        <w:t xml:space="preserve">dL]).</w:t>
      </w:r>
    </w:p>
    <w:p/>
    <w:p>
      <w:pPr>
        <w:pStyle w:val="Normal"/>
      </w:pPr>
      <w:r>
        <w:rPr>
          <w:color w:val="323232"/>
        </w:rPr>
        <w:t xml:space="preserve">METHODS:Prospective, uncontrolled clinical trial. Dogs were treated with bezafibrate once daily, using 200 mg tablets at a dosage of 4-10 mg/kg (depending on body weight). Serum TG and CHO concentrations and alanine aminotransferase (ALT) and creatine kinase (CK) activity before and after 30 days of treatment were compared.</w:t>
      </w:r>
    </w:p>
    <w:p/>
    <w:p>
      <w:pPr>
        <w:pStyle w:val="Normal"/>
      </w:pPr>
      <w:r>
        <w:rPr>
          <w:color w:val="323232"/>
        </w:rPr>
        <w:t xml:space="preserve">RESULTS:Sixteen dogs (34.8%) had primary hyperlipidemia, and 30 dogs (65.2%) had secondary hyperlipidemia (including spontaneous hyperadrenocorticism [41.3%, n = 19/46], chronic treatment with glucocorticoids [10.8%, n = 5/46], and hypothyroidism [15.2%, n = 7/46]). After 30 days, serum TG concentration normalized (&lt;150 mg</w:t>
      </w:r>
      <w:r>
        <w:rPr>
          <w:i w:val="1"/>
          <w:color w:val="323232"/>
        </w:rPr>
        <w:t xml:space="preserve">dL) in 42 dogs (91.3%) and CHO concentration normalized (&lt;270 mg</w:t>
      </w:r>
      <w:r>
        <w:rPr>
          <w:color w:val="323232"/>
        </w:rPr>
        <w:t xml:space="preserve">dL) in 22 of 33 dogs (66.7%). There was no difference in baseline TG concentration between the primary and secondary hyperlipidemia subgroups, but the decrease in TG concentration after treatment was greater in the primary hyperlipidemia subgroup. No adverse effects were observed, but ALT activity decreased significantly after 30 days of treatment.</w:t>
      </w:r>
    </w:p>
    <w:p/>
    <w:p>
      <w:pPr>
        <w:pStyle w:val="Normal"/>
      </w:pPr>
      <w:r>
        <w:rPr>
          <w:color w:val="323232"/>
        </w:rPr>
        <w:t xml:space="preserve">CONCLUSIONS AND CLINICAL IMPORTANCE:Over 30 days, BZF was safe and effective in treatment of primary and secondary hyperlipidemia in dogs.</w:t>
      </w:r>
    </w:p>
    <w:p/>
    <w:p>
      <w:pPr>
        <w:pStyle w:val="Normal"/>
      </w:pPr>
      <w:r>
        <w:rPr>
          <w:color w:val="323232"/>
        </w:rPr>
        <w:t xml:space="preserve">J Vet Intern Med, 2017 vol. 31 (3), 3 pp. 717-722.</w:t>
      </w:r>
    </w:p>
    <w:p>
      <w:r>
        <w:rPr>
          <w:rStyle w:val="Hyperlink"/>
        </w:rPr>
        <w:fldChar w:fldCharType="begin"/>
      </w:r>
      <w:r>
        <w:rPr>
          <w:rStyle w:val="Hyperlink"/>
        </w:rPr>
        <w:instrText xml:space="preserve"> HYPERLINK "http://dx.doi.org/10.1111/jvim.14701" </w:instrText>
      </w:r>
      <w:r>
        <w:rPr>
          <w:rStyle w:val="Hyperlink"/>
        </w:rPr>
      </w:r>
      <w:r>
        <w:rPr>
          <w:rStyle w:val="Hyperlink"/>
        </w:rPr>
        <w:fldChar w:fldCharType="separate"/>
      </w:r>
      <w:pPr>
        <w:pStyle w:val="Normal"/>
      </w:pPr>
      <w:r>
        <w:rPr>
          <w:rStyle w:val="Hyperlink"/>
        </w:rPr>
        <w:t xml:space="preserve">http://dx.doi.org/10.1111/jvim.14701</w:t>
      </w:r>
      <w:r>
        <w:rPr>
          <w:rStyle w:val="Hyperlink"/>
        </w:rPr>
        <w:fldChar w:fldCharType="end"/>
      </w:r>
    </w:p>
    <w:p>
      <w:pPr>
        <w:pStyle w:val="Normal"/>
      </w:pPr>
      <w:r>
        <w:rPr>
          <w:color w:val="323232"/>
        </w:rPr>
        <w:t xml:space="preserve">————————</w:t>
      </w:r>
    </w:p>
    <w:p>
      <w:pPr>
        <w:pStyle w:val="Heading4"/>
      </w:pPr>
      <w:r>
        <w:t xml:space="preserve">Prevalence of Gastroesophageal Reflux in Cats During Anesthesia and Effect of Omeprazole on Gastric pH.</w:t>
      </w:r>
    </w:p>
    <w:p/>
    <w:p>
      <w:pPr>
        <w:pStyle w:val="Normal"/>
      </w:pPr>
      <w:r>
        <w:rPr>
          <w:color w:val="323232"/>
        </w:rPr>
        <w:t xml:space="preserve">R S Garcia, P C Belafsky, A Della Maggiore, J M Osborn, B H Pypendop, T Pierce, V J Walker, A Fulton, and S L Marks.</w:t>
      </w:r>
    </w:p>
    <w:p/>
    <w:p>
      <w:pPr>
        <w:pStyle w:val="Normal"/>
      </w:pPr>
      <w:r>
        <w:rPr>
          <w:color w:val="323232"/>
        </w:rPr>
        <w:t xml:space="preserve">BACKGROUND:Gastroesophageal reflux (GER) is poorly characterized in anesthetized cats, but can cause aspiration pneumonia, esophagitis, and esophageal stricture formation.</w:t>
      </w:r>
    </w:p>
    <w:p/>
    <w:p>
      <w:pPr>
        <w:pStyle w:val="Normal"/>
      </w:pPr>
      <w:r>
        <w:rPr>
          <w:color w:val="323232"/>
        </w:rPr>
        <w:t xml:space="preserve">OBJECTIVE:To determine whether pre-anesthetic orally administered omeprazole increases gastric and esophageal pH and increases serum gastrin concentrations in anesthetized cats, and to determine the prevalence of GER using combined multichannel impedance and pH monitoring.</w:t>
      </w:r>
    </w:p>
    <w:p/>
    <w:p>
      <w:pPr>
        <w:pStyle w:val="Normal"/>
      </w:pPr>
      <w:r>
        <w:rPr>
          <w:color w:val="323232"/>
        </w:rPr>
        <w:t xml:space="preserve">ANIMALS:Twenty-seven healthy cats undergoing elective dental procedures.</w:t>
      </w:r>
    </w:p>
    <w:p/>
    <w:p>
      <w:pPr>
        <w:pStyle w:val="Normal"/>
      </w:pPr>
      <w:r>
        <w:rPr>
          <w:color w:val="323232"/>
        </w:rPr>
        <w:t xml:space="preserve">METHODS:Prospective, double-masked, placebo-controlled, randomized clinical trial. Cats were randomized to receive 2 PO doses of omeprazole (1.45-2.20 mg</w:t>
      </w:r>
      <w:r>
        <w:rPr>
          <w:i w:val="1"/>
          <w:color w:val="323232"/>
        </w:rPr>
        <w:t xml:space="preserve">kg) or an empty gelatin capsule placebo 18-24 hours and 4 hours before anesthetic induction. Blood for measurement of serum gastrin concentration was collected during anesthetic induction. An esophageal pH</w:t>
      </w:r>
      <w:r>
        <w:rPr>
          <w:color w:val="323232"/>
        </w:rPr>
        <w:t xml:space="preserve">impedance catheter was utilized to continuously measure esophageal pH and detect GER throughout anesthesia.</w:t>
      </w:r>
    </w:p>
    <w:p/>
    <w:p>
      <w:pPr>
        <w:pStyle w:val="Normal"/>
      </w:pPr>
      <w:r>
        <w:rPr>
          <w:color w:val="323232"/>
        </w:rPr>
        <w:t xml:space="preserve">RESULTS:Mean gastric pH in the cats that received omeprazole was 7.2 ± 0.4 (range, 6.6-7.8) and was significantly higher than the pH in cats that received the placebo 2.8 ± 1.0 (range, 1.3-4.1; P &lt; .001). Omeprazole administration was not associated with a significant increase in serum gastrin concentration (P = .616). Nine of 27 cats (33.3%) had ≥1 episode of GER during anesthesia.</w:t>
      </w:r>
    </w:p>
    <w:p/>
    <w:p>
      <w:pPr>
        <w:pStyle w:val="Normal"/>
      </w:pPr>
      <w:r>
        <w:rPr>
          <w:color w:val="323232"/>
        </w:rPr>
        <w:t xml:space="preserve">CONCLUSIONS AND CLINICAL RELEVANCE:Pre-anesthetic administration of 2 PO doses of omeprazole at a dosage of 1.45-2.20 mg/kg in cats was associated with a significant increase in gastric and esophageal pH within 24 hours, but was not associated with a significant increase in serum gastrin concentration. Prevalence of reflux events in cats during anesthesia was similar to that of dogs during anesthesia.</w:t>
      </w:r>
    </w:p>
    <w:p/>
    <w:p>
      <w:pPr>
        <w:pStyle w:val="Normal"/>
      </w:pPr>
      <w:r>
        <w:rPr>
          <w:color w:val="323232"/>
        </w:rPr>
        <w:t xml:space="preserve">J Vet Intern Med, 2017 vol. 31 (3) pp. 734-742.</w:t>
      </w:r>
    </w:p>
    <w:p>
      <w:r>
        <w:rPr>
          <w:rStyle w:val="Hyperlink"/>
        </w:rPr>
        <w:fldChar w:fldCharType="begin"/>
      </w:r>
      <w:r>
        <w:rPr>
          <w:rStyle w:val="Hyperlink"/>
        </w:rPr>
        <w:instrText xml:space="preserve"> HYPERLINK "http://dx.doi.org/10.1111/jvim.14704" </w:instrText>
      </w:r>
      <w:r>
        <w:rPr>
          <w:rStyle w:val="Hyperlink"/>
        </w:rPr>
      </w:r>
      <w:r>
        <w:rPr>
          <w:rStyle w:val="Hyperlink"/>
        </w:rPr>
        <w:fldChar w:fldCharType="separate"/>
      </w:r>
      <w:pPr>
        <w:pStyle w:val="Normal"/>
      </w:pPr>
      <w:r>
        <w:rPr>
          <w:rStyle w:val="Hyperlink"/>
        </w:rPr>
        <w:t xml:space="preserve">http://dx.doi.org/10.1111/jvim.14704</w:t>
      </w:r>
      <w:r>
        <w:rPr>
          <w:rStyle w:val="Hyperlink"/>
        </w:rPr>
        <w:fldChar w:fldCharType="end"/>
      </w:r>
    </w:p>
    <w:p>
      <w:pPr>
        <w:pStyle w:val="Normal"/>
      </w:pPr>
      <w:r>
        <w:rPr>
          <w:color w:val="323232"/>
        </w:rPr>
        <w:t xml:space="preserve">————————</w:t>
      </w:r>
    </w:p>
    <w:p>
      <w:pPr>
        <w:pStyle w:val="Heading4"/>
      </w:pPr>
      <w:r>
        <w:t xml:space="preserve">Pharmacokinetics and Acid Suppressant Efficacy of Esomeprazole after Intravenous, Oral, and Subcutaneous Administration to Healthy Beagle Dogs.</w:t>
      </w:r>
    </w:p>
    <w:p/>
    <w:p>
      <w:pPr>
        <w:pStyle w:val="Normal"/>
      </w:pPr>
      <w:r>
        <w:rPr>
          <w:color w:val="323232"/>
        </w:rPr>
        <w:t xml:space="preserve">J-H Hwang, J-W Jeong, G-H Song, T-S Koo, and K-W Seo.</w:t>
      </w:r>
    </w:p>
    <w:p/>
    <w:p>
      <w:pPr>
        <w:pStyle w:val="Normal"/>
      </w:pPr>
      <w:r>
        <w:rPr>
          <w:color w:val="323232"/>
        </w:rPr>
        <w:t xml:space="preserve">BACKGROUND:Esomeprazole is an S-enantiomer of omeprazole that has favorable pharmacokinetics and efficacious acid suppressant properties in humans. However, the pharmacokinetics and effects on intragastric pH of esomeprazole in dogs have not been reported.</w:t>
      </w:r>
    </w:p>
    <w:p/>
    <w:p>
      <w:pPr>
        <w:pStyle w:val="Normal"/>
      </w:pPr>
      <w:r>
        <w:rPr>
          <w:color w:val="323232"/>
        </w:rPr>
        <w:t xml:space="preserve">OBJECTIVE:To determine the pharmacokinetics of esomeprazole administered via various routes (PK study) and to investigate the effect of esomeprazole on intragastric pH with a Bravo pH monitoring system (PD study).</w:t>
      </w:r>
    </w:p>
    <w:p/>
    <w:p>
      <w:pPr>
        <w:pStyle w:val="Normal"/>
      </w:pPr>
      <w:r>
        <w:rPr>
          <w:color w:val="323232"/>
        </w:rPr>
        <w:t xml:space="preserve">ANIMALS:Seven adult male Beagle dogs and 5 adult male Beagle dogs were used for PK and PD study, respectively.</w:t>
      </w:r>
    </w:p>
    <w:p/>
    <w:p>
      <w:pPr>
        <w:pStyle w:val="Normal"/>
      </w:pPr>
      <w:r>
        <w:rPr>
          <w:color w:val="323232"/>
        </w:rPr>
        <w:t xml:space="preserve">METHODS:Both studies used an open, randomized, and crossover design. In the PK study, 7 dogs received intravenous (IV), subcutaneous (SC), and oral doses (PO) of esomeprazole (1 mg</w:t>
      </w:r>
      <w:r>
        <w:rPr>
          <w:i w:val="1"/>
          <w:color w:val="323232"/>
        </w:rPr>
        <w:t xml:space="preserve">kg). Each treatment period was separated by a washout period of at least 10 days. Esomeprazole plasma concentrations were measured by HPLC</w:t>
      </w:r>
      <w:r>
        <w:rPr>
          <w:color w:val="323232"/>
        </w:rPr>
        <w:t xml:space="preserve">MS</w:t>
      </w:r>
      <w:r>
        <w:rPr>
          <w:i w:val="1"/>
          <w:color w:val="323232"/>
        </w:rPr>
        <w:t xml:space="preserve">MS. In the efficacy study, intragastric pH was recorded without medication (baseline pH) and following IV, SC, and PO esomeprazole dosing regimens (1 mg</w:t>
      </w:r>
      <w:r>
        <w:rPr>
          <w:color w:val="323232"/>
        </w:rPr>
        <w:t xml:space="preserve">kg) in 5 dogs.</w:t>
      </w:r>
    </w:p>
    <w:p/>
    <w:p>
      <w:pPr>
        <w:pStyle w:val="Normal"/>
      </w:pPr>
      <w:r>
        <w:rPr>
          <w:color w:val="323232"/>
        </w:rPr>
        <w:t xml:space="preserve">RESULTS:The bioavailability of esomeprazole administered as PO enteric-coated granules and as SC injections was 71.4 and 106%, respectively. The half-life was approximately 1 hour. Mean ± SD percent time intragastric pH was ≥3 and ≥4 was 58.9 ± 21.1% and 40.9 ± 17.3% for IV group, 75.8 ± 16.4% and 62.7 ± 17.7% for SC group, 88.2 ± 8.9% and 82.5 ± 7.7% for PO group, and 12.5 ± 3.6% and 3.7 ± 1.8% for baseline. The mean percent time with intragastric pH was ≥3 or ≥4 was significantly increased regardless of the dosing route (P &lt; .05).</w:t>
      </w:r>
    </w:p>
    <w:p/>
    <w:p>
      <w:pPr>
        <w:pStyle w:val="Normal"/>
      </w:pPr>
      <w:r>
        <w:rPr>
          <w:color w:val="323232"/>
        </w:rPr>
        <w:t xml:space="preserve">CONCLUSION:The PK parameters for PO and SC esomeprazole administration were favorable, and esomeprazole significantly increased intragastric pH after IV, PO, and SC administration. IV and SC administration of esomeprazole might be useful when PO administration is not possible. No significant adverse effects were observed.</w:t>
      </w:r>
    </w:p>
    <w:p/>
    <w:p>
      <w:pPr>
        <w:pStyle w:val="Normal"/>
      </w:pPr>
      <w:r>
        <w:rPr>
          <w:color w:val="323232"/>
        </w:rPr>
        <w:t xml:space="preserve">J Vet Intern Med, 2017 vol. 31 (3), 8 pp. 743-750.</w:t>
      </w:r>
    </w:p>
    <w:p>
      <w:r>
        <w:rPr>
          <w:rStyle w:val="Hyperlink"/>
        </w:rPr>
        <w:fldChar w:fldCharType="begin"/>
      </w:r>
      <w:r>
        <w:rPr>
          <w:rStyle w:val="Hyperlink"/>
        </w:rPr>
        <w:instrText xml:space="preserve"> HYPERLINK "http://dx.doi.org/10.1111/jvim.14713" </w:instrText>
      </w:r>
      <w:r>
        <w:rPr>
          <w:rStyle w:val="Hyperlink"/>
        </w:rPr>
      </w:r>
      <w:r>
        <w:rPr>
          <w:rStyle w:val="Hyperlink"/>
        </w:rPr>
        <w:fldChar w:fldCharType="separate"/>
      </w:r>
      <w:pPr>
        <w:pStyle w:val="Normal"/>
      </w:pPr>
      <w:r>
        <w:rPr>
          <w:rStyle w:val="Hyperlink"/>
        </w:rPr>
        <w:t xml:space="preserve">http://dx.doi.org/10.1111/jvim.14713</w:t>
      </w:r>
      <w:r>
        <w:rPr>
          <w:rStyle w:val="Hyperlink"/>
        </w:rPr>
        <w:fldChar w:fldCharType="end"/>
      </w:r>
    </w:p>
    <w:p>
      <w:pPr>
        <w:pStyle w:val="Normal"/>
      </w:pPr>
      <w:r>
        <w:rPr>
          <w:color w:val="323232"/>
        </w:rPr>
        <w:t xml:space="preserve">————————</w:t>
      </w:r>
    </w:p>
    <w:p>
      <w:pPr>
        <w:pStyle w:val="Heading4"/>
      </w:pPr>
      <w:r>
        <w:t xml:space="preserve">Prevalence and Mode of Inheritance of the Dal Blood Group in Dogs in North America.</w:t>
      </w:r>
    </w:p>
    <w:p/>
    <w:p>
      <w:pPr>
        <w:pStyle w:val="Normal"/>
      </w:pPr>
      <w:r>
        <w:rPr>
          <w:color w:val="323232"/>
        </w:rPr>
        <w:t xml:space="preserve">S Goulet, U Giger, J Arsenault, A Abrams-Ogg, C C Euler, and M C Blais.</w:t>
      </w:r>
    </w:p>
    <w:p/>
    <w:p>
      <w:pPr>
        <w:pStyle w:val="Normal"/>
      </w:pPr>
      <w:r>
        <w:rPr>
          <w:color w:val="323232"/>
        </w:rPr>
        <w:t xml:space="preserve">BACKGROUND:The Dal blood group system was identified a decade ago by the accidental sensitization of a Dal- Dalmatian with a Dal+ blood transfusion. Similar Dal-related blood incompatibilities have been suspected in other Dalmatians, Doberman Pinschers, and other breeds.</w:t>
      </w:r>
    </w:p>
    <w:p/>
    <w:p>
      <w:pPr>
        <w:pStyle w:val="Normal"/>
      </w:pPr>
      <w:r>
        <w:rPr>
          <w:color w:val="323232"/>
        </w:rPr>
        <w:t xml:space="preserve">OBJECTIVES:To determine the prevalence and mode of inheritance of the Dal antigen expression in dogs.</w:t>
      </w:r>
    </w:p>
    <w:p/>
    <w:p>
      <w:pPr>
        <w:pStyle w:val="Normal"/>
      </w:pPr>
      <w:r>
        <w:rPr>
          <w:color w:val="323232"/>
        </w:rPr>
        <w:t xml:space="preserve">ANIMALS:A total of 1130 dogs including 128 Dalmatians, 432 Doberman Pinschers, 21 Shih Tzus, and 549 dogs of other breeds including 228 blood donors were recruited from North America between 2008 and 2015.</w:t>
      </w:r>
    </w:p>
    <w:p/>
    <w:p>
      <w:pPr>
        <w:pStyle w:val="Normal"/>
      </w:pPr>
      <w:r>
        <w:rPr>
          <w:color w:val="323232"/>
        </w:rPr>
        <w:t xml:space="preserve">METHODS:Prospectively, dogs were blood typed for Dal applying a gel column technique using polyclonal canine anti-Dal sera. Pedigrees from 8 typed families were analyzed.</w:t>
      </w:r>
    </w:p>
    <w:p/>
    <w:p>
      <w:pPr>
        <w:pStyle w:val="Normal"/>
      </w:pPr>
      <w:r>
        <w:rPr>
          <w:color w:val="323232"/>
        </w:rPr>
        <w:t xml:space="preserve">RESULTS:The prevalence of the Dal+ blood type varied between 85.6 and 100% in Dalmatians and 43.3-78.6% in Doberman Pinschers depending on geographical area. Dal- dogs were identified mostly in Dalmatians (15/128; 11.7%), Doberman Pinschers (183/432; 42.4%), and Shih Tzus (12/21; 57.1%), and sporadically in mixed-breed dogs (3/122; 2.5%), Lhasa Apsos (1/6) and Bichon Frises (1/3). Only 6/245 (2.4%) blood donors were found to be Dal-, including 5 Doberman Pinschers. The mode of inheritance of the Dal+ phenotype was determined to be autosomal dominant.</w:t>
      </w:r>
    </w:p>
    <w:p/>
    <w:p>
      <w:pPr>
        <w:pStyle w:val="Normal"/>
      </w:pPr>
      <w:r>
        <w:rPr>
          <w:color w:val="323232"/>
        </w:rPr>
        <w:t xml:space="preserve">CONCLUSIONS AND CLINICAL IMPORTANCE:The high percentage of Dal- Doberman Pinchers, Dalmatians and Shih Tzus increases their risk of being sensitized by a blood transfusion from the common Dal+ donor. Extended Dal typing is recommended in those breeds and in dogs when blood incompatibility problems arise after initial transfusions.</w:t>
      </w:r>
    </w:p>
    <w:p/>
    <w:p>
      <w:pPr>
        <w:pStyle w:val="Normal"/>
      </w:pPr>
      <w:r>
        <w:rPr>
          <w:color w:val="323232"/>
        </w:rPr>
        <w:t xml:space="preserve">J Vet Intern Med, 2017 vol. 31 (3) pp. 751-758.</w:t>
      </w:r>
    </w:p>
    <w:p>
      <w:r>
        <w:rPr>
          <w:rStyle w:val="Hyperlink"/>
        </w:rPr>
        <w:fldChar w:fldCharType="begin"/>
      </w:r>
      <w:r>
        <w:rPr>
          <w:rStyle w:val="Hyperlink"/>
        </w:rPr>
        <w:instrText xml:space="preserve"> HYPERLINK "http://eutils.ncbi.nlm.nih.gov/entrez/eutils/elink.fcgi?dbfrom=pubmed&amp;id=28391649&amp;retmode=ref&amp;cmd=prlinks"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http://eutils.ncbi.nlm.nih.gov/entrez/eutils/elink.fcgi?dbfrom=pubmed&amp;id=28391649&amp;retmode=ref&amp;cmd=prlinks</w:t>
      </w:r>
      <w:r>
        <w:rPr>
          <w:rStyle w:val="Hyperlink"/>
        </w:rPr>
        <w:fldChar w:fldCharType="end"/>
      </w:r>
    </w:p>
    <w:p>
      <w:pPr>
        <w:pStyle w:val="Normal"/>
      </w:pPr>
      <w:r>
        <w:rPr>
          <w:color w:val="323232"/>
        </w:rPr>
        <w:t xml:space="preserve">————————</w:t>
      </w:r>
    </w:p>
    <w:p>
      <w:pPr>
        <w:pStyle w:val="Heading4"/>
      </w:pPr>
      <w:r>
        <w:t xml:space="preserve">Factors Affecting Platelet Concentration in Platelet Concentrates from Canine Blood Donors.</w:t>
      </w:r>
    </w:p>
    <w:p/>
    <w:p>
      <w:pPr>
        <w:pStyle w:val="Normal"/>
      </w:pPr>
      <w:r>
        <w:rPr>
          <w:color w:val="323232"/>
        </w:rPr>
        <w:t xml:space="preserve">J S Raleigh, K E Jandrey, J Burges, and M S Kent.</w:t>
      </w:r>
    </w:p>
    <w:p/>
    <w:p>
      <w:pPr>
        <w:pStyle w:val="Normal"/>
      </w:pPr>
      <w:r>
        <w:rPr>
          <w:color w:val="323232"/>
        </w:rPr>
        <w:t xml:space="preserve">BACKGROUND:Physiologic factors in dogs that might contribute to enhanced platelet yield in platelet concentrates (PCs) are largely unknown.</w:t>
      </w:r>
    </w:p>
    <w:p/>
    <w:p>
      <w:pPr>
        <w:pStyle w:val="Normal"/>
      </w:pPr>
      <w:r>
        <w:rPr>
          <w:color w:val="323232"/>
        </w:rPr>
        <w:t xml:space="preserve">OBJECTIVE:To determine whether individual differences in weight, age, preprocessing blood chemistry, and CBC variables predict the final platelet concentrations in PCs. Our hypotheses were (1) increased lipemic indices would be positively associated with increased platelet concentrations in PCs and (2) increased preprocessing platelet concentrations would be associated with higher platelet concentrations in the PCs.</w:t>
      </w:r>
    </w:p>
    <w:p/>
    <w:p>
      <w:pPr>
        <w:pStyle w:val="Normal"/>
      </w:pPr>
      <w:r>
        <w:rPr>
          <w:color w:val="323232"/>
        </w:rPr>
        <w:t xml:space="preserve">ANIMALS:All blood donation records of dogs from February 2, 2009 through April 1, 2015 at the University of California-Davis Veterinary Blood Bank were examined with 104 cases included in this study.</w:t>
      </w:r>
    </w:p>
    <w:p/>
    <w:p>
      <w:pPr>
        <w:pStyle w:val="Normal"/>
      </w:pPr>
      <w:r>
        <w:rPr>
          <w:color w:val="323232"/>
        </w:rPr>
        <w:t xml:space="preserve">METHODS:In this retrospective study, data were collected from medical records of canine blood donors. Records were reviewed for internal consistency and accuracy and subjects were included in the study if donor screening and donation occurred on the same day and a viable PC was obtained. Univariate and multivariable regressions were used to test the impact that each variable had on the final platelet concentration in PCs.</w:t>
      </w:r>
    </w:p>
    <w:p/>
    <w:p>
      <w:pPr>
        <w:pStyle w:val="Normal"/>
      </w:pPr>
      <w:r>
        <w:rPr>
          <w:color w:val="323232"/>
        </w:rPr>
        <w:t xml:space="preserve">RESULTS:Final platelet concentration in PCs was positively associated with the predonation CBC platelet values (P &lt; .001), lipemic index (P = .01), and phosphorous levels (P = .001). Collectively these 3 variables explained 29% of the variance in platelet concentrations in PCs.</w:t>
      </w:r>
    </w:p>
    <w:p/>
    <w:p>
      <w:pPr>
        <w:pStyle w:val="Normal"/>
      </w:pPr>
      <w:r>
        <w:rPr>
          <w:color w:val="323232"/>
        </w:rPr>
        <w:t xml:space="preserve">CONCLUSIONS AND CLINICAL IMPORTANCE:Future prospective studies are required to determine if canine blood donations from dogs with lipemia yield PCs with higher platelet concentrations without negatively affecting other blood components.</w:t>
      </w:r>
    </w:p>
    <w:p/>
    <w:p>
      <w:pPr>
        <w:pStyle w:val="Normal"/>
      </w:pPr>
      <w:r>
        <w:rPr>
          <w:color w:val="323232"/>
        </w:rPr>
        <w:t xml:space="preserve">J Vet Intern Med, 2017 vol. 31 (3) pp. 759-763.</w:t>
      </w:r>
    </w:p>
    <w:p>
      <w:r>
        <w:rPr>
          <w:rStyle w:val="Hyperlink"/>
        </w:rPr>
        <w:fldChar w:fldCharType="begin"/>
      </w:r>
      <w:r>
        <w:rPr>
          <w:rStyle w:val="Hyperlink"/>
        </w:rPr>
        <w:instrText xml:space="preserve"> HYPERLINK "http://dx.doi.org/10.1111/jvim.14719" </w:instrText>
      </w:r>
      <w:r>
        <w:rPr>
          <w:rStyle w:val="Hyperlink"/>
        </w:rPr>
      </w:r>
      <w:r>
        <w:rPr>
          <w:rStyle w:val="Hyperlink"/>
        </w:rPr>
        <w:fldChar w:fldCharType="separate"/>
      </w:r>
      <w:pPr>
        <w:pStyle w:val="Normal"/>
      </w:pPr>
      <w:r>
        <w:rPr>
          <w:rStyle w:val="Hyperlink"/>
        </w:rPr>
        <w:t xml:space="preserve">http://dx.doi.org/10.1111/jvim.14719</w:t>
      </w:r>
      <w:r>
        <w:rPr>
          <w:rStyle w:val="Hyperlink"/>
        </w:rPr>
        <w:fldChar w:fldCharType="end"/>
      </w:r>
    </w:p>
    <w:p>
      <w:pPr>
        <w:pStyle w:val="Normal"/>
      </w:pPr>
      <w:r>
        <w:rPr>
          <w:color w:val="323232"/>
        </w:rPr>
        <w:t xml:space="preserve">————————</w:t>
      </w:r>
    </w:p>
    <w:p>
      <w:pPr>
        <w:pStyle w:val="Heading4"/>
      </w:pPr>
      <w:r>
        <w:t xml:space="preserve">Hepatic and Plasma Endothelin-1 in Dogs with Chronic Hepatitis.</w:t>
      </w:r>
    </w:p>
    <w:p/>
    <w:p>
      <w:pPr>
        <w:pStyle w:val="Normal"/>
      </w:pPr>
      <w:r>
        <w:rPr>
          <w:color w:val="323232"/>
        </w:rPr>
        <w:t xml:space="preserve">Y Sakamoto, M Sakai, and T Watari.</w:t>
      </w:r>
    </w:p>
    <w:p/>
    <w:p>
      <w:pPr>
        <w:pStyle w:val="Normal"/>
      </w:pPr>
      <w:r>
        <w:rPr>
          <w:color w:val="323232"/>
        </w:rPr>
        <w:t xml:space="preserve">BACKGROUND:Endothelin (ET)-1 is a 21-amino-acid peptide with potent vasoactive properties, which increases intrahepatic resistance in patients with chronic hepatitis (CH) or cirrhosis. ET-1 concentrations have not been investigated in dogs with CH.</w:t>
      </w:r>
    </w:p>
    <w:p/>
    <w:p>
      <w:pPr>
        <w:pStyle w:val="Normal"/>
      </w:pPr>
      <w:r>
        <w:rPr>
          <w:color w:val="323232"/>
        </w:rPr>
        <w:t xml:space="preserve">HYPOTHESIS/OBJECTIVES:This study compared hepatic and plasma ET-1 levels in healthy dogs and in dogs with CH, and examined the relationship between the plasma ET-1 level and portal vein pressure in dogs with CH.</w:t>
      </w:r>
    </w:p>
    <w:p/>
    <w:p>
      <w:pPr>
        <w:pStyle w:val="Normal"/>
      </w:pPr>
      <w:r>
        <w:rPr>
          <w:color w:val="323232"/>
        </w:rPr>
        <w:t xml:space="preserve">ANIMALS:Fourteen healthy dogs and twenty dogs with CH were used in this study.</w:t>
      </w:r>
    </w:p>
    <w:p/>
    <w:p>
      <w:pPr>
        <w:pStyle w:val="Normal"/>
      </w:pPr>
      <w:r>
        <w:rPr>
          <w:color w:val="323232"/>
        </w:rPr>
        <w:t xml:space="preserve">METHODS:Prospective case-control study. Hepatic ET-1 mRNA expression was determined by real-time reverse transcription polymerase chain reaction, and hepatic and plasma ET-1 levels were assessed using ELISA. Splenic pulp pressure (SPP), as an indicator of portal vein pressure, was measured laparoscopically.</w:t>
      </w:r>
    </w:p>
    <w:p/>
    <w:p>
      <w:pPr>
        <w:pStyle w:val="Normal"/>
      </w:pPr>
      <w:r>
        <w:rPr>
          <w:color w:val="323232"/>
        </w:rPr>
        <w:t xml:space="preserve">RESULTS:Hepatic ET-1 mRNA levels were 3.7 times higher in dogs with CH than in healthy dogs (P = .008). The median hepatic and plasma ET-1 protein levels were significantly higher in dogs with CH than in healthy dogs (13.20 pg</w:t>
      </w:r>
      <w:r>
        <w:rPr>
          <w:i w:val="1"/>
          <w:color w:val="323232"/>
        </w:rPr>
        <w:t xml:space="preserve">mg wet liver vs. 3.42 pg</w:t>
      </w:r>
      <w:r>
        <w:rPr>
          <w:color w:val="323232"/>
        </w:rPr>
        <w:t xml:space="preserve">mg wet liver, P = .004, and 0.99 pg</w:t>
      </w:r>
      <w:r>
        <w:rPr>
          <w:i w:val="1"/>
          <w:color w:val="323232"/>
        </w:rPr>
        <w:t xml:space="preserve">mL vs. 0.71 pg</w:t>
      </w:r>
      <w:r>
        <w:rPr>
          <w:color w:val="323232"/>
        </w:rPr>
        <w:t xml:space="preserve">mL, P = .013, respectively). Moreover, there was a weak but significant correlation between plasma ET-1 level and SPP in dogs with CH (P = .036; rs = 0.53).</w:t>
      </w:r>
    </w:p>
    <w:p/>
    <w:p>
      <w:pPr>
        <w:pStyle w:val="Normal"/>
      </w:pPr>
      <w:r>
        <w:rPr>
          <w:color w:val="323232"/>
        </w:rPr>
        <w:t xml:space="preserve">CONCLUSIONS AND CLINICAL IMPORTANCE:The results indicate that ET-1 might play an important role in the pathogenesis of portal hypertension caused by CH.</w:t>
      </w:r>
    </w:p>
    <w:p/>
    <w:p>
      <w:pPr>
        <w:pStyle w:val="Normal"/>
      </w:pPr>
      <w:r>
        <w:rPr>
          <w:color w:val="323232"/>
        </w:rPr>
        <w:t xml:space="preserve">J Vet Intern Med, 2017 vol. 31 (3) pp. 764-769.</w:t>
      </w:r>
    </w:p>
    <w:p>
      <w:r>
        <w:rPr>
          <w:rStyle w:val="Hyperlink"/>
        </w:rPr>
        <w:fldChar w:fldCharType="begin"/>
      </w:r>
      <w:r>
        <w:rPr>
          <w:rStyle w:val="Hyperlink"/>
        </w:rPr>
        <w:instrText xml:space="preserve"> HYPERLINK "http://dx.doi.org/10.1111/jvim.14687" </w:instrText>
      </w:r>
      <w:r>
        <w:rPr>
          <w:rStyle w:val="Hyperlink"/>
        </w:rPr>
      </w:r>
      <w:r>
        <w:rPr>
          <w:rStyle w:val="Hyperlink"/>
        </w:rPr>
        <w:fldChar w:fldCharType="separate"/>
      </w:r>
      <w:pPr>
        <w:pStyle w:val="Normal"/>
      </w:pPr>
      <w:r>
        <w:rPr>
          <w:rStyle w:val="Hyperlink"/>
        </w:rPr>
        <w:t xml:space="preserve">http://dx.doi.org/10.1111/jvim.14687</w:t>
      </w:r>
      <w:r>
        <w:rPr>
          <w:rStyle w:val="Hyperlink"/>
        </w:rPr>
        <w:fldChar w:fldCharType="end"/>
      </w:r>
    </w:p>
    <w:p>
      <w:pPr>
        <w:pStyle w:val="Normal"/>
      </w:pPr>
      <w:r>
        <w:rPr>
          <w:color w:val="323232"/>
        </w:rPr>
        <w:t xml:space="preserve">————————</w:t>
      </w:r>
    </w:p>
    <w:p>
      <w:pPr>
        <w:pStyle w:val="Heading4"/>
      </w:pPr>
      <w:r>
        <w:t xml:space="preserve">Fibroblast Growth Factor-23 Concentration in Dogs with Chronic Kidney Disease.</w:t>
      </w:r>
    </w:p>
    <w:p/>
    <w:p>
      <w:pPr>
        <w:pStyle w:val="Normal"/>
      </w:pPr>
      <w:r>
        <w:rPr>
          <w:color w:val="323232"/>
        </w:rPr>
        <w:t xml:space="preserve">L M Harjes, V J Parker, K Dembek, G S Young, L H Giovaninni, M M Kogika, D J Chew, and R E Toribio.</w:t>
      </w:r>
    </w:p>
    <w:p/>
    <w:p>
      <w:pPr>
        <w:pStyle w:val="Normal"/>
      </w:pPr>
      <w:r>
        <w:rPr>
          <w:color w:val="323232"/>
        </w:rPr>
        <w:t xml:space="preserve">BACKGROUND:Chronic kidney disease (CKD) is associated with hyperphosphatemia, decreased vitamin D metabolite concentrations, and hyperparathyroidism. This syndrome is known as CKD-mineral bone disorder (CKD-MBD). Recently, it has been shown that an increase in fibroblast growth factor-23 (FGF-23) concentration is an early biomarker of CKD in people. It is an independent risk factor for both progression of renal disease and survival time in humans and cats with CKD. Information about FGF-23 in healthy dogs and those with CKD is lacking.</w:t>
      </w:r>
    </w:p>
    <w:p/>
    <w:p>
      <w:pPr>
        <w:pStyle w:val="Normal"/>
      </w:pPr>
      <w:r>
        <w:rPr>
          <w:color w:val="323232"/>
        </w:rPr>
        <w:t xml:space="preserve">OBJECTIVES:To measure FGF-23 concentration in dogs with different stages of CKD and determine its association with factors involved in CKD-MBD, including serum phosphorus and parathyroid hormone (PTH) concentrations. A secondary aim was to validate an ELISA for measurement of plasma FGF-23 concentration in dogs.</w:t>
      </w:r>
    </w:p>
    <w:p/>
    <w:p>
      <w:pPr>
        <w:pStyle w:val="Normal"/>
      </w:pPr>
      <w:r>
        <w:rPr>
          <w:color w:val="323232"/>
        </w:rPr>
        <w:t xml:space="preserve">ANIMALS:Thirty-two client-owned dogs with naturally occurring CKD and 10 healthy control dogs.</w:t>
      </w:r>
    </w:p>
    <w:p/>
    <w:p>
      <w:pPr>
        <w:pStyle w:val="Normal"/>
      </w:pPr>
      <w:r>
        <w:rPr>
          <w:color w:val="323232"/>
        </w:rPr>
        <w:t xml:space="preserve">METHODS:Prospective cross-sectional study. An FGF-23 ELISA was used to measure plasma FGF-23 concentration in dogs and their association with serum creatinine, phosphorus, calcium, and PTH concentrations.</w:t>
      </w:r>
    </w:p>
    <w:p/>
    <w:p>
      <w:pPr>
        <w:pStyle w:val="Normal"/>
      </w:pPr>
      <w:r>
        <w:rPr>
          <w:color w:val="323232"/>
        </w:rPr>
        <w:t xml:space="preserve">RESULTS:Plasma FGF-23 concentrations increased with severity of CKD and were significantly different between IRIS stages 1 and 2 versus stages 3 and 4 (P &lt; .0001). Increases in FGF-23 concentrations were more frequent than hyperparathyroidism or hyperphosphatemia in this cohort. Serum creatinine and phosphorus concentrations were the strongest independent predictors of FGF-23 concentration.</w:t>
      </w:r>
    </w:p>
    <w:p/>
    <w:p>
      <w:pPr>
        <w:pStyle w:val="Normal"/>
      </w:pPr>
      <w:r>
        <w:rPr>
          <w:color w:val="323232"/>
        </w:rPr>
        <w:t xml:space="preserve">CONCLUSIONS AND CLINICAL IMPORTANCE:Plasma FGF-23 concentrations increase in dogs with CKD as disease progresses. Plasma FGF-23 concentrations appear to be useful for further study of the pathophysiology of CKD-MBD in dogs.</w:t>
      </w:r>
    </w:p>
    <w:p/>
    <w:p>
      <w:pPr>
        <w:pStyle w:val="Normal"/>
      </w:pPr>
      <w:r>
        <w:rPr>
          <w:color w:val="323232"/>
        </w:rPr>
        <w:t xml:space="preserve">J Vet Intern Med, 2017 vol. 31 (3) pp. 784-790.</w:t>
      </w:r>
    </w:p>
    <w:p>
      <w:r>
        <w:rPr>
          <w:rStyle w:val="Hyperlink"/>
        </w:rPr>
        <w:fldChar w:fldCharType="begin"/>
      </w:r>
      <w:r>
        <w:rPr>
          <w:rStyle w:val="Hyperlink"/>
        </w:rPr>
        <w:instrText xml:space="preserve"> HYPERLINK "http://dx.doi.org/10.1111/jvim.14707" </w:instrText>
      </w:r>
      <w:r>
        <w:rPr>
          <w:rStyle w:val="Hyperlink"/>
        </w:rPr>
      </w:r>
      <w:r>
        <w:rPr>
          <w:rStyle w:val="Hyperlink"/>
        </w:rPr>
        <w:fldChar w:fldCharType="separate"/>
      </w:r>
      <w:pPr>
        <w:pStyle w:val="Normal"/>
      </w:pPr>
      <w:r>
        <w:rPr>
          <w:rStyle w:val="Hyperlink"/>
        </w:rPr>
        <w:t xml:space="preserve">http://dx.doi.org/10.1111/jvim.14707</w:t>
      </w:r>
      <w:r>
        <w:rPr>
          <w:rStyle w:val="Hyperlink"/>
        </w:rPr>
        <w:fldChar w:fldCharType="end"/>
      </w:r>
    </w:p>
    <w:p>
      <w:pPr>
        <w:pStyle w:val="Normal"/>
      </w:pPr>
      <w:r>
        <w:rPr>
          <w:color w:val="323232"/>
        </w:rPr>
        <w:t xml:space="preserve">————————</w:t>
      </w:r>
    </w:p>
    <w:p>
      <w:pPr>
        <w:pStyle w:val="Heading4"/>
      </w:pPr>
      <w:r>
        <w:t xml:space="preserve">Association of Vitamin D Metabolites with Parathyroid Hormone, Fibroblast Growth Factor-23, Calcium, and Phosphorus in Dogs with Various Stages of Chronic Kidney Disease.</w:t>
      </w:r>
    </w:p>
    <w:p/>
    <w:p>
      <w:pPr>
        <w:pStyle w:val="Normal"/>
      </w:pPr>
      <w:r>
        <w:rPr>
          <w:color w:val="323232"/>
        </w:rPr>
        <w:t xml:space="preserve">V J Parker, L M Harjes, K Dembek, G S Young, D J Chew, and R E Toribio.</w:t>
      </w:r>
    </w:p>
    <w:p/>
    <w:p>
      <w:pPr>
        <w:pStyle w:val="Normal"/>
      </w:pPr>
      <w:r>
        <w:rPr>
          <w:color w:val="323232"/>
        </w:rPr>
        <w:t xml:space="preserve">BACKGROUND:Hypovitaminosis D is associated with progression of renal disease, development of renal secondary hyperparathyroidism (RHPT), chronic kidney disease-mineral bone disorder (CKD-MBD), and increased mortality in people with CKD. Despite what is known regarding vitamin D dysregulation in humans with CKD, little is known about vitamin D metabolism in dogs with CKD.</w:t>
      </w:r>
    </w:p>
    <w:p/>
    <w:p>
      <w:pPr>
        <w:pStyle w:val="Normal"/>
      </w:pPr>
      <w:r>
        <w:rPr>
          <w:color w:val="323232"/>
        </w:rPr>
        <w:t xml:space="preserve">OBJECTIVES:The purpose of our study was to further elucidate vitamin D status in dogs with different stages of CKD and to relate it to factors that affect the development of CKD-MBD, including parathyroid hormone (PTH), fibroblast growth factor-23 (FGF-23), calcium, and phosphorus concentrations.</w:t>
      </w:r>
    </w:p>
    <w:p/>
    <w:p>
      <w:pPr>
        <w:pStyle w:val="Normal"/>
      </w:pPr>
      <w:r>
        <w:rPr>
          <w:color w:val="323232"/>
        </w:rPr>
        <w:t xml:space="preserve">METHODS:Thirty-seven dogs with naturally occurring CKD were compared to 10 healthy dogs. Serum 25-hydroxyvitamin D [25(OH)D], 1,25-dihydroxyvitamin D [1,25(OH)2 D], and 24,25-dihydroxyvitamin D [24,25(OH)2 D], and PTH and FGF-23 concentrations were measured. Their association with serum calcium and phosphorus concentrations and IRIS stage was determined.</w:t>
      </w:r>
    </w:p>
    <w:p/>
    <w:p>
      <w:pPr>
        <w:pStyle w:val="Normal"/>
      </w:pPr>
      <w:r>
        <w:rPr>
          <w:color w:val="323232"/>
        </w:rPr>
        <w:t xml:space="preserve">RESULTS:Compared to healthy dogs, all vitamin D metabolite concentrations were significantly lower in dogs with International Renal Interest Society (IRIS) stages 3 and 4 CKD (r [creatinine]: -0.49 to -0.60; P &lt; .05) but not different in dogs with stages 1 and 2 CKD. All vitamin D metabolites were negatively correlated with PTH, FGF-23, and phosphorus concentrations (r: -0.39 to -0.64; P &lt; .01).</w:t>
      </w:r>
    </w:p>
    <w:p/>
    <w:p>
      <w:pPr>
        <w:pStyle w:val="Normal"/>
      </w:pPr>
      <w:r>
        <w:rPr>
          <w:color w:val="323232"/>
        </w:rPr>
        <w:t xml:space="preserve">CONCLUSIONS AND CLINICAL IMPORTANCE:CKD in dogs is associated with decreases in all vitamin D metabolites evaluated suggesting that multiple mechanisms, in addition to decreased renal mass, affect their metabolism. This information could have prognostic and therapeutic implications.</w:t>
      </w:r>
    </w:p>
    <w:p/>
    <w:p>
      <w:pPr>
        <w:pStyle w:val="Normal"/>
      </w:pPr>
      <w:r>
        <w:rPr>
          <w:color w:val="323232"/>
        </w:rPr>
        <w:t xml:space="preserve">J Vet Intern Med, 2017 vol. 31 (3) pp. 791-798.</w:t>
      </w:r>
    </w:p>
    <w:p>
      <w:r>
        <w:rPr>
          <w:rStyle w:val="Hyperlink"/>
        </w:rPr>
        <w:fldChar w:fldCharType="begin"/>
      </w:r>
      <w:r>
        <w:rPr>
          <w:rStyle w:val="Hyperlink"/>
        </w:rPr>
        <w:instrText xml:space="preserve"> HYPERLINK "http://dx.doi.org/10.1111/jvim.14653" </w:instrText>
      </w:r>
      <w:r>
        <w:rPr>
          <w:rStyle w:val="Hyperlink"/>
        </w:rPr>
      </w:r>
      <w:r>
        <w:rPr>
          <w:rStyle w:val="Hyperlink"/>
        </w:rPr>
        <w:fldChar w:fldCharType="separate"/>
      </w:r>
      <w:pPr>
        <w:pStyle w:val="Normal"/>
      </w:pPr>
      <w:r>
        <w:rPr>
          <w:rStyle w:val="Hyperlink"/>
        </w:rPr>
        <w:t xml:space="preserve">http://dx.doi.org/10.1111/jvim.14653</w:t>
      </w:r>
      <w:r>
        <w:rPr>
          <w:rStyle w:val="Hyperlink"/>
        </w:rPr>
        <w:fldChar w:fldCharType="end"/>
      </w:r>
    </w:p>
    <w:p>
      <w:pPr>
        <w:pStyle w:val="Normal"/>
      </w:pPr>
      <w:r>
        <w:rPr>
          <w:color w:val="323232"/>
        </w:rPr>
        <w:t xml:space="preserve">————————</w:t>
      </w:r>
    </w:p>
    <w:p>
      <w:pPr>
        <w:pStyle w:val="Heading4"/>
      </w:pPr>
      <w:r>
        <w:t xml:space="preserve">Plasma Symmetric Dimethylarginine Concentration in Dogs with Acute Kidney Injury and Chronic Kidney Disease.</w:t>
      </w:r>
    </w:p>
    <w:p/>
    <w:p>
      <w:pPr>
        <w:pStyle w:val="Normal"/>
      </w:pPr>
      <w:r>
        <w:rPr>
          <w:color w:val="323232"/>
        </w:rPr>
        <w:t xml:space="preserve">D P Dahlem, R Neiger, A Schweighauser, T Francey, M Yerramilli, E Obare, and S M L Steinbach.</w:t>
      </w:r>
    </w:p>
    <w:p/>
    <w:p>
      <w:pPr>
        <w:pStyle w:val="Normal"/>
      </w:pPr>
      <w:r>
        <w:rPr>
          <w:color w:val="323232"/>
        </w:rPr>
        <w:t xml:space="preserve">BACKGROUND:Symmetric dimethylarginine (SDMA) is considered a biomarker for early detection of renal dysfunction in human patients with acute kidney injury (AKI). At present, no studies exist analyzing the relevance of SDMA in dogs with AKI.</w:t>
      </w:r>
    </w:p>
    <w:p/>
    <w:p>
      <w:pPr>
        <w:pStyle w:val="Normal"/>
      </w:pPr>
      <w:r>
        <w:rPr>
          <w:color w:val="323232"/>
        </w:rPr>
        <w:t xml:space="preserve">HYPOTHESIS/OBJECTIVES:SDMA would correctly identify dogs with renal disease but would not be able to differentiate between AKI and CKD.</w:t>
      </w:r>
    </w:p>
    <w:p/>
    <w:p>
      <w:pPr>
        <w:pStyle w:val="Normal"/>
      </w:pPr>
      <w:r>
        <w:rPr>
          <w:color w:val="323232"/>
        </w:rPr>
        <w:t xml:space="preserve">ANIMALS:Eighteen healthy control dogs, 48 dogs with AKI, and 29 dogs with CKD.</w:t>
      </w:r>
    </w:p>
    <w:p/>
    <w:p>
      <w:pPr>
        <w:pStyle w:val="Normal"/>
      </w:pPr>
      <w:r>
        <w:rPr>
          <w:color w:val="323232"/>
        </w:rPr>
        <w:t xml:space="preserve">METHODS:Prospective study. Dogs with kidney disease were categorized as having AKI or CKD according to the history, clinical signs, laboratory findings, and results of diagnostic imaging. Plasma SDMA concentration was measured by IDEXX Laboratories. SDMA/creatinine ratio was calculated in dogs with AKI or CKD.</w:t>
      </w:r>
    </w:p>
    <w:p/>
    <w:p>
      <w:pPr>
        <w:pStyle w:val="Normal"/>
      </w:pPr>
      <w:r>
        <w:rPr>
          <w:color w:val="323232"/>
        </w:rPr>
        <w:t xml:space="preserve">RESULTS:Median SDMA concentrations were 8.5 μg</w:t>
      </w:r>
      <w:r>
        <w:rPr>
          <w:i w:val="1"/>
          <w:color w:val="323232"/>
        </w:rPr>
        <w:t xml:space="preserve">dL (6-12 μg</w:t>
      </w:r>
      <w:r>
        <w:rPr>
          <w:color w:val="323232"/>
        </w:rPr>
        <w:t xml:space="preserve"> dL), 39.5 μg/ dL (8-&gt;100 μg/ dL), and 35 μg/ dL (12-&gt;100 μg/ dL), in healthy, AKI, and CKD, respectively. SDMA concentrations were significantly higher in dogs with AKI (P &lt; .0001) or CKD (P &lt; .0001) in comparison with healthy dogs. Median SDMA/ creatinine ratio in dogs with AKI and CKD was 6.5 (1.7-20.9) and 10 (2.4-33.9) (P = .0004), respectively. Although there was overlap of the SDMA/creatinine ratio in dogs with AKI or CKD, it was significantly higher in dogs with CKD compared to dogs with AKI (P = .0004).</w:t>
      </w:r>
    </w:p>
    <w:p/>
    <w:p>
      <w:pPr>
        <w:pStyle w:val="Normal"/>
      </w:pPr>
      <w:r>
        <w:rPr>
          <w:color w:val="323232"/>
        </w:rPr>
        <w:t xml:space="preserve">CONCLUSIONS AND CLINICAL IMPORTANCE:In this population, SDMA was suitable for identifying dogs affected by AKI or CKD, but could not differentiate between them.</w:t>
      </w:r>
    </w:p>
    <w:p/>
    <w:p>
      <w:pPr>
        <w:pStyle w:val="Normal"/>
      </w:pPr>
      <w:r>
        <w:rPr>
          <w:color w:val="323232"/>
        </w:rPr>
        <w:t xml:space="preserve">J Vet Intern Med, 2017 vol. 31 (3), 7 pp. 799-804.</w:t>
      </w:r>
    </w:p>
    <w:p>
      <w:r>
        <w:rPr>
          <w:rStyle w:val="Hyperlink"/>
        </w:rPr>
        <w:fldChar w:fldCharType="begin"/>
      </w:r>
      <w:r>
        <w:rPr>
          <w:rStyle w:val="Hyperlink"/>
        </w:rPr>
        <w:instrText xml:space="preserve"> HYPERLINK "http://dx.doi.org/10.1111/jvim.14694" </w:instrText>
      </w:r>
      <w:r>
        <w:rPr>
          <w:rStyle w:val="Hyperlink"/>
        </w:rPr>
      </w:r>
      <w:r>
        <w:rPr>
          <w:rStyle w:val="Hyperlink"/>
        </w:rPr>
        <w:fldChar w:fldCharType="separate"/>
      </w:r>
      <w:pPr>
        <w:pStyle w:val="Normal"/>
      </w:pPr>
      <w:r>
        <w:rPr>
          <w:rStyle w:val="Hyperlink"/>
        </w:rPr>
        <w:t xml:space="preserve">http://dx.doi.org/10.1111/jvim.14694</w:t>
      </w:r>
      <w:r>
        <w:rPr>
          <w:rStyle w:val="Hyperlink"/>
        </w:rPr>
        <w:fldChar w:fldCharType="end"/>
      </w:r>
    </w:p>
    <w:p>
      <w:pPr>
        <w:pStyle w:val="Normal"/>
      </w:pPr>
      <w:r>
        <w:rPr>
          <w:color w:val="323232"/>
        </w:rPr>
        <w:t xml:space="preserve">————————</w:t>
      </w:r>
    </w:p>
    <w:p>
      <w:pPr>
        <w:pStyle w:val="Heading4"/>
      </w:pPr>
      <w:r>
        <w:t xml:space="preserve">Cardiac Troponin I and Amino-Terminal Pro B-Type Natriuretic Peptide in Dogs With Stable Chronic Kidney Disease.</w:t>
      </w:r>
    </w:p>
    <w:p/>
    <w:p>
      <w:pPr>
        <w:pStyle w:val="Normal"/>
      </w:pPr>
      <w:r>
        <w:rPr>
          <w:color w:val="323232"/>
        </w:rPr>
        <w:t xml:space="preserve">L Pelander, J Haggstrom, C J Ley, and I Ljungvall.</w:t>
      </w:r>
    </w:p>
    <w:p/>
    <w:p>
      <w:pPr>
        <w:pStyle w:val="Normal"/>
      </w:pPr>
      <w:r>
        <w:rPr>
          <w:color w:val="323232"/>
        </w:rPr>
        <w:t xml:space="preserve">BACKGROUND:Increased concentrations of N-terminal pro B-type natriuretic peptide (NT-proBNP) and cardiac troponin I (cTnI) in dogs with azotemia have been documented. Knowledge of mechanisms behind increased concentrations of cardiac biomarkers in dogs with azotemia is warranted for correct interpretation of test results.</w:t>
      </w:r>
    </w:p>
    <w:p/>
    <w:p>
      <w:pPr>
        <w:pStyle w:val="Normal"/>
      </w:pPr>
      <w:r>
        <w:rPr>
          <w:color w:val="323232"/>
        </w:rPr>
        <w:t xml:space="preserve">OBJECTIVES:The aim of the article was to investigate possible associations between plasma concentrations of cTnI and NT-proBNP, respectively, and patient characteristics, glomerular filtration rate (GFR), a plasma volume factor (PVF) derived from scintigraphic examination (PVf), systolic blood pressure (SBP), selected hematologic and biochemical variables, and echocardiographic measurements in dogs with stable chronic kidney disease (CKD) and in healthy dogs.</w:t>
      </w:r>
    </w:p>
    <w:p/>
    <w:p>
      <w:pPr>
        <w:pStyle w:val="Normal"/>
      </w:pPr>
      <w:r>
        <w:rPr>
          <w:color w:val="323232"/>
        </w:rPr>
        <w:t xml:space="preserve">ANIMALS:Fifty student-, staff-, and client-owned dogs were included. Twenty-three of the dogs were healthy and 27 were diagnosed with CKD.</w:t>
      </w:r>
    </w:p>
    <w:p/>
    <w:p>
      <w:pPr>
        <w:pStyle w:val="Normal"/>
      </w:pPr>
      <w:r>
        <w:rPr>
          <w:color w:val="323232"/>
        </w:rPr>
        <w:t xml:space="preserve">METHODS:In this cross-sectional observational study, dogs with a previous diagnosis of CKD and healthy control dogs were included. At inclusion, all dogs were characterized by physical examination, repeated blood pressure measurements, complete urinalysis, hematology and biochemistry panel, echocardiography, abdominal ultrasound examination of the entire urinary tract, and scintigraphic examination for measurement of GFR.</w:t>
      </w:r>
    </w:p>
    <w:p/>
    <w:p>
      <w:pPr>
        <w:pStyle w:val="Normal"/>
      </w:pPr>
      <w:r>
        <w:rPr>
          <w:color w:val="323232"/>
        </w:rPr>
        <w:t xml:space="preserve">RESULTS:Plasma volume factor and PCV were independently associated with NT-proBNP (Radj2</w:t>
      </w:r>
      <w:r>
        <w:rPr>
          <w:color w:val="323232"/>
        </w:rPr>
        <w:t xml:space="preserve"> </w:t>
      </w:r>
      <w:r>
        <w:rPr>
          <w:color w:val="323232"/>
        </w:rPr>
        <w:t xml:space="preserve">=</w:t>
      </w:r>
      <w:r>
        <w:rPr>
          <w:color w:val="323232"/>
        </w:rPr>
        <w:t xml:space="preserve"> </w:t>
      </w:r>
      <w:r>
        <w:rPr>
          <w:color w:val="323232"/>
        </w:rPr>
        <w:t xml:space="preserve">0.42; P</w:t>
      </w:r>
      <w:r>
        <w:rPr>
          <w:color w:val="323232"/>
        </w:rPr>
        <w:t xml:space="preserve"> </w:t>
      </w:r>
      <w:r>
        <w:rPr>
          <w:color w:val="323232"/>
        </w:rPr>
        <w:t xml:space="preserve">&lt;</w:t>
      </w:r>
      <w:r>
        <w:rPr>
          <w:color w:val="323232"/>
        </w:rPr>
        <w:t xml:space="preserve"> </w:t>
      </w:r>
      <w:r>
        <w:rPr>
          <w:color w:val="323232"/>
        </w:rPr>
        <w:t xml:space="preserve">.0001). Age, body weight (BW), and SBP were independently associated with cTnI (Radj2</w:t>
      </w:r>
      <w:r>
        <w:rPr>
          <w:color w:val="323232"/>
        </w:rPr>
        <w:t xml:space="preserve"> </w:t>
      </w:r>
      <w:r>
        <w:rPr>
          <w:color w:val="323232"/>
        </w:rPr>
        <w:t xml:space="preserve">=</w:t>
      </w:r>
      <w:r>
        <w:rPr>
          <w:color w:val="323232"/>
        </w:rPr>
        <w:t xml:space="preserve"> </w:t>
      </w:r>
      <w:r>
        <w:rPr>
          <w:color w:val="323232"/>
        </w:rPr>
        <w:t xml:space="preserve">0.50; P</w:t>
      </w:r>
      <w:r>
        <w:rPr>
          <w:color w:val="323232"/>
        </w:rPr>
        <w:t xml:space="preserve"> </w:t>
      </w:r>
      <w:r>
        <w:rPr>
          <w:color w:val="323232"/>
        </w:rPr>
        <w:t xml:space="preserve">&lt;</w:t>
      </w:r>
      <w:r>
        <w:rPr>
          <w:color w:val="323232"/>
        </w:rPr>
        <w:t xml:space="preserve"> </w:t>
      </w:r>
      <w:r>
        <w:rPr>
          <w:color w:val="323232"/>
        </w:rPr>
        <w:t xml:space="preserve">.0001).</w:t>
      </w:r>
    </w:p>
    <w:p/>
    <w:p>
      <w:pPr>
        <w:pStyle w:val="Normal"/>
      </w:pPr>
      <w:r>
        <w:rPr>
          <w:color w:val="323232"/>
        </w:rPr>
        <w:t xml:space="preserve">CONCLUSIONS AND CLINICAL IMPORTANCE:Neither NT-proBNP nor cTnI concentrations were independently associated with measured GFR. Thus, findings were not suggestive of passive accumulation of either marker, suggesting that increased circulating concentrations of cTnI and NT-proBNP can be interpreted similarly in dogs with stable CKD as in dogs without CKD.</w:t>
      </w:r>
    </w:p>
    <w:p/>
    <w:p>
      <w:pPr>
        <w:pStyle w:val="Normal"/>
      </w:pPr>
      <w:r>
        <w:rPr>
          <w:color w:val="323232"/>
        </w:rPr>
        <w:t xml:space="preserve">J Vet Intern Med, 2017 vol. 31 (3) pp. 805-813.</w:t>
      </w:r>
    </w:p>
    <w:p>
      <w:r>
        <w:rPr>
          <w:rStyle w:val="Hyperlink"/>
        </w:rPr>
        <w:fldChar w:fldCharType="begin"/>
      </w:r>
      <w:r>
        <w:rPr>
          <w:rStyle w:val="Hyperlink"/>
        </w:rPr>
        <w:instrText xml:space="preserve"> HYPERLINK "http://dx.doi.org/10.1111/jvim.14703" </w:instrText>
      </w:r>
      <w:r>
        <w:rPr>
          <w:rStyle w:val="Hyperlink"/>
        </w:rPr>
      </w:r>
      <w:r>
        <w:rPr>
          <w:rStyle w:val="Hyperlink"/>
        </w:rPr>
        <w:fldChar w:fldCharType="separate"/>
      </w:r>
      <w:pPr>
        <w:pStyle w:val="Normal"/>
      </w:pPr>
      <w:r>
        <w:rPr>
          <w:rStyle w:val="Hyperlink"/>
        </w:rPr>
        <w:t xml:space="preserve">http://dx.doi.org/10.1111/jvim.14703</w:t>
      </w:r>
      <w:r>
        <w:rPr>
          <w:rStyle w:val="Hyperlink"/>
        </w:rPr>
        <w:fldChar w:fldCharType="end"/>
      </w:r>
    </w:p>
    <w:p>
      <w:pPr>
        <w:pStyle w:val="Normal"/>
      </w:pPr>
      <w:r>
        <w:rPr>
          <w:color w:val="323232"/>
        </w:rPr>
        <w:t xml:space="preserve">————————</w:t>
      </w:r>
    </w:p>
    <w:p>
      <w:pPr>
        <w:pStyle w:val="Heading4"/>
      </w:pPr>
      <w:r>
        <w:t xml:space="preserve">Associations Between Anesthetic Variables and Functional Outcome in Dogs With Thoracolumbar Intervertebral Disk Extrusion Undergoing Decompressive Hemilaminectomy.</w:t>
      </w:r>
    </w:p>
    <w:p/>
    <w:p>
      <w:pPr>
        <w:pStyle w:val="Normal"/>
      </w:pPr>
      <w:r>
        <w:rPr>
          <w:color w:val="323232"/>
        </w:rPr>
        <w:t xml:space="preserve">J Fenn, E Laber, K Williams, C A Rousse, P J Early, C L Mariani, K R Muñana, S De Decker, H A Volk, and N J Olby.</w:t>
      </w:r>
    </w:p>
    <w:p/>
    <w:p>
      <w:pPr>
        <w:pStyle w:val="Normal"/>
      </w:pPr>
      <w:r>
        <w:rPr>
          <w:color w:val="323232"/>
        </w:rPr>
        <w:t xml:space="preserve">BACKGROUND:Outcome of acute experimental spinal cord injury is strongly associated with tissue perfusion and oxygenation. Cardiopulmonary depression could affect outcome in dogs undergoing general anesthesia for surgical treatment of thoracolumbar intervertebral disk extrusion (IVDE).</w:t>
      </w:r>
    </w:p>
    <w:p/>
    <w:p>
      <w:pPr>
        <w:pStyle w:val="Normal"/>
      </w:pPr>
      <w:r>
        <w:rPr>
          <w:color w:val="323232"/>
        </w:rPr>
        <w:t xml:space="preserve">HYPOTHESIS/OBJECTIVES:To evaluate the effects of general anesthesia on functional outcome in dogs undergoing surgery to treat thoracolumbar IVDE.</w:t>
      </w:r>
    </w:p>
    <w:p/>
    <w:p>
      <w:pPr>
        <w:pStyle w:val="Normal"/>
      </w:pPr>
      <w:r>
        <w:rPr>
          <w:color w:val="323232"/>
        </w:rPr>
        <w:t xml:space="preserve">ANIMALS:Eighty-four client-owned dogs with acute thoracolumbar IVDE treated by decompressive hemilaminectomy.</w:t>
      </w:r>
    </w:p>
    <w:p/>
    <w:p>
      <w:pPr>
        <w:pStyle w:val="Normal"/>
      </w:pPr>
      <w:r>
        <w:rPr>
          <w:color w:val="323232"/>
        </w:rPr>
        <w:t xml:space="preserve">METHODS:Exploratory, retrospective observational study. Medical records were reviewed for clinical presentation and anesthetic monitoring variables, including duration of anesthesia and surgery, hypotension, bradycardia, temperature, and respiratory parameters. Multivariable regression tree analysis was performed to explore associations between anesthetic variables and functional outcome scores after 6 weeks, as well as return to ambulatory status.</w:t>
      </w:r>
    </w:p>
    <w:p/>
    <w:p>
      <w:pPr>
        <w:pStyle w:val="Normal"/>
      </w:pPr>
      <w:r>
        <w:rPr>
          <w:color w:val="323232"/>
        </w:rPr>
        <w:t xml:space="preserve">RESULTS:Episodes of bradycardia (69%) and hypotension (57%) were frequent. Across all outcome measures, regression tree analysis highlighted functional grade at presentation as the primary determining factor, and among pain perception negative dogs, there was a possible association between increased duration of surgery and poorer outcome. In dogs with intact pain perception, duration of bradycardia, mean body temperature, and mean end-tidal carbon dioxide were highlighted.</w:t>
      </w:r>
    </w:p>
    <w:p/>
    <w:p>
      <w:pPr>
        <w:pStyle w:val="Normal"/>
      </w:pPr>
      <w:r>
        <w:rPr>
          <w:color w:val="323232"/>
        </w:rPr>
        <w:t xml:space="preserve">CONCLUSIONS AND CLINICAL IMPORTANCE:Exploratory statistical methods can facilitate hypothesis-generating studies to inform prospective investigations in veterinary medicine. Although the mechanism is uncertain, increased duration of surgery might be associated with poorer outcome in pain perception negative dogs with thoracolumbar IVDE.</w:t>
      </w:r>
    </w:p>
    <w:p/>
    <w:p>
      <w:pPr>
        <w:pStyle w:val="Normal"/>
      </w:pPr>
      <w:r>
        <w:rPr>
          <w:color w:val="323232"/>
        </w:rPr>
        <w:t xml:space="preserve">J Vet Intern Med, 2017 vol. 31 (3) pp. 814-824.</w:t>
      </w:r>
    </w:p>
    <w:p>
      <w:r>
        <w:rPr>
          <w:rStyle w:val="Hyperlink"/>
        </w:rPr>
        <w:fldChar w:fldCharType="begin"/>
      </w:r>
      <w:r>
        <w:rPr>
          <w:rStyle w:val="Hyperlink"/>
        </w:rPr>
        <w:instrText xml:space="preserve"> HYPERLINK "http://dx.doi.org/10.1111/jvim.14677" </w:instrText>
      </w:r>
      <w:r>
        <w:rPr>
          <w:rStyle w:val="Hyperlink"/>
        </w:rPr>
      </w:r>
      <w:r>
        <w:rPr>
          <w:rStyle w:val="Hyperlink"/>
        </w:rPr>
        <w:fldChar w:fldCharType="separate"/>
      </w:r>
      <w:pPr>
        <w:pStyle w:val="Normal"/>
      </w:pPr>
      <w:r>
        <w:rPr>
          <w:rStyle w:val="Hyperlink"/>
        </w:rPr>
        <w:t xml:space="preserve">http://dx.doi.org/10.1111/jvim.14677</w:t>
      </w:r>
      <w:r>
        <w:rPr>
          <w:rStyle w:val="Hyperlink"/>
        </w:rPr>
        <w:fldChar w:fldCharType="end"/>
      </w:r>
    </w:p>
    <w:p>
      <w:pPr>
        <w:pStyle w:val="Normal"/>
      </w:pPr>
      <w:r>
        <w:rPr>
          <w:color w:val="323232"/>
        </w:rPr>
        <w:t xml:space="preserve">————————</w:t>
      </w:r>
    </w:p>
    <w:p>
      <w:pPr>
        <w:pStyle w:val="Heading4"/>
      </w:pPr>
      <w:r>
        <w:t xml:space="preserve">Prognostic Factors Associated with Recovery of Ambulation and Urinary Continence in Dogs with Acute Lumbosacral Spinal Cord Injury.</w:t>
      </w:r>
    </w:p>
    <w:p/>
    <w:p>
      <w:pPr>
        <w:pStyle w:val="Normal"/>
      </w:pPr>
      <w:r>
        <w:rPr>
          <w:color w:val="323232"/>
        </w:rPr>
        <w:t xml:space="preserve">T A Shaw, L De Risio, E J Laws, J H Rose, T R Harcourt-Brown, and N Granger.</w:t>
      </w:r>
    </w:p>
    <w:p/>
    <w:p>
      <w:pPr>
        <w:pStyle w:val="Normal"/>
      </w:pPr>
      <w:r>
        <w:rPr>
          <w:color w:val="323232"/>
        </w:rPr>
        <w:t xml:space="preserve">BACKGROUND:Limited information is available about prognostic factors for recovery after spinal cord injury (SCI) to the L4-S3 segments. Previous research suggests that L4-S3 SCI does not have a worse prognosis than T3-L3 SCI.</w:t>
      </w:r>
    </w:p>
    <w:p/>
    <w:p>
      <w:pPr>
        <w:pStyle w:val="Normal"/>
      </w:pPr>
      <w:r>
        <w:rPr>
          <w:color w:val="323232"/>
        </w:rPr>
        <w:t xml:space="preserve">HYPOTHESIS/OBJECTIVES:To elucidate prognostic factors for regaining urinary continence and ambulation in dogs with L4-S3 SCI and compare prognosis to T3-L3 SCI.</w:t>
      </w:r>
    </w:p>
    <w:p/>
    <w:p>
      <w:pPr>
        <w:pStyle w:val="Normal"/>
      </w:pPr>
      <w:r>
        <w:rPr>
          <w:color w:val="323232"/>
        </w:rPr>
        <w:t xml:space="preserve">ANIMALS</w:t>
      </w:r>
      <w:r>
        <w:rPr>
          <w:i w:val="1"/>
          <w:color w:val="323232"/>
        </w:rPr>
        <w:t xml:space="preserve">METHODS:A retrospective study on 61 nonambulatory dogs with L4-S3 SCI, matched to dogs with T3-L3 SCI, compared 3</w:t>
      </w:r>
      <w:r>
        <w:rPr>
          <w:color w:val="323232"/>
        </w:rPr>
        <w:t xml:space="preserve"> </w:t>
      </w:r>
      <w:r>
        <w:rPr>
          <w:i w:val="1"/>
          <w:color w:val="323232"/>
        </w:rPr>
        <w:t xml:space="preserve">weeks after onset. Prognostic factors explored using logistic regression and used for matching: nonchondrodystrophic dogs &gt;15</w:t>
      </w:r>
      <w:r>
        <w:rPr>
          <w:color w:val="323232"/>
        </w:rPr>
        <w:t xml:space="preserve"> </w:t>
      </w:r>
      <w:r>
        <w:rPr>
          <w:i w:val="1"/>
          <w:color w:val="323232"/>
        </w:rPr>
        <w:t xml:space="preserve">kg versus dogs that were chondrodystrophic or &lt;15</w:t>
      </w:r>
      <w:r>
        <w:rPr>
          <w:color w:val="323232"/>
        </w:rPr>
        <w:t xml:space="preserve"> </w:t>
      </w:r>
      <w:r>
        <w:rPr>
          <w:i w:val="1"/>
          <w:color w:val="323232"/>
        </w:rPr>
        <w:t xml:space="preserve">kg; compressive versus noncompressive lesions; presence versus absence of conscious pain perception (CPP); and lower vs upper motor neuron (LMN</w:t>
      </w:r>
      <w:r>
        <w:rPr>
          <w:color w:val="323232"/>
        </w:rPr>
        <w:t xml:space="preserve">UMN) incontinence.</w:t>
      </w:r>
    </w:p>
    <w:p/>
    <w:p>
      <w:pPr>
        <w:pStyle w:val="Normal"/>
      </w:pPr>
      <w:r>
        <w:rPr>
          <w:color w:val="323232"/>
        </w:rPr>
        <w:t xml:space="preserve">RESULTS:Fewer L4-S3 dogs regained continence compared to T3-L3 dogs (64 vs 85%, P</w:t>
      </w:r>
      <w:r>
        <w:rPr>
          <w:color w:val="323232"/>
        </w:rPr>
        <w:t xml:space="preserve"> </w:t>
      </w:r>
      <w:r>
        <w:rPr>
          <w:color w:val="323232"/>
        </w:rPr>
        <w:t xml:space="preserve">=</w:t>
      </w:r>
      <w:r>
        <w:rPr>
          <w:color w:val="323232"/>
        </w:rPr>
        <w:t xml:space="preserve"> </w:t>
      </w:r>
      <w:r>
        <w:rPr>
          <w:color w:val="323232"/>
        </w:rPr>
        <w:t xml:space="preserve">.0033), but no difference existed for regaining ambulation (66 vs 75%, P</w:t>
      </w:r>
      <w:r>
        <w:rPr>
          <w:color w:val="323232"/>
        </w:rPr>
        <w:t xml:space="preserve"> </w:t>
      </w:r>
      <w:r>
        <w:rPr>
          <w:color w:val="323232"/>
        </w:rPr>
        <w:t xml:space="preserve">=</w:t>
      </w:r>
      <w:r>
        <w:rPr>
          <w:color w:val="323232"/>
        </w:rPr>
        <w:t xml:space="preserve"> </w:t>
      </w:r>
      <w:r>
        <w:rPr>
          <w:color w:val="323232"/>
        </w:rPr>
        <w:t xml:space="preserve">.1306). In L4-S3 SCI dogs, fewer dogs regained continence with loss of CPP (P</w:t>
      </w:r>
      <w:r>
        <w:rPr>
          <w:color w:val="323232"/>
        </w:rPr>
        <w:t xml:space="preserve"> </w:t>
      </w:r>
      <w:r>
        <w:rPr>
          <w:color w:val="323232"/>
        </w:rPr>
        <w:t xml:space="preserve">&lt;</w:t>
      </w:r>
      <w:r>
        <w:rPr>
          <w:color w:val="323232"/>
        </w:rPr>
        <w:t xml:space="preserve"> </w:t>
      </w:r>
      <w:r>
        <w:rPr>
          <w:color w:val="323232"/>
        </w:rPr>
        <w:t xml:space="preserve">.001), LMN incontinence (P</w:t>
      </w:r>
      <w:r>
        <w:rPr>
          <w:color w:val="323232"/>
        </w:rPr>
        <w:t xml:space="preserve"> </w:t>
      </w:r>
      <w:r>
        <w:rPr>
          <w:color w:val="323232"/>
        </w:rPr>
        <w:t xml:space="preserve">=</w:t>
      </w:r>
      <w:r>
        <w:rPr>
          <w:color w:val="323232"/>
        </w:rPr>
        <w:t xml:space="preserve"> </w:t>
      </w:r>
      <w:r>
        <w:rPr>
          <w:color w:val="323232"/>
        </w:rPr>
        <w:t xml:space="preserve">.004), and noncompressive lesions (P</w:t>
      </w:r>
      <w:r>
        <w:rPr>
          <w:color w:val="323232"/>
        </w:rPr>
        <w:t xml:space="preserve"> </w:t>
      </w:r>
      <w:r>
        <w:rPr>
          <w:color w:val="323232"/>
        </w:rPr>
        <w:t xml:space="preserve">=</w:t>
      </w:r>
      <w:r>
        <w:rPr>
          <w:color w:val="323232"/>
        </w:rPr>
        <w:t xml:space="preserve"> </w:t>
      </w:r>
      <w:r>
        <w:rPr>
          <w:color w:val="323232"/>
        </w:rPr>
        <w:t xml:space="preserve">.006). Negative prognostic factors for regaining ambulation included absent CPP (P</w:t>
      </w:r>
      <w:r>
        <w:rPr>
          <w:color w:val="323232"/>
        </w:rPr>
        <w:t xml:space="preserve"> </w:t>
      </w:r>
      <w:r>
        <w:rPr>
          <w:color w:val="323232"/>
        </w:rPr>
        <w:t xml:space="preserve">&lt;</w:t>
      </w:r>
      <w:r>
        <w:rPr>
          <w:color w:val="323232"/>
        </w:rPr>
        <w:t xml:space="preserve"> </w:t>
      </w:r>
      <w:r>
        <w:rPr>
          <w:color w:val="323232"/>
        </w:rPr>
        <w:t xml:space="preserve">.001) and large nonchondrodystrophic breed (P</w:t>
      </w:r>
      <w:r>
        <w:rPr>
          <w:color w:val="323232"/>
        </w:rPr>
        <w:t xml:space="preserve"> </w:t>
      </w:r>
      <w:r>
        <w:rPr>
          <w:color w:val="323232"/>
        </w:rPr>
        <w:t xml:space="preserve">=</w:t>
      </w:r>
      <w:r>
        <w:rPr>
          <w:color w:val="323232"/>
        </w:rPr>
        <w:t xml:space="preserve"> </w:t>
      </w:r>
      <w:r>
        <w:rPr>
          <w:color w:val="323232"/>
        </w:rPr>
        <w:t xml:space="preserve">.022).</w:t>
      </w:r>
    </w:p>
    <w:p/>
    <w:p>
      <w:pPr>
        <w:pStyle w:val="Normal"/>
      </w:pPr>
      <w:r>
        <w:rPr>
          <w:color w:val="323232"/>
        </w:rPr>
        <w:t xml:space="preserve">CONCLUSIONS AND CLINICAL IMPORTANCE:Dogs with L4-S3 SCI have a poorer short-term prognosis than do dogs with T3-L3 SCI. Dogs with L4-S3 SCI had a poor prognosis with loss of CPP, or noncompressive lesions combined with LMN incontinence. Small-breed or chondrodystrophic dogs with retained CPP, compressive lesions, and UMN incontinence had an excellent prognosis. These findings may help guide decision-making in L4-S3 SCI.</w:t>
      </w:r>
    </w:p>
    <w:p/>
    <w:p>
      <w:pPr>
        <w:pStyle w:val="Normal"/>
      </w:pPr>
      <w:r>
        <w:rPr>
          <w:color w:val="323232"/>
        </w:rPr>
        <w:t xml:space="preserve">J Vet Intern Med, 2017 vol. 31 (3) pp. 825-831.</w:t>
      </w:r>
    </w:p>
    <w:p>
      <w:r>
        <w:rPr>
          <w:rStyle w:val="Hyperlink"/>
        </w:rPr>
        <w:fldChar w:fldCharType="begin"/>
      </w:r>
      <w:r>
        <w:rPr>
          <w:rStyle w:val="Hyperlink"/>
        </w:rPr>
        <w:instrText xml:space="preserve"> HYPERLINK "http://dx.doi.org/10.1111/jvim.14702" </w:instrText>
      </w:r>
      <w:r>
        <w:rPr>
          <w:rStyle w:val="Hyperlink"/>
        </w:rPr>
      </w:r>
      <w:r>
        <w:rPr>
          <w:rStyle w:val="Hyperlink"/>
        </w:rPr>
        <w:fldChar w:fldCharType="separate"/>
      </w:r>
      <w:pPr>
        <w:pStyle w:val="Normal"/>
      </w:pPr>
      <w:r>
        <w:rPr>
          <w:rStyle w:val="Hyperlink"/>
        </w:rPr>
        <w:t xml:space="preserve">http://dx.doi.org/10.1111/jvim.14702</w:t>
      </w:r>
      <w:r>
        <w:rPr>
          <w:rStyle w:val="Hyperlink"/>
        </w:rPr>
        <w:fldChar w:fldCharType="end"/>
      </w:r>
    </w:p>
    <w:p>
      <w:pPr>
        <w:pStyle w:val="Normal"/>
      </w:pPr>
      <w:r>
        <w:rPr>
          <w:color w:val="323232"/>
        </w:rPr>
        <w:t xml:space="preserve">————————</w:t>
      </w:r>
    </w:p>
    <w:p>
      <w:pPr>
        <w:pStyle w:val="Heading4"/>
      </w:pPr>
      <w:r>
        <w:t xml:space="preserve">Prognostic Factors Associated with Recovery of Ambulation and Urinary Continence in Dogs with Acute Lumbosacral Spinal Cord Injury.</w:t>
      </w:r>
    </w:p>
    <w:p/>
    <w:p>
      <w:pPr>
        <w:pStyle w:val="Normal"/>
      </w:pPr>
      <w:r>
        <w:rPr>
          <w:color w:val="323232"/>
        </w:rPr>
        <w:t xml:space="preserve">T A Shaw, L De Risio, E J Laws, J H Rose, T R Harcourt-Brown, and N Granger.</w:t>
      </w:r>
    </w:p>
    <w:p/>
    <w:p>
      <w:pPr>
        <w:pStyle w:val="Normal"/>
      </w:pPr>
      <w:r>
        <w:rPr>
          <w:color w:val="323232"/>
        </w:rPr>
        <w:t xml:space="preserve">BACKGROUND:Limited information is available about prognostic factors for recovery after spinal cord injury (SCI) to the L4-S3 segments. Previous research suggests that L4-S3 SCI does not have a worse prognosis than T3-L3 SCI.</w:t>
      </w:r>
    </w:p>
    <w:p/>
    <w:p>
      <w:pPr>
        <w:pStyle w:val="Normal"/>
      </w:pPr>
      <w:r>
        <w:rPr>
          <w:color w:val="323232"/>
        </w:rPr>
        <w:t xml:space="preserve">HYPOTHESIS/OBJECTIVES:To elucidate prognostic factors for regaining urinary continence and ambulation in dogs with L4-S3 SCI and compare prognosis to T3-L3 SCI.</w:t>
      </w:r>
    </w:p>
    <w:p/>
    <w:p>
      <w:pPr>
        <w:pStyle w:val="Normal"/>
      </w:pPr>
      <w:r>
        <w:rPr>
          <w:color w:val="323232"/>
        </w:rPr>
        <w:t xml:space="preserve">ANIMALS/ METHODS:A retrospective study on 61 nonambulatory dogs with L4-S3 SCI, matched to dogs with T3-L3 SCI, compared 3</w:t>
      </w:r>
      <w:r>
        <w:rPr>
          <w:color w:val="323232"/>
        </w:rPr>
        <w:t xml:space="preserve"> </w:t>
      </w:r>
      <w:r>
        <w:rPr>
          <w:color w:val="323232"/>
        </w:rPr>
        <w:t xml:space="preserve">weeks after onset. Prognostic factors explored using logistic regression and used for matching: nonchondrodystrophic dogs &gt;15</w:t>
      </w:r>
      <w:r>
        <w:rPr>
          <w:color w:val="323232"/>
        </w:rPr>
        <w:t xml:space="preserve"> </w:t>
      </w:r>
      <w:r>
        <w:rPr>
          <w:color w:val="323232"/>
        </w:rPr>
        <w:t xml:space="preserve">kg versus dogs that were chondrodystrophic or &lt;15</w:t>
      </w:r>
      <w:r>
        <w:rPr>
          <w:color w:val="323232"/>
        </w:rPr>
        <w:t xml:space="preserve"> </w:t>
      </w:r>
      <w:r>
        <w:rPr>
          <w:color w:val="323232"/>
        </w:rPr>
        <w:t xml:space="preserve">kg; compressive versus noncompressive lesions; presence versus absence of conscious pain perception (CPP); and lower vs upper motor neuron (LMN/UMN) incontinence.</w:t>
      </w:r>
    </w:p>
    <w:p/>
    <w:p>
      <w:pPr>
        <w:pStyle w:val="Normal"/>
      </w:pPr>
      <w:r>
        <w:rPr>
          <w:color w:val="323232"/>
        </w:rPr>
        <w:t xml:space="preserve">RESULTS:Fewer L4-S3 dogs regained continence compared to T3-L3 dogs (64 vs 85%, P</w:t>
      </w:r>
      <w:r>
        <w:rPr>
          <w:color w:val="323232"/>
        </w:rPr>
        <w:t xml:space="preserve"> </w:t>
      </w:r>
      <w:r>
        <w:rPr>
          <w:color w:val="323232"/>
        </w:rPr>
        <w:t xml:space="preserve">=</w:t>
      </w:r>
      <w:r>
        <w:rPr>
          <w:color w:val="323232"/>
        </w:rPr>
        <w:t xml:space="preserve"> </w:t>
      </w:r>
      <w:r>
        <w:rPr>
          <w:color w:val="323232"/>
        </w:rPr>
        <w:t xml:space="preserve">.0033), but no difference existed for regaining ambulation (66 vs 75%, P</w:t>
      </w:r>
      <w:r>
        <w:rPr>
          <w:color w:val="323232"/>
        </w:rPr>
        <w:t xml:space="preserve"> </w:t>
      </w:r>
      <w:r>
        <w:rPr>
          <w:color w:val="323232"/>
        </w:rPr>
        <w:t xml:space="preserve">=</w:t>
      </w:r>
      <w:r>
        <w:rPr>
          <w:color w:val="323232"/>
        </w:rPr>
        <w:t xml:space="preserve"> </w:t>
      </w:r>
      <w:r>
        <w:rPr>
          <w:color w:val="323232"/>
        </w:rPr>
        <w:t xml:space="preserve">.1306). In L4-S3 SCI dogs, fewer dogs regained continence with loss of CPP (P</w:t>
      </w:r>
      <w:r>
        <w:rPr>
          <w:color w:val="323232"/>
        </w:rPr>
        <w:t xml:space="preserve"> </w:t>
      </w:r>
      <w:r>
        <w:rPr>
          <w:color w:val="323232"/>
        </w:rPr>
        <w:t xml:space="preserve">&lt;</w:t>
      </w:r>
      <w:r>
        <w:rPr>
          <w:color w:val="323232"/>
        </w:rPr>
        <w:t xml:space="preserve"> </w:t>
      </w:r>
      <w:r>
        <w:rPr>
          <w:color w:val="323232"/>
        </w:rPr>
        <w:t xml:space="preserve">.001), LMN incontinence (P</w:t>
      </w:r>
      <w:r>
        <w:rPr>
          <w:color w:val="323232"/>
        </w:rPr>
        <w:t xml:space="preserve"> </w:t>
      </w:r>
      <w:r>
        <w:rPr>
          <w:color w:val="323232"/>
        </w:rPr>
        <w:t xml:space="preserve">=</w:t>
      </w:r>
      <w:r>
        <w:rPr>
          <w:color w:val="323232"/>
        </w:rPr>
        <w:t xml:space="preserve"> </w:t>
      </w:r>
      <w:r>
        <w:rPr>
          <w:color w:val="323232"/>
        </w:rPr>
        <w:t xml:space="preserve">.004), and noncompressive lesions (P</w:t>
      </w:r>
      <w:r>
        <w:rPr>
          <w:color w:val="323232"/>
        </w:rPr>
        <w:t xml:space="preserve"> </w:t>
      </w:r>
      <w:r>
        <w:rPr>
          <w:color w:val="323232"/>
        </w:rPr>
        <w:t xml:space="preserve">=</w:t>
      </w:r>
      <w:r>
        <w:rPr>
          <w:color w:val="323232"/>
        </w:rPr>
        <w:t xml:space="preserve"> </w:t>
      </w:r>
      <w:r>
        <w:rPr>
          <w:color w:val="323232"/>
        </w:rPr>
        <w:t xml:space="preserve">.006). Negative prognostic factors for regaining ambulation included absent CPP (P</w:t>
      </w:r>
      <w:r>
        <w:rPr>
          <w:color w:val="323232"/>
        </w:rPr>
        <w:t xml:space="preserve"> </w:t>
      </w:r>
      <w:r>
        <w:rPr>
          <w:color w:val="323232"/>
        </w:rPr>
        <w:t xml:space="preserve">&lt;</w:t>
      </w:r>
      <w:r>
        <w:rPr>
          <w:color w:val="323232"/>
        </w:rPr>
        <w:t xml:space="preserve"> </w:t>
      </w:r>
      <w:r>
        <w:rPr>
          <w:color w:val="323232"/>
        </w:rPr>
        <w:t xml:space="preserve">.001) and large nonchondrodystrophic breed (P</w:t>
      </w:r>
      <w:r>
        <w:rPr>
          <w:color w:val="323232"/>
        </w:rPr>
        <w:t xml:space="preserve"> </w:t>
      </w:r>
      <w:r>
        <w:rPr>
          <w:color w:val="323232"/>
        </w:rPr>
        <w:t xml:space="preserve">=</w:t>
      </w:r>
      <w:r>
        <w:rPr>
          <w:color w:val="323232"/>
        </w:rPr>
        <w:t xml:space="preserve"> </w:t>
      </w:r>
      <w:r>
        <w:rPr>
          <w:color w:val="323232"/>
        </w:rPr>
        <w:t xml:space="preserve">.022).</w:t>
      </w:r>
    </w:p>
    <w:p/>
    <w:p>
      <w:pPr>
        <w:pStyle w:val="Normal"/>
      </w:pPr>
      <w:r>
        <w:rPr>
          <w:color w:val="323232"/>
        </w:rPr>
        <w:t xml:space="preserve">CONCLUSIONS AND CLINICAL IMPORTANCE:Dogs with L4-S3 SCI have a poorer short-term prognosis than do dogs with T3-L3 SCI. Dogs with L4-S3 SCI had a poor prognosis with loss of CPP, or noncompressive lesions combined with LMN incontinence. Small-breed or chondrodystrophic dogs with retained CPP, compressive lesions, and UMN incontinence had an excellent prognosis. These findings may help guide decision-making in L4-S3 SCI.</w:t>
      </w:r>
    </w:p>
    <w:p/>
    <w:p>
      <w:pPr>
        <w:pStyle w:val="Normal"/>
      </w:pPr>
      <w:r>
        <w:rPr>
          <w:color w:val="323232"/>
        </w:rPr>
        <w:t xml:space="preserve">J Vet Intern Med, 2017 vol. 31 (3) pp. 825-831.</w:t>
      </w:r>
    </w:p>
    <w:p>
      <w:r>
        <w:rPr>
          <w:rStyle w:val="Hyperlink"/>
        </w:rPr>
        <w:fldChar w:fldCharType="begin"/>
      </w:r>
      <w:r>
        <w:rPr>
          <w:rStyle w:val="Hyperlink"/>
        </w:rPr>
        <w:instrText xml:space="preserve"> HYPERLINK "http://dx.doi.org/10.1111/jvim.14702" </w:instrText>
      </w:r>
      <w:r>
        <w:rPr>
          <w:rStyle w:val="Hyperlink"/>
        </w:rPr>
      </w:r>
      <w:r>
        <w:rPr>
          <w:rStyle w:val="Hyperlink"/>
        </w:rPr>
        <w:fldChar w:fldCharType="separate"/>
      </w:r>
      <w:pPr>
        <w:pStyle w:val="Normal"/>
      </w:pPr>
      <w:r>
        <w:rPr>
          <w:rStyle w:val="Hyperlink"/>
        </w:rPr>
        <w:t xml:space="preserve">http://dx.doi.org/10.1111/jvim.14702</w:t>
      </w:r>
      <w:r>
        <w:rPr>
          <w:rStyle w:val="Hyperlink"/>
        </w:rPr>
        <w:fldChar w:fldCharType="end"/>
      </w:r>
    </w:p>
    <w:p>
      <w:pPr>
        <w:pStyle w:val="Normal"/>
      </w:pPr>
      <w:r>
        <w:rPr>
          <w:color w:val="323232"/>
        </w:rPr>
        <w:t xml:space="preserve">————————</w:t>
      </w:r>
    </w:p>
    <w:p>
      <w:pPr>
        <w:pStyle w:val="Heading4"/>
      </w:pPr>
      <w:r>
        <w:t xml:space="preserve">Prognostic Factors Associated with Recovery of Ambulation and Urinary Continence in Dogs with Acute Lumbosacral Spinal Cord Injury.</w:t>
      </w:r>
    </w:p>
    <w:p/>
    <w:p>
      <w:pPr>
        <w:pStyle w:val="Normal"/>
      </w:pPr>
      <w:r>
        <w:rPr>
          <w:color w:val="323232"/>
        </w:rPr>
        <w:t xml:space="preserve">T A Shaw, L De Risio, E J Laws, J H Rose, T R Harcourt-Brown, and N Granger.</w:t>
      </w:r>
    </w:p>
    <w:p/>
    <w:p>
      <w:pPr>
        <w:pStyle w:val="Normal"/>
      </w:pPr>
      <w:r>
        <w:rPr>
          <w:color w:val="323232"/>
        </w:rPr>
        <w:t xml:space="preserve">BACKGROUND:Limited information is available about prognostic factors for recovery after spinal cord injury (SCI) to the L4-S3 segments. Previous research suggests that L4-S3 SCI does not have a worse prognosis than T3-L3 SCI.</w:t>
      </w:r>
    </w:p>
    <w:p/>
    <w:p>
      <w:pPr>
        <w:pStyle w:val="Normal"/>
      </w:pPr>
      <w:r>
        <w:rPr>
          <w:color w:val="323232"/>
        </w:rPr>
        <w:t xml:space="preserve">HYPOTHESIS/OBJECTIVES:To elucidate prognostic factors for regaining urinary continence and ambulation in dogs with L4-S3 SCI and compare prognosis to T3-L3 SCI.</w:t>
      </w:r>
    </w:p>
    <w:p/>
    <w:p>
      <w:pPr>
        <w:pStyle w:val="Normal"/>
      </w:pPr>
      <w:r>
        <w:rPr>
          <w:color w:val="323232"/>
        </w:rPr>
        <w:t xml:space="preserve">ANIMALS/ METHODS:A retrospective study on 61 nonambulatory dogs with L4-S3 SCI, matched to dogs with T3-L3 SCI, compared 3 weeks after onset. Prognostic factors explored using logistic regression and used for matching: nonchondrodystrophic dogs &gt;15 kg versus dogs that were chondrodystrophic or &lt;15 kg; compressive versus noncompressive lesions; presence versus absence of conscious pain perception (CPP); and lower vs upper motor neuron (LMN/UMN) incontinence.</w:t>
      </w:r>
    </w:p>
    <w:p/>
    <w:p>
      <w:pPr>
        <w:pStyle w:val="Normal"/>
      </w:pPr>
      <w:r>
        <w:rPr>
          <w:color w:val="323232"/>
        </w:rPr>
        <w:t xml:space="preserve">RESULTS:Fewer L4-S3 dogs regained continence compared to T3-L3 dogs (64 vs 85%, P</w:t>
      </w:r>
      <w:r>
        <w:rPr>
          <w:color w:val="323232"/>
        </w:rPr>
        <w:t xml:space="preserve"> </w:t>
      </w:r>
      <w:r>
        <w:rPr>
          <w:color w:val="323232"/>
        </w:rPr>
        <w:t xml:space="preserve">=</w:t>
      </w:r>
      <w:r>
        <w:rPr>
          <w:color w:val="323232"/>
        </w:rPr>
        <w:t xml:space="preserve"> </w:t>
      </w:r>
      <w:r>
        <w:rPr>
          <w:color w:val="323232"/>
        </w:rPr>
        <w:t xml:space="preserve">.0033), but no difference existed for regaining ambulation (66 vs 75%, P</w:t>
      </w:r>
      <w:r>
        <w:rPr>
          <w:color w:val="323232"/>
        </w:rPr>
        <w:t xml:space="preserve"> </w:t>
      </w:r>
      <w:r>
        <w:rPr>
          <w:color w:val="323232"/>
        </w:rPr>
        <w:t xml:space="preserve">=</w:t>
      </w:r>
      <w:r>
        <w:rPr>
          <w:color w:val="323232"/>
        </w:rPr>
        <w:t xml:space="preserve"> </w:t>
      </w:r>
      <w:r>
        <w:rPr>
          <w:color w:val="323232"/>
        </w:rPr>
        <w:t xml:space="preserve">.1306). In L4-S3 SCI dogs, fewer dogs regained continence with loss of CPP (P</w:t>
      </w:r>
      <w:r>
        <w:rPr>
          <w:color w:val="323232"/>
        </w:rPr>
        <w:t xml:space="preserve"> </w:t>
      </w:r>
      <w:r>
        <w:rPr>
          <w:color w:val="323232"/>
        </w:rPr>
        <w:t xml:space="preserve">&lt;</w:t>
      </w:r>
      <w:r>
        <w:rPr>
          <w:color w:val="323232"/>
        </w:rPr>
        <w:t xml:space="preserve"> </w:t>
      </w:r>
      <w:r>
        <w:rPr>
          <w:color w:val="323232"/>
        </w:rPr>
        <w:t xml:space="preserve">.001), LMN incontinence (P</w:t>
      </w:r>
      <w:r>
        <w:rPr>
          <w:color w:val="323232"/>
        </w:rPr>
        <w:t xml:space="preserve"> </w:t>
      </w:r>
      <w:r>
        <w:rPr>
          <w:color w:val="323232"/>
        </w:rPr>
        <w:t xml:space="preserve">=</w:t>
      </w:r>
      <w:r>
        <w:rPr>
          <w:color w:val="323232"/>
        </w:rPr>
        <w:t xml:space="preserve"> </w:t>
      </w:r>
      <w:r>
        <w:rPr>
          <w:color w:val="323232"/>
        </w:rPr>
        <w:t xml:space="preserve">.004), and noncompressive lesions (P</w:t>
      </w:r>
      <w:r>
        <w:rPr>
          <w:color w:val="323232"/>
        </w:rPr>
        <w:t xml:space="preserve"> </w:t>
      </w:r>
      <w:r>
        <w:rPr>
          <w:color w:val="323232"/>
        </w:rPr>
        <w:t xml:space="preserve">=</w:t>
      </w:r>
      <w:r>
        <w:rPr>
          <w:color w:val="323232"/>
        </w:rPr>
        <w:t xml:space="preserve"> </w:t>
      </w:r>
      <w:r>
        <w:rPr>
          <w:color w:val="323232"/>
        </w:rPr>
        <w:t xml:space="preserve">.006). Negative prognostic factors for regaining ambulation included absent CPP (P</w:t>
      </w:r>
      <w:r>
        <w:rPr>
          <w:color w:val="323232"/>
        </w:rPr>
        <w:t xml:space="preserve"> </w:t>
      </w:r>
      <w:r>
        <w:rPr>
          <w:color w:val="323232"/>
        </w:rPr>
        <w:t xml:space="preserve">&lt;</w:t>
      </w:r>
      <w:r>
        <w:rPr>
          <w:color w:val="323232"/>
        </w:rPr>
        <w:t xml:space="preserve"> </w:t>
      </w:r>
      <w:r>
        <w:rPr>
          <w:color w:val="323232"/>
        </w:rPr>
        <w:t xml:space="preserve">.001) and large nonchondrodystrophic breed (P</w:t>
      </w:r>
      <w:r>
        <w:rPr>
          <w:color w:val="323232"/>
        </w:rPr>
        <w:t xml:space="preserve"> </w:t>
      </w:r>
      <w:r>
        <w:rPr>
          <w:color w:val="323232"/>
        </w:rPr>
        <w:t xml:space="preserve">=</w:t>
      </w:r>
      <w:r>
        <w:rPr>
          <w:color w:val="323232"/>
        </w:rPr>
        <w:t xml:space="preserve"> </w:t>
      </w:r>
      <w:r>
        <w:rPr>
          <w:color w:val="323232"/>
        </w:rPr>
        <w:t xml:space="preserve">.022).</w:t>
      </w:r>
    </w:p>
    <w:p/>
    <w:p>
      <w:pPr>
        <w:pStyle w:val="Normal"/>
      </w:pPr>
      <w:r>
        <w:rPr>
          <w:color w:val="323232"/>
        </w:rPr>
        <w:t xml:space="preserve">CONCLUSIONS AND CLINICAL IMPORTANCE:Dogs with L4-S3 SCI have a poorer short-term prognosis than do dogs with T3-L3 SCI. Dogs with L4-S3 SCI had a poor prognosis with loss of CPP, or noncompressive lesions combined with LMN incontinence. Small-breed or chondrodystrophic dogs with retained CPP, compressive lesions, and UMN incontinence had an excellent prognosis. These findings may help guide decision-making in L4-S3 SCI.</w:t>
      </w:r>
    </w:p>
    <w:p/>
    <w:p>
      <w:pPr>
        <w:pStyle w:val="Normal"/>
      </w:pPr>
      <w:r>
        <w:rPr>
          <w:color w:val="323232"/>
        </w:rPr>
        <w:t xml:space="preserve">J Vet Intern Med, 2017 vol. 31 (3) pp. 825-831.</w:t>
      </w:r>
    </w:p>
    <w:p>
      <w:r>
        <w:rPr>
          <w:rStyle w:val="Hyperlink"/>
        </w:rPr>
        <w:fldChar w:fldCharType="begin"/>
      </w:r>
      <w:r>
        <w:rPr>
          <w:rStyle w:val="Hyperlink"/>
        </w:rPr>
        <w:instrText xml:space="preserve"> HYPERLINK "http://dx.doi.org/10.1111/jvim.14702" </w:instrText>
      </w:r>
      <w:r>
        <w:rPr>
          <w:rStyle w:val="Hyperlink"/>
        </w:rPr>
      </w:r>
      <w:r>
        <w:rPr>
          <w:rStyle w:val="Hyperlink"/>
        </w:rPr>
        <w:fldChar w:fldCharType="separate"/>
      </w:r>
      <w:pPr>
        <w:pStyle w:val="Normal"/>
      </w:pPr>
      <w:r>
        <w:rPr>
          <w:rStyle w:val="Hyperlink"/>
        </w:rPr>
        <w:t xml:space="preserve">http://dx.doi.org/10.1111/jvim.14702</w:t>
      </w:r>
      <w:r>
        <w:rPr>
          <w:rStyle w:val="Hyperlink"/>
        </w:rPr>
        <w:fldChar w:fldCharType="end"/>
      </w:r>
    </w:p>
    <w:p>
      <w:pPr>
        <w:pStyle w:val="Normal"/>
      </w:pPr>
      <w:r>
        <w:rPr>
          <w:color w:val="323232"/>
        </w:rPr>
        <w:t xml:space="preserve">————————</w:t>
      </w:r>
    </w:p>
    <w:p>
      <w:pPr>
        <w:pStyle w:val="Heading4"/>
      </w:pPr>
      <w:r>
        <w:t xml:space="preserve">Prognostic Factors Associated with Recovery of Ambulation and Urinary Continence in Dogs with Acute Lumbosacral Spinal Cord Injury.</w:t>
      </w:r>
    </w:p>
    <w:p/>
    <w:p>
      <w:pPr>
        <w:pStyle w:val="Normal"/>
      </w:pPr>
      <w:r>
        <w:rPr>
          <w:color w:val="323232"/>
        </w:rPr>
        <w:t xml:space="preserve">T A Shaw, L De Risio, E J Laws, J H Rose, T R Harcourt-Brown, and N Granger.</w:t>
      </w:r>
    </w:p>
    <w:p/>
    <w:p>
      <w:pPr>
        <w:pStyle w:val="Normal"/>
      </w:pPr>
      <w:r>
        <w:rPr>
          <w:color w:val="323232"/>
        </w:rPr>
        <w:t xml:space="preserve">BACKGROUND:Limited information is available about prognostic factors for recovery after spinal cord injury (SCI) to the L4-S3 segments. Previous research suggests that L4-S3 SCI does not have a worse prognosis than T3-L3 SCI.</w:t>
      </w:r>
    </w:p>
    <w:p/>
    <w:p>
      <w:pPr>
        <w:pStyle w:val="Normal"/>
      </w:pPr>
      <w:r>
        <w:rPr>
          <w:color w:val="323232"/>
        </w:rPr>
        <w:t xml:space="preserve">HYPOTHESIS/OBJECTIVES:To elucidate prognostic factors for regaining urinary continence and ambulation in dogs with L4-S3 SCI and compare prognosis to T3-L3 SCI.</w:t>
      </w:r>
    </w:p>
    <w:p/>
    <w:p>
      <w:pPr>
        <w:pStyle w:val="Normal"/>
      </w:pPr>
      <w:r>
        <w:rPr>
          <w:color w:val="323232"/>
        </w:rPr>
        <w:t xml:space="preserve">ANIMALS/ METHODS:A retrospective study on 61 nonambulatory dogs with L4-S3 SCI, matched to dogs with T3-L3 SCI, compared 3</w:t>
      </w:r>
      <w:r>
        <w:rPr>
          <w:color w:val="323232"/>
        </w:rPr>
        <w:t xml:space="preserve"> </w:t>
      </w:r>
      <w:r>
        <w:rPr>
          <w:color w:val="323232"/>
        </w:rPr>
        <w:t xml:space="preserve">weeks after onset. Prognostic factors explored using logistic regression and used for matching: nonchondrodystrophic dogs &gt;15</w:t>
      </w:r>
      <w:r>
        <w:rPr>
          <w:color w:val="323232"/>
        </w:rPr>
        <w:t xml:space="preserve"> </w:t>
      </w:r>
      <w:r>
        <w:rPr>
          <w:color w:val="323232"/>
        </w:rPr>
        <w:t xml:space="preserve">kg versus dogs that were chondrodystrophic or &lt;15</w:t>
      </w:r>
      <w:r>
        <w:rPr>
          <w:color w:val="323232"/>
        </w:rPr>
        <w:t xml:space="preserve"> </w:t>
      </w:r>
      <w:r>
        <w:rPr>
          <w:color w:val="323232"/>
        </w:rPr>
        <w:t xml:space="preserve">kg; compressive versus noncompressive lesions; presence versus absence of conscious pain perception (CPP); and lower vs upper motor neuron (LMN/UMN) incontinence.</w:t>
      </w:r>
    </w:p>
    <w:p/>
    <w:p>
      <w:pPr>
        <w:pStyle w:val="Normal"/>
      </w:pPr>
      <w:r>
        <w:rPr>
          <w:color w:val="323232"/>
        </w:rPr>
        <w:t xml:space="preserve">RESULTS:Fewer L4-S3 dogs regained continence compared to T3-L3 dogs (64 vs 85%, P</w:t>
      </w:r>
      <w:r>
        <w:rPr>
          <w:color w:val="323232"/>
        </w:rPr>
        <w:t xml:space="preserve"> </w:t>
      </w:r>
      <w:r>
        <w:rPr>
          <w:color w:val="323232"/>
        </w:rPr>
        <w:t xml:space="preserve">=</w:t>
      </w:r>
      <w:r>
        <w:rPr>
          <w:color w:val="323232"/>
        </w:rPr>
        <w:t xml:space="preserve"> </w:t>
      </w:r>
      <w:r>
        <w:rPr>
          <w:color w:val="323232"/>
        </w:rPr>
        <w:t xml:space="preserve">.0033), but no difference existed for regaining ambulation (66 vs 75%, P</w:t>
      </w:r>
      <w:r>
        <w:rPr>
          <w:color w:val="323232"/>
        </w:rPr>
        <w:t xml:space="preserve"> </w:t>
      </w:r>
      <w:r>
        <w:rPr>
          <w:color w:val="323232"/>
        </w:rPr>
        <w:t xml:space="preserve">=</w:t>
      </w:r>
      <w:r>
        <w:rPr>
          <w:color w:val="323232"/>
        </w:rPr>
        <w:t xml:space="preserve"> </w:t>
      </w:r>
      <w:r>
        <w:rPr>
          <w:color w:val="323232"/>
        </w:rPr>
        <w:t xml:space="preserve">.1306). In L4-S3 SCI dogs, fewer dogs regained continence with loss of CPP (P</w:t>
      </w:r>
      <w:r>
        <w:rPr>
          <w:color w:val="323232"/>
        </w:rPr>
        <w:t xml:space="preserve"> </w:t>
      </w:r>
      <w:r>
        <w:rPr>
          <w:color w:val="323232"/>
        </w:rPr>
        <w:t xml:space="preserve">&lt;</w:t>
      </w:r>
      <w:r>
        <w:rPr>
          <w:color w:val="323232"/>
        </w:rPr>
        <w:t xml:space="preserve"> </w:t>
      </w:r>
      <w:r>
        <w:rPr>
          <w:color w:val="323232"/>
        </w:rPr>
        <w:t xml:space="preserve">.001), LMN incontinence (P</w:t>
      </w:r>
      <w:r>
        <w:rPr>
          <w:color w:val="323232"/>
        </w:rPr>
        <w:t xml:space="preserve"> </w:t>
      </w:r>
      <w:r>
        <w:rPr>
          <w:color w:val="323232"/>
        </w:rPr>
        <w:t xml:space="preserve">=</w:t>
      </w:r>
      <w:r>
        <w:rPr>
          <w:color w:val="323232"/>
        </w:rPr>
        <w:t xml:space="preserve"> </w:t>
      </w:r>
      <w:r>
        <w:rPr>
          <w:color w:val="323232"/>
        </w:rPr>
        <w:t xml:space="preserve">.004), and noncompressive lesions (P</w:t>
      </w:r>
      <w:r>
        <w:rPr>
          <w:color w:val="323232"/>
        </w:rPr>
        <w:t xml:space="preserve"> </w:t>
      </w:r>
      <w:r>
        <w:rPr>
          <w:color w:val="323232"/>
        </w:rPr>
        <w:t xml:space="preserve">=</w:t>
      </w:r>
      <w:r>
        <w:rPr>
          <w:color w:val="323232"/>
        </w:rPr>
        <w:t xml:space="preserve"> </w:t>
      </w:r>
      <w:r>
        <w:rPr>
          <w:color w:val="323232"/>
        </w:rPr>
        <w:t xml:space="preserve">.006). Negative prognostic factors for regaining ambulation included absent CPP (P</w:t>
      </w:r>
      <w:r>
        <w:rPr>
          <w:color w:val="323232"/>
        </w:rPr>
        <w:t xml:space="preserve"> </w:t>
      </w:r>
      <w:r>
        <w:rPr>
          <w:color w:val="323232"/>
        </w:rPr>
        <w:t xml:space="preserve">&lt;</w:t>
      </w:r>
      <w:r>
        <w:rPr>
          <w:color w:val="323232"/>
        </w:rPr>
        <w:t xml:space="preserve"> </w:t>
      </w:r>
      <w:r>
        <w:rPr>
          <w:color w:val="323232"/>
        </w:rPr>
        <w:t xml:space="preserve">.001) and large nonchondrodystrophic breed (P</w:t>
      </w:r>
      <w:r>
        <w:rPr>
          <w:color w:val="323232"/>
        </w:rPr>
        <w:t xml:space="preserve"> </w:t>
      </w:r>
      <w:r>
        <w:rPr>
          <w:color w:val="323232"/>
        </w:rPr>
        <w:t xml:space="preserve">=</w:t>
      </w:r>
      <w:r>
        <w:rPr>
          <w:color w:val="323232"/>
        </w:rPr>
        <w:t xml:space="preserve"> </w:t>
      </w:r>
      <w:r>
        <w:rPr>
          <w:color w:val="323232"/>
        </w:rPr>
        <w:t xml:space="preserve">.022).</w:t>
      </w:r>
    </w:p>
    <w:p/>
    <w:p>
      <w:pPr>
        <w:pStyle w:val="Normal"/>
      </w:pPr>
      <w:r>
        <w:rPr>
          <w:color w:val="323232"/>
        </w:rPr>
        <w:t xml:space="preserve">CONCLUSIONS AND CLINICAL IMPORTANCE:Dogs with L4-S3 SCI have a poorer short-term prognosis than do dogs with T3-L3 SCI. Dogs with L4-S3 SCI had a poor prognosis with loss of CPP, or noncompressive lesions combined with LMN incontinence. Small-breed or chondrodystrophic dogs with retained CPP, compressive lesions, and UMN incontinence had an excellent prognosis. These findings may help guide decision-making in L4-S3 SCI.</w:t>
      </w:r>
    </w:p>
    <w:p/>
    <w:p>
      <w:pPr>
        <w:pStyle w:val="Normal"/>
      </w:pPr>
      <w:r>
        <w:rPr>
          <w:color w:val="323232"/>
        </w:rPr>
        <w:t xml:space="preserve">J Vet Intern Med, 2017 vol. 31 (3) pp. 825-831.</w:t>
      </w:r>
    </w:p>
    <w:p>
      <w:r>
        <w:rPr>
          <w:rStyle w:val="Hyperlink"/>
        </w:rPr>
        <w:fldChar w:fldCharType="begin"/>
      </w:r>
      <w:r>
        <w:rPr>
          <w:rStyle w:val="Hyperlink"/>
        </w:rPr>
        <w:instrText xml:space="preserve"> HYPERLINK "http://dx.doi.org/10.1111/jvim.14702" </w:instrText>
      </w:r>
      <w:r>
        <w:rPr>
          <w:rStyle w:val="Hyperlink"/>
        </w:rPr>
      </w:r>
      <w:r>
        <w:rPr>
          <w:rStyle w:val="Hyperlink"/>
        </w:rPr>
        <w:fldChar w:fldCharType="separate"/>
      </w:r>
      <w:pPr>
        <w:pStyle w:val="Normal"/>
      </w:pPr>
      <w:r>
        <w:rPr>
          <w:rStyle w:val="Hyperlink"/>
        </w:rPr>
        <w:t xml:space="preserve">http://dx.doi.org/10.1111/jvim.14702</w:t>
      </w:r>
      <w:r>
        <w:rPr>
          <w:rStyle w:val="Hyperlink"/>
        </w:rPr>
        <w:fldChar w:fldCharType="end"/>
      </w:r>
    </w:p>
    <w:p>
      <w:pPr>
        <w:pStyle w:val="Normal"/>
      </w:pPr>
      <w:r>
        <w:rPr>
          <w:color w:val="323232"/>
        </w:rPr>
        <w:t xml:space="preserve">————————</w:t>
      </w:r>
    </w:p>
    <w:p>
      <w:pPr>
        <w:pStyle w:val="Heading4"/>
      </w:pPr>
      <w:r>
        <w:t xml:space="preserve">The Renin-Angiotensin-Aldosterone System in Greyhounds and Non-Greyhound Dogs.</w:t>
      </w:r>
    </w:p>
    <w:p/>
    <w:p>
      <w:pPr>
        <w:pStyle w:val="Normal"/>
      </w:pPr>
      <w:r>
        <w:rPr>
          <w:color w:val="323232"/>
        </w:rPr>
        <w:t xml:space="preserve">J Martinez, C Kellogg, M C Iazbik, C G Couto, B M Pressler, T M Hoepf, and M J Radin.</w:t>
      </w:r>
    </w:p>
    <w:p/>
    <w:p>
      <w:pPr>
        <w:pStyle w:val="Normal"/>
      </w:pPr>
      <w:r>
        <w:rPr>
          <w:color w:val="323232"/>
        </w:rPr>
        <w:t xml:space="preserve">BACKGROUND:The renin-angiotensin-aldosterone system (RAAS) regulates blood pressure, electrolyte homeostasis, and renal function. Blood pressure, serum sodium concentrations, and urinary albumin excretion are higher in Greyhounds than other purebred and mixed-breed dogs.</w:t>
      </w:r>
    </w:p>
    <w:p/>
    <w:p>
      <w:pPr>
        <w:pStyle w:val="Normal"/>
      </w:pPr>
      <w:r>
        <w:rPr>
          <w:color w:val="323232"/>
        </w:rPr>
        <w:t xml:space="preserve">HYPOTHESIS:Alterations in the RAAS in Greyhounds are associated with hemodynamic and clinicopathologic differences observed in the breed.</w:t>
      </w:r>
    </w:p>
    <w:p/>
    <w:p>
      <w:pPr>
        <w:pStyle w:val="Normal"/>
      </w:pPr>
      <w:r>
        <w:rPr>
          <w:color w:val="323232"/>
        </w:rPr>
        <w:t xml:space="preserve">ANIMALS:Clinically healthy Greyhound and non-Greyhound dogs consecutively enrolled as blood donors (n = 20/group).</w:t>
      </w:r>
    </w:p>
    <w:p/>
    <w:p>
      <w:pPr>
        <w:pStyle w:val="Normal"/>
      </w:pPr>
      <w:r>
        <w:rPr>
          <w:color w:val="323232"/>
        </w:rPr>
        <w:t xml:space="preserve">METHODS:Prospective study. Standard chemical analysis was performed on serum and urine. Serum angiotensin-converting enzyme (ACE) activity was determined by fluorometric assay. All other RAAS hormones were determined by radioimmunoassay. Symmetric dimethylarginine (SDMA) was measured by immunoassay. Measurements were compared to blood pressure and urine albumin concentration. Data are presented as mean ± SD or median, range.</w:t>
      </w:r>
    </w:p>
    <w:p/>
    <w:p>
      <w:pPr>
        <w:pStyle w:val="Normal"/>
      </w:pPr>
      <w:r>
        <w:rPr>
          <w:color w:val="323232"/>
        </w:rPr>
        <w:t xml:space="preserve">RESULTS:Serum creatinine (1.5 ± 0.2 vs 1.0 ± 0.1 mg/ dL, P &lt; .001), sodium (149, 147-152 vs 148, 146-150 mEq/ L, P = .017), and SDMA (16.1 ± 2.9 vs 12.2 ± 1.8 μg/ dL, P &lt; .001) were significantly higher in Greyhounds versus non-Greyhounds, respectively. Plasma renin activity (0.69, 0.10-1.93 vs 0.65, 0.27-2.93 ng/ mL/ h, P = .60) and ACE activity (4.5, 2.1-8.5 vs 4.6, 2.1-11.4 activity/ mL; P = .77) were similar between groups and did not correlate with higher systolic pressures and albuminuria in Greyhounds. Plasma aldosterone concentration was significantly lower in Greyhounds versus non-Greyhounds (11, 11-52 vs 15, 11-56 pg/mL, respectively, P = .002).</w:t>
      </w:r>
    </w:p>
    <w:p/>
    <w:p>
      <w:pPr>
        <w:pStyle w:val="Normal"/>
      </w:pPr>
      <w:r>
        <w:rPr>
          <w:color w:val="323232"/>
        </w:rPr>
        <w:t xml:space="preserve">CONCLUSIONS AND CLINICAL IMPORTANCE:Basal RAAS activation did not differ between healthy Greyhounds and non-Greyhounds. Lower aldosterone concentration in Greyhounds is an appropriate physiologic response to higher serum sodium concentration and blood pressure, suggesting that angiotensin II effects in the renal tubule predominate over those of aldosterone.</w:t>
      </w:r>
    </w:p>
    <w:p/>
    <w:p>
      <w:pPr>
        <w:pStyle w:val="Normal"/>
      </w:pPr>
      <w:r>
        <w:rPr>
          <w:color w:val="323232"/>
        </w:rPr>
        <w:t xml:space="preserve">J Vet Intern Med, 2017 vol. 31 (4), 4 pp. 988-993.</w:t>
      </w:r>
    </w:p>
    <w:p>
      <w:r>
        <w:rPr>
          <w:rStyle w:val="Hyperlink"/>
        </w:rPr>
        <w:fldChar w:fldCharType="begin"/>
      </w:r>
      <w:r>
        <w:rPr>
          <w:rStyle w:val="Hyperlink"/>
        </w:rPr>
        <w:instrText xml:space="preserve"> HYPERLINK "http://dx.doi.org/10.1111/jvim.14720" </w:instrText>
      </w:r>
      <w:r>
        <w:rPr>
          <w:rStyle w:val="Hyperlink"/>
        </w:rPr>
      </w:r>
      <w:r>
        <w:rPr>
          <w:rStyle w:val="Hyperlink"/>
        </w:rPr>
        <w:fldChar w:fldCharType="separate"/>
      </w:r>
      <w:pPr>
        <w:pStyle w:val="Normal"/>
      </w:pPr>
      <w:r>
        <w:rPr>
          <w:rStyle w:val="Hyperlink"/>
        </w:rPr>
        <w:t xml:space="preserve">http://dx.doi.org/10.1111/jvim.14720</w:t>
      </w:r>
      <w:r>
        <w:rPr>
          <w:rStyle w:val="Hyperlink"/>
        </w:rPr>
        <w:fldChar w:fldCharType="end"/>
      </w:r>
    </w:p>
    <w:p>
      <w:pPr>
        <w:pStyle w:val="Normal"/>
      </w:pPr>
      <w:r>
        <w:rPr>
          <w:color w:val="323232"/>
        </w:rPr>
        <w:t xml:space="preserve">————————</w:t>
      </w:r>
    </w:p>
    <w:p>
      <w:pPr>
        <w:pStyle w:val="Heading4"/>
      </w:pPr>
      <w:r>
        <w:t xml:space="preserve">Investigation of an N-Terminal Prohormone of Brain Natriuretic Peptide Point-of-Care ELISA in Clinically Normal Cats and Cats With Cardiac Disease.</w:t>
      </w:r>
    </w:p>
    <w:p/>
    <w:p>
      <w:pPr>
        <w:pStyle w:val="Normal"/>
      </w:pPr>
      <w:r>
        <w:rPr>
          <w:color w:val="323232"/>
        </w:rPr>
        <w:t xml:space="preserve">A N Harris, S S Beatty, A H Estrada, B Winter, M Bohannon, I Sosa, J Hanscom, C A Mainville, and A E Gallagher.</w:t>
      </w:r>
    </w:p>
    <w:p/>
    <w:p>
      <w:pPr>
        <w:pStyle w:val="Normal"/>
      </w:pPr>
      <w:r>
        <w:rPr>
          <w:color w:val="323232"/>
        </w:rPr>
        <w:t xml:space="preserve">BACKGROUND:N-terminal prohormone of brain natriuretic peptide (NT-proBNP) concentrations may be increased in cats with various cardiac disorders. The point-of-care (POC) ELISA assay uses the same biologic reagents as the quantitative NT-proBNP ELISA. Previous studies have evaluated the sensitivity and specificity of the POC ELISA in cats with cardiac disease.</w:t>
      </w:r>
    </w:p>
    <w:p/>
    <w:p>
      <w:pPr>
        <w:pStyle w:val="Normal"/>
      </w:pPr>
      <w:r>
        <w:rPr>
          <w:color w:val="323232"/>
        </w:rPr>
        <w:t xml:space="preserve">OBJECTIVES:To prospectively evaluate the diagnostic utility of the POC ELISA in a select population of cats.</w:t>
      </w:r>
    </w:p>
    <w:p/>
    <w:p>
      <w:pPr>
        <w:pStyle w:val="Normal"/>
      </w:pPr>
      <w:r>
        <w:rPr>
          <w:color w:val="323232"/>
        </w:rPr>
        <w:t xml:space="preserve">ANIMALS:Thirty-eight client-owned cats presented to the University of Florida Cardiology Service for cardiac evaluation. Fifteen apparently healthy cats recruited as part of another study.</w:t>
      </w:r>
    </w:p>
    <w:p/>
    <w:p>
      <w:pPr>
        <w:pStyle w:val="Normal"/>
      </w:pPr>
      <w:r>
        <w:rPr>
          <w:color w:val="323232"/>
        </w:rPr>
        <w:t xml:space="preserve">METHODS:Physical examination and echocardiography were performed in all cats. The POC ELISA was assessed visually as either positive or negative by a reader blinded to the echocardiographic findings, and results were analyzed relative to quantitative assay results.</w:t>
      </w:r>
    </w:p>
    <w:p/>
    <w:p>
      <w:pPr>
        <w:pStyle w:val="Normal"/>
      </w:pPr>
      <w:r>
        <w:rPr>
          <w:color w:val="323232"/>
        </w:rPr>
        <w:t xml:space="preserve">RESULTS:Twenty-six cats were diagnosed with underlying cardiac disease, and 27 cats were considered free of cardiac disease. Cats with cardiac disease included: 21 with hypertrophic cardiomyopathy, 2 with unclassified cardiomyopathy, 2 with restrictive cardiomyopathy, and 1 with 3rd degree atrioventricular (AV) block. The POC ELISA differentiated cats with cardiac disease with a sensitivity of 65.4% and specificity of 100%.</w:t>
      </w:r>
    </w:p>
    <w:p/>
    <w:p>
      <w:pPr>
        <w:pStyle w:val="Normal"/>
      </w:pPr>
      <w:r>
        <w:rPr>
          <w:color w:val="323232"/>
        </w:rPr>
        <w:t xml:space="preserve">CONCLUSIONS AND CLINICAL IMPORTANCE:The POC NT-proBNP ELISA performed moderately well in a selected population of cats. A negative test result cannot exclude the presence of underlying cardiac disease, and a positive test result indicates that cardiac disease likely is present, but further diagnostic investigation would be indicated for a definitive diagnosis.</w:t>
      </w:r>
    </w:p>
    <w:p/>
    <w:p>
      <w:pPr>
        <w:pStyle w:val="Normal"/>
      </w:pPr>
      <w:r>
        <w:rPr>
          <w:color w:val="323232"/>
        </w:rPr>
        <w:t xml:space="preserve">J Vet Intern Med, 2017 vol. 31 (4) pp. 994-999.</w:t>
      </w:r>
    </w:p>
    <w:p>
      <w:r>
        <w:rPr>
          <w:rStyle w:val="Hyperlink"/>
        </w:rPr>
        <w:fldChar w:fldCharType="begin"/>
      </w:r>
      <w:r>
        <w:rPr>
          <w:rStyle w:val="Hyperlink"/>
        </w:rPr>
        <w:instrText xml:space="preserve"> HYPERLINK "http://dx.doi.org/10.1111/jvim.14776" </w:instrText>
      </w:r>
      <w:r>
        <w:rPr>
          <w:rStyle w:val="Hyperlink"/>
        </w:rPr>
      </w:r>
      <w:r>
        <w:rPr>
          <w:rStyle w:val="Hyperlink"/>
        </w:rPr>
        <w:fldChar w:fldCharType="separate"/>
      </w:r>
      <w:pPr>
        <w:pStyle w:val="Normal"/>
      </w:pPr>
      <w:r>
        <w:rPr>
          <w:rStyle w:val="Hyperlink"/>
        </w:rPr>
        <w:t xml:space="preserve">http://dx.doi.org/10.1111/jvim.14776</w:t>
      </w:r>
      <w:r>
        <w:rPr>
          <w:rStyle w:val="Hyperlink"/>
        </w:rPr>
        <w:fldChar w:fldCharType="end"/>
      </w:r>
    </w:p>
    <w:p>
      <w:pPr>
        <w:pStyle w:val="Normal"/>
      </w:pPr>
      <w:r>
        <w:rPr>
          <w:color w:val="323232"/>
        </w:rPr>
        <w:t xml:space="preserve">————————</w:t>
      </w:r>
    </w:p>
    <w:p>
      <w:pPr>
        <w:pStyle w:val="Heading4"/>
      </w:pPr>
      <w:r>
        <w:t xml:space="preserve">Cardiac and Metabolic Variables in Obese Dogs.</w:t>
      </w:r>
    </w:p>
    <w:p/>
    <w:p>
      <w:pPr>
        <w:pStyle w:val="Normal"/>
      </w:pPr>
      <w:r>
        <w:rPr>
          <w:color w:val="323232"/>
        </w:rPr>
        <w:t xml:space="preserve">M Tropf, O L Nelson, P M Lee, and H Y Weng.</w:t>
      </w:r>
    </w:p>
    <w:p/>
    <w:p>
      <w:pPr>
        <w:pStyle w:val="Normal"/>
      </w:pPr>
      <w:r>
        <w:rPr>
          <w:color w:val="323232"/>
        </w:rPr>
        <w:t xml:space="preserve">BACKGROUND:The etiology of obesity-related cardiac dysfunction (ORCD) is linked to metabolic syndrome in people. Studies have indicated that obese dogs have components of metabolic syndrome, warranting evaluation for ORCD in obese dogs.</w:t>
      </w:r>
    </w:p>
    <w:p/>
    <w:p>
      <w:pPr>
        <w:pStyle w:val="Normal"/>
      </w:pPr>
      <w:r>
        <w:rPr>
          <w:color w:val="323232"/>
        </w:rPr>
        <w:t xml:space="preserve">OBJECTIVES:To evaluate cardiac structure and function and metabolic variables in obese dogs compared to ideal weight dogs.</w:t>
      </w:r>
    </w:p>
    <w:p/>
    <w:p>
      <w:pPr>
        <w:pStyle w:val="Normal"/>
      </w:pPr>
      <w:r>
        <w:rPr>
          <w:color w:val="323232"/>
        </w:rPr>
        <w:t xml:space="preserve">ANIMALS:Forty-six healthy, small-breed (&lt;25 pounds), obese dogs (n = 29) compared to ideal weight dogs (n = 17).</w:t>
      </w:r>
    </w:p>
    <w:p/>
    <w:p>
      <w:pPr>
        <w:pStyle w:val="Normal"/>
      </w:pPr>
      <w:r>
        <w:rPr>
          <w:color w:val="323232"/>
        </w:rPr>
        <w:t xml:space="preserve">METHODS:A cross-sectional study of cardiac structure and function by standard and strain echocardiographic measurements and quantification of serum metabolic variables (insulin:glucose ratios, lipid analysis, adiponectin, inflammatory markers).</w:t>
      </w:r>
    </w:p>
    <w:p/>
    <w:p>
      <w:pPr>
        <w:pStyle w:val="Normal"/>
      </w:pPr>
      <w:r>
        <w:rPr>
          <w:color w:val="323232"/>
        </w:rPr>
        <w:t xml:space="preserve">RESULTS:Compared to the ideal weight controls, obese dogs had cardiac changes characterized by an increased interventricular septal width in diastole to left ventricular internal dimension in diastole ratio, decreased ratios of peak early to peak late left ventricular inflow velocities, and ratios of peak early to peak late mitral annular tissue velocities, and increased fractional shortening and ejection fraction percentages. The left ventricular posterior wall width in diastole to left ventricular internal dimension in diastole ratios were not significantly different between groups. Systolic blood pressure was not significantly different between groups. Obese dogs had metabolic derangements characterized by increased insulin:glucose ratios, dyslipidemias with increased cholesterol, triglyceride, and high-density lipoprotein concentrations, decreased adiponectin concentrations, and increased concentrations of interleukin 8 and keratinocyte-derived chemokine-like inflammatory cytokines.</w:t>
      </w:r>
    </w:p>
    <w:p/>
    <w:p>
      <w:pPr>
        <w:pStyle w:val="Normal"/>
      </w:pPr>
      <w:r>
        <w:rPr>
          <w:color w:val="323232"/>
        </w:rPr>
        <w:t xml:space="preserve">CONCLUSIONS AND CLINICAL IMPORTANCE:Compared to ideal weight controls, obese dogs have alterations in cardiac structure and function as well as insulin resistance, dyslipidemia, hypoadiponectinemia, and increased concentrations of inflammatory markers. These findings warrant additional studies to investigate inflammation, dyslipidemia, and possibly systemic hypertension as potential contributing factors for altered cardiac function.</w:t>
      </w:r>
    </w:p>
    <w:p/>
    <w:p>
      <w:pPr>
        <w:pStyle w:val="Normal"/>
      </w:pPr>
      <w:r>
        <w:rPr>
          <w:color w:val="323232"/>
        </w:rPr>
        <w:t xml:space="preserve">J Vet Intern Med, 2017 vol. 31 (4) pp. 1000-1007.</w:t>
      </w:r>
    </w:p>
    <w:p>
      <w:r>
        <w:rPr>
          <w:rStyle w:val="Hyperlink"/>
        </w:rPr>
        <w:fldChar w:fldCharType="begin"/>
      </w:r>
      <w:r>
        <w:rPr>
          <w:rStyle w:val="Hyperlink"/>
        </w:rPr>
        <w:instrText xml:space="preserve"> HYPERLINK "http://dx.doi.org/10.1111/jvim.14775" </w:instrText>
      </w:r>
      <w:r>
        <w:rPr>
          <w:rStyle w:val="Hyperlink"/>
        </w:rPr>
      </w:r>
      <w:r>
        <w:rPr>
          <w:rStyle w:val="Hyperlink"/>
        </w:rPr>
        <w:fldChar w:fldCharType="separate"/>
      </w:r>
      <w:pPr>
        <w:pStyle w:val="Normal"/>
      </w:pPr>
      <w:r>
        <w:rPr>
          <w:rStyle w:val="Hyperlink"/>
        </w:rPr>
        <w:t xml:space="preserve">http://dx.doi.org/10.1111/jvim.14775</w:t>
      </w:r>
      <w:r>
        <w:rPr>
          <w:rStyle w:val="Hyperlink"/>
        </w:rPr>
        <w:fldChar w:fldCharType="end"/>
      </w:r>
    </w:p>
    <w:p>
      <w:pPr>
        <w:pStyle w:val="Normal"/>
      </w:pPr>
      <w:r>
        <w:rPr>
          <w:color w:val="323232"/>
        </w:rPr>
        <w:t xml:space="preserve">————————</w:t>
      </w:r>
    </w:p>
    <w:p>
      <w:pPr>
        <w:pStyle w:val="Heading4"/>
      </w:pPr>
      <w:r>
        <w:t xml:space="preserve">Chronic Diarrhea in Dogs - Retrospective Study in 136 Cases.</w:t>
      </w:r>
    </w:p>
    <w:p/>
    <w:p>
      <w:pPr>
        <w:pStyle w:val="Normal"/>
      </w:pPr>
      <w:r>
        <w:rPr>
          <w:color w:val="323232"/>
        </w:rPr>
        <w:t xml:space="preserve">M Volkmann, J M Steiner, G T Fosgate, J Zentek, S Hartmann, and B Kohn.</w:t>
      </w:r>
    </w:p>
    <w:p/>
    <w:p>
      <w:pPr>
        <w:pStyle w:val="Normal"/>
      </w:pPr>
      <w:r>
        <w:rPr>
          <w:color w:val="323232"/>
        </w:rPr>
        <w:t xml:space="preserve">BACKGROUND:Chronic diarrhea (CD) is common in dogs, and information on frequency and distribution of primary and secondary causes is lacking.</w:t>
      </w:r>
    </w:p>
    <w:p/>
    <w:p>
      <w:pPr>
        <w:pStyle w:val="Normal"/>
      </w:pPr>
      <w:r>
        <w:rPr>
          <w:color w:val="323232"/>
        </w:rPr>
        <w:t xml:space="preserve">OBJECTIVES:To evaluate underlying causes and predictors of outcome in dogs with CD.</w:t>
      </w:r>
    </w:p>
    <w:p/>
    <w:p>
      <w:pPr>
        <w:pStyle w:val="Normal"/>
      </w:pPr>
      <w:r>
        <w:rPr>
          <w:color w:val="323232"/>
        </w:rPr>
        <w:t xml:space="preserve">ANIMALS:One hundred and thirty-six client-owned dogs with CD (≥3 weeks duration).</w:t>
      </w:r>
    </w:p>
    <w:p/>
    <w:p>
      <w:pPr>
        <w:pStyle w:val="Normal"/>
      </w:pPr>
      <w:r>
        <w:rPr>
          <w:color w:val="323232"/>
        </w:rPr>
        <w:t xml:space="preserve">METHODS:Retrospective review of medical records (Small Animal Clinic, Freie Universität Berlin, Germany, 09/2009-07/2011). Quantification of final diagnoses and comparison of clinical aspects including disease severity and clinicopathological abnormalities among dogs with clinical remission (either complete [gastrointestinal signs absent] or partial [clinical improvement of gastrointestinal signs and reduced episodes with shortened duration]), and those without recovery.</w:t>
      </w:r>
    </w:p>
    <w:p/>
    <w:p>
      <w:pPr>
        <w:pStyle w:val="Normal"/>
      </w:pPr>
      <w:r>
        <w:rPr>
          <w:color w:val="323232"/>
        </w:rPr>
        <w:t xml:space="preserve">RESULTS:Ninety percent of dogs were diagnosed with a primary enteropathy: inflammatory (71%; of those 66% dietary responsive, 23% idiopathic, 11% antibiotic responsive), infectious (13%), neoplastic (4%), and in one dog each mechanical disease or systemic vasculitis. Secondary causes were diagnosed in 10% of dogs: exocrine pancreatic (6%), endocrine (2%), and in one dog each hepatic, renal, and cardiac disease. In total, 87% of dogs had clinical remission, whereas 13% died or did not respond to treatment: Lack of recovery was frequently recorded for dogs with primary inflammatory (idiopathic) or neoplastic disease and was significantly associated with increased disease severity scores (P = .005), anemia (hematocrit &lt; 40%, P &lt; .001), severe hypoalbuminemia (serum albumin &lt;2.0 g</w:t>
      </w:r>
      <w:r>
        <w:rPr>
          <w:i w:val="1"/>
          <w:color w:val="323232"/>
        </w:rPr>
        <w:t xml:space="preserve">dL, P = .008), and severe hypocobalaminemia (serum cobalamin concentration &lt;200 pg</w:t>
      </w:r>
      <w:r>
        <w:rPr>
          <w:color w:val="323232"/>
        </w:rPr>
        <w:t xml:space="preserve">mL, P = .006).</w:t>
      </w:r>
    </w:p>
    <w:p/>
    <w:p>
      <w:pPr>
        <w:pStyle w:val="Normal"/>
      </w:pPr>
      <w:r>
        <w:rPr>
          <w:color w:val="323232"/>
        </w:rPr>
        <w:t xml:space="preserve">CONCLUSIONS AND CLINICAL IMPORTANCE:Inflammatory enteropathies and particularly those of dietary origin were the most common causes of CD in dogs. Findings support the usefulness of hematocrit, and serum albumin and cobalamin concentration as prognostic markers in dogs with CD.</w:t>
      </w:r>
    </w:p>
    <w:p/>
    <w:p>
      <w:pPr>
        <w:pStyle w:val="Normal"/>
      </w:pPr>
      <w:r>
        <w:rPr>
          <w:color w:val="323232"/>
        </w:rPr>
        <w:t xml:space="preserve">J Vet Intern Med, 2017 vol. 31 (4), 7 pp. 1043-1055.</w:t>
      </w:r>
    </w:p>
    <w:p>
      <w:r>
        <w:rPr>
          <w:rStyle w:val="Hyperlink"/>
        </w:rPr>
        <w:fldChar w:fldCharType="begin"/>
      </w:r>
      <w:r>
        <w:rPr>
          <w:rStyle w:val="Hyperlink"/>
        </w:rPr>
        <w:instrText xml:space="preserve"> HYPERLINK "http://dx.doi.org/10.1111/jvim.14739" </w:instrText>
      </w:r>
      <w:r>
        <w:rPr>
          <w:rStyle w:val="Hyperlink"/>
        </w:rPr>
      </w:r>
      <w:r>
        <w:rPr>
          <w:rStyle w:val="Hyperlink"/>
        </w:rPr>
        <w:fldChar w:fldCharType="separate"/>
      </w:r>
      <w:pPr>
        <w:pStyle w:val="Normal"/>
      </w:pPr>
      <w:r>
        <w:rPr>
          <w:rStyle w:val="Hyperlink"/>
        </w:rPr>
        <w:t xml:space="preserve">http://dx.doi.org/10.1111/jvim.14739</w:t>
      </w:r>
      <w:r>
        <w:rPr>
          <w:rStyle w:val="Hyperlink"/>
        </w:rPr>
        <w:fldChar w:fldCharType="end"/>
      </w:r>
    </w:p>
    <w:p>
      <w:pPr>
        <w:pStyle w:val="Normal"/>
      </w:pPr>
      <w:r>
        <w:rPr>
          <w:color w:val="323232"/>
        </w:rPr>
        <w:t xml:space="preserve">————————</w:t>
      </w:r>
    </w:p>
    <w:p>
      <w:pPr>
        <w:pStyle w:val="Heading4"/>
      </w:pPr>
      <w:r>
        <w:t xml:space="preserve">Evaluation of Serum 3-Bromotyrosine Concentrations in Dogs with Steroid-Responsive Diarrhea and Food-Responsive Diarrhea.</w:t>
      </w:r>
    </w:p>
    <w:p/>
    <w:p>
      <w:pPr>
        <w:pStyle w:val="Normal"/>
      </w:pPr>
      <w:r>
        <w:rPr>
          <w:color w:val="323232"/>
        </w:rPr>
        <w:t xml:space="preserve">P Sattasathuchana, K Allenspach, R Lopes, J S Suchodolski, and J M Steiner.</w:t>
      </w:r>
    </w:p>
    <w:p/>
    <w:p>
      <w:pPr>
        <w:pStyle w:val="Normal"/>
      </w:pPr>
      <w:r>
        <w:rPr>
          <w:color w:val="323232"/>
        </w:rPr>
        <w:t xml:space="preserve">BACKGROUND:The clinical usefulness of serum 3-BrY concentrations for subclassifying dogs with food-responsive diarrhea (FRD) and steroid-responsive diarrhea (SRD) has not been studied.</w:t>
      </w:r>
    </w:p>
    <w:p/>
    <w:p>
      <w:pPr>
        <w:pStyle w:val="Normal"/>
      </w:pPr>
      <w:r>
        <w:rPr>
          <w:color w:val="323232"/>
        </w:rPr>
        <w:t xml:space="preserve">HYPOTHESIS/OBJECTIVES:To compare serum 3-BrY concentrations in dogs with FRD, dogs with SRD, and healthy control dogs.</w:t>
      </w:r>
    </w:p>
    <w:p/>
    <w:p>
      <w:pPr>
        <w:pStyle w:val="Normal"/>
      </w:pPr>
      <w:r>
        <w:rPr>
          <w:color w:val="323232"/>
        </w:rPr>
        <w:t xml:space="preserve">ANIMALS:38 dogs with FRD, 14 dogs with SRD, and 46 healthy dogs.</w:t>
      </w:r>
    </w:p>
    <w:p/>
    <w:p>
      <w:pPr>
        <w:pStyle w:val="Normal"/>
      </w:pPr>
      <w:r>
        <w:rPr>
          <w:color w:val="323232"/>
        </w:rPr>
        <w:t xml:space="preserve">METHODS:Prospective study. Measurement of 3-BrY concentration in serum samples was performed by gas chromatography/mass spectrometry.</w:t>
      </w:r>
    </w:p>
    <w:p/>
    <w:p>
      <w:pPr>
        <w:pStyle w:val="Normal"/>
      </w:pPr>
      <w:r>
        <w:rPr>
          <w:color w:val="323232"/>
        </w:rPr>
        <w:t xml:space="preserve">RESULTS:There was no association of peripheral eosinophilia in dogs with FRD, SRD, and healthy control dogs (P = 0.069). There was no significant correlation between peripheral eosinophil counts and serum 3-BrY concentrations (ρ = -0.15, P = 0.13). Serum 3-BrY concentrations in dogs with SRD (median [range] = 3.27, 0.9-26.23 μmol</w:t>
      </w:r>
      <w:r>
        <w:rPr>
          <w:i w:val="1"/>
          <w:color w:val="323232"/>
        </w:rPr>
        <w:t xml:space="preserve">L) were significantly higher than in dogs with FRD (median [range] = 0.99, 0.62-8.82 μmol</w:t>
      </w:r>
      <w:r>
        <w:rPr>
          <w:color w:val="323232"/>
        </w:rPr>
        <w:t xml:space="preserve">L; P = 0.007) or in healthy dogs (median [range] = 0.62, 0.62-1.79 μmol/L; P &lt; 0.001). Also, serum 3-BrY concentrations in dogs with FRD were significantly higher than in healthy dogs (P = 0.025). There was no significant correlation between the canine chronic enteropathy clinical activity index and serum 3-BrY concentrations (ρ = 0.17, P = 0.23).</w:t>
      </w:r>
    </w:p>
    <w:p/>
    <w:p>
      <w:pPr>
        <w:pStyle w:val="Normal"/>
      </w:pPr>
      <w:r>
        <w:rPr>
          <w:color w:val="323232"/>
        </w:rPr>
        <w:t xml:space="preserve">CONCLUSIONS AND CLINICAL IMPORTANCE:Measurement of serum 3-BrY concentrations, but not the peripheral eosinophil count, is helpful for detecting dogs with SRD and FRD.</w:t>
      </w:r>
    </w:p>
    <w:p/>
    <w:p>
      <w:pPr>
        <w:pStyle w:val="Normal"/>
      </w:pPr>
      <w:r>
        <w:rPr>
          <w:color w:val="323232"/>
        </w:rPr>
        <w:t xml:space="preserve">J Vet Intern Med, 2017 vol. 31 (4) pp. 1056-1061.</w:t>
      </w:r>
    </w:p>
    <w:p>
      <w:r>
        <w:rPr>
          <w:rStyle w:val="Hyperlink"/>
        </w:rPr>
        <w:fldChar w:fldCharType="begin"/>
      </w:r>
      <w:r>
        <w:rPr>
          <w:rStyle w:val="Hyperlink"/>
        </w:rPr>
        <w:instrText xml:space="preserve"> HYPERLINK "http://dx.doi.org/10.1111/jvim.14742" </w:instrText>
      </w:r>
      <w:r>
        <w:rPr>
          <w:rStyle w:val="Hyperlink"/>
        </w:rPr>
      </w:r>
      <w:r>
        <w:rPr>
          <w:rStyle w:val="Hyperlink"/>
        </w:rPr>
        <w:fldChar w:fldCharType="separate"/>
      </w:r>
      <w:pPr>
        <w:pStyle w:val="Normal"/>
      </w:pPr>
      <w:r>
        <w:rPr>
          <w:rStyle w:val="Hyperlink"/>
        </w:rPr>
        <w:t xml:space="preserve">http://dx.doi.org/10.1111/jvim.14742</w:t>
      </w:r>
      <w:r>
        <w:rPr>
          <w:rStyle w:val="Hyperlink"/>
        </w:rPr>
        <w:fldChar w:fldCharType="end"/>
      </w:r>
    </w:p>
    <w:p>
      <w:pPr>
        <w:pStyle w:val="Normal"/>
      </w:pPr>
      <w:r>
        <w:rPr>
          <w:color w:val="323232"/>
        </w:rPr>
        <w:t xml:space="preserve">————————</w:t>
      </w:r>
    </w:p>
    <w:p>
      <w:pPr>
        <w:pStyle w:val="Heading4"/>
      </w:pPr>
      <w:r>
        <w:t xml:space="preserve">Whole-Blood Taurine Concentrations in Cats With Intestinal Disease.</w:t>
      </w:r>
    </w:p>
    <w:p/>
    <w:p>
      <w:pPr>
        <w:pStyle w:val="Normal"/>
      </w:pPr>
      <w:r>
        <w:rPr>
          <w:color w:val="323232"/>
        </w:rPr>
        <w:t xml:space="preserve">A Kathrani, A J Fascetti, J A Larsen, C Maunder, and E J Hall.</w:t>
      </w:r>
    </w:p>
    <w:p/>
    <w:p>
      <w:pPr>
        <w:pStyle w:val="Normal"/>
      </w:pPr>
      <w:r>
        <w:rPr>
          <w:color w:val="323232"/>
        </w:rPr>
        <w:t xml:space="preserve">BACKGROUND:Increased delivery of taurine-conjugated bile acids to the distal bowel can lead to dysbiosis resulting in colitis in mouse models of inflammatory bowel disease. A similar situation also could occur in cats with intestinal disease and might therefore result in decreased whole-body taurine concentration.</w:t>
      </w:r>
    </w:p>
    <w:p/>
    <w:p>
      <w:pPr>
        <w:pStyle w:val="Normal"/>
      </w:pPr>
      <w:r>
        <w:rPr>
          <w:color w:val="323232"/>
        </w:rPr>
        <w:t xml:space="preserve">HYPOTHESIS/OBJECTIVES:To determine whether whole-blood taurine concentrations are decreased at the time of diagnosis in cats with intestinal disease and to correlate concentrations with clinical and laboratory variables.</w:t>
      </w:r>
    </w:p>
    <w:p/>
    <w:p>
      <w:pPr>
        <w:pStyle w:val="Normal"/>
      </w:pPr>
      <w:r>
        <w:rPr>
          <w:color w:val="323232"/>
        </w:rPr>
        <w:t xml:space="preserve">ANIMALS:Twenty-one cats with chronic inflammatory enteropathy and 7 cats with intestinal neoplasia from the University of Bristol.</w:t>
      </w:r>
    </w:p>
    <w:p/>
    <w:p>
      <w:pPr>
        <w:pStyle w:val="Normal"/>
      </w:pPr>
      <w:r>
        <w:rPr>
          <w:color w:val="323232"/>
        </w:rPr>
        <w:t xml:space="preserve">METHODS:Cats that had undergone a thorough investigation consisting of a CBC, serum biochemistry, serum cobalamin and folate concentrations, transabdominal ultrasound examination and histopathology of intestinal biopsy specimens, as well as additional testing if indicated, were included. Whole-blood from these cats collected at the time of histologic diagnosis and stored in ethylenediaminetetraacetic acid was retrospectively analyzed for taurine with an automated high-performance liquid chromatography amino acid analyzer.</w:t>
      </w:r>
    </w:p>
    <w:p/>
    <w:p>
      <w:pPr>
        <w:pStyle w:val="Normal"/>
      </w:pPr>
      <w:r>
        <w:rPr>
          <w:color w:val="323232"/>
        </w:rPr>
        <w:t xml:space="preserve">RESULTS:Although whole-blood taurine concentrations remained within the reference range, those cats with predominantly large intestinal clinical signs had significantly lower concentrations than did cats with small intestinal and mixed bowel clinical signs (P</w:t>
      </w:r>
      <w:r>
        <w:rPr>
          <w:color w:val="323232"/>
        </w:rPr>
        <w:t xml:space="preserve"> </w:t>
      </w:r>
      <w:r>
        <w:rPr>
          <w:color w:val="323232"/>
        </w:rPr>
        <w:t xml:space="preserve">=</w:t>
      </w:r>
      <w:r>
        <w:rPr>
          <w:color w:val="323232"/>
        </w:rPr>
        <w:t xml:space="preserve"> </w:t>
      </w:r>
      <w:r>
        <w:rPr>
          <w:color w:val="323232"/>
        </w:rPr>
        <w:t xml:space="preserve">0.033) and this difference also was significant when assessed only in cats with chronic inflammatory enteropathy (P</w:t>
      </w:r>
      <w:r>
        <w:rPr>
          <w:color w:val="323232"/>
        </w:rPr>
        <w:t xml:space="preserve"> </w:t>
      </w:r>
      <w:r>
        <w:rPr>
          <w:color w:val="323232"/>
        </w:rPr>
        <w:t xml:space="preserve">=</w:t>
      </w:r>
      <w:r>
        <w:rPr>
          <w:color w:val="323232"/>
        </w:rPr>
        <w:t xml:space="preserve"> </w:t>
      </w:r>
      <w:r>
        <w:rPr>
          <w:color w:val="323232"/>
        </w:rPr>
        <w:t xml:space="preserve">0.019).</w:t>
      </w:r>
    </w:p>
    <w:p/>
    <w:p>
      <w:pPr>
        <w:pStyle w:val="Normal"/>
      </w:pPr>
      <w:r>
        <w:rPr>
          <w:color w:val="323232"/>
        </w:rPr>
        <w:t xml:space="preserve">CONCLUSIONS AND CLINICAL IMPORTANCE:Additional studies are needed to determine whether large intestinal signs in cats with chronic inflammatory enteropathy are caused by alterations in the microbiota arising as a consequence of increased delivery of taurine-conjugated bile acids.</w:t>
      </w:r>
    </w:p>
    <w:p/>
    <w:p>
      <w:pPr>
        <w:pStyle w:val="Normal"/>
      </w:pPr>
      <w:r>
        <w:rPr>
          <w:color w:val="323232"/>
        </w:rPr>
        <w:t xml:space="preserve">J Vet Intern Med, 2017 vol. 31 (4) pp. 1067-1073.</w:t>
      </w:r>
    </w:p>
    <w:p>
      <w:r>
        <w:rPr>
          <w:rStyle w:val="Hyperlink"/>
        </w:rPr>
        <w:fldChar w:fldCharType="begin"/>
      </w:r>
      <w:r>
        <w:rPr>
          <w:rStyle w:val="Hyperlink"/>
        </w:rPr>
        <w:instrText xml:space="preserve"> HYPERLINK "http://dx.doi.org/10.1111/jvim.14773" </w:instrText>
      </w:r>
      <w:r>
        <w:rPr>
          <w:rStyle w:val="Hyperlink"/>
        </w:rPr>
      </w:r>
      <w:r>
        <w:rPr>
          <w:rStyle w:val="Hyperlink"/>
        </w:rPr>
        <w:fldChar w:fldCharType="separate"/>
      </w:r>
      <w:pPr>
        <w:pStyle w:val="Normal"/>
      </w:pPr>
      <w:r>
        <w:rPr>
          <w:rStyle w:val="Hyperlink"/>
        </w:rPr>
        <w:t xml:space="preserve">http://dx.doi.org/10.1111/jvim.14773</w:t>
      </w:r>
      <w:r>
        <w:rPr>
          <w:rStyle w:val="Hyperlink"/>
        </w:rPr>
        <w:fldChar w:fldCharType="end"/>
      </w:r>
    </w:p>
    <w:p>
      <w:pPr>
        <w:pStyle w:val="Normal"/>
      </w:pPr>
      <w:r>
        <w:rPr>
          <w:color w:val="323232"/>
        </w:rPr>
        <w:t xml:space="preserve">————————</w:t>
      </w:r>
    </w:p>
    <w:p>
      <w:pPr>
        <w:pStyle w:val="Heading4"/>
      </w:pPr>
      <w:r>
        <w:t xml:space="preserve">Prevalence of Vector-Borne Pathogens in Southern California Dogs With Clinical and Laboratory Abnormalities Consistent With Immune-Mediated Disease.</w:t>
      </w:r>
    </w:p>
    <w:p/>
    <w:p>
      <w:pPr>
        <w:pStyle w:val="Normal"/>
      </w:pPr>
      <w:r>
        <w:rPr>
          <w:color w:val="323232"/>
        </w:rPr>
        <w:t xml:space="preserve">L Kidd, B Qurollo, M Lappin, K Richter, J R Hart, S Hill, C Osmond, and E B Breitschwerdt.</w:t>
      </w:r>
    </w:p>
    <w:p/>
    <w:p>
      <w:pPr>
        <w:pStyle w:val="Normal"/>
      </w:pPr>
      <w:r>
        <w:rPr>
          <w:color w:val="323232"/>
        </w:rPr>
        <w:t xml:space="preserve">BACKGROUND:Studies investigating the prevalence of vector-borne pathogens in southern California dogs are limited. Occult infections might be misdiagnosed as idiopathic immune-mediated disease.</w:t>
      </w:r>
    </w:p>
    <w:p/>
    <w:p>
      <w:pPr>
        <w:pStyle w:val="Normal"/>
      </w:pPr>
      <w:r>
        <w:rPr>
          <w:color w:val="323232"/>
        </w:rPr>
        <w:t xml:space="preserve">HYPOTHESIS/OBJECTIVES:(1) To determine the prevalence of vector-borne pathogens in southern California dogs with compatible clinical findings using PCR and serologic panels and (2) to determine whether testing convalescent samples and repeating PCR on acute samples using the same and different gene targets enhance detection.</w:t>
      </w:r>
    </w:p>
    <w:p/>
    <w:p>
      <w:pPr>
        <w:pStyle w:val="Normal"/>
      </w:pPr>
      <w:r>
        <w:rPr>
          <w:color w:val="323232"/>
        </w:rPr>
        <w:t xml:space="preserve">ANIMALS:Forty-two client-owned dogs with clinical signs of vector-borne disease presenting to specialty practices in San Diego County.</w:t>
      </w:r>
    </w:p>
    <w:p/>
    <w:p>
      <w:pPr>
        <w:pStyle w:val="Normal"/>
      </w:pPr>
      <w:r>
        <w:rPr>
          <w:color w:val="323232"/>
        </w:rPr>
        <w:t xml:space="preserve">METHODS:Combined prospective and retrospective observational study. Forty-two acute and 27 convalescent samples were collected. Acute samples were prospectively tested for antibodies to Rickettsia, Ehrlichia, Bartonella, Babesia, Borrelia, and Anaplasma species. PCR targeting Ehrlichia, Babesia, Anaplasma, hemotropic Mycoplasma, and Bartonella species was also performed. Retrospectively, convalescent samples were tested for the same organisms using serology, and for Ehrlichia, Babesia, Anaplasma, and Bartonella species using PCR. Acute samples were retested using PCR targeting Ehrlichia and Babesia species.</w:t>
      </w:r>
    </w:p>
    <w:p/>
    <w:p>
      <w:pPr>
        <w:pStyle w:val="Normal"/>
      </w:pPr>
      <w:r>
        <w:rPr>
          <w:color w:val="323232"/>
        </w:rPr>
        <w:t xml:space="preserve">RESULTS:Evidence of exposure to or infection with a vector-borne pathogen was detected in 33% (14/42) of dogs. Ehrlichia and Babesia species were most common; each was identified in 5 dogs. Convalescent serologic testing, repeating PCR, and using novel PCR gene targets increased detection by 30%.</w:t>
      </w:r>
    </w:p>
    <w:p/>
    <w:p>
      <w:pPr>
        <w:pStyle w:val="Normal"/>
      </w:pPr>
      <w:r>
        <w:rPr>
          <w:color w:val="323232"/>
        </w:rPr>
        <w:t xml:space="preserve">CONCLUSIONS AND CLINICAL IMPORTANCE:Repeated testing using serology and PCR enhances detection of infection by vector-borne pathogens in dogs with clinical signs of immune-mediated disease. Larger prevalence studies of emerging vector-borne pathogens in southern California dogs are warranted.</w:t>
      </w:r>
    </w:p>
    <w:p/>
    <w:p>
      <w:pPr>
        <w:pStyle w:val="Normal"/>
      </w:pPr>
      <w:r>
        <w:rPr>
          <w:color w:val="323232"/>
        </w:rPr>
        <w:t xml:space="preserve">J Vet Intern Med, 2017 vol. 31 (4) pp. 1081-1090.</w:t>
      </w:r>
    </w:p>
    <w:p>
      <w:r>
        <w:rPr>
          <w:rStyle w:val="Hyperlink"/>
        </w:rPr>
        <w:fldChar w:fldCharType="begin"/>
      </w:r>
      <w:r>
        <w:rPr>
          <w:rStyle w:val="Hyperlink"/>
        </w:rPr>
        <w:instrText xml:space="preserve"> HYPERLINK "http://dx.doi.org/10.1111/jvim.14735" </w:instrText>
      </w:r>
      <w:r>
        <w:rPr>
          <w:rStyle w:val="Hyperlink"/>
        </w:rPr>
      </w:r>
      <w:r>
        <w:rPr>
          <w:rStyle w:val="Hyperlink"/>
        </w:rPr>
        <w:fldChar w:fldCharType="separate"/>
      </w:r>
      <w:pPr>
        <w:pStyle w:val="Normal"/>
      </w:pPr>
      <w:r>
        <w:rPr>
          <w:rStyle w:val="Hyperlink"/>
        </w:rPr>
        <w:t xml:space="preserve">http://dx.doi.org/10.1111/jvim.14735</w:t>
      </w:r>
      <w:r>
        <w:rPr>
          <w:rStyle w:val="Hyperlink"/>
        </w:rPr>
        <w:fldChar w:fldCharType="end"/>
      </w:r>
    </w:p>
    <w:p>
      <w:pPr>
        <w:pStyle w:val="Normal"/>
      </w:pPr>
      <w:r>
        <w:rPr>
          <w:color w:val="323232"/>
        </w:rPr>
        <w:t xml:space="preserve">————————</w:t>
      </w:r>
    </w:p>
    <w:p>
      <w:pPr>
        <w:pStyle w:val="Heading4"/>
      </w:pPr>
      <w:r>
        <w:t xml:space="preserve">Hyperfibrinolysis and Hypofibrinogenemia Diagnosed With Rotational Thromboelastometry in Dogs Naturally Infected With Angiostrongylus vasorum.</w:t>
      </w:r>
    </w:p>
    <w:p/>
    <w:p>
      <w:pPr>
        <w:pStyle w:val="Normal"/>
      </w:pPr>
      <w:r>
        <w:rPr>
          <w:color w:val="323232"/>
        </w:rPr>
        <w:t xml:space="preserve">N E Sigrist, N Hofer-Inteeworn, R Jud Schefer, C Kuemmerle-Fraune, M Schnyder, and A P N Kutter.</w:t>
      </w:r>
    </w:p>
    <w:p/>
    <w:p>
      <w:pPr>
        <w:pStyle w:val="Normal"/>
      </w:pPr>
      <w:r>
        <w:rPr>
          <w:color w:val="323232"/>
        </w:rPr>
        <w:t xml:space="preserve">BACKGROUND:The pathomechanism of Angiostrongylus vasorum infection-associated bleeding diathesis in dogs is not fully understood.</w:t>
      </w:r>
    </w:p>
    <w:p/>
    <w:p>
      <w:pPr>
        <w:pStyle w:val="Normal"/>
      </w:pPr>
      <w:r>
        <w:rPr>
          <w:color w:val="323232"/>
        </w:rPr>
        <w:t xml:space="preserve">OBJECTIVE:To describe rotational thromboelastometry (ROTEM) parameters in dogs naturally infected with A. vasorum and to compare ROTEM parameters between infected dogs with and without clinical signs of bleeding.</w:t>
      </w:r>
    </w:p>
    <w:p/>
    <w:p>
      <w:pPr>
        <w:pStyle w:val="Normal"/>
      </w:pPr>
      <w:r>
        <w:rPr>
          <w:color w:val="323232"/>
        </w:rPr>
        <w:t xml:space="preserve">ANIMALS:A total of 21 dogs presented between 2013 and 2016.</w:t>
      </w:r>
    </w:p>
    <w:p/>
    <w:p>
      <w:pPr>
        <w:pStyle w:val="Normal"/>
      </w:pPr>
      <w:r>
        <w:rPr>
          <w:color w:val="323232"/>
        </w:rPr>
        <w:t xml:space="preserve">METHODS:Dogs with A. vasorum infection and ROTEM evaluation were retrospectively identified. Thrombocyte counts, ROTEM parameters, clinical signs of bleeding, therapy, and survival to discharge were retrospectively retrieved from patient records and compared between dogs with and without clinical signs of bleeding.</w:t>
      </w:r>
    </w:p>
    <w:p/>
    <w:p>
      <w:pPr>
        <w:pStyle w:val="Normal"/>
      </w:pPr>
      <w:r>
        <w:rPr>
          <w:color w:val="323232"/>
        </w:rPr>
        <w:t xml:space="preserve">RESULTS:Evaluation by ROTEM showed hyperfibrinolysis in 8 of 12 (67%; 95% CI, 40-86%) dogs with and 1 of 9 (11%; 95% CI, 2-44%) dogs without clinical signs of bleeding (P = .016). Hyperfibrinolysis was associated with severe hypofibrinogenemia in 6 of 10 (60%; 95% CI, 31-83%) of the cases. Hyperfibrinolysis decreased or resolved after treatment with 10-80 mg</w:t>
      </w:r>
      <w:r>
        <w:rPr>
          <w:i w:val="1"/>
          <w:color w:val="323232"/>
        </w:rPr>
        <w:t xml:space="preserve">kg tranexamic acid. Fresh frozen plasma (range, 14-60 mL</w:t>
      </w:r>
      <w:r>
        <w:rPr>
          <w:color w:val="323232"/>
        </w:rPr>
        <w:t xml:space="preserve">kg) normalized follow-up fibrinogen function ROTEM (FIBTEM) maximal clot firmness in 6 of 8 dogs (75%; 95% CI, 41-93%). Survival to discharge was 67% (14/21 dogs; 95% CI, 46-83%) and was not different between dogs with and without clinical signs of bleeding (P = .379).</w:t>
      </w:r>
    </w:p>
    <w:p/>
    <w:p>
      <w:pPr>
        <w:pStyle w:val="Normal"/>
      </w:pPr>
      <w:r>
        <w:rPr>
          <w:color w:val="323232"/>
        </w:rPr>
        <w:t xml:space="preserve">CONCLUSION AND CLINICAL IMPORTANCE:Hyperfibrinolysis and hypofibrinogenemia were identified as an important pathomechanism in angiostrongylosis-associated bleeding in dogs. Hyperfibrinolysis and hypofibrinogenemia were normalized by treatment with tranexamic acid and plasma transfusions, respectively.</w:t>
      </w:r>
    </w:p>
    <w:p/>
    <w:p>
      <w:pPr>
        <w:pStyle w:val="Normal"/>
      </w:pPr>
      <w:r>
        <w:rPr>
          <w:color w:val="323232"/>
        </w:rPr>
        <w:t xml:space="preserve">J Vet Intern Med, 2017 vol. 31 (4) pp. 1091-1099.</w:t>
      </w:r>
    </w:p>
    <w:p>
      <w:r>
        <w:rPr>
          <w:rStyle w:val="Hyperlink"/>
        </w:rPr>
        <w:fldChar w:fldCharType="begin"/>
      </w:r>
      <w:r>
        <w:rPr>
          <w:rStyle w:val="Hyperlink"/>
        </w:rPr>
        <w:instrText xml:space="preserve"> HYPERLINK "http://dx.doi.org/10.1111/jvim.14723" </w:instrText>
      </w:r>
      <w:r>
        <w:rPr>
          <w:rStyle w:val="Hyperlink"/>
        </w:rPr>
      </w:r>
      <w:r>
        <w:rPr>
          <w:rStyle w:val="Hyperlink"/>
        </w:rPr>
        <w:fldChar w:fldCharType="separate"/>
      </w:r>
      <w:pPr>
        <w:pStyle w:val="Normal"/>
      </w:pPr>
      <w:r>
        <w:rPr>
          <w:rStyle w:val="Hyperlink"/>
        </w:rPr>
        <w:t xml:space="preserve">http://dx.doi.org/10.1111/jvim.14723</w:t>
      </w:r>
      <w:r>
        <w:rPr>
          <w:rStyle w:val="Hyperlink"/>
        </w:rPr>
        <w:fldChar w:fldCharType="end"/>
      </w:r>
    </w:p>
    <w:p>
      <w:pPr>
        <w:pStyle w:val="Normal"/>
      </w:pPr>
      <w:r>
        <w:rPr>
          <w:color w:val="323232"/>
        </w:rPr>
        <w:t xml:space="preserve">————————</w:t>
      </w:r>
    </w:p>
    <w:p>
      <w:pPr>
        <w:pStyle w:val="Heading4"/>
      </w:pPr>
      <w:r>
        <w:t xml:space="preserve">Antimicrobial Prescribing in Dogs and Cats in Australia: Results of the Australasian Infectious Disease Advisory Panel Survey.</w:t>
      </w:r>
    </w:p>
    <w:p/>
    <w:p>
      <w:pPr>
        <w:pStyle w:val="Normal"/>
      </w:pPr>
      <w:r>
        <w:rPr>
          <w:color w:val="323232"/>
        </w:rPr>
        <w:t xml:space="preserve">L Y Hardefeldt, S Holloway, D J Trott, M Shipstone, V R Barrs, R Malik, M Burrows, S Armstrong, G F Browning, and M Stevenson.</w:t>
      </w:r>
    </w:p>
    <w:p/>
    <w:p>
      <w:pPr>
        <w:pStyle w:val="Normal"/>
      </w:pPr>
      <w:r>
        <w:rPr>
          <w:color w:val="323232"/>
        </w:rPr>
        <w:t xml:space="preserve">BACKGROUND:Investigations of antimicrobial use in companion animals are limited. With the growing recognition of the need for improved antimicrobial stewardship, there is urgent need for more detailed understanding of the patterns of antimicrobial use in this sector.</w:t>
      </w:r>
    </w:p>
    <w:p/>
    <w:p>
      <w:pPr>
        <w:pStyle w:val="Normal"/>
      </w:pPr>
      <w:r>
        <w:rPr>
          <w:color w:val="323232"/>
        </w:rPr>
        <w:t xml:space="preserve">OBJECTIVES:To investigate antimicrobial use for medical and surgical conditions in dogs and cats by Australian veterinarians.</w:t>
      </w:r>
    </w:p>
    <w:p/>
    <w:p>
      <w:pPr>
        <w:pStyle w:val="Normal"/>
      </w:pPr>
      <w:r>
        <w:rPr>
          <w:color w:val="323232"/>
        </w:rPr>
        <w:t xml:space="preserve">METHODS:A cross-sectional study was performed over 4 months in 2011. Respondents were asked about their choices of antimicrobials for empirical therapy of diseases in dogs and cats, duration of therapy, and selection based on culture and susceptibility testing, for common conditions framed as case scenarios: 11 medical, 2 surgical, and 8 dermatological.</w:t>
      </w:r>
    </w:p>
    <w:p/>
    <w:p>
      <w:pPr>
        <w:pStyle w:val="Normal"/>
      </w:pPr>
      <w:r>
        <w:rPr>
          <w:color w:val="323232"/>
        </w:rPr>
        <w:t xml:space="preserve">RESULTS:A total of 892 of the 1,029 members of the Australian veterinary profession that completed the survey satisfied the selection criteria. Empirical antimicrobial therapy was more common for acute conditions (76%) than chronic conditions (24%). Overall, the most common antimicrobial classes were potentiated aminopenicillins (36%), fluoroquinolones (15%), first- and second-generation cephalosporins (14%), and tetracyclines (11%). Third-generation cephalosporins were more frequently used in cats (16%) compared to dogs (2%). Agreement with Australasian Infectious Disease Advisory Panel (AIDAP) guidelines (generated subsequently) was variable ranging from 0 to 69% between conditions.</w:t>
      </w:r>
    </w:p>
    <w:p/>
    <w:p>
      <w:pPr>
        <w:pStyle w:val="Normal"/>
      </w:pPr>
      <w:r>
        <w:rPr>
          <w:color w:val="323232"/>
        </w:rPr>
        <w:t xml:space="preserve">CONCLUSIONS AND CLINICAL IMPORTANCE:Choice of antimicrobials by Australian veterinary practitioners was generally appropriate, with relatively low use of drugs of high importance, except for the empirical use of fluoroquinolones in dogs, particularly for otitis externa and 3rd-generation cephalosporins in cats. Future surveys will determine whether introduction of the 2013 AIDAP therapeutic guidelines has influenced prescribing habits.</w:t>
      </w:r>
    </w:p>
    <w:p/>
    <w:p>
      <w:pPr>
        <w:pStyle w:val="Normal"/>
      </w:pPr>
      <w:r>
        <w:rPr>
          <w:color w:val="323232"/>
        </w:rPr>
        <w:t xml:space="preserve">J Vet Intern Med, 2017 vol. 31 (4), 2 pp. 1100-1107.</w:t>
      </w:r>
    </w:p>
    <w:p>
      <w:r>
        <w:rPr>
          <w:rStyle w:val="Hyperlink"/>
        </w:rPr>
        <w:fldChar w:fldCharType="begin"/>
      </w:r>
      <w:r>
        <w:rPr>
          <w:rStyle w:val="Hyperlink"/>
        </w:rPr>
        <w:instrText xml:space="preserve"> HYPERLINK "http://dx.doi.org/10.1111/jvim.14733" </w:instrText>
      </w:r>
      <w:r>
        <w:rPr>
          <w:rStyle w:val="Hyperlink"/>
        </w:rPr>
      </w:r>
      <w:r>
        <w:rPr>
          <w:rStyle w:val="Hyperlink"/>
        </w:rPr>
        <w:fldChar w:fldCharType="separate"/>
      </w:r>
      <w:pPr>
        <w:pStyle w:val="Normal"/>
      </w:pPr>
      <w:r>
        <w:rPr>
          <w:rStyle w:val="Hyperlink"/>
        </w:rPr>
        <w:t xml:space="preserve">http://dx.doi.org/10.1111/jvim.14733</w:t>
      </w:r>
      <w:r>
        <w:rPr>
          <w:rStyle w:val="Hyperlink"/>
        </w:rPr>
        <w:fldChar w:fldCharType="end"/>
      </w:r>
    </w:p>
    <w:p>
      <w:pPr>
        <w:pStyle w:val="Normal"/>
      </w:pPr>
      <w:r>
        <w:rPr>
          <w:color w:val="323232"/>
        </w:rPr>
        <w:t xml:space="preserve">————————</w:t>
      </w:r>
    </w:p>
    <w:p>
      <w:pPr>
        <w:pStyle w:val="Heading4"/>
      </w:pPr>
      <w:r>
        <w:t xml:space="preserve">Efficacy of Azithromycin and Compounded Atovaquone for Treatment of Babesia gibsoni in Dogs.</w:t>
      </w:r>
    </w:p>
    <w:p/>
    <w:p>
      <w:pPr>
        <w:pStyle w:val="Normal"/>
      </w:pPr>
      <w:r>
        <w:rPr>
          <w:color w:val="323232"/>
        </w:rPr>
        <w:t xml:space="preserve">S K Kirk, J K Levy, and P C Crawford.</w:t>
      </w:r>
    </w:p>
    <w:p/>
    <w:p>
      <w:pPr>
        <w:pStyle w:val="Normal"/>
      </w:pPr>
      <w:r>
        <w:rPr>
          <w:color w:val="323232"/>
        </w:rPr>
        <w:t xml:space="preserve">BACKGROUND:Approximately one-third of dogs confiscated during dogfighting investigations are infected with Babesia gibsoni. Traditional management of B. gibsoni with polymerase chain reaction (PCR)-screening, treatment with commercially available azithromycin and atovaquone, and PCR testing after 60 and 90 days is costly and impractical for large numbers of dogs at a time.</w:t>
      </w:r>
    </w:p>
    <w:p/>
    <w:p>
      <w:pPr>
        <w:pStyle w:val="Normal"/>
      </w:pPr>
      <w:r>
        <w:rPr>
          <w:color w:val="323232"/>
        </w:rPr>
        <w:t xml:space="preserve">HYPOTHESIS/OBJECTIVES:To assess the efficacy of an alternative protocol in which commercial atovaquone was replaced by compounded medication and PCR monitoring was initiated at 30 days after the end of treatment to decrease the total management time.</w:t>
      </w:r>
    </w:p>
    <w:p/>
    <w:p>
      <w:pPr>
        <w:pStyle w:val="Normal"/>
      </w:pPr>
      <w:r>
        <w:rPr>
          <w:color w:val="323232"/>
        </w:rPr>
        <w:t xml:space="preserve">METHODS:Prospective observational study. Forty-two pit bull-type dogs confiscated as part of an investigation of dogfighting, diagnosed with B. gibsoni infection, and judged to be suitable for adoption were treated with azithromycin (10 mg</w:t>
      </w:r>
      <w:r>
        <w:rPr>
          <w:i w:val="1"/>
          <w:color w:val="323232"/>
        </w:rPr>
        <w:t xml:space="preserve">kg PO q24h) and compounded atovaquone (13.4 mg</w:t>
      </w:r>
      <w:r>
        <w:rPr>
          <w:color w:val="323232"/>
        </w:rPr>
        <w:t xml:space="preserve">kg PO q8h with a fatty meal) for 10 days. PCR testing was repeated at 30 and 60 days after end of treatment if dogs with positive PCR tests at either time were tested at 90 days. Treatment was considered successful; 2 PCR tests 30 days apart were negative.</w:t>
      </w:r>
    </w:p>
    <w:p/>
    <w:p>
      <w:pPr>
        <w:pStyle w:val="Normal"/>
      </w:pPr>
      <w:r>
        <w:rPr>
          <w:color w:val="323232"/>
        </w:rPr>
        <w:t xml:space="preserve">RESULTS:Treatment was successful in 39 dogs (93%) as defined by 2 consecutive PCR-negative test results 30 days apart. In 38 dogs (90%), PCR results were the same at 30 and 60 days.</w:t>
      </w:r>
    </w:p>
    <w:p/>
    <w:p>
      <w:pPr>
        <w:pStyle w:val="Normal"/>
      </w:pPr>
      <w:r>
        <w:rPr>
          <w:color w:val="323232"/>
        </w:rPr>
        <w:t xml:space="preserve">CONCLUSIONS AND CLINICAL IMPORTANCE:Use of compounded atovaquone and a reduced monitoring period can reduce costs and holding times without compromising treatment efficacy. This more economical protocol can remove barriers to mass screening and management of B. gibsoni infections in dogfighting cases.</w:t>
      </w:r>
    </w:p>
    <w:p/>
    <w:p>
      <w:pPr>
        <w:pStyle w:val="Normal"/>
      </w:pPr>
      <w:r>
        <w:rPr>
          <w:color w:val="323232"/>
        </w:rPr>
        <w:t xml:space="preserve">J Vet Intern Med, 2017 vol. 31 (4), 2 pp. 1108-1112.</w:t>
      </w:r>
    </w:p>
    <w:p>
      <w:r>
        <w:rPr>
          <w:rStyle w:val="Hyperlink"/>
        </w:rPr>
        <w:fldChar w:fldCharType="begin"/>
      </w:r>
      <w:r>
        <w:rPr>
          <w:rStyle w:val="Hyperlink"/>
        </w:rPr>
        <w:instrText xml:space="preserve"> HYPERLINK "http://dx.doi.org/10.1111/jvim.14777" </w:instrText>
      </w:r>
      <w:r>
        <w:rPr>
          <w:rStyle w:val="Hyperlink"/>
        </w:rPr>
      </w:r>
      <w:r>
        <w:rPr>
          <w:rStyle w:val="Hyperlink"/>
        </w:rPr>
        <w:fldChar w:fldCharType="separate"/>
      </w:r>
      <w:pPr>
        <w:pStyle w:val="Normal"/>
      </w:pPr>
      <w:r>
        <w:rPr>
          <w:rStyle w:val="Hyperlink"/>
        </w:rPr>
        <w:t xml:space="preserve">http://dx.doi.org/10.1111/jvim.14777</w:t>
      </w:r>
      <w:r>
        <w:rPr>
          <w:rStyle w:val="Hyperlink"/>
        </w:rPr>
        <w:fldChar w:fldCharType="end"/>
      </w:r>
    </w:p>
    <w:p>
      <w:pPr>
        <w:pStyle w:val="Normal"/>
      </w:pPr>
      <w:r>
        <w:rPr>
          <w:color w:val="323232"/>
        </w:rPr>
        <w:t xml:space="preserve">————————</w:t>
      </w:r>
    </w:p>
    <w:p>
      <w:pPr>
        <w:pStyle w:val="Heading4"/>
      </w:pPr>
      <w:r>
        <w:t xml:space="preserve">Effects of Benazepril on Survival of Dogs with Chronic Kidney Disease: A Multicenter, Randomized, Blinded, Placebo-Controlled Clinical Trial.</w:t>
      </w:r>
    </w:p>
    <w:p/>
    <w:p>
      <w:pPr>
        <w:pStyle w:val="Normal"/>
      </w:pPr>
      <w:r>
        <w:rPr>
          <w:color w:val="323232"/>
        </w:rPr>
        <w:t xml:space="preserve">J N King, A Font, J-F Rousselot, R A Ash, U Bonfanti, C Brovida, I D Crowe, D Lanore, D Pechereau, W Seewald, and G Strehlau.</w:t>
      </w:r>
    </w:p>
    <w:p/>
    <w:p>
      <w:pPr>
        <w:pStyle w:val="Normal"/>
      </w:pPr>
      <w:r>
        <w:rPr>
          <w:color w:val="323232"/>
        </w:rPr>
        <w:t xml:space="preserve">BACKGROUND:Chronic kidney disease (CKD) is an important cause of morbidity and mortality in dogs.</w:t>
      </w:r>
    </w:p>
    <w:p/>
    <w:p>
      <w:pPr>
        <w:pStyle w:val="Normal"/>
      </w:pPr>
      <w:r>
        <w:rPr>
          <w:color w:val="323232"/>
        </w:rPr>
        <w:t xml:space="preserve">OBJECTIVE:To evaluate the efficacy in prolonging survival and safety of benazepril administration to dogs with CKD.</w:t>
      </w:r>
    </w:p>
    <w:p/>
    <w:p>
      <w:pPr>
        <w:pStyle w:val="Normal"/>
      </w:pPr>
      <w:r>
        <w:rPr>
          <w:color w:val="323232"/>
        </w:rPr>
        <w:t xml:space="preserve">ANIMALS:Forty-nine client-owned dogs with CKD.</w:t>
      </w:r>
    </w:p>
    <w:p/>
    <w:p>
      <w:pPr>
        <w:pStyle w:val="Normal"/>
      </w:pPr>
      <w:r>
        <w:rPr>
          <w:color w:val="323232"/>
        </w:rPr>
        <w:t xml:space="preserve">METHODS:Dogs were randomized to benazepril (0.25 to &lt;0.5</w:t>
      </w:r>
      <w:r>
        <w:rPr>
          <w:color w:val="323232"/>
        </w:rPr>
        <w:t xml:space="preserve"> </w:t>
      </w:r>
      <w:r>
        <w:rPr>
          <w:color w:val="323232"/>
        </w:rPr>
        <w:t xml:space="preserve">mg/kg) or placebo once daily for up to 2</w:t>
      </w:r>
      <w:r>
        <w:rPr>
          <w:color w:val="323232"/>
        </w:rPr>
        <w:t xml:space="preserve"> </w:t>
      </w:r>
      <w:r>
        <w:rPr>
          <w:color w:val="323232"/>
        </w:rPr>
        <w:t xml:space="preserve">years in a prospective, multicenter, blinded clinical trial. The primary endpoint variable was the renal survival time, defined as the time from inclusion in the study to the treatment failure endpoint of death or euthanasia or need for administration of parenteral fluids related to renal failure.</w:t>
      </w:r>
    </w:p>
    <w:p/>
    <w:p>
      <w:pPr>
        <w:pStyle w:val="Normal"/>
      </w:pPr>
      <w:r>
        <w:rPr>
          <w:color w:val="323232"/>
        </w:rPr>
        <w:t xml:space="preserve">RESULTS:No benefit of benazepril versus placebo was detected for renal survival time in all dogs; median (95% confidence interval (CI)) survival times were 305 (53-575) days in the benazepril group and 287 (152-not available) in the placebo group (P</w:t>
      </w:r>
      <w:r>
        <w:rPr>
          <w:color w:val="323232"/>
        </w:rPr>
        <w:t xml:space="preserve"> </w:t>
      </w:r>
      <w:r>
        <w:rPr>
          <w:color w:val="323232"/>
        </w:rPr>
        <w:t xml:space="preserve">=</w:t>
      </w:r>
      <w:r>
        <w:rPr>
          <w:color w:val="323232"/>
        </w:rPr>
        <w:t xml:space="preserve"> </w:t>
      </w:r>
      <w:r>
        <w:rPr>
          <w:color w:val="323232"/>
        </w:rPr>
        <w:t xml:space="preserve">.53). Renal survival times were not significantly longer with benazepril compared to placebo for subgroups: hazard ratios (95% CI) were 0.50 (0.21-1.22) with P</w:t>
      </w:r>
      <w:r>
        <w:rPr>
          <w:color w:val="323232"/>
        </w:rPr>
        <w:t xml:space="preserve"> </w:t>
      </w:r>
      <w:r>
        <w:rPr>
          <w:color w:val="323232"/>
        </w:rPr>
        <w:t xml:space="preserve">=</w:t>
      </w:r>
      <w:r>
        <w:rPr>
          <w:color w:val="323232"/>
        </w:rPr>
        <w:t xml:space="preserve"> </w:t>
      </w:r>
      <w:r>
        <w:rPr>
          <w:color w:val="323232"/>
        </w:rPr>
        <w:t xml:space="preserve">.12 for initial urine protein-to-creatinine ratio (UPC) &gt;0.5, and 0.38 (0.12-1.19) with P</w:t>
      </w:r>
      <w:r>
        <w:rPr>
          <w:color w:val="323232"/>
        </w:rPr>
        <w:t xml:space="preserve"> </w:t>
      </w:r>
      <w:r>
        <w:rPr>
          <w:color w:val="323232"/>
        </w:rPr>
        <w:t xml:space="preserve">=</w:t>
      </w:r>
      <w:r>
        <w:rPr>
          <w:color w:val="323232"/>
        </w:rPr>
        <w:t xml:space="preserve"> </w:t>
      </w:r>
      <w:r>
        <w:rPr>
          <w:color w:val="323232"/>
        </w:rPr>
        <w:t xml:space="preserve">.080 for initial UPC &gt;0.5 plus plasma creatinine ≤440</w:t>
      </w:r>
      <w:r>
        <w:rPr>
          <w:color w:val="323232"/>
        </w:rPr>
        <w:t xml:space="preserve"> </w:t>
      </w:r>
      <w:r>
        <w:rPr>
          <w:color w:val="323232"/>
        </w:rPr>
        <w:t xml:space="preserve">μmol/L. Proteinuria, assessed from the UPC, was significantly (P</w:t>
      </w:r>
      <w:r>
        <w:rPr>
          <w:color w:val="323232"/>
        </w:rPr>
        <w:t xml:space="preserve"> </w:t>
      </w:r>
      <w:r>
        <w:rPr>
          <w:color w:val="323232"/>
        </w:rPr>
        <w:t xml:space="preserve">=</w:t>
      </w:r>
      <w:r>
        <w:rPr>
          <w:color w:val="323232"/>
        </w:rPr>
        <w:t xml:space="preserve"> </w:t>
      </w:r>
      <w:r>
        <w:rPr>
          <w:color w:val="323232"/>
        </w:rPr>
        <w:t xml:space="preserve">.0032) lower after treatment with benazepril compared to placebo. There were no significant differences between groups for clinical signs or frequencies of adverse events.</w:t>
      </w:r>
    </w:p>
    <w:p/>
    <w:p>
      <w:pPr>
        <w:pStyle w:val="Normal"/>
      </w:pPr>
      <w:r>
        <w:rPr>
          <w:color w:val="323232"/>
        </w:rPr>
        <w:t xml:space="preserve">CONCLUSIONS AND CLINICAL RELEVANCE:Benazepril significantly reduced proteinuria in dogs with CKD. Insufficient numbers of dogs were recruited to allow conclusions on survival time.</w:t>
      </w:r>
    </w:p>
    <w:p/>
    <w:p>
      <w:pPr>
        <w:pStyle w:val="Normal"/>
      </w:pPr>
      <w:r>
        <w:rPr>
          <w:color w:val="323232"/>
        </w:rPr>
        <w:t xml:space="preserve">J Vet Intern Med, 2017 vol. 31 (4) pp. 1113-1122.</w:t>
      </w:r>
    </w:p>
    <w:p>
      <w:r>
        <w:rPr>
          <w:rStyle w:val="Hyperlink"/>
        </w:rPr>
        <w:fldChar w:fldCharType="begin"/>
      </w:r>
      <w:r>
        <w:rPr>
          <w:rStyle w:val="Hyperlink"/>
        </w:rPr>
        <w:instrText xml:space="preserve"> HYPERLINK "http://dx.doi.org/10.1111/jvim.14726" </w:instrText>
      </w:r>
      <w:r>
        <w:rPr>
          <w:rStyle w:val="Hyperlink"/>
        </w:rPr>
      </w:r>
      <w:r>
        <w:rPr>
          <w:rStyle w:val="Hyperlink"/>
        </w:rPr>
        <w:fldChar w:fldCharType="separate"/>
      </w:r>
      <w:pPr>
        <w:pStyle w:val="Normal"/>
      </w:pPr>
      <w:r>
        <w:rPr>
          <w:rStyle w:val="Hyperlink"/>
        </w:rPr>
        <w:t xml:space="preserve">http://dx.doi.org/10.1111/jvim.14726</w:t>
      </w:r>
      <w:r>
        <w:rPr>
          <w:rStyle w:val="Hyperlink"/>
        </w:rPr>
        <w:fldChar w:fldCharType="end"/>
      </w:r>
    </w:p>
    <w:p>
      <w:pPr>
        <w:pStyle w:val="Normal"/>
      </w:pPr>
      <w:r>
        <w:rPr>
          <w:color w:val="323232"/>
        </w:rPr>
        <w:t xml:space="preserve">————————</w:t>
      </w:r>
    </w:p>
    <w:p>
      <w:pPr>
        <w:pStyle w:val="Heading4"/>
      </w:pPr>
      <w:r>
        <w:t xml:space="preserve">Putative Cerebral Microbleeds in Dogs Undergoing Magnetic Resonance Imaging of the Head: A Retrospective Study of Demographics, Clinical Associations, and Relationship to Case Outcome.</w:t>
      </w:r>
    </w:p>
    <w:p/>
    <w:p>
      <w:pPr>
        <w:pStyle w:val="Normal"/>
      </w:pPr>
      <w:r>
        <w:rPr>
          <w:color w:val="323232"/>
        </w:rPr>
        <w:t xml:space="preserve">S C Kerwin, J M Levine, C M Budke, J F Griffin, and C E Boudreau.</w:t>
      </w:r>
    </w:p>
    <w:p/>
    <w:p>
      <w:pPr>
        <w:pStyle w:val="Normal"/>
      </w:pPr>
      <w:r>
        <w:rPr>
          <w:color w:val="323232"/>
        </w:rPr>
        <w:t xml:space="preserve">BACKGROUND:Cerebral microbleeds (CMBs) are focal intraparenchymal signal voids on gradient-echo magnetic resonance imaging (MRI), corresponding to regions of chronic hemorrhage. In humans, they are associated with systemic disease and shorter survival times. Although similar findings have been identified in dogs, their epidemiology and clinical correlations have not been investigated.</w:t>
      </w:r>
    </w:p>
    <w:p/>
    <w:p>
      <w:pPr>
        <w:pStyle w:val="Normal"/>
      </w:pPr>
      <w:r>
        <w:rPr>
          <w:color w:val="323232"/>
        </w:rPr>
        <w:t xml:space="preserve">OBJECTIVE:To determine epidemiological features, clinical associations, and associations with outcome for putative CMB-like foci (putative microbleeds [pMBs]) identified by T2*-weighted MRI in dogs.</w:t>
      </w:r>
    </w:p>
    <w:p/>
    <w:p>
      <w:pPr>
        <w:pStyle w:val="Normal"/>
      </w:pPr>
      <w:r>
        <w:rPr>
          <w:color w:val="323232"/>
        </w:rPr>
        <w:t xml:space="preserve">ANIMALS:Five hundred and eighty-two dogs undergoing 3T brain MRI between 2011 and 2016.</w:t>
      </w:r>
    </w:p>
    <w:p/>
    <w:p>
      <w:pPr>
        <w:pStyle w:val="Normal"/>
      </w:pPr>
      <w:r>
        <w:rPr>
          <w:color w:val="323232"/>
        </w:rPr>
        <w:t xml:space="preserve">METHODS:Retrospective case-control study. Demographic, diagnostic, and clinicopathological data were obtained from medical records and phone follow-up. Demographic variables were compared between dogs with and without evidence of pMBs. For dogs with such evidence, and a subset of matched controls, associations with clinical presentation, concurrent disease, and survival times were evaluated.</w:t>
      </w:r>
    </w:p>
    <w:p/>
    <w:p>
      <w:pPr>
        <w:pStyle w:val="Normal"/>
      </w:pPr>
      <w:r>
        <w:rPr>
          <w:color w:val="323232"/>
        </w:rPr>
        <w:t xml:space="preserve">RESULTS:Dogs with pMBs were older (P &lt; .001) and smaller (P = .004) than unaffected dogs. Compared to matched controls, they presented more frequently for vestibular signs (P = .030). Cortical atrophy occurred concurrently with pMBs in 26% (14/54) of dogs. Diagnosed renal disease was not significantly associated with pMBs, but proteinuria was more common in dogs with pMBs than in matched controls (odds ratio = 3.01, P = .005). Dogs with pMBs had a shorter median survival time than did matched controls (P = .011).</w:t>
      </w:r>
    </w:p>
    <w:p/>
    <w:p>
      <w:pPr>
        <w:pStyle w:val="Normal"/>
      </w:pPr>
      <w:r>
        <w:rPr>
          <w:color w:val="323232"/>
        </w:rPr>
        <w:t xml:space="preserve">CONCLUSIONS AND CLINICAL IMPORTANCE:Putative microbleeds occurred in 54 of 582 (9.3%) of dogs undergoing brain MRI, but may not be a normal consequence of aging. They were associated with shorter survival time and proteinuria in the study population.</w:t>
      </w:r>
    </w:p>
    <w:p/>
    <w:p>
      <w:pPr>
        <w:pStyle w:val="Normal"/>
      </w:pPr>
      <w:r>
        <w:rPr>
          <w:color w:val="323232"/>
        </w:rPr>
        <w:t xml:space="preserve">J Vet Intern Med, 2017 vol. 31 (4), 14 pp. 1140-1148.</w:t>
      </w:r>
    </w:p>
    <w:p>
      <w:r>
        <w:rPr>
          <w:rStyle w:val="Hyperlink"/>
        </w:rPr>
        <w:fldChar w:fldCharType="begin"/>
      </w:r>
      <w:r>
        <w:rPr>
          <w:rStyle w:val="Hyperlink"/>
        </w:rPr>
        <w:instrText xml:space="preserve"> HYPERLINK "http://dx.doi.org/10.1111/jvim.14730" </w:instrText>
      </w:r>
      <w:r>
        <w:rPr>
          <w:rStyle w:val="Hyperlink"/>
        </w:rPr>
      </w:r>
      <w:r>
        <w:rPr>
          <w:rStyle w:val="Hyperlink"/>
        </w:rPr>
        <w:fldChar w:fldCharType="separate"/>
      </w:r>
      <w:pPr>
        <w:pStyle w:val="Normal"/>
      </w:pPr>
      <w:r>
        <w:rPr>
          <w:rStyle w:val="Hyperlink"/>
        </w:rPr>
        <w:t xml:space="preserve">http://dx.doi.org/10.1111/jvim.14730</w:t>
      </w:r>
      <w:r>
        <w:rPr>
          <w:rStyle w:val="Hyperlink"/>
        </w:rPr>
        <w:fldChar w:fldCharType="end"/>
      </w:r>
    </w:p>
    <w:p>
      <w:pPr>
        <w:pStyle w:val="Normal"/>
      </w:pPr>
      <w:r>
        <w:rPr>
          <w:color w:val="323232"/>
        </w:rPr>
        <w:t xml:space="preserve">————————</w:t>
      </w:r>
    </w:p>
    <w:p>
      <w:pPr>
        <w:pStyle w:val="Heading4"/>
      </w:pPr>
      <w:r>
        <w:t xml:space="preserve">Intranasal Midazolam versus Rectal Diazepam for the Management of Canine Status Epilepticus: A Multicenter Randomized Parallel-Group Clinical Trial.</w:t>
      </w:r>
    </w:p>
    <w:p/>
    <w:p>
      <w:pPr>
        <w:pStyle w:val="Normal"/>
      </w:pPr>
      <w:r>
        <w:rPr>
          <w:color w:val="323232"/>
        </w:rPr>
        <w:t xml:space="preserve">M Charalambous, S F M Bhatti, L Van Ham, S Platt, N D Jeffery, A Tipold, J Siedenburg, H A Volk, D Hasegawa, A Gallucci, G Gandini, M Musteata, E Ives, and A E Vanhaesebrouck.</w:t>
      </w:r>
    </w:p>
    <w:p/>
    <w:p>
      <w:pPr>
        <w:pStyle w:val="Normal"/>
      </w:pPr>
      <w:r>
        <w:rPr>
          <w:color w:val="323232"/>
        </w:rPr>
        <w:t xml:space="preserve">BACKGROUND:Intranasal administration of benzodiazepines has shown superiority over rectal administration for terminating emergency epileptic seizures in human trials. No such clinical trials have been performed in dogs.</w:t>
      </w:r>
    </w:p>
    <w:p/>
    <w:p>
      <w:pPr>
        <w:pStyle w:val="Normal"/>
      </w:pPr>
      <w:r>
        <w:rPr>
          <w:color w:val="323232"/>
        </w:rPr>
        <w:t xml:space="preserve">OBJECTIVE:To evaluate the clinical efficacy of intranasal midazolam (IN-MDZ), via a mucosal atomization device, as a first-line management option for canine status epilepticus and compare it to rectal administration of diazepam (R-DZP) for controlling status epilepticus before intravenous access is available.</w:t>
      </w:r>
    </w:p>
    <w:p/>
    <w:p>
      <w:pPr>
        <w:pStyle w:val="Normal"/>
      </w:pPr>
      <w:r>
        <w:rPr>
          <w:color w:val="323232"/>
        </w:rPr>
        <w:t xml:space="preserve">ANIMALS:Client-owned dogs with idiopathic or structural epilepsy manifesting status epilepticus within a hospital environment were used. Dogs were randomly allocated to treatment with IN-MDZ (n = 20) or R-DZP (n = 15).</w:t>
      </w:r>
    </w:p>
    <w:p/>
    <w:p>
      <w:pPr>
        <w:pStyle w:val="Normal"/>
      </w:pPr>
      <w:r>
        <w:rPr>
          <w:color w:val="323232"/>
        </w:rPr>
        <w:t xml:space="preserve">METHODS:Randomized parallel-group clinical trial. Seizure cessation time and adverse effects were recorded. For each dog, treatment was considered successful if the seizure ceased within 5 minutes and did not recur within 10 minutes after administration. The 95% confidence interval was used to detect the true population of dogs that were successfully treated. The Fisher's 2-tailed exact test was used to compare the 2 groups, and the results were considered statistically significant if P &lt; .05.</w:t>
      </w:r>
    </w:p>
    <w:p/>
    <w:p>
      <w:pPr>
        <w:pStyle w:val="Normal"/>
      </w:pPr>
      <w:r>
        <w:rPr>
          <w:color w:val="323232"/>
        </w:rPr>
        <w:t xml:space="preserve">RESULTS:IN-MDZ and R-DZP terminated status epilepticus in 70% (14/20) and 20% (3/15) of cases, respectively (P = .0059). All dogs showed sedation and ataxia.</w:t>
      </w:r>
    </w:p>
    <w:p/>
    <w:p>
      <w:pPr>
        <w:pStyle w:val="Normal"/>
      </w:pPr>
      <w:r>
        <w:rPr>
          <w:color w:val="323232"/>
        </w:rPr>
        <w:t xml:space="preserve">CONCLUSIONS AND CLINICAL IMPORTANCE:IN-MDZ is a quick, safe and effective first-line medication for controlling status epilepticus in dogs and appears superior to R-DZP. IN-MDZ might be a valuable treatment option when intravenous access is not available and for treatment of status epilepticus in dogs at home.</w:t>
      </w:r>
    </w:p>
    <w:p/>
    <w:p>
      <w:pPr>
        <w:pStyle w:val="Normal"/>
      </w:pPr>
      <w:r>
        <w:rPr>
          <w:color w:val="323232"/>
        </w:rPr>
        <w:t xml:space="preserve">J Vet Intern Med, 2017 vol. 31 (4) pp. 1149-1158.</w:t>
      </w:r>
    </w:p>
    <w:p>
      <w:r>
        <w:rPr>
          <w:rStyle w:val="Hyperlink"/>
        </w:rPr>
        <w:fldChar w:fldCharType="begin"/>
      </w:r>
      <w:r>
        <w:rPr>
          <w:rStyle w:val="Hyperlink"/>
        </w:rPr>
        <w:instrText xml:space="preserve"> HYPERLINK "http://eutils.ncbi.nlm.nih.gov/entrez/eutils/elink.fcgi?dbfrom=pubmed&amp;id=28543780&amp;retmode=ref&amp;cmd=prlinks"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http://eutils.ncbi.nlm.nih.gov/entrez/eutils/elink.fcgi?dbfrom=pubmed&amp;id=28543780&amp;retmode=ref&amp;cmd=prlinks</w:t>
      </w:r>
      <w:r>
        <w:rPr>
          <w:rStyle w:val="Hyperlink"/>
        </w:rPr>
        <w:fldChar w:fldCharType="end"/>
      </w:r>
    </w:p>
    <w:p>
      <w:pPr>
        <w:pStyle w:val="Normal"/>
      </w:pPr>
      <w:r>
        <w:rPr>
          <w:color w:val="323232"/>
        </w:rPr>
        <w:t xml:space="preserve">————————</w:t>
      </w:r>
    </w:p>
    <w:p>
      <w:pPr>
        <w:pStyle w:val="Heading4"/>
      </w:pPr>
      <w:r>
        <w:t xml:space="preserve">Portal Vein/Aorta Ratio in Dogs with Acquired Portosystemic Collaterals.</w:t>
      </w:r>
    </w:p>
    <w:p/>
    <w:p>
      <w:pPr>
        <w:pStyle w:val="Normal"/>
      </w:pPr>
      <w:r>
        <w:rPr>
          <w:color w:val="323232"/>
        </w:rPr>
        <w:t xml:space="preserve">Y Sakamoto, M Sakai, and T Watari.</w:t>
      </w:r>
    </w:p>
    <w:p/>
    <w:p>
      <w:pPr>
        <w:pStyle w:val="Normal"/>
      </w:pPr>
      <w:r>
        <w:rPr>
          <w:color w:val="323232"/>
        </w:rPr>
        <w:t xml:space="preserve">BACKGROUND:The portal vein (PV) diameter increases in humans with portal hypertension (PH). However, there is no evidence of PV enlargement in dogs with PH.</w:t>
      </w:r>
    </w:p>
    <w:p/>
    <w:p>
      <w:pPr>
        <w:pStyle w:val="Normal"/>
      </w:pPr>
      <w:r>
        <w:rPr>
          <w:color w:val="323232"/>
        </w:rPr>
        <w:t xml:space="preserve">OBJECTIVES:To measure the PV-to-aorta (PV</w:t>
      </w:r>
      <w:r>
        <w:rPr>
          <w:i w:val="1"/>
          <w:color w:val="323232"/>
        </w:rPr>
        <w:t xml:space="preserve">Ao) ratio in dogs with PH (chronic hepatitis [CH], primary hypoplasia of the PV [PHPV]), in dogs with extrahepatic congenital portosystemic shunt (EH-CPSS), and in healthy dogs, and to evaluate the relationship between PV</w:t>
      </w:r>
      <w:r>
        <w:rPr>
          <w:color w:val="323232"/>
        </w:rPr>
        <w:t xml:space="preserve">Ao ratio and splenic pulp pressure (SPP).</w:t>
      </w:r>
    </w:p>
    <w:p/>
    <w:p>
      <w:pPr>
        <w:pStyle w:val="Normal"/>
      </w:pPr>
      <w:r>
        <w:rPr>
          <w:color w:val="323232"/>
        </w:rPr>
        <w:t xml:space="preserve">ANIMALS:Twenty-five dogs with acquired portosystemic collaterals (APSCs; 15 with CH, 10 with PHPV), 32 dogs with EH-CPSS, and 20 healthy dogs.</w:t>
      </w:r>
    </w:p>
    <w:p/>
    <w:p>
      <w:pPr>
        <w:pStyle w:val="Normal"/>
      </w:pPr>
      <w:r>
        <w:rPr>
          <w:color w:val="323232"/>
        </w:rPr>
        <w:t xml:space="preserve">METHODS:Retrospective study. The PV/Ao ratio was calculated with images obtained by computed tomography. SPP was measured at the time of liver biopsy in 45 dogs.</w:t>
      </w:r>
    </w:p>
    <w:p/>
    <w:p>
      <w:pPr>
        <w:pStyle w:val="Normal"/>
      </w:pPr>
      <w:r>
        <w:rPr>
          <w:color w:val="323232"/>
        </w:rPr>
        <w:t xml:space="preserve">RESULTS:Median PV</w:t>
      </w:r>
      <w:r>
        <w:rPr>
          <w:i w:val="1"/>
          <w:color w:val="323232"/>
        </w:rPr>
        <w:t xml:space="preserve">Ao ratio was similar between dogs with CH (1.35, range 1.05-2.01) and healthy dogs (0.95, 0.80-1.15), but differed significantly between the CH group and both the PHPV (0.40, 0.24-0.67) and EH-CPSS groups (0.30, 0.11-0.64) (P &lt; .001). The PV</w:t>
      </w:r>
      <w:r>
        <w:rPr>
          <w:color w:val="323232"/>
        </w:rPr>
        <w:t xml:space="preserve">Ao ratio was significantly lower in the PHPV group than in healthy dogs (P &lt; .05). It also correlated positively with SPP (rs = 0.71; P &lt; .001). However, there was no intragroup correlation between SPP and the PV/Ao ratio in any group.</w:t>
      </w:r>
    </w:p>
    <w:p/>
    <w:p>
      <w:pPr>
        <w:pStyle w:val="Normal"/>
      </w:pPr>
      <w:r>
        <w:rPr>
          <w:color w:val="323232"/>
        </w:rPr>
        <w:t xml:space="preserve">CONCLUSIONS AND CLINICAL IMPORTANCE:The PV</w:t>
      </w:r>
      <w:r>
        <w:rPr>
          <w:i w:val="1"/>
          <w:color w:val="323232"/>
        </w:rPr>
        <w:t xml:space="preserve">Ao ratio can be evaluated in dogs with APSCs on computed tomography. Further studies are needed to examine the relationship between SPP and the PV</w:t>
      </w:r>
      <w:r>
        <w:rPr>
          <w:color w:val="323232"/>
        </w:rPr>
        <w:t xml:space="preserve">Ao ratio in larger groups of dogs with PH and to determine its clinical relevance.</w:t>
      </w:r>
    </w:p>
    <w:p/>
    <w:p>
      <w:pPr>
        <w:pStyle w:val="Normal"/>
      </w:pPr>
      <w:r>
        <w:rPr>
          <w:color w:val="323232"/>
        </w:rPr>
        <w:t xml:space="preserve">J Vet Intern Med, 2017 vol. 31 (5), 1 pp. 1382-1387.</w:t>
      </w:r>
    </w:p>
    <w:p>
      <w:r>
        <w:rPr>
          <w:rStyle w:val="Hyperlink"/>
        </w:rPr>
        <w:fldChar w:fldCharType="begin"/>
      </w:r>
      <w:r>
        <w:rPr>
          <w:rStyle w:val="Hyperlink"/>
        </w:rPr>
        <w:instrText xml:space="preserve"> HYPERLINK "http://dx.doi.org/10.1111/jvim.14802" </w:instrText>
      </w:r>
      <w:r>
        <w:rPr>
          <w:rStyle w:val="Hyperlink"/>
        </w:rPr>
      </w:r>
      <w:r>
        <w:rPr>
          <w:rStyle w:val="Hyperlink"/>
        </w:rPr>
        <w:fldChar w:fldCharType="separate"/>
      </w:r>
      <w:pPr>
        <w:pStyle w:val="Normal"/>
      </w:pPr>
      <w:r>
        <w:rPr>
          <w:rStyle w:val="Hyperlink"/>
        </w:rPr>
        <w:t xml:space="preserve">http://dx.doi.org/10.1111/jvim.14802</w:t>
      </w:r>
      <w:r>
        <w:rPr>
          <w:rStyle w:val="Hyperlink"/>
        </w:rPr>
        <w:fldChar w:fldCharType="end"/>
      </w:r>
    </w:p>
    <w:p>
      <w:pPr>
        <w:pStyle w:val="Normal"/>
      </w:pPr>
      <w:r>
        <w:rPr>
          <w:color w:val="323232"/>
        </w:rPr>
        <w:t xml:space="preserve">————————</w:t>
      </w:r>
    </w:p>
    <w:p>
      <w:pPr>
        <w:pStyle w:val="Heading4"/>
      </w:pPr>
      <w:r>
        <w:t xml:space="preserve">Development of a Multivariate Predictive Model to Estimate Ionized Calcium Concentration from Serum Biochemical Profile Results in Dogs.</w:t>
      </w:r>
    </w:p>
    <w:p/>
    <w:p>
      <w:pPr>
        <w:pStyle w:val="Normal"/>
      </w:pPr>
      <w:r>
        <w:rPr>
          <w:color w:val="323232"/>
        </w:rPr>
        <w:t xml:space="preserve">J Danner, M D Ridgway, S I Rubin, and K Le Boedec.</w:t>
      </w:r>
    </w:p>
    <w:p/>
    <w:p>
      <w:pPr>
        <w:pStyle w:val="Normal"/>
      </w:pPr>
      <w:r>
        <w:rPr>
          <w:color w:val="323232"/>
        </w:rPr>
        <w:t xml:space="preserve">BACKGROUND:Ionized calcium concentration is the gold standard to assess calcium status in dogs, but measurement is not always available.</w:t>
      </w:r>
    </w:p>
    <w:p/>
    <w:p>
      <w:pPr>
        <w:pStyle w:val="Normal"/>
      </w:pPr>
      <w:r>
        <w:rPr>
          <w:color w:val="323232"/>
        </w:rPr>
        <w:t xml:space="preserve">OBJECTIVES:(1) To predict ionized calcium concentration from biochemical results and compare the diagnostic performance of predicted ionized calcium concentration (piCa) to those of total calcium concentration (tCa) and 2 corrected tCa formulas; and (2) to study the relationship between biochemical results and variation of measured ionized calcium concentration (miCa).</w:t>
      </w:r>
    </w:p>
    <w:p/>
    <w:p>
      <w:pPr>
        <w:pStyle w:val="Normal"/>
      </w:pPr>
      <w:r>
        <w:rPr>
          <w:color w:val="323232"/>
        </w:rPr>
        <w:t xml:space="preserve">ANIMALS:A total of 1,719 dogs with both miCa and biochemical profile results available.</w:t>
      </w:r>
    </w:p>
    <w:p/>
    <w:p>
      <w:pPr>
        <w:pStyle w:val="Normal"/>
      </w:pPr>
      <w:r>
        <w:rPr>
          <w:color w:val="323232"/>
        </w:rPr>
        <w:t xml:space="preserve">METHODS:Cross-sectional study. Using 1,200 dogs, piCa was determined using a multivariate adaptive regression splines model. Its accuracy and performance were tested on the remaining 519 dogs.</w:t>
      </w:r>
    </w:p>
    <w:p/>
    <w:p>
      <w:pPr>
        <w:pStyle w:val="Normal"/>
      </w:pPr>
      <w:r>
        <w:rPr>
          <w:color w:val="323232"/>
        </w:rPr>
        <w:t xml:space="preserve">RESULTS:The final model included creatinine, albumin, tCa, phosphorus, sodium, potassium, chloride, alkaline phosphatase, triglycerides, and age, with tCa, albumin, and chloride having the highest impact on miCa variation. Measured ionized calcium concentration was better correlated with piCa than with tCa and corrected tCa and had higher overall diagnostic accuracy to diagnose hypocalcemia and hypercalcemia, but not significantly for hypercalcemia. For hypercalcemia, piCa was as sensitive (64%) but more specific (99.6%) than tCa and corrected tCa. For hypocalcemia, piCa was more sensitive (21.8%) and as specific (98.4%) as tCa. Positive and negative predictive values of piCa were high for both hypercalcemia (90% and 98%, respectively) and hypocalcemia (70.8% and 87.7%, respectively).</w:t>
      </w:r>
    </w:p>
    <w:p/>
    <w:p>
      <w:pPr>
        <w:pStyle w:val="Normal"/>
      </w:pPr>
      <w:r>
        <w:rPr>
          <w:color w:val="323232"/>
        </w:rPr>
        <w:t xml:space="preserve">CONCLUSIONS AND CLINICAL IMPORTANCE:Predicted ionized calcium concentration can be obtained from readily available biochemical and patient results and seems more useful than tCa and corrected tCa to assess calcium disorders in dogs when miCa is unavailable. Validation on external data, however, is warranted.</w:t>
      </w:r>
    </w:p>
    <w:p/>
    <w:p>
      <w:pPr>
        <w:pStyle w:val="Normal"/>
      </w:pPr>
      <w:r>
        <w:rPr>
          <w:color w:val="323232"/>
        </w:rPr>
        <w:t xml:space="preserve">J Vet Intern Med, 2017 vol. 31 (5) pp. 1392-1402.</w:t>
      </w:r>
    </w:p>
    <w:p>
      <w:r>
        <w:rPr>
          <w:rStyle w:val="Hyperlink"/>
        </w:rPr>
        <w:fldChar w:fldCharType="begin"/>
      </w:r>
      <w:r>
        <w:rPr>
          <w:rStyle w:val="Hyperlink"/>
        </w:rPr>
        <w:instrText xml:space="preserve"> HYPERLINK "http://eutils.ncbi.nlm.nih.gov/entrez/eutils/elink.fcgi?dbfrom=pubmed&amp;id=28833561&amp;retmode=ref&amp;cmd=prlinks"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http://eutils.ncbi.nlm.nih.gov/entrez/eutils/elink.fcgi?dbfrom=pubmed&amp;id=28833561&amp;retmode=ref&amp;cmd=prlinks</w:t>
      </w:r>
      <w:r>
        <w:rPr>
          <w:rStyle w:val="Hyperlink"/>
        </w:rPr>
        <w:fldChar w:fldCharType="end"/>
      </w:r>
    </w:p>
    <w:p>
      <w:pPr>
        <w:pStyle w:val="Normal"/>
      </w:pPr>
      <w:r>
        <w:rPr>
          <w:color w:val="323232"/>
        </w:rPr>
        <w:t xml:space="preserve">————————</w:t>
      </w:r>
    </w:p>
    <w:p>
      <w:pPr>
        <w:pStyle w:val="Heading4"/>
      </w:pPr>
      <w:r>
        <w:t xml:space="preserve">Relationship between Total Homocysteine, Folic Acid, and Thyroid Hormones in Hypothyroid Dogs.</w:t>
      </w:r>
    </w:p>
    <w:p/>
    <w:p>
      <w:pPr>
        <w:pStyle w:val="Normal"/>
      </w:pPr>
      <w:r>
        <w:rPr>
          <w:color w:val="323232"/>
        </w:rPr>
        <w:t xml:space="preserve">M Gołyński, K Lutnicki, W Krumrych, M Szczepanik, M Gołyńska, P Wilkołek, Ł Adamek, Ł Sitkowski, and Ł Kurek.</w:t>
      </w:r>
    </w:p>
    <w:p/>
    <w:p>
      <w:pPr>
        <w:pStyle w:val="Normal"/>
      </w:pPr>
      <w:r>
        <w:rPr>
          <w:color w:val="323232"/>
        </w:rPr>
        <w:t xml:space="preserve">BACKGROUND:Both elevated homocysteine and decreased folic acid concentrations are observed in human patients with hypothyroidism and can influence the development of numerous secondary disorders.</w:t>
      </w:r>
    </w:p>
    <w:p/>
    <w:p>
      <w:pPr>
        <w:pStyle w:val="Normal"/>
      </w:pPr>
      <w:r>
        <w:rPr>
          <w:color w:val="323232"/>
        </w:rPr>
        <w:t xml:space="preserve">OBJECTIVES:The aim of the study was to assess total homocysteine concentration in serum and to examine its relationship with the concentration of folic acid and thyroid hormones (tT4 and fT4).</w:t>
      </w:r>
    </w:p>
    <w:p/>
    <w:p>
      <w:pPr>
        <w:pStyle w:val="Normal"/>
      </w:pPr>
      <w:r>
        <w:rPr>
          <w:color w:val="323232"/>
        </w:rPr>
        <w:t xml:space="preserve">ANIMALS:Ten healthy and 19 hypothyroid client-owned dogs.</w:t>
      </w:r>
    </w:p>
    <w:p/>
    <w:p>
      <w:pPr>
        <w:pStyle w:val="Normal"/>
      </w:pPr>
      <w:r>
        <w:rPr>
          <w:color w:val="323232"/>
        </w:rPr>
        <w:t xml:space="preserve">METHODS:Dogs with clinical signs of hypothyroidism had the diagnosis confirmed by additional tests. Total homocysteine, folic acid, total thyroxine, and free thyroxine concentrations in serum were evaluated.</w:t>
      </w:r>
    </w:p>
    <w:p/>
    <w:p>
      <w:pPr>
        <w:pStyle w:val="Normal"/>
      </w:pPr>
      <w:r>
        <w:rPr>
          <w:color w:val="323232"/>
        </w:rPr>
        <w:t xml:space="preserve">RESULTS:Hypothyroid dogs were diagnosed with increased homocysteine (median 22.20 μmol</w:t>
      </w:r>
      <w:r>
        <w:rPr>
          <w:i w:val="1"/>
          <w:color w:val="323232"/>
        </w:rPr>
        <w:t xml:space="preserve">L; range, 16.50-37.75) and decreased folic acid (median 20.62 nmol</w:t>
      </w:r>
      <w:r>
        <w:rPr>
          <w:color w:val="323232"/>
        </w:rPr>
        <w:t xml:space="preserve">L; range, 10.54-26.35) concentrations, as compared to healthy dogs (11.52 μmol</w:t>
      </w:r>
      <w:r>
        <w:rPr>
          <w:i w:val="1"/>
          <w:color w:val="323232"/>
        </w:rPr>
        <w:t xml:space="preserve">L; range, 10.00-16.65 and 30.68 nmol</w:t>
      </w:r>
      <w:r>
        <w:rPr>
          <w:color w:val="323232"/>
        </w:rPr>
        <w:t xml:space="preserve">L; range, 22.84-38.52, respectively). In sick dogs, total homocysteine was inversely correlated with folic acid (ρ = -0.47, P &lt; 0.001), total thyroxine (ρ = -0.69, P = 0.0092), and free thyroxine (ρ = -0.56, P = 0.0302).</w:t>
      </w:r>
    </w:p>
    <w:p/>
    <w:p>
      <w:pPr>
        <w:pStyle w:val="Normal"/>
      </w:pPr>
      <w:r>
        <w:rPr>
          <w:color w:val="323232"/>
        </w:rPr>
        <w:t xml:space="preserve">CONCLUSIONS:Hypothyroidism in dogs causes hyperhomocysteinemia. Concomitant mild folic acid decrease in hypothyroid dogs might be as a result of hyperhomocysteinemia.</w:t>
      </w:r>
    </w:p>
    <w:p/>
    <w:p>
      <w:pPr>
        <w:pStyle w:val="Normal"/>
      </w:pPr>
      <w:r>
        <w:rPr>
          <w:color w:val="323232"/>
        </w:rPr>
        <w:t xml:space="preserve">J Vet Intern Med, 2017 vol. 31 (5) pp. 1403-1405.</w:t>
      </w:r>
    </w:p>
    <w:p>
      <w:r>
        <w:rPr>
          <w:rStyle w:val="Hyperlink"/>
        </w:rPr>
        <w:fldChar w:fldCharType="begin"/>
      </w:r>
      <w:r>
        <w:rPr>
          <w:rStyle w:val="Hyperlink"/>
        </w:rPr>
        <w:instrText xml:space="preserve"> HYPERLINK "http://dx.doi.org/10.1111/jvim.14804" </w:instrText>
      </w:r>
      <w:r>
        <w:rPr>
          <w:rStyle w:val="Hyperlink"/>
        </w:rPr>
      </w:r>
      <w:r>
        <w:rPr>
          <w:rStyle w:val="Hyperlink"/>
        </w:rPr>
        <w:fldChar w:fldCharType="separate"/>
      </w:r>
      <w:pPr>
        <w:pStyle w:val="Normal"/>
      </w:pPr>
      <w:r>
        <w:rPr>
          <w:rStyle w:val="Hyperlink"/>
        </w:rPr>
        <w:t xml:space="preserve">http://dx.doi.org/10.1111/jvim.14804</w:t>
      </w:r>
      <w:r>
        <w:rPr>
          <w:rStyle w:val="Hyperlink"/>
        </w:rPr>
        <w:fldChar w:fldCharType="end"/>
      </w:r>
    </w:p>
    <w:p>
      <w:pPr>
        <w:pStyle w:val="Normal"/>
      </w:pPr>
      <w:r>
        <w:rPr>
          <w:color w:val="323232"/>
        </w:rPr>
        <w:t xml:space="preserve">————————</w:t>
      </w:r>
    </w:p>
    <w:p>
      <w:pPr>
        <w:pStyle w:val="Heading4"/>
      </w:pPr>
      <w:r>
        <w:t xml:space="preserve">Randomized, Controlled, Crossover trial of Prevention of Clindamycin-Induced Gastrointestinal Signs Using a Synbiotic in Healthy Research Cats.</w:t>
      </w:r>
    </w:p>
    <w:p/>
    <w:p>
      <w:pPr>
        <w:pStyle w:val="Normal"/>
      </w:pPr>
      <w:r>
        <w:rPr>
          <w:color w:val="323232"/>
        </w:rPr>
        <w:t xml:space="preserve">J E Stokes, J M Price, and J C Whittemore.</w:t>
      </w:r>
    </w:p>
    <w:p/>
    <w:p>
      <w:pPr>
        <w:pStyle w:val="Normal"/>
      </w:pPr>
      <w:r>
        <w:rPr>
          <w:color w:val="323232"/>
        </w:rPr>
        <w:t xml:space="preserve">BACKGROUND:Synbiotics often are prescribed to limit antibiotic-associated gastrointestinal signs (AAGS) in cats, but data to support this recommendation are lacking.</w:t>
      </w:r>
    </w:p>
    <w:p/>
    <w:p>
      <w:pPr>
        <w:pStyle w:val="Normal"/>
      </w:pPr>
      <w:r>
        <w:rPr>
          <w:color w:val="323232"/>
        </w:rPr>
        <w:t xml:space="preserve">OBJECTIVE:To determine whether synbiotic co-administration mitigates AAGS in healthy research cats treated with clindamycin.</w:t>
      </w:r>
    </w:p>
    <w:p/>
    <w:p>
      <w:pPr>
        <w:pStyle w:val="Normal"/>
      </w:pPr>
      <w:r>
        <w:rPr>
          <w:color w:val="323232"/>
        </w:rPr>
        <w:t xml:space="preserve">ANIMALS:16 healthy research cats.</w:t>
      </w:r>
    </w:p>
    <w:p/>
    <w:p>
      <w:pPr>
        <w:pStyle w:val="Normal"/>
      </w:pPr>
      <w:r>
        <w:rPr>
          <w:color w:val="323232"/>
        </w:rPr>
        <w:t xml:space="preserve">METHODS:A randomized, double-blinded, placebo-controlled, 2-way, 2-period, crossover study with a 6-week washout was performed. Each study period consisted of a 1-week baseline and a 3-week treatment period. Cats received 75 mg clindamycin with food once daily for 3 weeks, followed 1 hour later by either 2 capsules of a synbiotic or placebo. Food consumption, vomiting, fecal score, and completion of treatment were compared using repeated measures split plot or crossover designs with covariates, with P &lt; 0.05 considered significant.</w:t>
      </w:r>
    </w:p>
    <w:p/>
    <w:p>
      <w:pPr>
        <w:pStyle w:val="Normal"/>
      </w:pPr>
      <w:r>
        <w:rPr>
          <w:color w:val="323232"/>
        </w:rPr>
        <w:t xml:space="preserve">RESULTS:Cats that received the synbiotic were more likely to complete treatment in period 1 (100% vs. 50%, P = 0.04). Cats vomited less when receiving the synbiotic but this was not significant, but there were significant period effects (F-value = 11.4, P &lt; 0.01). Cats had higher food intake while receiving the synbiotic (F-value = 31.1, P &lt; 0.01) despite period effects (F-value = 8.6, P &lt; 0.01). There was no significant effect of treatment on fecal scores, which significantly increased over time (F-value = 17.9, P &lt; 0.01).</w:t>
      </w:r>
    </w:p>
    <w:p/>
    <w:p>
      <w:pPr>
        <w:pStyle w:val="Normal"/>
      </w:pPr>
      <w:r>
        <w:rPr>
          <w:color w:val="323232"/>
        </w:rPr>
        <w:t xml:space="preserve">CONCLUSIONS AND CLINICAL IMPORTANCE:Administration of a synbiotic 1 hour after clindamycin administration decreased hyporexia and vomiting in healthy cats. Additionally, significant period effects suggest that clinical benefits of synbiotic administration persist for at least 6 weeks after discontinuation, decreasing the severity of AAGS in cats that subsequently received clindamycin with placebo. Unlike in people, synbiotic administration did not decrease antibiotic-associated diarrhea.</w:t>
      </w:r>
    </w:p>
    <w:p/>
    <w:p>
      <w:pPr>
        <w:pStyle w:val="Normal"/>
      </w:pPr>
      <w:r>
        <w:rPr>
          <w:color w:val="323232"/>
        </w:rPr>
        <w:t xml:space="preserve">J Vet Intern Med, 2017 vol. 31 (5) pp. 1406-1413.</w:t>
      </w:r>
    </w:p>
    <w:p>
      <w:r>
        <w:rPr>
          <w:rStyle w:val="Hyperlink"/>
        </w:rPr>
        <w:fldChar w:fldCharType="begin"/>
      </w:r>
      <w:r>
        <w:rPr>
          <w:rStyle w:val="Hyperlink"/>
        </w:rPr>
        <w:instrText xml:space="preserve"> HYPERLINK "http://dx.doi.org/10.1111/jvim.14795" </w:instrText>
      </w:r>
      <w:r>
        <w:rPr>
          <w:rStyle w:val="Hyperlink"/>
        </w:rPr>
      </w:r>
      <w:r>
        <w:rPr>
          <w:rStyle w:val="Hyperlink"/>
        </w:rPr>
        <w:fldChar w:fldCharType="separate"/>
      </w:r>
      <w:pPr>
        <w:pStyle w:val="Normal"/>
      </w:pPr>
      <w:r>
        <w:rPr>
          <w:rStyle w:val="Hyperlink"/>
        </w:rPr>
        <w:t xml:space="preserve">http://dx.doi.org/10.1111/jvim.14795</w:t>
      </w:r>
      <w:r>
        <w:rPr>
          <w:rStyle w:val="Hyperlink"/>
        </w:rPr>
        <w:fldChar w:fldCharType="end"/>
      </w:r>
    </w:p>
    <w:p>
      <w:pPr>
        <w:pStyle w:val="Normal"/>
      </w:pPr>
      <w:r>
        <w:rPr>
          <w:color w:val="323232"/>
        </w:rPr>
        <w:t xml:space="preserve">————————</w:t>
      </w:r>
    </w:p>
    <w:p>
      <w:pPr>
        <w:pStyle w:val="Heading4"/>
      </w:pPr>
      <w:r>
        <w:t xml:space="preserve">Evaluation of Gastric pH and Serum Gastrin Concentrations in Cats with Chronic Kidney Disease.</w:t>
      </w:r>
    </w:p>
    <w:p/>
    <w:p>
      <w:pPr>
        <w:pStyle w:val="Normal"/>
      </w:pPr>
      <w:r>
        <w:rPr>
          <w:color w:val="323232"/>
        </w:rPr>
        <w:t xml:space="preserve">M K Tolbert, S Olin, S MacLane, E Gould, J M Steiner, S Vaden, and J Price.</w:t>
      </w:r>
    </w:p>
    <w:p/>
    <w:p>
      <w:pPr>
        <w:pStyle w:val="Normal"/>
      </w:pPr>
      <w:r>
        <w:rPr>
          <w:color w:val="323232"/>
        </w:rPr>
        <w:t xml:space="preserve">BACKGROUND:Chronic kidney disease (CKD) is a highly prevalent condition in cats. Advanced CKD is associated with hyporexia and vomiting, which typically are attributed to uremic toxins and gastric hyperacidity. However, gastric pH studies have not been performed in cats with CKD.</w:t>
      </w:r>
    </w:p>
    <w:p/>
    <w:p>
      <w:pPr>
        <w:pStyle w:val="Normal"/>
      </w:pPr>
      <w:r>
        <w:rPr>
          <w:color w:val="323232"/>
        </w:rPr>
        <w:t xml:space="preserve">HYPOTHESIS/OBJECTIVES:To determine if cats with CKD have decreased gastric pH compared to age-matched, healthy cats. Based on previous work demonstrating an association of hypergastrinemia and CKD, we hypothesized that cats with CKD would have decreased gastric pH compared to healthy, age-matched control cats.</w:t>
      </w:r>
    </w:p>
    <w:p/>
    <w:p>
      <w:pPr>
        <w:pStyle w:val="Normal"/>
      </w:pPr>
      <w:r>
        <w:rPr>
          <w:color w:val="323232"/>
        </w:rPr>
        <w:t xml:space="preserve">ANIMALS:10 CKD cats; 9 healthy control cats.</w:t>
      </w:r>
    </w:p>
    <w:p/>
    <w:p>
      <w:pPr>
        <w:pStyle w:val="Normal"/>
      </w:pPr>
      <w:r>
        <w:rPr>
          <w:color w:val="323232"/>
        </w:rPr>
        <w:t xml:space="preserve">METHODS:All cats with concurrent disease were excluded on the basis of history, physical examination, CBC, plasma biochemistry profile, urinalysis, urine culture, serum total thyroxine concentration, and serum symmetric dimethylarginine concentration (controls only) obtained within 24 hours of pH monitoring and assessment of serum gastrin concentrations. Serum for gastrin determination was collected, and 12-hour continuous gastric pH monitoring was performed in all cats. Serum gastrin concentration, mean pH, and percentage time that gastric pH was strongly acidic (pH &lt;1 and &lt;2) were compared between groups.</w:t>
      </w:r>
    </w:p>
    <w:p/>
    <w:p>
      <w:pPr>
        <w:pStyle w:val="Normal"/>
      </w:pPr>
      <w:r>
        <w:rPr>
          <w:color w:val="323232"/>
        </w:rPr>
        <w:t xml:space="preserve">RESULTS:No significant differences in serum gastrin concentrations were observed between groups (medians [range]: CKD, 18.7 ng</w:t>
      </w:r>
      <w:r>
        <w:rPr>
          <w:i w:val="1"/>
          <w:color w:val="323232"/>
        </w:rPr>
        <w:t xml:space="preserve">dL [&lt;10-659.0]; healthy, 54.6 ng</w:t>
      </w:r>
      <w:r>
        <w:rPr>
          <w:color w:val="323232"/>
        </w:rPr>
        <w:t xml:space="preserve">dL [&lt;10-98.0]; P-value = 0.713) or of any pH parameters including mean ± SD gastric pH (CKD, 1.8 ± 0.5; healthy, 1.6 ± 0.3; P-value = 0.23).</w:t>
      </w:r>
    </w:p>
    <w:p/>
    <w:p>
      <w:pPr>
        <w:pStyle w:val="Normal"/>
      </w:pPr>
      <w:r>
        <w:rPr>
          <w:color w:val="323232"/>
        </w:rPr>
        <w:t xml:space="preserve">CONCLUSIONS AND CLINICAL IMPORTANCE:These findings suggest that cats with CKD may not have gastric hyperacidity compared to healthy cats and, therefore, may not need acid suppression. Thus, further studies to determine if there is a benefit to acid suppression in cats with CKD are warranted.</w:t>
      </w:r>
    </w:p>
    <w:p/>
    <w:p>
      <w:pPr>
        <w:pStyle w:val="Normal"/>
      </w:pPr>
      <w:r>
        <w:rPr>
          <w:color w:val="323232"/>
        </w:rPr>
        <w:t xml:space="preserve">J Vet Intern Med, 2017 vol. 31 (5) pp. 1414-1419.</w:t>
      </w:r>
    </w:p>
    <w:p>
      <w:r>
        <w:rPr>
          <w:rStyle w:val="Hyperlink"/>
        </w:rPr>
        <w:fldChar w:fldCharType="begin"/>
      </w:r>
      <w:r>
        <w:rPr>
          <w:rStyle w:val="Hyperlink"/>
        </w:rPr>
        <w:instrText xml:space="preserve"> HYPERLINK "http://dx.doi.org/10.1111/jvim.14807" </w:instrText>
      </w:r>
      <w:r>
        <w:rPr>
          <w:rStyle w:val="Hyperlink"/>
        </w:rPr>
      </w:r>
      <w:r>
        <w:rPr>
          <w:rStyle w:val="Hyperlink"/>
        </w:rPr>
        <w:fldChar w:fldCharType="separate"/>
      </w:r>
      <w:pPr>
        <w:pStyle w:val="Normal"/>
      </w:pPr>
      <w:r>
        <w:rPr>
          <w:rStyle w:val="Hyperlink"/>
        </w:rPr>
        <w:t xml:space="preserve">http://dx.doi.org/10.1111/jvim.14807</w:t>
      </w:r>
      <w:r>
        <w:rPr>
          <w:rStyle w:val="Hyperlink"/>
        </w:rPr>
        <w:fldChar w:fldCharType="end"/>
      </w:r>
    </w:p>
    <w:p>
      <w:pPr>
        <w:pStyle w:val="Normal"/>
      </w:pPr>
      <w:r>
        <w:rPr>
          <w:color w:val="323232"/>
        </w:rPr>
        <w:t xml:space="preserve">————————</w:t>
      </w:r>
    </w:p>
    <w:p>
      <w:pPr>
        <w:pStyle w:val="Heading4"/>
      </w:pPr>
      <w:r>
        <w:t xml:space="preserve">Pre- and Post-Transfusion Alloimmunization in Dogs Characterized by 2 Antiglobulin-Enhanced Cross-match Tests.</w:t>
      </w:r>
    </w:p>
    <w:p/>
    <w:p>
      <w:pPr>
        <w:pStyle w:val="Normal"/>
      </w:pPr>
      <w:r>
        <w:rPr>
          <w:color w:val="323232"/>
        </w:rPr>
        <w:t xml:space="preserve">I Goy-Thollot, U Giger, C Boisvineau, R Perrin, M Guidetti, B Chaprier, A Barthélemy, C Pouzot-Nevoret, and B Canard.</w:t>
      </w:r>
    </w:p>
    <w:p/>
    <w:p>
      <w:pPr>
        <w:pStyle w:val="Normal"/>
      </w:pPr>
      <w:r>
        <w:rPr>
          <w:color w:val="323232"/>
        </w:rPr>
        <w:t xml:space="preserve">BACKGROUND:When dogs are transfused, blood compatibility testing varies widely but may include dog erythrocyte antigen (DEA) 1 typing and rarely cross-matching.</w:t>
      </w:r>
    </w:p>
    <w:p/>
    <w:p>
      <w:pPr>
        <w:pStyle w:val="Normal"/>
      </w:pPr>
      <w:r>
        <w:rPr>
          <w:color w:val="323232"/>
        </w:rPr>
        <w:t xml:space="preserve">OBJECTIVES:Prospective study to examine naturally occurring alloantibodies against red blood cells (RBCs) and alloimmunization by transfusion using 2 antiglobulin-enhanced cross-match tests.</w:t>
      </w:r>
    </w:p>
    <w:p/>
    <w:p>
      <w:pPr>
        <w:pStyle w:val="Normal"/>
      </w:pPr>
      <w:r>
        <w:rPr>
          <w:color w:val="323232"/>
        </w:rPr>
        <w:t xml:space="preserve">ANIMALS:Eighty client-owned anemic, 72 donor, and 7 control dogs.</w:t>
      </w:r>
    </w:p>
    <w:p/>
    <w:p>
      <w:pPr>
        <w:pStyle w:val="Normal"/>
      </w:pPr>
      <w:r>
        <w:rPr>
          <w:color w:val="323232"/>
        </w:rPr>
        <w:t xml:space="preserve">METHODS:All dogs were typed for DEA 1 and some also for DEA 4 and DEA 7. Major cross-match tests with canine antiglobulin-enhanced immunochromatographic strip and gel columns were performed 26-129 days post-transfusion (median, 39 days); some dogs had an additional early evaluation 11-22 days post-transfusion (median, 16 days). Plasma from alloimmunized recipients was cross-matched against RBCs from 34 donor and control dogs.</w:t>
      </w:r>
    </w:p>
    <w:p/>
    <w:p>
      <w:pPr>
        <w:pStyle w:val="Normal"/>
      </w:pPr>
      <w:r>
        <w:rPr>
          <w:color w:val="323232"/>
        </w:rPr>
        <w:t xml:space="preserve">RESULTS:The 2 cross-match methods gave entirely concordant results. All 126 pretransfusion cross-match results for the 80 anemic recipients were compatible, but 54 dogs died or were lost to follow up. Among the 26 recipients with follow-up, 1 dog accidently received DEA 1-mismatched blood and became cross-match-incompatible post-transfusion. Eleven of the 25 DEA 1-matched recipients (44%) became incompatible against other RBC antigens. No naturally occurring anti-DEA 7 alloantibodies were detected in DEA 7- dogs.</w:t>
      </w:r>
    </w:p>
    <w:p/>
    <w:p>
      <w:pPr>
        <w:pStyle w:val="Normal"/>
      </w:pPr>
      <w:r>
        <w:rPr>
          <w:color w:val="323232"/>
        </w:rPr>
        <w:t xml:space="preserve">CONCLUSIONS AND CLINICAL IMPORTANCE:The antiglobulin-enhanced immunochromatographic strip cross-match and laboratory gel column techniques identified no naturally occurring alloantibodies against RBC antigens, but a high degree of post-transfusion alloimmunization in dogs. Cross-matching is warranted in any dog that has been previously transfused independent of initial DEA 1 typing and cross-matching results before the first transfusion event.</w:t>
      </w:r>
    </w:p>
    <w:p/>
    <w:p>
      <w:pPr>
        <w:pStyle w:val="Normal"/>
      </w:pPr>
      <w:r>
        <w:rPr>
          <w:color w:val="323232"/>
        </w:rPr>
        <w:t xml:space="preserve">J Vet Intern Med, 2017 vol. 31 (5), 15 pp. 1420-1429.</w:t>
      </w:r>
    </w:p>
    <w:p>
      <w:r>
        <w:rPr>
          <w:rStyle w:val="Hyperlink"/>
        </w:rPr>
        <w:fldChar w:fldCharType="begin"/>
      </w:r>
      <w:r>
        <w:rPr>
          <w:rStyle w:val="Hyperlink"/>
        </w:rPr>
        <w:instrText xml:space="preserve"> HYPERLINK "http://dx.doi.org/10.1111/jvim.14801" </w:instrText>
      </w:r>
      <w:r>
        <w:rPr>
          <w:rStyle w:val="Hyperlink"/>
        </w:rPr>
      </w:r>
      <w:r>
        <w:rPr>
          <w:rStyle w:val="Hyperlink"/>
        </w:rPr>
        <w:fldChar w:fldCharType="separate"/>
      </w:r>
      <w:pPr>
        <w:pStyle w:val="Normal"/>
      </w:pPr>
      <w:r>
        <w:rPr>
          <w:rStyle w:val="Hyperlink"/>
        </w:rPr>
        <w:t xml:space="preserve">http://dx.doi.org/10.1111/jvim.14801</w:t>
      </w:r>
      <w:r>
        <w:rPr>
          <w:rStyle w:val="Hyperlink"/>
        </w:rPr>
        <w:fldChar w:fldCharType="end"/>
      </w:r>
    </w:p>
    <w:p>
      <w:pPr>
        <w:pStyle w:val="Normal"/>
      </w:pPr>
      <w:r>
        <w:rPr>
          <w:color w:val="323232"/>
        </w:rPr>
        <w:t xml:space="preserve">————————</w:t>
      </w:r>
    </w:p>
    <w:p>
      <w:pPr>
        <w:pStyle w:val="Heading4"/>
      </w:pPr>
      <w:r>
        <w:t xml:space="preserve">Serum Thymidine Kinase 1, Canine-C-Reactive Protein, Haptoglobin, and Vitamin D Concentrations in Dogs with Immune-Mediated Hemolytic Anemia, Thrombocytopenia, and Polyarthropathy.</w:t>
      </w:r>
    </w:p>
    <w:p/>
    <w:p>
      <w:pPr>
        <w:pStyle w:val="Normal"/>
      </w:pPr>
      <w:r>
        <w:rPr>
          <w:color w:val="323232"/>
        </w:rPr>
        <w:t xml:space="preserve">M Grobman, H Outi, H Rindt, and C Reinero.</w:t>
      </w:r>
    </w:p>
    <w:p/>
    <w:p>
      <w:pPr>
        <w:pStyle w:val="Normal"/>
      </w:pPr>
      <w:r>
        <w:rPr>
          <w:color w:val="323232"/>
        </w:rPr>
        <w:t xml:space="preserve">BACKGROUND:Relapses of immune-mediated hemolytic anemia (IMHA), thrombocytopenia (ITP), or polyarthropathy (IMPA) occur despite normal hematologic and cytologic parameters. Thymidine kinase 1 (TK1), canine C-reactive protein (c-CRP), haptoglobin (HPT), and 25-Hydroxyvitamin-D (25(OH)D) might be adjunct to current monitoring strategies.</w:t>
      </w:r>
    </w:p>
    <w:p/>
    <w:p>
      <w:pPr>
        <w:pStyle w:val="Normal"/>
      </w:pPr>
      <w:r>
        <w:rPr>
          <w:color w:val="323232"/>
        </w:rPr>
        <w:t xml:space="preserve">HYPOTHESIS/OBJECTIVES:Compare serum concentrations of TK1, c-CRP, HPT, and 25(OH)D in dogs with well- and poorly controlled primary IMHA, ITP, or IMPA.</w:t>
      </w:r>
    </w:p>
    <w:p/>
    <w:p>
      <w:pPr>
        <w:pStyle w:val="Normal"/>
      </w:pPr>
      <w:r>
        <w:rPr>
          <w:color w:val="323232"/>
        </w:rPr>
        <w:t xml:space="preserve">ANIMALS:Thirty-eight client-owned dogs.</w:t>
      </w:r>
    </w:p>
    <w:p/>
    <w:p>
      <w:pPr>
        <w:pStyle w:val="Normal"/>
      </w:pPr>
      <w:r>
        <w:rPr>
          <w:color w:val="323232"/>
        </w:rPr>
        <w:t xml:space="preserve">METHODS:Prospective descriptive study. Dogs diagnosed with IMHA, ITP, or IMPA had serum biomarker concentrations measured commercially. Disease control was assessed by hematocrit/PCV and reticulocyte count, platelet count, and synovial fluid cytology for IMHA, ITP, and IMPA, respectively. Statistical analysis performed by Mann-Whitney rank-sum tests and receiver operating characteristic curves.</w:t>
      </w:r>
    </w:p>
    <w:p/>
    <w:p>
      <w:pPr>
        <w:pStyle w:val="Normal"/>
      </w:pPr>
      <w:r>
        <w:rPr>
          <w:color w:val="323232"/>
        </w:rPr>
        <w:t xml:space="preserve">RESULTS:TK1 and c-CRP, but not HPT significantly decreased with well- versus poorly controlled IMHA (P = 0.047, P = 0.028, P = 0.37). C-CRP, but not TK or HPT was significantly lower with well- versus poorly controlled IMPA (P = 0.05, P = 0.28, P = 0.84). Sensitivity and specificity of TK and c-CRP (simultaneously) for detecting dogs with poorly controlled IMHA were 88 and 100%, respectively. Sensitivity and specificity of c-CRP for detecting poorly controlled dogs with IMPA were 13 and 100%, respectively. 92% of dogs were vitamin D insufficient (&lt;100 ng/mL) regardless of disease control.</w:t>
      </w:r>
    </w:p>
    <w:p/>
    <w:p>
      <w:pPr>
        <w:pStyle w:val="Normal"/>
      </w:pPr>
      <w:r>
        <w:rPr>
          <w:color w:val="323232"/>
        </w:rPr>
        <w:t xml:space="preserve">CONCLUSIONS AND CLINICAL IMPORTANCE:Combining TK1 and c-CRP might act markers of disease control in dogs with IMHA. Canine-CRP cannot be recommended as an independent marker of disease control in IMPA. 25(OH)D insufficiency in immune-mediated disorders might benefit from further study to determine if supplementation could improve therapeutic response or reduce disease risk.</w:t>
      </w:r>
    </w:p>
    <w:p/>
    <w:p>
      <w:pPr>
        <w:pStyle w:val="Normal"/>
      </w:pPr>
      <w:r>
        <w:rPr>
          <w:color w:val="323232"/>
        </w:rPr>
        <w:t xml:space="preserve">J Vet Intern Med, 2017 vol. 31 (5) pp. 1430-1440.</w:t>
      </w:r>
    </w:p>
    <w:p>
      <w:r>
        <w:rPr>
          <w:rStyle w:val="Hyperlink"/>
        </w:rPr>
        <w:fldChar w:fldCharType="begin"/>
      </w:r>
      <w:r>
        <w:rPr>
          <w:rStyle w:val="Hyperlink"/>
        </w:rPr>
        <w:instrText xml:space="preserve"> HYPERLINK "http://dx.doi.org/10.1111/jvim.14787" </w:instrText>
      </w:r>
      <w:r>
        <w:rPr>
          <w:rStyle w:val="Hyperlink"/>
        </w:rPr>
      </w:r>
      <w:r>
        <w:rPr>
          <w:rStyle w:val="Hyperlink"/>
        </w:rPr>
        <w:fldChar w:fldCharType="separate"/>
      </w:r>
      <w:pPr>
        <w:pStyle w:val="Normal"/>
      </w:pPr>
      <w:r>
        <w:rPr>
          <w:rStyle w:val="Hyperlink"/>
        </w:rPr>
        <w:t xml:space="preserve">http://dx.doi.org/10.1111/jvim.14787</w:t>
      </w:r>
      <w:r>
        <w:rPr>
          <w:rStyle w:val="Hyperlink"/>
        </w:rPr>
        <w:fldChar w:fldCharType="end"/>
      </w:r>
    </w:p>
    <w:p>
      <w:pPr>
        <w:pStyle w:val="Normal"/>
      </w:pPr>
      <w:r>
        <w:rPr>
          <w:color w:val="323232"/>
        </w:rPr>
        <w:t xml:space="preserve">————————</w:t>
      </w:r>
    </w:p>
    <w:p>
      <w:pPr>
        <w:pStyle w:val="Heading4"/>
      </w:pPr>
      <w:r>
        <w:t xml:space="preserve">Cell-Free DNA and DNase Activity in Dogs with Immune-Mediated Hemolytic Anemia.</w:t>
      </w:r>
    </w:p>
    <w:p/>
    <w:p>
      <w:pPr>
        <w:pStyle w:val="Normal"/>
      </w:pPr>
      <w:r>
        <w:rPr>
          <w:color w:val="323232"/>
        </w:rPr>
        <w:t xml:space="preserve">U Jeffery, L Ruterbories, R Hanel, and D N LeVine.</w:t>
      </w:r>
    </w:p>
    <w:p/>
    <w:p>
      <w:pPr>
        <w:pStyle w:val="Normal"/>
      </w:pPr>
      <w:r>
        <w:rPr>
          <w:color w:val="323232"/>
        </w:rPr>
        <w:t xml:space="preserve">BACKGROUND:Immune-mediated hemolytic anemia (IMHA) in dogs has a high risk of thrombosis and is associated with marked neutrophilia and necrosis. Cell death and release of neutrophil extracellular traps contribute to increased serum concentrations of cell-free DNA, and in human autoimmune disease reduced DNase activity further increases cell-free DNA. Free DNA in blood has prothrombotic properties and could contribute to hypercoagulability in IMHA.</w:t>
      </w:r>
    </w:p>
    <w:p/>
    <w:p>
      <w:pPr>
        <w:pStyle w:val="Normal"/>
      </w:pPr>
      <w:r>
        <w:rPr>
          <w:color w:val="323232"/>
        </w:rPr>
        <w:t xml:space="preserve">HYPOTHESIS:Cell-free DNA is elevated and DNase activity reduced in dogs with IMHA compared to healthy dogs.</w:t>
      </w:r>
    </w:p>
    <w:p/>
    <w:p>
      <w:pPr>
        <w:pStyle w:val="Normal"/>
      </w:pPr>
      <w:r>
        <w:rPr>
          <w:color w:val="323232"/>
        </w:rPr>
        <w:t xml:space="preserve">ANIMALS:Dogs presenting to two referral hospitals with IMHA (n</w:t>
      </w:r>
      <w:r>
        <w:rPr>
          <w:color w:val="323232"/>
        </w:rPr>
        <w:t xml:space="preserve"> </w:t>
      </w:r>
      <w:r>
        <w:rPr>
          <w:color w:val="323232"/>
        </w:rPr>
        <w:t xml:space="preserve">=</w:t>
      </w:r>
      <w:r>
        <w:rPr>
          <w:color w:val="323232"/>
        </w:rPr>
        <w:t xml:space="preserve"> </w:t>
      </w:r>
      <w:r>
        <w:rPr>
          <w:color w:val="323232"/>
        </w:rPr>
        <w:t xml:space="preserve">28) and healthy controls (n</w:t>
      </w:r>
      <w:r>
        <w:rPr>
          <w:color w:val="323232"/>
        </w:rPr>
        <w:t xml:space="preserve"> </w:t>
      </w:r>
      <w:r>
        <w:rPr>
          <w:color w:val="323232"/>
        </w:rPr>
        <w:t xml:space="preserve">=</w:t>
      </w:r>
      <w:r>
        <w:rPr>
          <w:color w:val="323232"/>
        </w:rPr>
        <w:t xml:space="preserve"> </w:t>
      </w:r>
      <w:r>
        <w:rPr>
          <w:color w:val="323232"/>
        </w:rPr>
        <w:t xml:space="preserve">20).</w:t>
      </w:r>
    </w:p>
    <w:p/>
    <w:p>
      <w:pPr>
        <w:pStyle w:val="Normal"/>
      </w:pPr>
      <w:r>
        <w:rPr>
          <w:color w:val="323232"/>
        </w:rPr>
        <w:t xml:space="preserve">METHODS:Prospective observational study. Blood was collected and death and thrombotic events occurring in the first 14</w:t>
      </w:r>
      <w:r>
        <w:rPr>
          <w:color w:val="323232"/>
        </w:rPr>
        <w:t xml:space="preserve"> </w:t>
      </w:r>
      <w:r>
        <w:rPr>
          <w:color w:val="323232"/>
        </w:rPr>
        <w:t xml:space="preserve">days after hospitalization recorded. DNA was extracted from plasma with a commercial kit and quantified by PicoGreen fluorescence. DNase activity of serum was measured by radial diffusion assay.</w:t>
      </w:r>
    </w:p>
    <w:p/>
    <w:p>
      <w:pPr>
        <w:pStyle w:val="Normal"/>
      </w:pPr>
      <w:r>
        <w:rPr>
          <w:color w:val="323232"/>
        </w:rPr>
        <w:t xml:space="preserve">RESULTS:Cell-free DNA was significantly higher in cases (median: 45</w:t>
      </w:r>
      <w:r>
        <w:rPr>
          <w:color w:val="323232"/>
        </w:rPr>
        <w:t xml:space="preserve"> </w:t>
      </w:r>
      <w:r>
        <w:rPr>
          <w:color w:val="323232"/>
        </w:rPr>
        <w:t xml:space="preserve">ng</w:t>
      </w:r>
      <w:r>
        <w:rPr>
          <w:i w:val="1"/>
          <w:color w:val="323232"/>
        </w:rPr>
        <w:t xml:space="preserve">mL, range: 10-2334</w:t>
      </w:r>
      <w:r>
        <w:rPr>
          <w:color w:val="323232"/>
        </w:rPr>
        <w:t xml:space="preserve"> </w:t>
      </w:r>
      <w:r>
        <w:rPr>
          <w:i w:val="1"/>
          <w:color w:val="323232"/>
        </w:rPr>
        <w:t xml:space="preserve">ng</w:t>
      </w:r>
      <w:r>
        <w:rPr>
          <w:color w:val="323232"/>
        </w:rPr>
        <w:t xml:space="preserve">mL) than controls (26</w:t>
      </w:r>
      <w:r>
        <w:rPr>
          <w:color w:val="323232"/>
        </w:rPr>
        <w:t xml:space="preserve"> </w:t>
      </w:r>
      <w:r>
        <w:rPr>
          <w:color w:val="323232"/>
        </w:rPr>
        <w:t xml:space="preserve">ng</w:t>
      </w:r>
      <w:r>
        <w:rPr>
          <w:i w:val="1"/>
          <w:color w:val="323232"/>
        </w:rPr>
        <w:t xml:space="preserve">mL, range 1-151</w:t>
      </w:r>
      <w:r>
        <w:rPr>
          <w:color w:val="323232"/>
        </w:rPr>
        <w:t xml:space="preserve"> </w:t>
      </w:r>
      <w:r>
        <w:rPr>
          <w:i w:val="1"/>
          <w:color w:val="323232"/>
        </w:rPr>
        <w:t xml:space="preserve">ng</w:t>
      </w:r>
      <w:r>
        <w:rPr>
          <w:color w:val="323232"/>
        </w:rPr>
        <w:t xml:space="preserve">mL, P</w:t>
      </w:r>
      <w:r>
        <w:rPr>
          <w:color w:val="323232"/>
        </w:rPr>
        <w:t xml:space="preserve"> </w:t>
      </w:r>
      <w:r>
        <w:rPr>
          <w:color w:val="323232"/>
        </w:rPr>
        <w:t xml:space="preserve">=</w:t>
      </w:r>
      <w:r>
        <w:rPr>
          <w:color w:val="323232"/>
        </w:rPr>
        <w:t xml:space="preserve"> </w:t>
      </w:r>
      <w:r>
        <w:rPr>
          <w:color w:val="323232"/>
        </w:rPr>
        <w:t xml:space="preserve">0.0084). DNase activity was not different between cases and controls (P</w:t>
      </w:r>
      <w:r>
        <w:rPr>
          <w:color w:val="323232"/>
        </w:rPr>
        <w:t xml:space="preserve"> </w:t>
      </w:r>
      <w:r>
        <w:rPr>
          <w:color w:val="323232"/>
        </w:rPr>
        <w:t xml:space="preserve">=</w:t>
      </w:r>
      <w:r>
        <w:rPr>
          <w:color w:val="323232"/>
        </w:rPr>
        <w:t xml:space="preserve"> </w:t>
      </w:r>
      <w:r>
        <w:rPr>
          <w:color w:val="323232"/>
        </w:rPr>
        <w:t xml:space="preserve">0.36). Four cases died and there were five suspected or confirmed thrombotic events. Cell-free DNA concentration was associated with death (odds ratio for upper quartile versus lower 3 quartiles: 15; 95% confidence interval 1.62-201; P</w:t>
      </w:r>
      <w:r>
        <w:rPr>
          <w:color w:val="323232"/>
        </w:rPr>
        <w:t xml:space="preserve"> </w:t>
      </w:r>
      <w:r>
        <w:rPr>
          <w:color w:val="323232"/>
        </w:rPr>
        <w:t xml:space="preserve">=</w:t>
      </w:r>
      <w:r>
        <w:rPr>
          <w:color w:val="323232"/>
        </w:rPr>
        <w:t xml:space="preserve"> </w:t>
      </w:r>
      <w:r>
        <w:rPr>
          <w:color w:val="323232"/>
        </w:rPr>
        <w:t xml:space="preserve">0.03) but not thrombosis (P</w:t>
      </w:r>
      <w:r>
        <w:rPr>
          <w:color w:val="323232"/>
        </w:rPr>
        <w:t xml:space="preserve"> </w:t>
      </w:r>
      <w:r>
        <w:rPr>
          <w:color w:val="323232"/>
        </w:rPr>
        <w:t xml:space="preserve">=</w:t>
      </w:r>
      <w:r>
        <w:rPr>
          <w:color w:val="323232"/>
        </w:rPr>
        <w:t xml:space="preserve"> </w:t>
      </w:r>
      <w:r>
        <w:rPr>
          <w:color w:val="323232"/>
        </w:rPr>
        <w:t xml:space="preserve">0.57).</w:t>
      </w:r>
    </w:p>
    <w:p/>
    <w:p>
      <w:pPr>
        <w:pStyle w:val="Normal"/>
      </w:pPr>
      <w:r>
        <w:rPr>
          <w:color w:val="323232"/>
        </w:rPr>
        <w:t xml:space="preserve">CONCLUSIONS AND CLINICAL IMPORTANCE:Cell-free DNA is elevated in dogs with IMHA and likely reflects increased release rather than impaired degradation of DNA. Cell-free DNA concentration is potentially associated with death and might be a prognostic indicator, but this requires confirmation in a larger population.</w:t>
      </w:r>
    </w:p>
    <w:p/>
    <w:p>
      <w:pPr>
        <w:pStyle w:val="Normal"/>
      </w:pPr>
      <w:r>
        <w:rPr>
          <w:color w:val="323232"/>
        </w:rPr>
        <w:t xml:space="preserve">J Vet Intern Med, 2017 vol. 31 (5) pp. 1441-1450.</w:t>
      </w:r>
    </w:p>
    <w:p>
      <w:r>
        <w:rPr>
          <w:rStyle w:val="Hyperlink"/>
        </w:rPr>
        <w:fldChar w:fldCharType="begin"/>
      </w:r>
      <w:r>
        <w:rPr>
          <w:rStyle w:val="Hyperlink"/>
        </w:rPr>
        <w:instrText xml:space="preserve"> HYPERLINK "http://dx.doi.org/10.1111/jvim.14808" </w:instrText>
      </w:r>
      <w:r>
        <w:rPr>
          <w:rStyle w:val="Hyperlink"/>
        </w:rPr>
      </w:r>
      <w:r>
        <w:rPr>
          <w:rStyle w:val="Hyperlink"/>
        </w:rPr>
        <w:fldChar w:fldCharType="separate"/>
      </w:r>
      <w:pPr>
        <w:pStyle w:val="Normal"/>
      </w:pPr>
      <w:r>
        <w:rPr>
          <w:rStyle w:val="Hyperlink"/>
        </w:rPr>
        <w:t xml:space="preserve">http://dx.doi.org/10.1111/jvim.14808</w:t>
      </w:r>
      <w:r>
        <w:rPr>
          <w:rStyle w:val="Hyperlink"/>
        </w:rPr>
        <w:fldChar w:fldCharType="end"/>
      </w:r>
    </w:p>
    <w:p>
      <w:pPr>
        <w:pStyle w:val="Normal"/>
      </w:pPr>
      <w:r>
        <w:rPr>
          <w:color w:val="323232"/>
        </w:rPr>
        <w:t xml:space="preserve">————————</w:t>
      </w:r>
    </w:p>
    <w:p>
      <w:pPr>
        <w:pStyle w:val="Heading4"/>
      </w:pPr>
      <w:r>
        <w:t xml:space="preserve">Association between Gallbladder Ultrasound Findings and Bacterial Culture of Bile in 70 Cats and 202 Dogs.</w:t>
      </w:r>
    </w:p>
    <w:p/>
    <w:p>
      <w:pPr>
        <w:pStyle w:val="Normal"/>
      </w:pPr>
      <w:r>
        <w:rPr>
          <w:color w:val="323232"/>
        </w:rPr>
        <w:t xml:space="preserve">R Policelli Smith, J L Gookin, W Smolski, M F Di Cicco, M Correa, and G S Seiler.</w:t>
      </w:r>
    </w:p>
    <w:p/>
    <w:p>
      <w:pPr>
        <w:pStyle w:val="Normal"/>
      </w:pPr>
      <w:r>
        <w:rPr>
          <w:color w:val="323232"/>
        </w:rPr>
        <w:t xml:space="preserve">BACKGROUND:Bacterial cholecystitis often is diagnosed by combination of gallbladder ultrasound (US) findings and positive results of bile culture. The value of gallbladder US in determining the likelihood of bile bacterial infection in cats and dogs with suspected biliary disease is unknown.</w:t>
      </w:r>
    </w:p>
    <w:p/>
    <w:p>
      <w:pPr>
        <w:pStyle w:val="Normal"/>
      </w:pPr>
      <w:r>
        <w:rPr>
          <w:color w:val="323232"/>
        </w:rPr>
        <w:t xml:space="preserve">HYPOTHESIS/OBJECTIVES:To determine the value of gallbladder US in predicting bile bacterial culture results, identify most common bacterial isolates from bile, and describe complications after cholecystocentesis in cats and dogs with suspected hepatobiliary disease.</w:t>
      </w:r>
    </w:p>
    <w:p/>
    <w:p>
      <w:pPr>
        <w:pStyle w:val="Normal"/>
      </w:pPr>
      <w:r>
        <w:rPr>
          <w:color w:val="323232"/>
        </w:rPr>
        <w:t xml:space="preserve">ANIMALS:Cats (70) and dogs (202) that underwent an abdominal US and submission of bile for culture were included in the study.</w:t>
      </w:r>
    </w:p>
    <w:p/>
    <w:p>
      <w:pPr>
        <w:pStyle w:val="Normal"/>
      </w:pPr>
      <w:r>
        <w:rPr>
          <w:color w:val="323232"/>
        </w:rPr>
        <w:t xml:space="preserve">METHODS:A cross-sectional study design was used to determine the association of gallbladder US abnormalities and the results of bile cultures, and complications of cholecystocentesis.</w:t>
      </w:r>
    </w:p>
    <w:p/>
    <w:p>
      <w:pPr>
        <w:pStyle w:val="Normal"/>
      </w:pPr>
      <w:r>
        <w:rPr>
          <w:color w:val="323232"/>
        </w:rPr>
        <w:t xml:space="preserve">RESULTS:Abnormal gallbladder US had high sensitivity (96%) but low specificity (49%) in cats with positive and negative results of bile bacterial culture, respectively. Cats with normal gallbladder US findings were unlikely to have positive bile bacterial culture (negative predictive value of 96%). Gallbladder US had lower sensitivity (81%), specificity (31%), positive predictive value (20%), and negative predictive value (88%) in dogs. The most common bacterial isolates were of enteric origin, the prevalence being higher in cats. Incidence of complications after cholecystocentesis was 3.4%.</w:t>
      </w:r>
    </w:p>
    <w:p/>
    <w:p>
      <w:pPr>
        <w:pStyle w:val="Normal"/>
      </w:pPr>
      <w:r>
        <w:rPr>
          <w:color w:val="323232"/>
        </w:rPr>
        <w:t xml:space="preserve">CONCLUSIONS AND CLINICAL IMPORTANCE:Gallbladder US has a high negative predictive value for bile culture results in cats. This modality is less predictive of infection in dogs. Percutaneous US-guided cholecystocentesis has a low complication rate.</w:t>
      </w:r>
    </w:p>
    <w:p/>
    <w:p>
      <w:pPr>
        <w:pStyle w:val="Normal"/>
      </w:pPr>
      <w:r>
        <w:rPr>
          <w:color w:val="323232"/>
        </w:rPr>
        <w:t xml:space="preserve">J Vet Intern Med, 2017 vol. 31 (5) pp. 1451-1458.</w:t>
      </w:r>
    </w:p>
    <w:p>
      <w:r>
        <w:rPr>
          <w:rStyle w:val="Hyperlink"/>
        </w:rPr>
        <w:fldChar w:fldCharType="begin"/>
      </w:r>
      <w:r>
        <w:rPr>
          <w:rStyle w:val="Hyperlink"/>
        </w:rPr>
        <w:instrText xml:space="preserve"> HYPERLINK "http://dx.doi.org/10.1111/jvim.14792" </w:instrText>
      </w:r>
      <w:r>
        <w:rPr>
          <w:rStyle w:val="Hyperlink"/>
        </w:rPr>
      </w:r>
      <w:r>
        <w:rPr>
          <w:rStyle w:val="Hyperlink"/>
        </w:rPr>
        <w:fldChar w:fldCharType="separate"/>
      </w:r>
      <w:pPr>
        <w:pStyle w:val="Normal"/>
      </w:pPr>
      <w:r>
        <w:rPr>
          <w:rStyle w:val="Hyperlink"/>
        </w:rPr>
        <w:t xml:space="preserve">http://dx.doi.org/10.1111/jvim.14792</w:t>
      </w:r>
      <w:r>
        <w:rPr>
          <w:rStyle w:val="Hyperlink"/>
        </w:rPr>
        <w:fldChar w:fldCharType="end"/>
      </w:r>
    </w:p>
    <w:p>
      <w:pPr>
        <w:pStyle w:val="Normal"/>
      </w:pPr>
      <w:r>
        <w:rPr>
          <w:color w:val="323232"/>
        </w:rPr>
        <w:t xml:space="preserve">————————</w:t>
      </w:r>
    </w:p>
    <w:p>
      <w:pPr>
        <w:pStyle w:val="Heading4"/>
      </w:pPr>
      <w:r>
        <w:t xml:space="preserve">European Veterinary Renal Pathology Service: A Survey Over a 7-Year Period (2008-2015).</w:t>
      </w:r>
    </w:p>
    <w:p/>
    <w:p>
      <w:pPr>
        <w:pStyle w:val="Normal"/>
      </w:pPr>
      <w:r>
        <w:rPr>
          <w:color w:val="323232"/>
        </w:rPr>
        <w:t xml:space="preserve">L Aresu, V Martini, S L Benali, C Brovida, R E Cianciolo, R Dalla Riva, D Trez, J J Van Der Lugt, A Van Dongen, and E Zini.</w:t>
      </w:r>
    </w:p>
    <w:p/>
    <w:p>
      <w:pPr>
        <w:pStyle w:val="Normal"/>
      </w:pPr>
      <w:r>
        <w:rPr>
          <w:color w:val="323232"/>
        </w:rPr>
        <w:t xml:space="preserve">BACKGROUND:The European Veterinary Renal Pathology Service (EVRPS) is the first Web-based registry for canine renal biopsy specimens in Europe.</w:t>
      </w:r>
    </w:p>
    <w:p/>
    <w:p>
      <w:pPr>
        <w:pStyle w:val="Normal"/>
      </w:pPr>
      <w:r>
        <w:rPr>
          <w:color w:val="323232"/>
        </w:rPr>
        <w:t xml:space="preserve">HYPOTHESIS/OBJECTIVES:The aim was to verify whether differences exist between the clinical and laboratory presentation of dogs with nephropathy according to renal pathological findings, as defined by light and electron microscopy of renal biopsy specimens submitted to EVRPS.</w:t>
      </w:r>
    </w:p>
    <w:p/>
    <w:p>
      <w:pPr>
        <w:pStyle w:val="Normal"/>
      </w:pPr>
      <w:r>
        <w:rPr>
          <w:color w:val="323232"/>
        </w:rPr>
        <w:t xml:space="preserve">ANIMALS:Renal biopsy specimens of dogs were collected from the archive of the service (n</w:t>
      </w:r>
      <w:r>
        <w:rPr>
          <w:color w:val="323232"/>
        </w:rPr>
        <w:t xml:space="preserve"> </w:t>
      </w:r>
      <w:r>
        <w:rPr>
          <w:color w:val="323232"/>
        </w:rPr>
        <w:t xml:space="preserve">=</w:t>
      </w:r>
      <w:r>
        <w:rPr>
          <w:color w:val="323232"/>
        </w:rPr>
        <w:t xml:space="preserve"> </w:t>
      </w:r>
      <w:r>
        <w:rPr>
          <w:color w:val="323232"/>
        </w:rPr>
        <w:t xml:space="preserve">254). Cases were included if both light and electron microscopy were available (n</w:t>
      </w:r>
      <w:r>
        <w:rPr>
          <w:color w:val="323232"/>
        </w:rPr>
        <w:t xml:space="preserve"> </w:t>
      </w:r>
      <w:r>
        <w:rPr>
          <w:color w:val="323232"/>
        </w:rPr>
        <w:t xml:space="preserve">=</w:t>
      </w:r>
      <w:r>
        <w:rPr>
          <w:color w:val="323232"/>
        </w:rPr>
        <w:t xml:space="preserve"> </w:t>
      </w:r>
      <w:r>
        <w:rPr>
          <w:color w:val="323232"/>
        </w:rPr>
        <w:t xml:space="preserve">162).</w:t>
      </w:r>
    </w:p>
    <w:p/>
    <w:p>
      <w:pPr>
        <w:pStyle w:val="Normal"/>
      </w:pPr>
      <w:r>
        <w:rPr>
          <w:color w:val="323232"/>
        </w:rPr>
        <w:t xml:space="preserve">METHODS:Renal biopsy specimens were classified based on the morphological diagnoses. Thereafter, they were grouped into 3 disease categories, including immune-complex-mediated glomerulonephritis (ICGN), non-immune-complex-mediated GN (non-ICGN), and renal lesions not otherwise specified (RL-NOS). Differences among morphological diagnoses and among disease categories were investigated for clinical and laboratory variables.</w:t>
      </w:r>
    </w:p>
    <w:p/>
    <w:p>
      <w:pPr>
        <w:pStyle w:val="Normal"/>
      </w:pPr>
      <w:r>
        <w:rPr>
          <w:color w:val="323232"/>
        </w:rPr>
        <w:t xml:space="preserve">RESULTS:Serum albumin concentration was lower in dogs with ICGN than in those with non-ICGN (P</w:t>
      </w:r>
      <w:r>
        <w:rPr>
          <w:color w:val="323232"/>
        </w:rPr>
        <w:t xml:space="preserve"> </w:t>
      </w:r>
      <w:r>
        <w:rPr>
          <w:color w:val="323232"/>
        </w:rPr>
        <w:t xml:space="preserve">=</w:t>
      </w:r>
      <w:r>
        <w:rPr>
          <w:color w:val="323232"/>
        </w:rPr>
        <w:t xml:space="preserve"> </w:t>
      </w:r>
      <w:r>
        <w:rPr>
          <w:color w:val="323232"/>
        </w:rPr>
        <w:t xml:space="preserve">0.006) or RL-NOS (P</w:t>
      </w:r>
      <w:r>
        <w:rPr>
          <w:color w:val="323232"/>
        </w:rPr>
        <w:t xml:space="preserve"> </w:t>
      </w:r>
      <w:r>
        <w:rPr>
          <w:color w:val="323232"/>
        </w:rPr>
        <w:t xml:space="preserve">=</w:t>
      </w:r>
      <w:r>
        <w:rPr>
          <w:color w:val="323232"/>
        </w:rPr>
        <w:t xml:space="preserve"> </w:t>
      </w:r>
      <w:r>
        <w:rPr>
          <w:color w:val="323232"/>
        </w:rPr>
        <w:t xml:space="preserve">0.000), and the urine protein-to-creatinine ratio (UPC) was significantly higher in ICGN than in the other 2 disease categories. Regarding morphological diagnoses, albumin was significantly lower in amyloidosis (AMY) and membranous (MGN), membranoproliferative (MPGN) or mixed glomerulonephritis (MixGN) than in minimal change disease, primary (FSGS I) or secondary (FSGS II) focal and segmental glomerulosclerosis and juvenile nephropathies (JN). The UPC was higher in MPGN than in FSGS I and FSGS II.</w:t>
      </w:r>
    </w:p>
    <w:p/>
    <w:p>
      <w:pPr>
        <w:pStyle w:val="Normal"/>
      </w:pPr>
      <w:r>
        <w:rPr>
          <w:color w:val="323232"/>
        </w:rPr>
        <w:t xml:space="preserve">CONCLUSIONS AND CLINICAL IMPORTANCE:Dogs with ICGN, in particular MPGN, had higher protein loss than those with non-ICGN or RL-NOS, leading to more severe hypoalbuminemia. Clinical and laboratory differentiation among dogs with the different morphological diagnoses and among dogs with different disease categories was difficult due to overlapping results.</w:t>
      </w:r>
    </w:p>
    <w:p/>
    <w:p>
      <w:pPr>
        <w:pStyle w:val="Normal"/>
      </w:pPr>
      <w:r>
        <w:rPr>
          <w:color w:val="323232"/>
        </w:rPr>
        <w:t xml:space="preserve">J Vet Intern Med, 2017 vol. 31 (5) pp. 1459-1468.</w:t>
      </w:r>
    </w:p>
    <w:p>
      <w:r>
        <w:rPr>
          <w:rStyle w:val="Hyperlink"/>
        </w:rPr>
        <w:fldChar w:fldCharType="begin"/>
      </w:r>
      <w:r>
        <w:rPr>
          <w:rStyle w:val="Hyperlink"/>
        </w:rPr>
        <w:instrText xml:space="preserve"> HYPERLINK "http://dx.doi.org/10.1111/jvim.14796" </w:instrText>
      </w:r>
      <w:r>
        <w:rPr>
          <w:rStyle w:val="Hyperlink"/>
        </w:rPr>
      </w:r>
      <w:r>
        <w:rPr>
          <w:rStyle w:val="Hyperlink"/>
        </w:rPr>
        <w:fldChar w:fldCharType="separate"/>
      </w:r>
      <w:pPr>
        <w:pStyle w:val="Normal"/>
      </w:pPr>
      <w:r>
        <w:rPr>
          <w:rStyle w:val="Hyperlink"/>
        </w:rPr>
        <w:t xml:space="preserve">http://dx.doi.org/10.1111/jvim.14796</w:t>
      </w:r>
      <w:r>
        <w:rPr>
          <w:rStyle w:val="Hyperlink"/>
        </w:rPr>
        <w:fldChar w:fldCharType="end"/>
      </w:r>
    </w:p>
    <w:p>
      <w:pPr>
        <w:pStyle w:val="Normal"/>
      </w:pPr>
      <w:r>
        <w:rPr>
          <w:color w:val="323232"/>
        </w:rPr>
        <w:t xml:space="preserve">————————</w:t>
      </w:r>
    </w:p>
    <w:p>
      <w:pPr>
        <w:pStyle w:val="Heading4"/>
      </w:pPr>
      <w:r>
        <w:t xml:space="preserve">Clinicopathologic Features and Magnetic Resonance Imaging Findings in 24 Cats With Histopathologically Confirmed Neurologic Feline Infectious Peritonitis.</w:t>
      </w:r>
    </w:p>
    <w:p/>
    <w:p>
      <w:pPr>
        <w:pStyle w:val="Normal"/>
      </w:pPr>
      <w:r>
        <w:rPr>
          <w:color w:val="323232"/>
        </w:rPr>
        <w:t xml:space="preserve">A H Crawford, A L Stoll, D Sanchez-Masian, A Shea, J Michaels, A R Fraser, and E Beltran.</w:t>
      </w:r>
    </w:p>
    <w:p/>
    <w:p>
      <w:pPr>
        <w:pStyle w:val="Normal"/>
      </w:pPr>
      <w:r>
        <w:rPr>
          <w:color w:val="323232"/>
        </w:rPr>
        <w:t xml:space="preserve">BACKGROUND:Feline infectious peritonitis (FIP) is the most common infectious central nervous system (CNS) disease in the cat and is invariably fatal. Improved means of antemortem diagnosis is required to facilitate clinical decision making. Information regarding the magnetic resonance imaging (MRI) findings of neurologic FIP currently is limited, resulting in the need for better descriptions to optimize its use as a diagnostic tool.</w:t>
      </w:r>
    </w:p>
    <w:p/>
    <w:p>
      <w:pPr>
        <w:pStyle w:val="Normal"/>
      </w:pPr>
      <w:r>
        <w:rPr>
          <w:color w:val="323232"/>
        </w:rPr>
        <w:t xml:space="preserve">OBJECTIVE:To describe the clinicopathologic features and MRI findings in cases of confirmed neurologic FIP.</w:t>
      </w:r>
    </w:p>
    <w:p/>
    <w:p>
      <w:pPr>
        <w:pStyle w:val="Normal"/>
      </w:pPr>
      <w:r>
        <w:rPr>
          <w:color w:val="323232"/>
        </w:rPr>
        <w:t xml:space="preserve">ANIMALS:Twenty-four client-owned cats with histopathologic confirmation of neurologic FIP.</w:t>
      </w:r>
    </w:p>
    <w:p/>
    <w:p>
      <w:pPr>
        <w:pStyle w:val="Normal"/>
      </w:pPr>
      <w:r>
        <w:rPr>
          <w:color w:val="323232"/>
        </w:rPr>
        <w:t xml:space="preserve">METHODS:Archived records from 5 institutions were retrospectively reviewed to identify cases with confirmed neurologic FIP that had undergone antemortem MRI of the CNS. Signalment, clinicopathologic, MRI, and histopathologic findings were evaluated.</w:t>
      </w:r>
    </w:p>
    <w:p/>
    <w:p>
      <w:pPr>
        <w:pStyle w:val="Normal"/>
      </w:pPr>
      <w:r>
        <w:rPr>
          <w:color w:val="323232"/>
        </w:rPr>
        <w:t xml:space="preserve">RESULTS:Three distinct clinical syndromes were identified: T3-L3 myelopathy (3), central vestibular syndrome (7), and multifocal CNS disease (14). Magnetic resonance imaging abnormalities were detected in all cases, including meningeal contrast enhancement (22), ependymal contrast enhancement (20), ventriculomegaly (20), syringomyelia (17), and foramen magnum herniation (14). Cerebrospinal fluid was analysed in 11 cases; all demonstrated a marked increase in total protein concentration and total nucleated cell count. All 24 cats were euthanized with a median survival time of 14 days (range, 2-115) from onset of clinical signs. Histopathologic analysis identified perivascular pyogranulomatous infiltrates, lymphoplasmacytic infiltrates, or both affecting the leptomeninges (16), choroid plexuses (16), and periventricular parenchyma (13).</w:t>
      </w:r>
    </w:p>
    <w:p/>
    <w:p>
      <w:pPr>
        <w:pStyle w:val="Normal"/>
      </w:pPr>
      <w:r>
        <w:rPr>
          <w:color w:val="323232"/>
        </w:rPr>
        <w:t xml:space="preserve">CONCLUSIONS AND CLINICAL IMPORTANCE:Magnetic resonance imaging is a sensitive means of detecting neurologic FIP, particularly in combination with a compatible signalment, clinical presentation, and CSF analysis.</w:t>
      </w:r>
    </w:p>
    <w:p/>
    <w:p>
      <w:pPr>
        <w:pStyle w:val="Normal"/>
      </w:pPr>
      <w:r>
        <w:rPr>
          <w:color w:val="323232"/>
        </w:rPr>
        <w:t xml:space="preserve">J Vet Intern Med, 2017 vol. 31 (5) pp. 1477-1486.</w:t>
      </w:r>
    </w:p>
    <w:p>
      <w:r>
        <w:rPr>
          <w:rStyle w:val="Hyperlink"/>
        </w:rPr>
        <w:fldChar w:fldCharType="begin"/>
      </w:r>
      <w:r>
        <w:rPr>
          <w:rStyle w:val="Hyperlink"/>
        </w:rPr>
        <w:instrText xml:space="preserve"> HYPERLINK "http://dx.doi.org/10.1111/jvim.14791" </w:instrText>
      </w:r>
      <w:r>
        <w:rPr>
          <w:rStyle w:val="Hyperlink"/>
        </w:rPr>
      </w:r>
      <w:r>
        <w:rPr>
          <w:rStyle w:val="Hyperlink"/>
        </w:rPr>
        <w:fldChar w:fldCharType="separate"/>
      </w:r>
      <w:pPr>
        <w:pStyle w:val="Normal"/>
      </w:pPr>
      <w:r>
        <w:rPr>
          <w:rStyle w:val="Hyperlink"/>
        </w:rPr>
        <w:t xml:space="preserve">http://dx.doi.org/10.1111/jvim.14791</w:t>
      </w:r>
      <w:r>
        <w:rPr>
          <w:rStyle w:val="Hyperlink"/>
        </w:rPr>
        <w:fldChar w:fldCharType="end"/>
      </w:r>
    </w:p>
    <w:p>
      <w:pPr>
        <w:pStyle w:val="Normal"/>
      </w:pPr>
      <w:r>
        <w:rPr>
          <w:color w:val="323232"/>
        </w:rPr>
        <w:t xml:space="preserve">————————</w:t>
      </w:r>
    </w:p>
    <w:p>
      <w:pPr>
        <w:pStyle w:val="Heading4"/>
      </w:pPr>
      <w:r>
        <w:t xml:space="preserve">The Relationship between Brachycephalic Head Features in Modern Persian Cats and Dysmorphologies of the Skull and Internal Hydrocephalus.</w:t>
      </w:r>
    </w:p>
    <w:p/>
    <w:p>
      <w:pPr>
        <w:pStyle w:val="Normal"/>
      </w:pPr>
      <w:r>
        <w:rPr>
          <w:color w:val="323232"/>
        </w:rPr>
        <w:t xml:space="preserve">M J Schmidt, M Kampschulte, S Enderlein, D Gorgas, J Lang, E Ludewig, A Fischer, A Meyer-Lindenberg, A R Schaubmar, K Failing, and N Ondreka.</w:t>
      </w:r>
    </w:p>
    <w:p/>
    <w:p>
      <w:pPr>
        <w:pStyle w:val="Normal"/>
      </w:pPr>
      <w:r>
        <w:rPr>
          <w:color w:val="323232"/>
        </w:rPr>
        <w:t xml:space="preserve">BACKGROUND:Cat breeders observed a frequent occurrence of internal hydrocephalus in Persian cats with extreme brachycephalic head morphology.</w:t>
      </w:r>
    </w:p>
    <w:p/>
    <w:p>
      <w:pPr>
        <w:pStyle w:val="Normal"/>
      </w:pPr>
      <w:r>
        <w:rPr>
          <w:color w:val="323232"/>
        </w:rPr>
        <w:t xml:space="preserve">OBJECTIVE:To investigate a possible relationship among the grade of brachycephaly, ventricular dilatation, and skull dysmorphologies in Persian cats.</w:t>
      </w:r>
    </w:p>
    <w:p/>
    <w:p>
      <w:pPr>
        <w:pStyle w:val="Normal"/>
      </w:pPr>
      <w:r>
        <w:rPr>
          <w:color w:val="323232"/>
        </w:rPr>
        <w:t xml:space="preserve">ANIMALS:92 Persian-, 10 Domestic shorthair cats.</w:t>
      </w:r>
    </w:p>
    <w:p/>
    <w:p>
      <w:pPr>
        <w:pStyle w:val="Normal"/>
      </w:pPr>
      <w:r>
        <w:rPr>
          <w:color w:val="323232"/>
        </w:rPr>
        <w:t xml:space="preserve">METHODS:The grade of brachycephaly was determined on skull models based on CT datasets. Cranial measurements were examined with regard to a possible correlation with relative ventricular volume, and cranial capacity. Persians with high (peke-face Persians) and lower grades of brachycephaly (doll-face Persians) were investigated for the presence of skull dysmorphologies.</w:t>
      </w:r>
    </w:p>
    <w:p/>
    <w:p>
      <w:pPr>
        <w:pStyle w:val="Normal"/>
      </w:pPr>
      <w:r>
        <w:rPr>
          <w:color w:val="323232"/>
        </w:rPr>
        <w:t xml:space="preserve">RESULTS:The mean cranial index of the peke-face Persians (0.97</w:t>
      </w:r>
      <w:r>
        <w:rPr>
          <w:color w:val="323232"/>
        </w:rPr>
        <w:t xml:space="preserve"> </w:t>
      </w:r>
      <w:r>
        <w:rPr>
          <w:color w:val="323232"/>
        </w:rPr>
        <w:t xml:space="preserve">±</w:t>
      </w:r>
      <w:r>
        <w:rPr>
          <w:color w:val="323232"/>
        </w:rPr>
        <w:t xml:space="preserve"> </w:t>
      </w:r>
      <w:r>
        <w:rPr>
          <w:color w:val="323232"/>
        </w:rPr>
        <w:t xml:space="preserve">0.14) was significantly higher than the mean cranial index of doll-face Persians (0.66</w:t>
      </w:r>
      <w:r>
        <w:rPr>
          <w:color w:val="323232"/>
        </w:rPr>
        <w:t xml:space="preserve"> </w:t>
      </w:r>
      <w:r>
        <w:rPr>
          <w:color w:val="323232"/>
        </w:rPr>
        <w:t xml:space="preserve">±</w:t>
      </w:r>
      <w:r>
        <w:rPr>
          <w:color w:val="323232"/>
        </w:rPr>
        <w:t xml:space="preserve"> </w:t>
      </w:r>
      <w:r>
        <w:rPr>
          <w:color w:val="323232"/>
        </w:rPr>
        <w:t xml:space="preserve">0.04; P</w:t>
      </w:r>
      <w:r>
        <w:rPr>
          <w:color w:val="323232"/>
        </w:rPr>
        <w:t xml:space="preserve"> </w:t>
      </w:r>
      <w:r>
        <w:rPr>
          <w:color w:val="323232"/>
        </w:rPr>
        <w:t xml:space="preserve">&lt;</w:t>
      </w:r>
      <w:r>
        <w:rPr>
          <w:color w:val="323232"/>
        </w:rPr>
        <w:t xml:space="preserve"> </w:t>
      </w:r>
      <w:r>
        <w:rPr>
          <w:color w:val="323232"/>
        </w:rPr>
        <w:t xml:space="preserve">0.001). Peke-face Persians had a lower relative nasal bone length (0.15</w:t>
      </w:r>
      <w:r>
        <w:rPr>
          <w:color w:val="323232"/>
        </w:rPr>
        <w:t xml:space="preserve"> </w:t>
      </w:r>
      <w:r>
        <w:rPr>
          <w:color w:val="323232"/>
        </w:rPr>
        <w:t xml:space="preserve">±</w:t>
      </w:r>
      <w:r>
        <w:rPr>
          <w:color w:val="323232"/>
        </w:rPr>
        <w:t xml:space="preserve"> </w:t>
      </w:r>
      <w:r>
        <w:rPr>
          <w:color w:val="323232"/>
        </w:rPr>
        <w:t xml:space="preserve">0.04) compared to doll-face (0.29</w:t>
      </w:r>
      <w:r>
        <w:rPr>
          <w:color w:val="323232"/>
        </w:rPr>
        <w:t xml:space="preserve"> </w:t>
      </w:r>
      <w:r>
        <w:rPr>
          <w:color w:val="323232"/>
        </w:rPr>
        <w:t xml:space="preserve">±</w:t>
      </w:r>
      <w:r>
        <w:rPr>
          <w:color w:val="323232"/>
        </w:rPr>
        <w:t xml:space="preserve"> </w:t>
      </w:r>
      <w:r>
        <w:rPr>
          <w:color w:val="323232"/>
        </w:rPr>
        <w:t xml:space="preserve">0.08; P</w:t>
      </w:r>
      <w:r>
        <w:rPr>
          <w:color w:val="323232"/>
        </w:rPr>
        <w:t xml:space="preserve"> </w:t>
      </w:r>
      <w:r>
        <w:rPr>
          <w:color w:val="323232"/>
        </w:rPr>
        <w:t xml:space="preserve">&lt;</w:t>
      </w:r>
      <w:r>
        <w:rPr>
          <w:color w:val="323232"/>
        </w:rPr>
        <w:t xml:space="preserve"> </w:t>
      </w:r>
      <w:r>
        <w:rPr>
          <w:color w:val="323232"/>
        </w:rPr>
        <w:t xml:space="preserve">0.001). The endocranial volume was significantly lower in doll-face than peke-face Persians (89.6</w:t>
      </w:r>
      <w:r>
        <w:rPr>
          <w:color w:val="323232"/>
        </w:rPr>
        <w:t xml:space="preserve"> </w:t>
      </w:r>
      <w:r>
        <w:rPr>
          <w:color w:val="323232"/>
        </w:rPr>
        <w:t xml:space="preserve">±</w:t>
      </w:r>
      <w:r>
        <w:rPr>
          <w:color w:val="323232"/>
        </w:rPr>
        <w:t xml:space="preserve"> </w:t>
      </w:r>
      <w:r>
        <w:rPr>
          <w:color w:val="323232"/>
        </w:rPr>
        <w:t xml:space="preserve">1.27% versus 91.76</w:t>
      </w:r>
      <w:r>
        <w:rPr>
          <w:color w:val="323232"/>
        </w:rPr>
        <w:t xml:space="preserve"> </w:t>
      </w:r>
      <w:r>
        <w:rPr>
          <w:color w:val="323232"/>
        </w:rPr>
        <w:t xml:space="preserve">±</w:t>
      </w:r>
      <w:r>
        <w:rPr>
          <w:color w:val="323232"/>
        </w:rPr>
        <w:t xml:space="preserve"> </w:t>
      </w:r>
      <w:r>
        <w:rPr>
          <w:color w:val="323232"/>
        </w:rPr>
        <w:t xml:space="preserve">2.07%; P</w:t>
      </w:r>
      <w:r>
        <w:rPr>
          <w:color w:val="323232"/>
        </w:rPr>
        <w:t xml:space="preserve"> </w:t>
      </w:r>
      <w:r>
        <w:rPr>
          <w:color w:val="323232"/>
        </w:rPr>
        <w:t xml:space="preserve">&lt;</w:t>
      </w:r>
      <w:r>
        <w:rPr>
          <w:color w:val="323232"/>
        </w:rPr>
        <w:t xml:space="preserve"> </w:t>
      </w:r>
      <w:r>
        <w:rPr>
          <w:color w:val="323232"/>
        </w:rPr>
        <w:t xml:space="preserve">0.001). The cranial index was significantly correlated with this variable (Spearman's r: 0.7; P</w:t>
      </w:r>
      <w:r>
        <w:rPr>
          <w:color w:val="323232"/>
        </w:rPr>
        <w:t xml:space="preserve"> </w:t>
      </w:r>
      <w:r>
        <w:rPr>
          <w:color w:val="323232"/>
        </w:rPr>
        <w:t xml:space="preserve">&lt;</w:t>
      </w:r>
      <w:r>
        <w:rPr>
          <w:color w:val="323232"/>
        </w:rPr>
        <w:t xml:space="preserve"> </w:t>
      </w:r>
      <w:r>
        <w:rPr>
          <w:color w:val="323232"/>
        </w:rPr>
        <w:t xml:space="preserve">0.0001). Mean ventricle: Brain ratio of the peke-face group (0.159</w:t>
      </w:r>
      <w:r>
        <w:rPr>
          <w:color w:val="323232"/>
        </w:rPr>
        <w:t xml:space="preserve"> </w:t>
      </w:r>
      <w:r>
        <w:rPr>
          <w:color w:val="323232"/>
        </w:rPr>
        <w:t xml:space="preserve">±</w:t>
      </w:r>
      <w:r>
        <w:rPr>
          <w:color w:val="323232"/>
        </w:rPr>
        <w:t xml:space="preserve"> </w:t>
      </w:r>
      <w:r>
        <w:rPr>
          <w:color w:val="323232"/>
        </w:rPr>
        <w:t xml:space="preserve">0.14) was significantly higher compared to doll-face Persians (0.015</w:t>
      </w:r>
      <w:r>
        <w:rPr>
          <w:color w:val="323232"/>
        </w:rPr>
        <w:t xml:space="preserve"> </w:t>
      </w:r>
      <w:r>
        <w:rPr>
          <w:color w:val="323232"/>
        </w:rPr>
        <w:t xml:space="preserve">±</w:t>
      </w:r>
      <w:r>
        <w:rPr>
          <w:color w:val="323232"/>
        </w:rPr>
        <w:t xml:space="preserve"> </w:t>
      </w:r>
      <w:r>
        <w:rPr>
          <w:color w:val="323232"/>
        </w:rPr>
        <w:t xml:space="preserve">0.01; P</w:t>
      </w:r>
      <w:r>
        <w:rPr>
          <w:color w:val="323232"/>
        </w:rPr>
        <w:t xml:space="preserve"> </w:t>
      </w:r>
      <w:r>
        <w:rPr>
          <w:color w:val="323232"/>
        </w:rPr>
        <w:t xml:space="preserve">&lt;</w:t>
      </w:r>
      <w:r>
        <w:rPr>
          <w:color w:val="323232"/>
        </w:rPr>
        <w:t xml:space="preserve"> </w:t>
      </w:r>
      <w:r>
        <w:rPr>
          <w:color w:val="323232"/>
        </w:rPr>
        <w:t xml:space="preserve">0.001).</w:t>
      </w:r>
    </w:p>
    <w:p/>
    <w:p>
      <w:pPr>
        <w:pStyle w:val="Normal"/>
      </w:pPr>
      <w:r>
        <w:rPr>
          <w:color w:val="323232"/>
        </w:rPr>
        <w:t xml:space="preserve">CONCLUSION AND CLINICAL RELEVANCE:High grades of brachycephaly are also associated with malformations of the calvarial and facial bones as well as dental malformations. As these dysmorphologies can affect animal welfare, the selection for extreme forms of brachycephaly in Persian cats should be reconsidered.</w:t>
      </w:r>
    </w:p>
    <w:p/>
    <w:p>
      <w:pPr>
        <w:pStyle w:val="Normal"/>
      </w:pPr>
      <w:r>
        <w:rPr>
          <w:color w:val="323232"/>
        </w:rPr>
        <w:t xml:space="preserve">J Vet Intern Med, 2017 vol. 31 (5) pp. 1487-1501.</w:t>
      </w:r>
    </w:p>
    <w:p>
      <w:r>
        <w:rPr>
          <w:rStyle w:val="Hyperlink"/>
        </w:rPr>
        <w:fldChar w:fldCharType="begin"/>
      </w:r>
      <w:r>
        <w:rPr>
          <w:rStyle w:val="Hyperlink"/>
        </w:rPr>
        <w:instrText xml:space="preserve"> HYPERLINK "http://dx.doi.org/10.1111/jvim.14805" </w:instrText>
      </w:r>
      <w:r>
        <w:rPr>
          <w:rStyle w:val="Hyperlink"/>
        </w:rPr>
      </w:r>
      <w:r>
        <w:rPr>
          <w:rStyle w:val="Hyperlink"/>
        </w:rPr>
        <w:fldChar w:fldCharType="separate"/>
      </w:r>
      <w:pPr>
        <w:pStyle w:val="Normal"/>
      </w:pPr>
      <w:r>
        <w:rPr>
          <w:rStyle w:val="Hyperlink"/>
        </w:rPr>
        <w:t xml:space="preserve">http://dx.doi.org/10.1111/jvim.14805</w:t>
      </w:r>
      <w:r>
        <w:rPr>
          <w:rStyle w:val="Hyperlink"/>
        </w:rPr>
        <w:fldChar w:fldCharType="end"/>
      </w:r>
    </w:p>
    <w:p>
      <w:pPr>
        <w:pStyle w:val="Normal"/>
      </w:pPr>
      <w:r>
        <w:rPr>
          <w:color w:val="323232"/>
        </w:rPr>
        <w:t xml:space="preserve">————————</w:t>
      </w:r>
    </w:p>
    <w:p>
      <w:pPr>
        <w:pStyle w:val="Heading4"/>
      </w:pPr>
      <w:r>
        <w:t xml:space="preserve">A Retrospective Study on the Safety and Efficacy of Leflunomide in Dogs.</w:t>
      </w:r>
    </w:p>
    <w:p/>
    <w:p>
      <w:pPr>
        <w:pStyle w:val="Normal"/>
      </w:pPr>
      <w:r>
        <w:rPr>
          <w:color w:val="323232"/>
        </w:rPr>
        <w:t xml:space="preserve">M Sato, J K Veir, M Legare, and M R Lappin.</w:t>
      </w:r>
    </w:p>
    <w:p/>
    <w:p>
      <w:pPr>
        <w:pStyle w:val="Normal"/>
      </w:pPr>
      <w:r>
        <w:rPr>
          <w:color w:val="323232"/>
        </w:rPr>
        <w:t xml:space="preserve">BACKGROUND:Little clinical information is available concerning the use of leflunomide in dogs with immune-mediated diseases.</w:t>
      </w:r>
    </w:p>
    <w:p/>
    <w:p>
      <w:pPr>
        <w:pStyle w:val="Normal"/>
      </w:pPr>
      <w:r>
        <w:rPr>
          <w:color w:val="323232"/>
        </w:rPr>
        <w:t xml:space="preserve">OBJECTIVES:To report the safety and efficacy of leflunomide for the treatment of naturally occurring immune-mediated diseases in dogs.</w:t>
      </w:r>
    </w:p>
    <w:p/>
    <w:p>
      <w:pPr>
        <w:pStyle w:val="Normal"/>
      </w:pPr>
      <w:r>
        <w:rPr>
          <w:color w:val="323232"/>
        </w:rPr>
        <w:t xml:space="preserve">ANIMALS:Ninety-two dogs treated with leflunomide for management of suspected immune-mediated diseases.</w:t>
      </w:r>
    </w:p>
    <w:p/>
    <w:p>
      <w:pPr>
        <w:pStyle w:val="Normal"/>
      </w:pPr>
      <w:r>
        <w:rPr>
          <w:color w:val="323232"/>
        </w:rPr>
        <w:t xml:space="preserve">METHODS:Retrospective medical record review from Jan 1995 to Dec 2014. Data that were extracted from the medical records included signalment, body weight, underlying indication for leflunomide, dosage of leflunomide, treatment duration, concurrent medications, treatment response, and adverse events.</w:t>
      </w:r>
    </w:p>
    <w:p/>
    <w:p>
      <w:pPr>
        <w:pStyle w:val="Normal"/>
      </w:pPr>
      <w:r>
        <w:rPr>
          <w:color w:val="323232"/>
        </w:rPr>
        <w:t xml:space="preserve">RESULTS:Adverse events that could be related to leflunomide administration included diarrhea (3 of 92, 3.3%), lethargy (2 of 92, 2.2%), unexplained hemorrhage (3 of 92, 3.3%), thrombocytopenia (2 of 31, 6.5%), and increased liver enzyme activities (1 of 16, 6.3%). Significant dose differences between dogs with adverse events (n</w:t>
      </w:r>
      <w:r>
        <w:rPr>
          <w:color w:val="323232"/>
        </w:rPr>
        <w:t xml:space="preserve"> </w:t>
      </w:r>
      <w:r>
        <w:rPr>
          <w:color w:val="323232"/>
        </w:rPr>
        <w:t xml:space="preserve">=</w:t>
      </w:r>
      <w:r>
        <w:rPr>
          <w:color w:val="323232"/>
        </w:rPr>
        <w:t xml:space="preserve"> </w:t>
      </w:r>
      <w:r>
        <w:rPr>
          <w:color w:val="323232"/>
        </w:rPr>
        <w:t xml:space="preserve">11; median, 2.9</w:t>
      </w:r>
      <w:r>
        <w:rPr>
          <w:color w:val="323232"/>
        </w:rPr>
        <w:t xml:space="preserve"> </w:t>
      </w:r>
      <w:r>
        <w:rPr>
          <w:color w:val="323232"/>
        </w:rPr>
        <w:t xml:space="preserve">mg</w:t>
      </w:r>
      <w:r>
        <w:rPr>
          <w:i w:val="1"/>
          <w:color w:val="323232"/>
        </w:rPr>
        <w:t xml:space="preserve">kg</w:t>
      </w:r>
      <w:r>
        <w:rPr>
          <w:color w:val="323232"/>
        </w:rPr>
        <w:t xml:space="preserve">d; range, 1.8-3.6</w:t>
      </w:r>
      <w:r>
        <w:rPr>
          <w:color w:val="323232"/>
        </w:rPr>
        <w:t xml:space="preserve"> </w:t>
      </w:r>
      <w:r>
        <w:rPr>
          <w:color w:val="323232"/>
        </w:rPr>
        <w:t xml:space="preserve">mg</w:t>
      </w:r>
      <w:r>
        <w:rPr>
          <w:i w:val="1"/>
          <w:color w:val="323232"/>
        </w:rPr>
        <w:t xml:space="preserve">kg</w:t>
      </w:r>
      <w:r>
        <w:rPr>
          <w:color w:val="323232"/>
        </w:rPr>
        <w:t xml:space="preserve">d) and dogs without adverse events (n</w:t>
      </w:r>
      <w:r>
        <w:rPr>
          <w:color w:val="323232"/>
        </w:rPr>
        <w:t xml:space="preserve"> </w:t>
      </w:r>
      <w:r>
        <w:rPr>
          <w:color w:val="323232"/>
        </w:rPr>
        <w:t xml:space="preserve">=</w:t>
      </w:r>
      <w:r>
        <w:rPr>
          <w:color w:val="323232"/>
        </w:rPr>
        <w:t xml:space="preserve"> </w:t>
      </w:r>
      <w:r>
        <w:rPr>
          <w:color w:val="323232"/>
        </w:rPr>
        <w:t xml:space="preserve">81; median, 1.6</w:t>
      </w:r>
      <w:r>
        <w:rPr>
          <w:color w:val="323232"/>
        </w:rPr>
        <w:t xml:space="preserve"> </w:t>
      </w:r>
      <w:r>
        <w:rPr>
          <w:color w:val="323232"/>
        </w:rPr>
        <w:t xml:space="preserve">mg</w:t>
      </w:r>
      <w:r>
        <w:rPr>
          <w:i w:val="1"/>
          <w:color w:val="323232"/>
        </w:rPr>
        <w:t xml:space="preserve">kg</w:t>
      </w:r>
      <w:r>
        <w:rPr>
          <w:color w:val="323232"/>
        </w:rPr>
        <w:t xml:space="preserve">d; range, 0.8-4.3</w:t>
      </w:r>
      <w:r>
        <w:rPr>
          <w:color w:val="323232"/>
        </w:rPr>
        <w:t xml:space="preserve"> </w:t>
      </w:r>
      <w:r>
        <w:rPr>
          <w:color w:val="323232"/>
        </w:rPr>
        <w:t xml:space="preserve">mg</w:t>
      </w:r>
      <w:r>
        <w:rPr>
          <w:i w:val="1"/>
          <w:color w:val="323232"/>
        </w:rPr>
        <w:t xml:space="preserve">kg</w:t>
      </w:r>
      <w:r>
        <w:rPr>
          <w:color w:val="323232"/>
        </w:rPr>
        <w:t xml:space="preserve">d) were found (P</w:t>
      </w:r>
      <w:r>
        <w:rPr>
          <w:color w:val="323232"/>
        </w:rPr>
        <w:t xml:space="preserve"> </w:t>
      </w:r>
      <w:r>
        <w:rPr>
          <w:color w:val="323232"/>
        </w:rPr>
        <w:t xml:space="preserve">&lt;</w:t>
      </w:r>
      <w:r>
        <w:rPr>
          <w:color w:val="323232"/>
        </w:rPr>
        <w:t xml:space="preserve"> </w:t>
      </w:r>
      <w:r>
        <w:rPr>
          <w:color w:val="323232"/>
        </w:rPr>
        <w:t xml:space="preserve">0.001). Treatment response could be evaluated in 17 dogs. Of these 17 dogs, 12 dogs (70.5%) had an apparent positive response to the use of leflunomide. There was no significant difference (P</w:t>
      </w:r>
      <w:r>
        <w:rPr>
          <w:color w:val="323232"/>
        </w:rPr>
        <w:t xml:space="preserve"> </w:t>
      </w:r>
      <w:r>
        <w:rPr>
          <w:color w:val="323232"/>
        </w:rPr>
        <w:t xml:space="preserve">=</w:t>
      </w:r>
      <w:r>
        <w:rPr>
          <w:color w:val="323232"/>
        </w:rPr>
        <w:t xml:space="preserve"> </w:t>
      </w:r>
      <w:r>
        <w:rPr>
          <w:color w:val="323232"/>
        </w:rPr>
        <w:t xml:space="preserve">0.22) in dosages between dogs that responded to</w:t>
      </w:r>
      <w:r>
        <w:rPr>
          <w:color w:val="323232"/>
        </w:rPr>
        <w:t xml:space="preserve"> </w:t>
      </w:r>
      <w:r>
        <w:rPr>
          <w:color w:val="323232"/>
        </w:rPr>
        <w:t xml:space="preserve">leflunomide (n</w:t>
      </w:r>
      <w:r>
        <w:rPr>
          <w:color w:val="323232"/>
        </w:rPr>
        <w:t xml:space="preserve"> </w:t>
      </w:r>
      <w:r>
        <w:rPr>
          <w:color w:val="323232"/>
        </w:rPr>
        <w:t xml:space="preserve">=</w:t>
      </w:r>
      <w:r>
        <w:rPr>
          <w:color w:val="323232"/>
        </w:rPr>
        <w:t xml:space="preserve"> </w:t>
      </w:r>
      <w:r>
        <w:rPr>
          <w:color w:val="323232"/>
        </w:rPr>
        <w:t xml:space="preserve">12; median, 1.9</w:t>
      </w:r>
      <w:r>
        <w:rPr>
          <w:color w:val="323232"/>
        </w:rPr>
        <w:t xml:space="preserve"> </w:t>
      </w:r>
      <w:r>
        <w:rPr>
          <w:color w:val="323232"/>
        </w:rPr>
        <w:t xml:space="preserve">mg/ kg/ d; range, 1.0-3.5</w:t>
      </w:r>
      <w:r>
        <w:rPr>
          <w:color w:val="323232"/>
        </w:rPr>
        <w:t xml:space="preserve"> </w:t>
      </w:r>
      <w:r>
        <w:rPr>
          <w:color w:val="323232"/>
        </w:rPr>
        <w:t xml:space="preserve">mg</w:t>
      </w:r>
      <w:r>
        <w:rPr>
          <w:i w:val="1"/>
          <w:color w:val="323232"/>
        </w:rPr>
        <w:t xml:space="preserve">kg</w:t>
      </w:r>
      <w:r>
        <w:rPr>
          <w:color w:val="323232"/>
        </w:rPr>
        <w:t xml:space="preserve">d) and those that did not respond (n</w:t>
      </w:r>
      <w:r>
        <w:rPr>
          <w:color w:val="323232"/>
        </w:rPr>
        <w:t xml:space="preserve"> </w:t>
      </w:r>
      <w:r>
        <w:rPr>
          <w:color w:val="323232"/>
        </w:rPr>
        <w:t xml:space="preserve">=</w:t>
      </w:r>
      <w:r>
        <w:rPr>
          <w:color w:val="323232"/>
        </w:rPr>
        <w:t xml:space="preserve"> </w:t>
      </w:r>
      <w:r>
        <w:rPr>
          <w:color w:val="323232"/>
        </w:rPr>
        <w:t xml:space="preserve">5; median, 1.7</w:t>
      </w:r>
      <w:r>
        <w:rPr>
          <w:color w:val="323232"/>
        </w:rPr>
        <w:t xml:space="preserve"> </w:t>
      </w:r>
      <w:r>
        <w:rPr>
          <w:color w:val="323232"/>
        </w:rPr>
        <w:t xml:space="preserve">mg</w:t>
      </w:r>
      <w:r>
        <w:rPr>
          <w:i w:val="1"/>
          <w:color w:val="323232"/>
        </w:rPr>
        <w:t xml:space="preserve">kg</w:t>
      </w:r>
      <w:r>
        <w:rPr>
          <w:color w:val="323232"/>
        </w:rPr>
        <w:t xml:space="preserve">d; range, 1.0-2.0</w:t>
      </w:r>
      <w:r>
        <w:rPr>
          <w:color w:val="323232"/>
        </w:rPr>
        <w:t xml:space="preserve"> </w:t>
      </w:r>
      <w:r>
        <w:rPr>
          <w:color w:val="323232"/>
        </w:rPr>
        <w:t xml:space="preserve">mg</w:t>
      </w:r>
      <w:r>
        <w:rPr>
          <w:i w:val="1"/>
          <w:color w:val="323232"/>
        </w:rPr>
        <w:t xml:space="preserve">kg</w:t>
      </w:r>
      <w:r>
        <w:rPr>
          <w:color w:val="323232"/>
        </w:rPr>
        <w:t xml:space="preserve">d).</w:t>
      </w:r>
    </w:p>
    <w:p/>
    <w:p>
      <w:pPr>
        <w:pStyle w:val="Normal"/>
      </w:pPr>
      <w:r>
        <w:rPr>
          <w:color w:val="323232"/>
        </w:rPr>
        <w:t xml:space="preserve">CONCLUSIONS AND CLINICAL IMPORTANCE:Results suggest that the starting dosage of leflunomide should be 2</w:t>
      </w:r>
      <w:r>
        <w:rPr>
          <w:color w:val="323232"/>
        </w:rPr>
        <w:t xml:space="preserve"> </w:t>
      </w:r>
      <w:r>
        <w:rPr>
          <w:color w:val="323232"/>
        </w:rPr>
        <w:t xml:space="preserve">mg</w:t>
      </w:r>
      <w:r>
        <w:rPr>
          <w:i w:val="1"/>
          <w:color w:val="323232"/>
        </w:rPr>
        <w:t xml:space="preserve">kg</w:t>
      </w:r>
      <w:r>
        <w:rPr>
          <w:color w:val="323232"/>
        </w:rPr>
        <w:t xml:space="preserve">d rather than the currently suggested dosage of 3-4</w:t>
      </w:r>
      <w:r>
        <w:rPr>
          <w:color w:val="323232"/>
        </w:rPr>
        <w:t xml:space="preserve"> </w:t>
      </w:r>
      <w:r>
        <w:rPr>
          <w:color w:val="323232"/>
        </w:rPr>
        <w:t xml:space="preserve">mg</w:t>
      </w:r>
      <w:r>
        <w:rPr>
          <w:i w:val="1"/>
          <w:color w:val="323232"/>
        </w:rPr>
        <w:t xml:space="preserve">kg</w:t>
      </w:r>
      <w:r>
        <w:rPr>
          <w:color w:val="323232"/>
        </w:rPr>
        <w:t xml:space="preserve">d.</w:t>
      </w:r>
    </w:p>
    <w:p/>
    <w:p>
      <w:pPr>
        <w:pStyle w:val="Normal"/>
      </w:pPr>
      <w:r>
        <w:rPr>
          <w:color w:val="323232"/>
        </w:rPr>
        <w:t xml:space="preserve">J Vet Intern Med, 2017 vol. 31 (5) pp. 1502-1507.</w:t>
      </w:r>
    </w:p>
    <w:p>
      <w:r>
        <w:rPr>
          <w:rStyle w:val="Hyperlink"/>
        </w:rPr>
        <w:fldChar w:fldCharType="begin"/>
      </w:r>
      <w:r>
        <w:rPr>
          <w:rStyle w:val="Hyperlink"/>
        </w:rPr>
        <w:instrText xml:space="preserve"> HYPERLINK "http://dx.doi.org/10.1111/jvim.14810" </w:instrText>
      </w:r>
      <w:r>
        <w:rPr>
          <w:rStyle w:val="Hyperlink"/>
        </w:rPr>
      </w:r>
      <w:r>
        <w:rPr>
          <w:rStyle w:val="Hyperlink"/>
        </w:rPr>
        <w:fldChar w:fldCharType="separate"/>
      </w:r>
      <w:pPr>
        <w:pStyle w:val="Normal"/>
      </w:pPr>
      <w:r>
        <w:rPr>
          <w:rStyle w:val="Hyperlink"/>
        </w:rPr>
        <w:t xml:space="preserve">http://dx.doi.org/10.1111/jvim.14810</w:t>
      </w:r>
      <w:r>
        <w:rPr>
          <w:rStyle w:val="Hyperlink"/>
        </w:rPr>
        <w:fldChar w:fldCharType="end"/>
      </w:r>
    </w:p>
    <w:p>
      <w:pPr>
        <w:pStyle w:val="Normal"/>
      </w:pPr>
      <w:r>
        <w:rPr>
          <w:color w:val="323232"/>
        </w:rPr>
        <w:t xml:space="preserve">————————</w:t>
      </w:r>
    </w:p>
    <w:p>
      <w:pPr>
        <w:pStyle w:val="Heading4"/>
      </w:pPr>
      <w:r>
        <w:t xml:space="preserve">Ciprofloxacin Pharmacokinetics in Clinical Canine Patients.</w:t>
      </w:r>
    </w:p>
    <w:p/>
    <w:p>
      <w:pPr>
        <w:pStyle w:val="Normal"/>
      </w:pPr>
      <w:r>
        <w:rPr>
          <w:color w:val="323232"/>
        </w:rPr>
        <w:t xml:space="preserve">M G Papich.</w:t>
      </w:r>
    </w:p>
    <w:p/>
    <w:p>
      <w:pPr>
        <w:pStyle w:val="Normal"/>
      </w:pPr>
      <w:r>
        <w:rPr>
          <w:color w:val="323232"/>
        </w:rPr>
        <w:t xml:space="preserve">BACKGROUND:Ciprofloxacin generic tablets approved for human use frequently are administered to dogs for treatment of bacterial infections because they are inexpensive and readily available. However, previous work indicated low and variable oral absorption in healthy research dogs.</w:t>
      </w:r>
    </w:p>
    <w:p/>
    <w:p>
      <w:pPr>
        <w:pStyle w:val="Normal"/>
      </w:pPr>
      <w:r>
        <w:rPr>
          <w:color w:val="323232"/>
        </w:rPr>
        <w:t xml:space="preserve">OBJECTIVE:To examine orally administered ciprofloxacin in a group of clinical canine patients using population pharmacokinetics in order to identify minimum inhibitory concentrations (MIC) that potentially could be achieved with orally administered ciprofloxacin in dogs.</w:t>
      </w:r>
    </w:p>
    <w:p/>
    <w:p>
      <w:pPr>
        <w:pStyle w:val="Normal"/>
      </w:pPr>
      <w:r>
        <w:rPr>
          <w:color w:val="323232"/>
        </w:rPr>
        <w:t xml:space="preserve">ANIMALS:Thirty-four clinical canine patients; mean weight, 22.95</w:t>
      </w:r>
      <w:r>
        <w:rPr>
          <w:color w:val="323232"/>
        </w:rPr>
        <w:t xml:space="preserve"> </w:t>
      </w:r>
      <w:r>
        <w:rPr>
          <w:color w:val="323232"/>
        </w:rPr>
        <w:t xml:space="preserve">kg (range, 4.6-57</w:t>
      </w:r>
      <w:r>
        <w:rPr>
          <w:color w:val="323232"/>
        </w:rPr>
        <w:t xml:space="preserve"> </w:t>
      </w:r>
      <w:r>
        <w:rPr>
          <w:color w:val="323232"/>
        </w:rPr>
        <w:t xml:space="preserve">kg).</w:t>
      </w:r>
    </w:p>
    <w:p/>
    <w:p>
      <w:pPr>
        <w:pStyle w:val="Normal"/>
      </w:pPr>
      <w:r>
        <w:rPr>
          <w:color w:val="323232"/>
        </w:rPr>
        <w:t xml:space="preserve">METHODS:Ciprofloxacin generic tablets intended for human use were administered to dogs in a prospective study (mean dose, 23.5</w:t>
      </w:r>
      <w:r>
        <w:rPr>
          <w:color w:val="323232"/>
        </w:rPr>
        <w:t xml:space="preserve"> </w:t>
      </w:r>
      <w:r>
        <w:rPr>
          <w:color w:val="323232"/>
        </w:rPr>
        <w:t xml:space="preserve">mg</w:t>
      </w:r>
      <w:r>
        <w:rPr>
          <w:i w:val="1"/>
          <w:color w:val="323232"/>
        </w:rPr>
        <w:t xml:space="preserve">kg). Sparse blood sampling was used to obtain population pharmacokinetic results with nonlinear mixed-effects modeling. These data were used to estimate a breakpoint for susceptible bacteria. Monte Carlo simulations were used to determine the probability of target attainment (PTA) for an area under the curve (AUC)</w:t>
      </w:r>
      <w:r>
        <w:rPr>
          <w:color w:val="323232"/>
        </w:rPr>
        <w:t xml:space="preserve">MIC ratio of ≥100, the pharmacokinetic-pharmacodynamic target for fluoroquinolones.</w:t>
      </w:r>
    </w:p>
    <w:p/>
    <w:p>
      <w:pPr>
        <w:pStyle w:val="Normal"/>
      </w:pPr>
      <w:r>
        <w:rPr>
          <w:color w:val="323232"/>
        </w:rPr>
        <w:t xml:space="preserve">RESULTS:The values for volume of distribution, peak concentration, and half-life were 10.7</w:t>
      </w:r>
      <w:r>
        <w:rPr>
          <w:color w:val="323232"/>
        </w:rPr>
        <w:t xml:space="preserve"> </w:t>
      </w:r>
      <w:r>
        <w:rPr>
          <w:color w:val="323232"/>
        </w:rPr>
        <w:t xml:space="preserve">L</w:t>
      </w:r>
      <w:r>
        <w:rPr>
          <w:i w:val="1"/>
          <w:color w:val="323232"/>
        </w:rPr>
        <w:t xml:space="preserve">kg (11.7%), 1.9</w:t>
      </w:r>
      <w:r>
        <w:rPr>
          <w:color w:val="323232"/>
        </w:rPr>
        <w:t xml:space="preserve"> </w:t>
      </w:r>
      <w:r>
        <w:rPr>
          <w:i w:val="1"/>
          <w:color w:val="323232"/>
        </w:rPr>
        <w:t xml:space="preserve">μg</w:t>
      </w:r>
      <w:r>
        <w:rPr>
          <w:color w:val="323232"/>
        </w:rPr>
        <w:t xml:space="preserve">mL (11.66%), and 4.35</w:t>
      </w:r>
      <w:r>
        <w:rPr>
          <w:color w:val="323232"/>
        </w:rPr>
        <w:t xml:space="preserve"> </w:t>
      </w:r>
      <w:r>
        <w:rPr>
          <w:color w:val="323232"/>
        </w:rPr>
        <w:t xml:space="preserve">hours (7.62%), respectively (mean, % coefficient of variation [CV]). The size of the dog was an important covariate with larger dogs achieving lower plasma drug concentrations than smaller dogs, despite a similar mg</w:t>
      </w:r>
      <w:r>
        <w:rPr>
          <w:i w:val="1"/>
          <w:color w:val="323232"/>
        </w:rPr>
        <w:t xml:space="preserve">kg dose. Ninety percent PTA was obtained for a MIC</w:t>
      </w:r>
      <w:r>
        <w:rPr>
          <w:color w:val="323232"/>
        </w:rPr>
        <w:t xml:space="preserve"> </w:t>
      </w:r>
      <w:r>
        <w:rPr>
          <w:i w:val="1"/>
          <w:color w:val="323232"/>
        </w:rPr>
        <w:t xml:space="preserve">≤</w:t>
      </w:r>
      <w:r>
        <w:rPr>
          <w:color w:val="323232"/>
        </w:rPr>
        <w:t xml:space="preserve"> </w:t>
      </w:r>
      <w:r>
        <w:rPr>
          <w:i w:val="1"/>
          <w:color w:val="323232"/>
        </w:rPr>
        <w:t xml:space="preserve">0.06</w:t>
      </w:r>
      <w:r>
        <w:rPr>
          <w:color w:val="323232"/>
        </w:rPr>
        <w:t xml:space="preserve"> </w:t>
      </w:r>
      <w:r>
        <w:rPr>
          <w:i w:val="1"/>
          <w:color w:val="323232"/>
        </w:rPr>
        <w:t xml:space="preserve">μg</w:t>
      </w:r>
      <w:r>
        <w:rPr>
          <w:color w:val="323232"/>
        </w:rPr>
        <w:t xml:space="preserve">mL.</w:t>
      </w:r>
    </w:p>
    <w:p/>
    <w:p>
      <w:pPr>
        <w:pStyle w:val="Normal"/>
      </w:pPr>
      <w:r>
        <w:rPr>
          <w:color w:val="323232"/>
        </w:rPr>
        <w:t xml:space="preserve">CONCLUSIONS AND CLINICAL IMPORTANCE:A breakpoint (susceptible) of ≤0.06</w:t>
      </w:r>
      <w:r>
        <w:rPr>
          <w:color w:val="323232"/>
        </w:rPr>
        <w:t xml:space="preserve"> </w:t>
      </w:r>
      <w:r>
        <w:rPr>
          <w:color w:val="323232"/>
        </w:rPr>
        <w:t xml:space="preserve">μg</w:t>
      </w:r>
      <w:r>
        <w:rPr>
          <w:i w:val="1"/>
          <w:color w:val="323232"/>
        </w:rPr>
        <w:t xml:space="preserve">mL should be considered when ciprofloxacin tablets are administered to dogs at a dose of 25</w:t>
      </w:r>
      <w:r>
        <w:rPr>
          <w:color w:val="323232"/>
        </w:rPr>
        <w:t xml:space="preserve"> </w:t>
      </w:r>
      <w:r>
        <w:rPr>
          <w:i w:val="1"/>
          <w:color w:val="323232"/>
        </w:rPr>
        <w:t xml:space="preserve">mg</w:t>
      </w:r>
      <w:r>
        <w:rPr>
          <w:color w:val="323232"/>
        </w:rPr>
        <w:t xml:space="preserve">kg once daily, which is much lower than the breakpoint of ≤1</w:t>
      </w:r>
      <w:r>
        <w:rPr>
          <w:color w:val="323232"/>
        </w:rPr>
        <w:t xml:space="preserve"> </w:t>
      </w:r>
      <w:r>
        <w:rPr>
          <w:color w:val="323232"/>
        </w:rPr>
        <w:t xml:space="preserve">μg/mL in humans.</w:t>
      </w:r>
    </w:p>
    <w:p/>
    <w:p>
      <w:pPr>
        <w:pStyle w:val="Normal"/>
      </w:pPr>
      <w:r>
        <w:rPr>
          <w:color w:val="323232"/>
        </w:rPr>
        <w:t xml:space="preserve">J Vet Intern Med, 2017 vol. 31 (5), 2 pp. 1508-1513.</w:t>
      </w:r>
    </w:p>
    <w:p>
      <w:r>
        <w:rPr>
          <w:rStyle w:val="Hyperlink"/>
        </w:rPr>
        <w:fldChar w:fldCharType="begin"/>
      </w:r>
      <w:r>
        <w:rPr>
          <w:rStyle w:val="Hyperlink"/>
        </w:rPr>
        <w:instrText xml:space="preserve"> HYPERLINK "http://dx.doi.org/10.1111/jvim.14788" </w:instrText>
      </w:r>
      <w:r>
        <w:rPr>
          <w:rStyle w:val="Hyperlink"/>
        </w:rPr>
      </w:r>
      <w:r>
        <w:rPr>
          <w:rStyle w:val="Hyperlink"/>
        </w:rPr>
        <w:fldChar w:fldCharType="separate"/>
      </w:r>
      <w:pPr>
        <w:pStyle w:val="Normal"/>
      </w:pPr>
      <w:r>
        <w:rPr>
          <w:rStyle w:val="Hyperlink"/>
        </w:rPr>
        <w:t xml:space="preserve">http://dx.doi.org/10.1111/jvim.14788</w:t>
      </w:r>
      <w:r>
        <w:rPr>
          <w:rStyle w:val="Hyperlink"/>
        </w:rPr>
        <w:fldChar w:fldCharType="end"/>
      </w:r>
    </w:p>
    <w:p>
      <w:pPr>
        <w:pStyle w:val="Normal"/>
      </w:pPr>
      <w:r>
        <w:rPr>
          <w:color w:val="323232"/>
        </w:rPr>
        <w:t xml:space="preserve">————————</w:t>
      </w:r>
    </w:p>
    <w:p>
      <w:pPr>
        <w:pStyle w:val="Heading4"/>
      </w:pPr>
      <w:r>
        <w:t xml:space="preserve">Effect of Body Position, Exercise, and Sedation on Estimation of Pulmonary Artery Pressure in Dogs with Degenerative Atrioventricular Valve Disease.</w:t>
      </w:r>
    </w:p>
    <w:p/>
    <w:p>
      <w:pPr>
        <w:pStyle w:val="Normal"/>
      </w:pPr>
      <w:r>
        <w:rPr>
          <w:color w:val="323232"/>
        </w:rPr>
        <w:t xml:space="preserve">J D Rhinehart, K E Schober, B A Scansen, V Yildiz, and J D Bonagura.</w:t>
      </w:r>
    </w:p>
    <w:p/>
    <w:p>
      <w:pPr>
        <w:pStyle w:val="Normal"/>
      </w:pPr>
      <w:r>
        <w:rPr>
          <w:color w:val="323232"/>
        </w:rPr>
        <w:t xml:space="preserve">BACKGROUND:Severity of pulmonary hypertension (PH) in dogs is related to clinical signs and prognosis.</w:t>
      </w:r>
    </w:p>
    <w:p/>
    <w:p>
      <w:pPr>
        <w:pStyle w:val="Normal"/>
      </w:pPr>
      <w:r>
        <w:rPr>
          <w:color w:val="323232"/>
        </w:rPr>
        <w:t xml:space="preserve">HYPOTHESIS/OBJECTIVES:We hypothesized that Doppler echocardiographic (DE) indices of pulmonary artery pressure (PAP) and pulmonary vascular resistance (PVR) are influenced by independent factors that create clinically important variability of DE-based estimates of PH in dogs.</w:t>
      </w:r>
    </w:p>
    <w:p/>
    <w:p>
      <w:pPr>
        <w:pStyle w:val="Normal"/>
      </w:pPr>
      <w:r>
        <w:rPr>
          <w:color w:val="323232"/>
        </w:rPr>
        <w:t xml:space="preserve">ANIMALS:Thirty-eight client owned dogs with naturally acquired degenerative atrioventricular valve disease and tricuspid regurgitation (TR).</w:t>
      </w:r>
    </w:p>
    <w:p/>
    <w:p>
      <w:pPr>
        <w:pStyle w:val="Normal"/>
      </w:pPr>
      <w:r>
        <w:rPr>
          <w:color w:val="323232"/>
        </w:rPr>
        <w:t xml:space="preserve">METHODS:Dogs were prospectively enrolled, and target variables were acquired during 4 echocardiographic study periods (lateral recumbency, standing, lateral recumbency after a 6-minute walk test [6MWT], and lateral recumbency after sedation with butorphanol 0.25</w:t>
      </w:r>
      <w:r>
        <w:rPr>
          <w:color w:val="323232"/>
        </w:rPr>
        <w:t xml:space="preserve"> </w:t>
      </w:r>
      <w:r>
        <w:rPr>
          <w:color w:val="323232"/>
        </w:rPr>
        <w:t xml:space="preserve">mg/kg IM). Statistical methods included repeated measures ANOVA, mixed model analysis, and Chi-squared test of association.</w:t>
      </w:r>
    </w:p>
    <w:p/>
    <w:p>
      <w:pPr>
        <w:pStyle w:val="Normal"/>
      </w:pPr>
      <w:r>
        <w:rPr>
          <w:color w:val="323232"/>
        </w:rPr>
        <w:t xml:space="preserve">RESULTS:There was a significant increase in peak TR flow velocity (TRFV; P</w:t>
      </w:r>
      <w:r>
        <w:rPr>
          <w:color w:val="323232"/>
        </w:rPr>
        <w:t xml:space="preserve"> </w:t>
      </w:r>
      <w:r>
        <w:rPr>
          <w:color w:val="323232"/>
        </w:rPr>
        <w:t xml:space="preserve">&lt;</w:t>
      </w:r>
      <w:r>
        <w:rPr>
          <w:color w:val="323232"/>
        </w:rPr>
        <w:t xml:space="preserve"> </w:t>
      </w:r>
      <w:r>
        <w:rPr>
          <w:color w:val="323232"/>
        </w:rPr>
        <w:t xml:space="preserve">0.01) after sedation in 78% of dogs, with TRFV increasing by &gt;0.4</w:t>
      </w:r>
      <w:r>
        <w:rPr>
          <w:color w:val="323232"/>
        </w:rPr>
        <w:t xml:space="preserve"> </w:t>
      </w:r>
      <w:r>
        <w:rPr>
          <w:color w:val="323232"/>
        </w:rPr>
        <w:t xml:space="preserve">m/s in 42% of dogs, independent of stroke volume. A significant effect of study period on DE-estimated PVR was not found (P</w:t>
      </w:r>
      <w:r>
        <w:rPr>
          <w:color w:val="323232"/>
        </w:rPr>
        <w:t xml:space="preserve"> </w:t>
      </w:r>
      <w:r>
        <w:rPr>
          <w:color w:val="323232"/>
        </w:rPr>
        <w:t xml:space="preserve">=</w:t>
      </w:r>
      <w:r>
        <w:rPr>
          <w:color w:val="323232"/>
        </w:rPr>
        <w:t xml:space="preserve"> </w:t>
      </w:r>
      <w:r>
        <w:rPr>
          <w:color w:val="323232"/>
        </w:rPr>
        <w:t xml:space="preserve">0.15). There were negligible effects of sonographer, body position, and 6MWT on echocardiographic variables of PH. Clinically relevant cyclic variation of TRFV was found. There was an association between estimation of right atrial pressure based on subjective assessment and estimation based on cranial vena cava collapsibility (P</w:t>
      </w:r>
      <w:r>
        <w:rPr>
          <w:color w:val="323232"/>
        </w:rPr>
        <w:t xml:space="preserve"> </w:t>
      </w:r>
      <w:r>
        <w:rPr>
          <w:color w:val="323232"/>
        </w:rPr>
        <w:t xml:space="preserve">=</w:t>
      </w:r>
      <w:r>
        <w:rPr>
          <w:color w:val="323232"/>
        </w:rPr>
        <w:t xml:space="preserve"> </w:t>
      </w:r>
      <w:r>
        <w:rPr>
          <w:color w:val="323232"/>
        </w:rPr>
        <w:t xml:space="preserve">0.03).</w:t>
      </w:r>
    </w:p>
    <w:p/>
    <w:p>
      <w:pPr>
        <w:pStyle w:val="Normal"/>
      </w:pPr>
      <w:r>
        <w:rPr>
          <w:color w:val="323232"/>
        </w:rPr>
        <w:t xml:space="preserve">CONCLUSIONS AND CLINICAL IMPORTANCE:The increase in TRFV observed with sedation could change assessment of PH severity and impact prognostication and interpretation of treatment response. Further studies with invasive validation are needed.</w:t>
      </w:r>
    </w:p>
    <w:p/>
    <w:p>
      <w:pPr>
        <w:pStyle w:val="Normal"/>
      </w:pPr>
      <w:r>
        <w:rPr>
          <w:color w:val="323232"/>
        </w:rPr>
        <w:t xml:space="preserve">J Vet Intern Med, 2017 vol. 31 (6), 3 pp. 1611-1621.</w:t>
      </w:r>
    </w:p>
    <w:p>
      <w:r>
        <w:rPr>
          <w:rStyle w:val="Hyperlink"/>
        </w:rPr>
        <w:fldChar w:fldCharType="begin"/>
      </w:r>
      <w:r>
        <w:rPr>
          <w:rStyle w:val="Hyperlink"/>
        </w:rPr>
        <w:instrText xml:space="preserve"> HYPERLINK "http://dx.doi.org/10.1111/jvim.14814" </w:instrText>
      </w:r>
      <w:r>
        <w:rPr>
          <w:rStyle w:val="Hyperlink"/>
        </w:rPr>
      </w:r>
      <w:r>
        <w:rPr>
          <w:rStyle w:val="Hyperlink"/>
        </w:rPr>
        <w:fldChar w:fldCharType="separate"/>
      </w:r>
      <w:pPr>
        <w:pStyle w:val="Normal"/>
      </w:pPr>
      <w:r>
        <w:rPr>
          <w:rStyle w:val="Hyperlink"/>
        </w:rPr>
        <w:t xml:space="preserve">http://dx.doi.org/10.1111/jvim.14814</w:t>
      </w:r>
      <w:r>
        <w:rPr>
          <w:rStyle w:val="Hyperlink"/>
        </w:rPr>
        <w:fldChar w:fldCharType="end"/>
      </w:r>
    </w:p>
    <w:p>
      <w:pPr>
        <w:pStyle w:val="Normal"/>
      </w:pPr>
      <w:r>
        <w:rPr>
          <w:color w:val="323232"/>
        </w:rPr>
        <w:t xml:space="preserve">————————</w:t>
      </w:r>
    </w:p>
    <w:p>
      <w:pPr>
        <w:pStyle w:val="Heading4"/>
      </w:pPr>
      <w:r>
        <w:t xml:space="preserve">Measurement Variation and Repeatability of Echocardiographic Variables Used to Estimate Pulmonary Artery Pressure in Dogs.</w:t>
      </w:r>
    </w:p>
    <w:p/>
    <w:p>
      <w:pPr>
        <w:pStyle w:val="Normal"/>
      </w:pPr>
      <w:r>
        <w:rPr>
          <w:color w:val="323232"/>
        </w:rPr>
        <w:t xml:space="preserve">J A Abbott and J M Gentile-Solomon.</w:t>
      </w:r>
    </w:p>
    <w:p/>
    <w:p>
      <w:pPr>
        <w:pStyle w:val="Normal"/>
      </w:pPr>
      <w:r>
        <w:rPr>
          <w:color w:val="323232"/>
        </w:rPr>
        <w:t xml:space="preserve">BACKGROUND:Pulmonary hypertension (PH) is an important clinical entity in dogs. Pulmonary hypertension is generally identified based on echocardiographic findings, but measurement variation of the variables most often used in this context has not been reported.</w:t>
      </w:r>
    </w:p>
    <w:p/>
    <w:p>
      <w:pPr>
        <w:pStyle w:val="Normal"/>
      </w:pPr>
      <w:r>
        <w:rPr>
          <w:color w:val="323232"/>
        </w:rPr>
        <w:t xml:space="preserve">OBJECTIVE:To define measurement variation of echocardiographic variables that are used to estimate pulmonary artery pressure.</w:t>
      </w:r>
    </w:p>
    <w:p/>
    <w:p>
      <w:pPr>
        <w:pStyle w:val="Normal"/>
      </w:pPr>
      <w:r>
        <w:rPr>
          <w:color w:val="323232"/>
        </w:rPr>
        <w:t xml:space="preserve">ANIMALS:Four dogs with subclinical tricuspid valve regurgitation were selected from a hospital population.</w:t>
      </w:r>
    </w:p>
    <w:p/>
    <w:p>
      <w:pPr>
        <w:pStyle w:val="Normal"/>
      </w:pPr>
      <w:r>
        <w:rPr>
          <w:color w:val="323232"/>
        </w:rPr>
        <w:t xml:space="preserve">METHODS:Prospective descriptive study - dogs were subject to repeated echocardiographic examination by 2 operators. Each dog was echocardiographically examined 12 times, once by each operator during mornings and afternoons of 3 nonconsecutive days. Measurement variation was defined by coefficients of variation and by mean square errors (MSE) from ANOVA models. Repeatability coefficients (RC) were calculated from MSE.</w:t>
      </w:r>
    </w:p>
    <w:p/>
    <w:p>
      <w:pPr>
        <w:pStyle w:val="Normal"/>
      </w:pPr>
      <w:r>
        <w:rPr>
          <w:color w:val="323232"/>
        </w:rPr>
        <w:t xml:space="preserve">RESULTS:Of 50 within-day, between-day, and interoperator coefficients of variation (CVs), 37 were less than 10% and 46 were less than 15%. The range of peak velocity of tricuspid valve regurgitation (VTR) VTR was 1.87-3.34 m</w:t>
      </w:r>
      <w:r>
        <w:rPr>
          <w:i w:val="1"/>
          <w:color w:val="323232"/>
        </w:rPr>
        <w:t xml:space="preserve">s. Analysis of variance revealed a significant effect (P &lt; 0.05) of operator for 7 of 10 measurements. Within-operator</w:t>
      </w:r>
      <w:r>
        <w:rPr>
          <w:color w:val="323232"/>
        </w:rPr>
        <w:t xml:space="preserve">between-day</w:t>
      </w:r>
      <w:r>
        <w:rPr>
          <w:i w:val="1"/>
          <w:color w:val="323232"/>
        </w:rPr>
        <w:t xml:space="preserve">within-subject and between-operator</w:t>
      </w:r>
      <w:r>
        <w:rPr>
          <w:color w:val="323232"/>
        </w:rPr>
        <w:t xml:space="preserve">between-day</w:t>
      </w:r>
      <w:r>
        <w:rPr>
          <w:i w:val="1"/>
          <w:color w:val="323232"/>
        </w:rPr>
        <w:t xml:space="preserve">within-subject RCs of VTR were, respectively, 0.3 and 0.6 m</w:t>
      </w:r>
      <w:r>
        <w:rPr>
          <w:color w:val="323232"/>
        </w:rPr>
        <w:t xml:space="preserve">s.</w:t>
      </w:r>
    </w:p>
    <w:p/>
    <w:p>
      <w:pPr>
        <w:pStyle w:val="Normal"/>
      </w:pPr>
      <w:r>
        <w:rPr>
          <w:color w:val="323232"/>
        </w:rPr>
        <w:t xml:space="preserve">CONCLUSIONS AND CLINICAL IMPORTANCE:With regard to repeatability, VTR is superior to other methods used for echocardiographic estimation of systolic pulmonary artery pressure. When TR is absent, the acceleration time of pulmonary ejection and the acceleration-to-ejection time ratio are alternative measures. A change in VTR exceeding 0.3 m/s might be outside the range of expected within-operator variation.</w:t>
      </w:r>
    </w:p>
    <w:p/>
    <w:p>
      <w:pPr>
        <w:pStyle w:val="Normal"/>
      </w:pPr>
      <w:r>
        <w:rPr>
          <w:color w:val="323232"/>
        </w:rPr>
        <w:t xml:space="preserve">J Vet Intern Med, 2017 vol. 31 (6) pp. 1622-1628.</w:t>
      </w:r>
    </w:p>
    <w:p>
      <w:r>
        <w:rPr>
          <w:rStyle w:val="Hyperlink"/>
        </w:rPr>
        <w:fldChar w:fldCharType="begin"/>
      </w:r>
      <w:r>
        <w:rPr>
          <w:rStyle w:val="Hyperlink"/>
        </w:rPr>
        <w:instrText xml:space="preserve"> HYPERLINK "http://dx.doi.org/10.1111/jvim.14846" </w:instrText>
      </w:r>
      <w:r>
        <w:rPr>
          <w:rStyle w:val="Hyperlink"/>
        </w:rPr>
      </w:r>
      <w:r>
        <w:rPr>
          <w:rStyle w:val="Hyperlink"/>
        </w:rPr>
        <w:fldChar w:fldCharType="separate"/>
      </w:r>
      <w:pPr>
        <w:pStyle w:val="Normal"/>
      </w:pPr>
      <w:r>
        <w:rPr>
          <w:rStyle w:val="Hyperlink"/>
        </w:rPr>
        <w:t xml:space="preserve">http://dx.doi.org/10.1111/jvim.14846</w:t>
      </w:r>
      <w:r>
        <w:rPr>
          <w:rStyle w:val="Hyperlink"/>
        </w:rPr>
        <w:fldChar w:fldCharType="end"/>
      </w:r>
    </w:p>
    <w:p>
      <w:pPr>
        <w:pStyle w:val="Normal"/>
      </w:pPr>
      <w:r>
        <w:rPr>
          <w:color w:val="323232"/>
        </w:rPr>
        <w:t xml:space="preserve">————————</w:t>
      </w:r>
    </w:p>
    <w:p>
      <w:pPr>
        <w:pStyle w:val="Heading4"/>
      </w:pPr>
      <w:r>
        <w:t xml:space="preserve">Short-Term Efficacy and Safety of Torasemide and Furosemide in 366 Dogs with Degenerative Mitral Valve Disease: The TEST Study.</w:t>
      </w:r>
    </w:p>
    <w:p/>
    <w:p>
      <w:pPr>
        <w:pStyle w:val="Normal"/>
      </w:pPr>
      <w:r>
        <w:rPr>
          <w:color w:val="323232"/>
        </w:rPr>
        <w:t xml:space="preserve">V Chetboul, J-L Pouchelon, J Menard, J Blanc, L Desquilbet, A Petit, S Rougier, L Lucats, F Woehrle, and TEST study investigators.</w:t>
      </w:r>
    </w:p>
    <w:p/>
    <w:p>
      <w:pPr>
        <w:pStyle w:val="Normal"/>
      </w:pPr>
      <w:r>
        <w:rPr>
          <w:color w:val="323232"/>
        </w:rPr>
        <w:t xml:space="preserve">BACKGROUND:Furosemide is the only loop diuretic recommended by the ACVIM consensus guidelines for treatment of congestive heart failure (CHF) in dogs related to degenerative mitral valve disease (DMVD). Torasemide is another potent loop diuretic with a longer half-life and a higher bioavailability.</w:t>
      </w:r>
    </w:p>
    <w:p/>
    <w:p>
      <w:pPr>
        <w:pStyle w:val="Normal"/>
      </w:pPr>
      <w:r>
        <w:rPr>
          <w:color w:val="323232"/>
        </w:rPr>
        <w:t xml:space="preserve">OBJECTIVES:(1) To demonstrate that torasemide given once a day (q24h) is noninferior to furosemide given twice a day (q12h) for treating dogs with CHF; (2) and to compare the effect of the 2 drugs on the time to reach a composite cardiac endpoint "spontaneous cardiac death, euthanasia due to heart failure or CHF class worsening."</w:t>
      </w:r>
    </w:p>
    <w:p/>
    <w:p>
      <w:pPr>
        <w:pStyle w:val="Normal"/>
      </w:pPr>
      <w:r>
        <w:rPr>
          <w:color w:val="323232"/>
        </w:rPr>
        <w:t xml:space="preserve">ANIMALS:A total of 366 dogs with CHF attributable to DMVD.</w:t>
      </w:r>
    </w:p>
    <w:p/>
    <w:p>
      <w:pPr>
        <w:pStyle w:val="Normal"/>
      </w:pPr>
      <w:r>
        <w:rPr>
          <w:color w:val="323232"/>
        </w:rPr>
        <w:t xml:space="preserve">METHODS:Analysis of 2 prospective randomized single-blinded reference-controlled trials was performed. Dogs orally received either torasemide q24h (n</w:t>
      </w:r>
      <w:r>
        <w:rPr>
          <w:color w:val="323232"/>
        </w:rPr>
        <w:t xml:space="preserve"> </w:t>
      </w:r>
      <w:r>
        <w:rPr>
          <w:color w:val="323232"/>
        </w:rPr>
        <w:t xml:space="preserve">=</w:t>
      </w:r>
      <w:r>
        <w:rPr>
          <w:color w:val="323232"/>
        </w:rPr>
        <w:t xml:space="preserve"> </w:t>
      </w:r>
      <w:r>
        <w:rPr>
          <w:color w:val="323232"/>
        </w:rPr>
        <w:t xml:space="preserve">180) or furosemide q12h (n</w:t>
      </w:r>
      <w:r>
        <w:rPr>
          <w:color w:val="323232"/>
        </w:rPr>
        <w:t xml:space="preserve"> </w:t>
      </w:r>
      <w:r>
        <w:rPr>
          <w:color w:val="323232"/>
        </w:rPr>
        <w:t xml:space="preserve">=</w:t>
      </w:r>
      <w:r>
        <w:rPr>
          <w:color w:val="323232"/>
        </w:rPr>
        <w:t xml:space="preserve"> </w:t>
      </w:r>
      <w:r>
        <w:rPr>
          <w:color w:val="323232"/>
        </w:rPr>
        <w:t xml:space="preserve">186) in addition to standard CHF therapy over 3</w:t>
      </w:r>
      <w:r>
        <w:rPr>
          <w:color w:val="323232"/>
        </w:rPr>
        <w:t xml:space="preserve"> </w:t>
      </w:r>
      <w:r>
        <w:rPr>
          <w:color w:val="323232"/>
        </w:rPr>
        <w:t xml:space="preserve">months. The primary efficacy criterion was the percentage of dogs with treatment success assessed in each study. The time to reach the composite cardiac endpoint was used as secondary criterion in the overall population.</w:t>
      </w:r>
    </w:p>
    <w:p/>
    <w:p>
      <w:pPr>
        <w:pStyle w:val="Normal"/>
      </w:pPr>
      <w:r>
        <w:rPr>
          <w:color w:val="323232"/>
        </w:rPr>
        <w:t xml:space="preserve">RESULTS:Torasemide was noninferior to furosemide (Ptorasemide </w:t>
      </w:r>
      <w:r>
        <w:rPr>
          <w:color w:val="323232"/>
        </w:rPr>
        <w:t xml:space="preserve"> </w:t>
      </w:r>
      <w:r>
        <w:rPr>
          <w:color w:val="323232"/>
        </w:rPr>
        <w:t xml:space="preserve">-</w:t>
      </w:r>
      <w:r>
        <w:rPr>
          <w:color w:val="323232"/>
        </w:rPr>
        <w:t xml:space="preserve"> </w:t>
      </w:r>
      <w:r>
        <w:rPr>
          <w:color w:val="323232"/>
        </w:rPr>
        <w:t xml:space="preserve">Pfurosemide </w:t>
      </w:r>
      <w:r>
        <w:rPr>
          <w:color w:val="323232"/>
        </w:rPr>
        <w:t xml:space="preserve"> </w:t>
      </w:r>
      <w:r>
        <w:rPr>
          <w:color w:val="323232"/>
        </w:rPr>
        <w:t xml:space="preserve">=</w:t>
      </w:r>
      <w:r>
        <w:rPr>
          <w:color w:val="323232"/>
        </w:rPr>
        <w:t xml:space="preserve"> </w:t>
      </w:r>
      <w:r>
        <w:rPr>
          <w:color w:val="323232"/>
        </w:rPr>
        <w:t xml:space="preserve">+7%; 95% CI [-8%; +22%] and Ptorasemide </w:t>
      </w:r>
      <w:r>
        <w:rPr>
          <w:color w:val="323232"/>
        </w:rPr>
        <w:t xml:space="preserve"> </w:t>
      </w:r>
      <w:r>
        <w:rPr>
          <w:color w:val="323232"/>
        </w:rPr>
        <w:t xml:space="preserve">-</w:t>
      </w:r>
      <w:r>
        <w:rPr>
          <w:color w:val="323232"/>
        </w:rPr>
        <w:t xml:space="preserve"> </w:t>
      </w:r>
      <w:r>
        <w:rPr>
          <w:color w:val="323232"/>
        </w:rPr>
        <w:t xml:space="preserve">Pfurosemide </w:t>
      </w:r>
      <w:r>
        <w:rPr>
          <w:color w:val="323232"/>
        </w:rPr>
        <w:t xml:space="preserve"> </w:t>
      </w:r>
      <w:r>
        <w:rPr>
          <w:color w:val="323232"/>
        </w:rPr>
        <w:t xml:space="preserve">=</w:t>
      </w:r>
      <w:r>
        <w:rPr>
          <w:color w:val="323232"/>
        </w:rPr>
        <w:t xml:space="preserve"> </w:t>
      </w:r>
      <w:r>
        <w:rPr>
          <w:color w:val="323232"/>
        </w:rPr>
        <w:t xml:space="preserve">+1%; 95% CI [-12%; +14%], respectively, in Study 1 and Study 2). Torasemide (median dose</w:t>
      </w:r>
      <w:r>
        <w:rPr>
          <w:color w:val="323232"/>
        </w:rPr>
        <w:t xml:space="preserve"> </w:t>
      </w:r>
      <w:r>
        <w:rPr>
          <w:color w:val="323232"/>
        </w:rPr>
        <w:t xml:space="preserve">=</w:t>
      </w:r>
      <w:r>
        <w:rPr>
          <w:color w:val="323232"/>
        </w:rPr>
        <w:t xml:space="preserve"> </w:t>
      </w:r>
      <w:r>
        <w:rPr>
          <w:color w:val="323232"/>
        </w:rPr>
        <w:t xml:space="preserve">0.24</w:t>
      </w:r>
      <w:r>
        <w:rPr>
          <w:color w:val="323232"/>
        </w:rPr>
        <w:t xml:space="preserve"> </w:t>
      </w:r>
      <w:r>
        <w:rPr>
          <w:color w:val="323232"/>
        </w:rPr>
        <w:t xml:space="preserve">mg</w:t>
      </w:r>
      <w:r>
        <w:rPr>
          <w:i w:val="1"/>
          <w:color w:val="323232"/>
        </w:rPr>
        <w:t xml:space="preserve">kg</w:t>
      </w:r>
      <w:r>
        <w:rPr>
          <w:color w:val="323232"/>
        </w:rPr>
        <w:t xml:space="preserve">d q24h; range</w:t>
      </w:r>
      <w:r>
        <w:rPr>
          <w:color w:val="323232"/>
        </w:rPr>
        <w:t xml:space="preserve"> </w:t>
      </w:r>
      <w:r>
        <w:rPr>
          <w:color w:val="323232"/>
        </w:rPr>
        <w:t xml:space="preserve">=</w:t>
      </w:r>
      <w:r>
        <w:rPr>
          <w:color w:val="323232"/>
        </w:rPr>
        <w:t xml:space="preserve"> </w:t>
      </w:r>
      <w:r>
        <w:rPr>
          <w:color w:val="323232"/>
        </w:rPr>
        <w:t xml:space="preserve">0.10-0.69</w:t>
      </w:r>
      <w:r>
        <w:rPr>
          <w:color w:val="323232"/>
        </w:rPr>
        <w:t xml:space="preserve"> </w:t>
      </w:r>
      <w:r>
        <w:rPr>
          <w:color w:val="323232"/>
        </w:rPr>
        <w:t xml:space="preserve">mg</w:t>
      </w:r>
      <w:r>
        <w:rPr>
          <w:i w:val="1"/>
          <w:color w:val="323232"/>
        </w:rPr>
        <w:t xml:space="preserve">kg</w:t>
      </w:r>
      <w:r>
        <w:rPr>
          <w:color w:val="323232"/>
        </w:rPr>
        <w:t xml:space="preserve">d) was associated with a 2-fold reduction in the risk of reaching the composite cardiac endpoint (adjusted HR</w:t>
      </w:r>
      <w:r>
        <w:rPr>
          <w:color w:val="323232"/>
        </w:rPr>
        <w:t xml:space="preserve"> </w:t>
      </w:r>
      <w:r>
        <w:rPr>
          <w:color w:val="323232"/>
        </w:rPr>
        <w:t xml:space="preserve">=</w:t>
      </w:r>
      <w:r>
        <w:rPr>
          <w:color w:val="323232"/>
        </w:rPr>
        <w:t xml:space="preserve"> </w:t>
      </w:r>
      <w:r>
        <w:rPr>
          <w:color w:val="323232"/>
        </w:rPr>
        <w:t xml:space="preserve">0.47; 95% CI</w:t>
      </w:r>
      <w:r>
        <w:rPr>
          <w:color w:val="323232"/>
        </w:rPr>
        <w:t xml:space="preserve"> </w:t>
      </w:r>
      <w:r>
        <w:rPr>
          <w:color w:val="323232"/>
        </w:rPr>
        <w:t xml:space="preserve">=</w:t>
      </w:r>
      <w:r>
        <w:rPr>
          <w:color w:val="323232"/>
        </w:rPr>
        <w:t xml:space="preserve"> </w:t>
      </w:r>
      <w:r>
        <w:rPr>
          <w:color w:val="323232"/>
        </w:rPr>
        <w:t xml:space="preserve">0.27-0.82; P</w:t>
      </w:r>
      <w:r>
        <w:rPr>
          <w:color w:val="323232"/>
        </w:rPr>
        <w:t xml:space="preserve"> </w:t>
      </w:r>
      <w:r>
        <w:rPr>
          <w:color w:val="323232"/>
        </w:rPr>
        <w:t xml:space="preserve">=</w:t>
      </w:r>
      <w:r>
        <w:rPr>
          <w:color w:val="323232"/>
        </w:rPr>
        <w:t xml:space="preserve"> </w:t>
      </w:r>
      <w:r>
        <w:rPr>
          <w:color w:val="323232"/>
        </w:rPr>
        <w:t xml:space="preserve">0.0077) as compared with furosemide (median dose</w:t>
      </w:r>
      <w:r>
        <w:rPr>
          <w:color w:val="323232"/>
        </w:rPr>
        <w:t xml:space="preserve"> </w:t>
      </w:r>
      <w:r>
        <w:rPr>
          <w:color w:val="323232"/>
        </w:rPr>
        <w:t xml:space="preserve">=</w:t>
      </w:r>
      <w:r>
        <w:rPr>
          <w:color w:val="323232"/>
        </w:rPr>
        <w:t xml:space="preserve"> </w:t>
      </w:r>
      <w:r>
        <w:rPr>
          <w:color w:val="323232"/>
        </w:rPr>
        <w:t xml:space="preserve">1.39</w:t>
      </w:r>
      <w:r>
        <w:rPr>
          <w:color w:val="323232"/>
        </w:rPr>
        <w:t xml:space="preserve"> </w:t>
      </w:r>
      <w:r>
        <w:rPr>
          <w:color w:val="323232"/>
        </w:rPr>
        <w:t xml:space="preserve">mg</w:t>
      </w:r>
      <w:r>
        <w:rPr>
          <w:i w:val="1"/>
          <w:color w:val="323232"/>
        </w:rPr>
        <w:t xml:space="preserve">kg q12h; range</w:t>
      </w:r>
      <w:r>
        <w:rPr>
          <w:color w:val="323232"/>
        </w:rPr>
        <w:t xml:space="preserve"> </w:t>
      </w:r>
      <w:r>
        <w:rPr>
          <w:i w:val="1"/>
          <w:color w:val="323232"/>
        </w:rPr>
        <w:t xml:space="preserve">=</w:t>
      </w:r>
      <w:r>
        <w:rPr>
          <w:color w:val="323232"/>
        </w:rPr>
        <w:t xml:space="preserve"> </w:t>
      </w:r>
      <w:r>
        <w:rPr>
          <w:i w:val="1"/>
          <w:color w:val="323232"/>
        </w:rPr>
        <w:t xml:space="preserve">0.70-6.30</w:t>
      </w:r>
      <w:r>
        <w:rPr>
          <w:color w:val="323232"/>
        </w:rPr>
        <w:t xml:space="preserve"> </w:t>
      </w:r>
      <w:r>
        <w:rPr>
          <w:i w:val="1"/>
          <w:color w:val="323232"/>
        </w:rPr>
        <w:t xml:space="preserve">mg</w:t>
      </w:r>
      <w:r>
        <w:rPr>
          <w:color w:val="323232"/>
        </w:rPr>
        <w:t xml:space="preserve">kg q12h).</w:t>
      </w:r>
    </w:p>
    <w:p/>
    <w:p>
      <w:pPr>
        <w:pStyle w:val="Normal"/>
      </w:pPr>
      <w:r>
        <w:rPr>
          <w:color w:val="323232"/>
        </w:rPr>
        <w:t xml:space="preserve">CONCLUSIONS AND CLINICAL IMPORTANCE:Torasemide q24h is an effective oral diuretic in dogs with CHF.</w:t>
      </w:r>
    </w:p>
    <w:p/>
    <w:p>
      <w:pPr>
        <w:pStyle w:val="Normal"/>
      </w:pPr>
      <w:r>
        <w:rPr>
          <w:color w:val="323232"/>
        </w:rPr>
        <w:t xml:space="preserve">J Vet Intern Med, 2017 vol. 31 (6), 6 pp. 1629-1642.</w:t>
      </w:r>
    </w:p>
    <w:p>
      <w:r>
        <w:rPr>
          <w:rStyle w:val="Hyperlink"/>
        </w:rPr>
        <w:fldChar w:fldCharType="begin"/>
      </w:r>
      <w:r>
        <w:rPr>
          <w:rStyle w:val="Hyperlink"/>
        </w:rPr>
        <w:instrText xml:space="preserve"> HYPERLINK "http://dx.doi.org/10.1111/jvim.14841" </w:instrText>
      </w:r>
      <w:r>
        <w:rPr>
          <w:rStyle w:val="Hyperlink"/>
        </w:rPr>
      </w:r>
      <w:r>
        <w:rPr>
          <w:rStyle w:val="Hyperlink"/>
        </w:rPr>
        <w:fldChar w:fldCharType="separate"/>
      </w:r>
      <w:pPr>
        <w:pStyle w:val="Normal"/>
      </w:pPr>
      <w:r>
        <w:rPr>
          <w:rStyle w:val="Hyperlink"/>
        </w:rPr>
        <w:t xml:space="preserve">http://dx.doi.org/10.1111/jvim.14841</w:t>
      </w:r>
      <w:r>
        <w:rPr>
          <w:rStyle w:val="Hyperlink"/>
        </w:rPr>
        <w:fldChar w:fldCharType="end"/>
      </w:r>
    </w:p>
    <w:p>
      <w:pPr>
        <w:pStyle w:val="Normal"/>
      </w:pPr>
      <w:r>
        <w:rPr>
          <w:color w:val="323232"/>
        </w:rPr>
        <w:t xml:space="preserve">————————</w:t>
      </w:r>
    </w:p>
    <w:p>
      <w:pPr>
        <w:pStyle w:val="Heading4"/>
      </w:pPr>
      <w:r>
        <w:t xml:space="preserve">Altered Serum Thyrotropin Concentrations in Dogs with Primary Hypoadrenocorticism before and during Treatment.</w:t>
      </w:r>
    </w:p>
    <w:p/>
    <w:p>
      <w:pPr>
        <w:pStyle w:val="Normal"/>
      </w:pPr>
      <w:r>
        <w:rPr>
          <w:color w:val="323232"/>
        </w:rPr>
        <w:t xml:space="preserve">C E Reusch, F Fracassi, N S Sieber-Ruckstuhl, W A Burkhardt, N Hofer-Inteeworn, C Schuppisser, M Stirn, R Hofmann-Lehmann, and F S Boretti.</w:t>
      </w:r>
    </w:p>
    <w:p/>
    <w:p>
      <w:pPr>
        <w:pStyle w:val="Normal"/>
      </w:pPr>
      <w:r>
        <w:rPr>
          <w:color w:val="323232"/>
        </w:rPr>
        <w:t xml:space="preserve">BACKGROUND:Thyrotropin (TSH) can be increased in humans with primary hypoadrenocorticism (HA) before glucocorticoid treatment. Increase in TSH is a typical finding of primary hypothyroidism and both diseases can occur concurrently (Schmidt's syndrome); therefore, care must be taken in assessing thyroid function in untreated human patients with HA.</w:t>
      </w:r>
    </w:p>
    <w:p/>
    <w:p>
      <w:pPr>
        <w:pStyle w:val="Normal"/>
      </w:pPr>
      <w:r>
        <w:rPr>
          <w:color w:val="323232"/>
        </w:rPr>
        <w:t xml:space="preserve">OBJECTIVE:Evaluate whether alterations in cTSH can be observed in dogs with HA in absence of primary hypothyroidism.</w:t>
      </w:r>
    </w:p>
    <w:p/>
    <w:p>
      <w:pPr>
        <w:pStyle w:val="Normal"/>
      </w:pPr>
      <w:r>
        <w:rPr>
          <w:color w:val="323232"/>
        </w:rPr>
        <w:t xml:space="preserve">ANIMALS:Thirty dogs with newly diagnosed HA, and 30 dogs in which HA was suspected but excluded based on a normal ACTH stimulation test (controls) were prospectively enrolled.</w:t>
      </w:r>
    </w:p>
    <w:p/>
    <w:p>
      <w:pPr>
        <w:pStyle w:val="Normal"/>
      </w:pPr>
      <w:r>
        <w:rPr>
          <w:color w:val="323232"/>
        </w:rPr>
        <w:t xml:space="preserve">METHODS:cTSH and T4 concentrations were determined in all dogs and at selected time points during treatment (prednisolone, fludrocortisone, or DOCP) in dogs with HA.</w:t>
      </w:r>
    </w:p>
    <w:p/>
    <w:p>
      <w:pPr>
        <w:pStyle w:val="Normal"/>
      </w:pPr>
      <w:r>
        <w:rPr>
          <w:color w:val="323232"/>
        </w:rPr>
        <w:t xml:space="preserve">RESULTS:cTSH concentrations ranged from 0.01 to 2.6 ng/ mL (median 0.29) and were increased in 11/ 30 dogs with HA; values in controls were all within the reference interval (range: 0.01-0.2 ng/ dL; median 0.06). There was no difference in T4 between dogs with increased cTSH (T4 range 1.0-2.1; median 1.3 μg/ dL) compared to those with normal cTSH (T4 range 0.5-3.4, median 1.4 μg/ dL; P=0.69) and controls (T4 range 0.3-3.8, median 1.8 μg/ dL; P=0.35). After starting treatment, cTSH normalized after 2-4 weeks in 9 dogs and after 3 and 4 months in 2 without thyroxine supplementation.</w:t>
      </w:r>
    </w:p>
    <w:p/>
    <w:p>
      <w:pPr>
        <w:pStyle w:val="Normal"/>
      </w:pPr>
      <w:r>
        <w:rPr>
          <w:color w:val="323232"/>
        </w:rPr>
        <w:t xml:space="preserve">CONCLUSIONS AND CLINICAL RELEVANCE:Evaluation of thyroid function in untreated dogs with HA can lead to misdiagnosis of hypothyroidism; treatment with glucocorticoids for up to 4 months can be necessary to normalize cTSH.</w:t>
      </w:r>
    </w:p>
    <w:p/>
    <w:p>
      <w:pPr>
        <w:pStyle w:val="Normal"/>
      </w:pPr>
      <w:r>
        <w:rPr>
          <w:color w:val="323232"/>
        </w:rPr>
        <w:t xml:space="preserve">J Vet Intern Med, 2017 vol. 31 (6) pp. 1643-1648.</w:t>
      </w:r>
    </w:p>
    <w:p>
      <w:r>
        <w:rPr>
          <w:rStyle w:val="Hyperlink"/>
        </w:rPr>
        <w:fldChar w:fldCharType="begin"/>
      </w:r>
      <w:r>
        <w:rPr>
          <w:rStyle w:val="Hyperlink"/>
        </w:rPr>
        <w:instrText xml:space="preserve"> HYPERLINK "http://dx.doi.org/10.1111/jvim.14840" </w:instrText>
      </w:r>
      <w:r>
        <w:rPr>
          <w:rStyle w:val="Hyperlink"/>
        </w:rPr>
      </w:r>
      <w:r>
        <w:rPr>
          <w:rStyle w:val="Hyperlink"/>
        </w:rPr>
        <w:fldChar w:fldCharType="separate"/>
      </w:r>
      <w:pPr>
        <w:pStyle w:val="Normal"/>
      </w:pPr>
      <w:r>
        <w:rPr>
          <w:rStyle w:val="Hyperlink"/>
        </w:rPr>
        <w:t xml:space="preserve">http://dx.doi.org/10.1111/jvim.14840</w:t>
      </w:r>
      <w:r>
        <w:rPr>
          <w:rStyle w:val="Hyperlink"/>
        </w:rPr>
        <w:fldChar w:fldCharType="end"/>
      </w:r>
    </w:p>
    <w:p>
      <w:pPr>
        <w:pStyle w:val="Normal"/>
      </w:pPr>
      <w:r>
        <w:rPr>
          <w:color w:val="323232"/>
        </w:rPr>
        <w:t xml:space="preserve">————————</w:t>
      </w:r>
    </w:p>
    <w:p>
      <w:pPr>
        <w:pStyle w:val="Heading4"/>
      </w:pPr>
      <w:r>
        <w:t xml:space="preserve">Desoxycorticosterone Pivalate Duration of Action and Individualized Dosing Intervals in Dogs with Primary Hypoadrenocorticism.</w:t>
      </w:r>
    </w:p>
    <w:p/>
    <w:p>
      <w:pPr>
        <w:pStyle w:val="Normal"/>
      </w:pPr>
      <w:r>
        <w:rPr>
          <w:color w:val="323232"/>
        </w:rPr>
        <w:t xml:space="preserve">J A Jaffey, P Nurre, A B Cannon, and A E DeClue.</w:t>
      </w:r>
    </w:p>
    <w:p/>
    <w:p>
      <w:pPr>
        <w:pStyle w:val="Normal"/>
      </w:pPr>
      <w:r>
        <w:rPr>
          <w:color w:val="323232"/>
        </w:rPr>
        <w:t xml:space="preserve">BACKGROUND:Clinicians alter dosing for desoxycorticosterone pivalate (DOCP) to mitigate costs, but this practice has not been critically evaluated in a prospective clinical trial.</w:t>
      </w:r>
    </w:p>
    <w:p/>
    <w:p>
      <w:pPr>
        <w:pStyle w:val="Normal"/>
      </w:pPr>
      <w:r>
        <w:rPr>
          <w:color w:val="323232"/>
        </w:rPr>
        <w:t xml:space="preserve">HYPOTHESIS/OBJECTIVES:The duration of action of DOCP is longer than 30</w:t>
      </w:r>
      <w:r>
        <w:rPr>
          <w:color w:val="323232"/>
        </w:rPr>
        <w:t xml:space="preserve"> </w:t>
      </w:r>
      <w:r>
        <w:rPr>
          <w:color w:val="323232"/>
        </w:rPr>
        <w:t xml:space="preserve">days in dogs with primary hypoadrenocorticism (PH).</w:t>
      </w:r>
    </w:p>
    <w:p/>
    <w:p>
      <w:pPr>
        <w:pStyle w:val="Normal"/>
      </w:pPr>
      <w:r>
        <w:rPr>
          <w:color w:val="323232"/>
        </w:rPr>
        <w:t xml:space="preserve">ANIMALS:A total of 53 client-owned dogs with PH. Twenty-four dogs with newly diagnosed PH (Group 1) and 29 dogs with treated PH (Group 2).</w:t>
      </w:r>
    </w:p>
    <w:p/>
    <w:p>
      <w:pPr>
        <w:pStyle w:val="Normal"/>
      </w:pPr>
      <w:r>
        <w:rPr>
          <w:color w:val="323232"/>
        </w:rPr>
        <w:t xml:space="preserve">METHODS:Prospective, multicenter, clinical trial. For phase I, DOCP was administered and plasma sodium and potassium concentrations were measured until the dog developed hyponatremia or hyperkalemia at a planned evaluation, or displayed clinical signs with plasma electrolyte concentrations outside of the reference interval independent of a planned evaluation, thus defining DOCP duration of action. Plasma electrolyte concentrations then were assessed at the end of the individualized dosing interval (IDI; i.e., DOCP duration of action minus 7</w:t>
      </w:r>
      <w:r>
        <w:rPr>
          <w:color w:val="323232"/>
        </w:rPr>
        <w:t xml:space="preserve"> </w:t>
      </w:r>
      <w:r>
        <w:rPr>
          <w:color w:val="323232"/>
        </w:rPr>
        <w:t xml:space="preserve">days, phase II and at least 3</w:t>
      </w:r>
      <w:r>
        <w:rPr>
          <w:color w:val="323232"/>
        </w:rPr>
        <w:t xml:space="preserve"> </w:t>
      </w:r>
      <w:r>
        <w:rPr>
          <w:color w:val="323232"/>
        </w:rPr>
        <w:t xml:space="preserve">months after concluding phase II, phase III).</w:t>
      </w:r>
    </w:p>
    <w:p/>
    <w:p>
      <w:pPr>
        <w:pStyle w:val="Normal"/>
      </w:pPr>
      <w:r>
        <w:rPr>
          <w:color w:val="323232"/>
        </w:rPr>
        <w:t xml:space="preserve">RESULTS:The duration of action of DOCP in dogs in phase I with naïve PH (n</w:t>
      </w:r>
      <w:r>
        <w:rPr>
          <w:color w:val="323232"/>
        </w:rPr>
        <w:t xml:space="preserve"> </w:t>
      </w:r>
      <w:r>
        <w:rPr>
          <w:color w:val="323232"/>
        </w:rPr>
        <w:t xml:space="preserve">=</w:t>
      </w:r>
      <w:r>
        <w:rPr>
          <w:color w:val="323232"/>
        </w:rPr>
        <w:t xml:space="preserve"> </w:t>
      </w:r>
      <w:r>
        <w:rPr>
          <w:color w:val="323232"/>
        </w:rPr>
        <w:t xml:space="preserve">24) ranged from 32 to 94</w:t>
      </w:r>
      <w:r>
        <w:rPr>
          <w:color w:val="323232"/>
        </w:rPr>
        <w:t xml:space="preserve"> </w:t>
      </w:r>
      <w:r>
        <w:rPr>
          <w:color w:val="323232"/>
        </w:rPr>
        <w:t xml:space="preserve">days (median, 62</w:t>
      </w:r>
      <w:r>
        <w:rPr>
          <w:color w:val="323232"/>
        </w:rPr>
        <w:t xml:space="preserve"> </w:t>
      </w:r>
      <w:r>
        <w:rPr>
          <w:color w:val="323232"/>
        </w:rPr>
        <w:t xml:space="preserve">days; 95% confidence interval [CI], 57, 65) and previously treated PH (n</w:t>
      </w:r>
      <w:r>
        <w:rPr>
          <w:color w:val="323232"/>
        </w:rPr>
        <w:t xml:space="preserve"> </w:t>
      </w:r>
      <w:r>
        <w:rPr>
          <w:color w:val="323232"/>
        </w:rPr>
        <w:t xml:space="preserve">=</w:t>
      </w:r>
      <w:r>
        <w:rPr>
          <w:color w:val="323232"/>
        </w:rPr>
        <w:t xml:space="preserve"> </w:t>
      </w:r>
      <w:r>
        <w:rPr>
          <w:color w:val="323232"/>
        </w:rPr>
        <w:t xml:space="preserve">29) from 41 to 124</w:t>
      </w:r>
      <w:r>
        <w:rPr>
          <w:color w:val="323232"/>
        </w:rPr>
        <w:t xml:space="preserve"> </w:t>
      </w:r>
      <w:r>
        <w:rPr>
          <w:color w:val="323232"/>
        </w:rPr>
        <w:t xml:space="preserve">days (median, 67</w:t>
      </w:r>
      <w:r>
        <w:rPr>
          <w:color w:val="323232"/>
        </w:rPr>
        <w:t xml:space="preserve"> </w:t>
      </w:r>
      <w:r>
        <w:rPr>
          <w:color w:val="323232"/>
        </w:rPr>
        <w:t xml:space="preserve">days; CI, 56, 72). Overall, the final DOCP dosing interval for all dogs that completed phase II (n</w:t>
      </w:r>
      <w:r>
        <w:rPr>
          <w:color w:val="323232"/>
        </w:rPr>
        <w:t xml:space="preserve"> </w:t>
      </w:r>
      <w:r>
        <w:rPr>
          <w:color w:val="323232"/>
        </w:rPr>
        <w:t xml:space="preserve">=</w:t>
      </w:r>
      <w:r>
        <w:rPr>
          <w:color w:val="323232"/>
        </w:rPr>
        <w:t xml:space="preserve"> </w:t>
      </w:r>
      <w:r>
        <w:rPr>
          <w:color w:val="323232"/>
        </w:rPr>
        <w:t xml:space="preserve">36) ranged from 38</w:t>
      </w:r>
      <w:r>
        <w:rPr>
          <w:color w:val="323232"/>
        </w:rPr>
        <w:t xml:space="preserve"> </w:t>
      </w:r>
      <w:r>
        <w:rPr>
          <w:color w:val="323232"/>
        </w:rPr>
        <w:t xml:space="preserve">days to 90</w:t>
      </w:r>
      <w:r>
        <w:rPr>
          <w:color w:val="323232"/>
        </w:rPr>
        <w:t xml:space="preserve"> </w:t>
      </w:r>
      <w:r>
        <w:rPr>
          <w:color w:val="323232"/>
        </w:rPr>
        <w:t xml:space="preserve">days (median, 58</w:t>
      </w:r>
      <w:r>
        <w:rPr>
          <w:color w:val="323232"/>
        </w:rPr>
        <w:t xml:space="preserve"> </w:t>
      </w:r>
      <w:r>
        <w:rPr>
          <w:color w:val="323232"/>
        </w:rPr>
        <w:t xml:space="preserve">days; CI, 53, 61). No dog that completed phase III (n</w:t>
      </w:r>
      <w:r>
        <w:rPr>
          <w:color w:val="323232"/>
        </w:rPr>
        <w:t xml:space="preserve"> </w:t>
      </w:r>
      <w:r>
        <w:rPr>
          <w:color w:val="323232"/>
        </w:rPr>
        <w:t xml:space="preserve">=</w:t>
      </w:r>
      <w:r>
        <w:rPr>
          <w:color w:val="323232"/>
        </w:rPr>
        <w:t xml:space="preserve"> </w:t>
      </w:r>
      <w:r>
        <w:rPr>
          <w:color w:val="323232"/>
        </w:rPr>
        <w:t xml:space="preserve">15) required reduction in the IDI. The DOCP duration of action, independent of group, was not significantly associated with several baseline variables. The median drug cost reduction using IDI was approximately 57.5% per year.</w:t>
      </w:r>
    </w:p>
    <w:p/>
    <w:p>
      <w:pPr>
        <w:pStyle w:val="Normal"/>
      </w:pPr>
      <w:r>
        <w:rPr>
          <w:color w:val="323232"/>
        </w:rPr>
        <w:t xml:space="preserve">CONCLUSION AND CLINICAL IMPORTANCE:The duration of action of DOCP in dogs with PH is &gt;30</w:t>
      </w:r>
      <w:r>
        <w:rPr>
          <w:color w:val="323232"/>
        </w:rPr>
        <w:t xml:space="preserve"> </w:t>
      </w:r>
      <w:r>
        <w:rPr>
          <w:color w:val="323232"/>
        </w:rPr>
        <w:t xml:space="preserve">days, and plasma sodium and potassium concentrations can be maintained with an IDI &gt;30</w:t>
      </w:r>
      <w:r>
        <w:rPr>
          <w:color w:val="323232"/>
        </w:rPr>
        <w:t xml:space="preserve"> </w:t>
      </w:r>
      <w:r>
        <w:rPr>
          <w:color w:val="323232"/>
        </w:rPr>
        <w:t xml:space="preserve">days long term.</w:t>
      </w:r>
    </w:p>
    <w:p/>
    <w:p>
      <w:pPr>
        <w:pStyle w:val="Normal"/>
      </w:pPr>
      <w:r>
        <w:rPr>
          <w:color w:val="323232"/>
        </w:rPr>
        <w:t xml:space="preserve">J Vet Intern Med, 2017 vol. 31 (6), 4 pp. 1649-1657.</w:t>
      </w:r>
    </w:p>
    <w:p>
      <w:r>
        <w:rPr>
          <w:rStyle w:val="Hyperlink"/>
        </w:rPr>
        <w:fldChar w:fldCharType="begin"/>
      </w:r>
      <w:r>
        <w:rPr>
          <w:rStyle w:val="Hyperlink"/>
        </w:rPr>
        <w:instrText xml:space="preserve"> HYPERLINK "http://dx.doi.org/10.1111/jvim.14828" </w:instrText>
      </w:r>
      <w:r>
        <w:rPr>
          <w:rStyle w:val="Hyperlink"/>
        </w:rPr>
      </w:r>
      <w:r>
        <w:rPr>
          <w:rStyle w:val="Hyperlink"/>
        </w:rPr>
        <w:fldChar w:fldCharType="separate"/>
      </w:r>
      <w:pPr>
        <w:pStyle w:val="Normal"/>
      </w:pPr>
      <w:r>
        <w:rPr>
          <w:rStyle w:val="Hyperlink"/>
        </w:rPr>
        <w:t xml:space="preserve">http://dx.doi.org/10.1111/jvim.14828</w:t>
      </w:r>
      <w:r>
        <w:rPr>
          <w:rStyle w:val="Hyperlink"/>
        </w:rPr>
        <w:fldChar w:fldCharType="end"/>
      </w:r>
    </w:p>
    <w:p>
      <w:pPr>
        <w:pStyle w:val="Normal"/>
      </w:pPr>
      <w:r>
        <w:rPr>
          <w:color w:val="323232"/>
        </w:rPr>
        <w:t xml:space="preserve">————————</w:t>
      </w:r>
    </w:p>
    <w:p>
      <w:pPr>
        <w:pStyle w:val="Heading4"/>
      </w:pPr>
      <w:r>
        <w:t xml:space="preserve">Evaluation of Renal Perfusion in Hyperthyroid Cats before and after Radioiodine Treatment.</w:t>
      </w:r>
    </w:p>
    <w:p/>
    <w:p>
      <w:pPr>
        <w:pStyle w:val="Normal"/>
      </w:pPr>
      <w:r>
        <w:rPr>
          <w:color w:val="323232"/>
        </w:rPr>
        <w:t xml:space="preserve">E Stock, S Daminet, D Paepe, E Buresova, E Vandermeulen, P Smets, L Duchateau, J H Saunders, and K Vanderperren.</w:t>
      </w:r>
    </w:p>
    <w:p/>
    <w:p>
      <w:pPr>
        <w:pStyle w:val="Normal"/>
      </w:pPr>
      <w:r>
        <w:rPr>
          <w:color w:val="323232"/>
        </w:rPr>
        <w:t xml:space="preserve">BACKGROUND:Hyperthyroidism and chronic kidney disease (CKD) are common in elderly cats. Consequently, both diseases often occur concurrently. Furthermore, renal function is affected by thyroid status. Because changes in renal perfusion play an important role in functional renal changes in hyperthyroid cats, investigation of renal perfusion may provide novel insights.</w:t>
      </w:r>
    </w:p>
    <w:p/>
    <w:p>
      <w:pPr>
        <w:pStyle w:val="Normal"/>
      </w:pPr>
      <w:r>
        <w:rPr>
          <w:color w:val="323232"/>
        </w:rPr>
        <w:t xml:space="preserve">OBJECTIVES:To evaluate renal perfusion in hyperthyroid cats with contrast-enhanced ultrasound (CEUS).</w:t>
      </w:r>
    </w:p>
    <w:p/>
    <w:p>
      <w:pPr>
        <w:pStyle w:val="Normal"/>
      </w:pPr>
      <w:r>
        <w:rPr>
          <w:color w:val="323232"/>
        </w:rPr>
        <w:t xml:space="preserve">ANIMALS:A total of 42 hyperthyroid cats was included and evaluated before and 1 month after radioiodine treatment.</w:t>
      </w:r>
    </w:p>
    <w:p/>
    <w:p>
      <w:pPr>
        <w:pStyle w:val="Normal"/>
      </w:pPr>
      <w:r>
        <w:rPr>
          <w:color w:val="323232"/>
        </w:rPr>
        <w:t xml:space="preserve">METHODS:Prospective intrasubject clinical trial of contrast-enhanced ultrasound using a commercial contrast agent (SonoVue) to evaluate renal perfusion. Time-intensity curves were created, and perfusion parameters were calculated by off-line software. A linear mixed model was used to examine differences between pre- and post-treatment perfusion parameters.</w:t>
      </w:r>
    </w:p>
    <w:p/>
    <w:p>
      <w:pPr>
        <w:pStyle w:val="Normal"/>
      </w:pPr>
      <w:r>
        <w:rPr>
          <w:color w:val="323232"/>
        </w:rPr>
        <w:t xml:space="preserve">RESULTS:An increase in several time-related perfusion parameters was observed after radioiodine treatment, indicating a decreased blood velocity upon resolution of the hyperthyroid state. Furthermore, a small post-treatment decrease in peak enhancement was present in the renal medulla, suggesting a lower medullary blood volume.</w:t>
      </w:r>
    </w:p>
    <w:p/>
    <w:p>
      <w:pPr>
        <w:pStyle w:val="Normal"/>
      </w:pPr>
      <w:r>
        <w:rPr>
          <w:color w:val="323232"/>
        </w:rPr>
        <w:t xml:space="preserve">CONCLUSIONS AND CLINICAL IMPORTANCE:Contrast-enhanced ultrasound indicated a higher cortical and medullary blood velocity and higher medullary blood volume in hyperthyroid cats before radioactive treatment in comparison with 1-month post-treatment control.</w:t>
      </w:r>
    </w:p>
    <w:p/>
    <w:p>
      <w:pPr>
        <w:pStyle w:val="Normal"/>
      </w:pPr>
      <w:r>
        <w:rPr>
          <w:color w:val="323232"/>
        </w:rPr>
        <w:t xml:space="preserve">J Vet Intern Med, 2017 vol. 31 (6) pp. 1658-1663.</w:t>
      </w:r>
    </w:p>
    <w:p>
      <w:r>
        <w:rPr>
          <w:rStyle w:val="Hyperlink"/>
        </w:rPr>
        <w:fldChar w:fldCharType="begin"/>
      </w:r>
      <w:r>
        <w:rPr>
          <w:rStyle w:val="Hyperlink"/>
        </w:rPr>
        <w:instrText xml:space="preserve"> HYPERLINK "http://dx.doi.org/10.1111/jvim.14852" </w:instrText>
      </w:r>
      <w:r>
        <w:rPr>
          <w:rStyle w:val="Hyperlink"/>
        </w:rPr>
      </w:r>
      <w:r>
        <w:rPr>
          <w:rStyle w:val="Hyperlink"/>
        </w:rPr>
        <w:fldChar w:fldCharType="separate"/>
      </w:r>
      <w:pPr>
        <w:pStyle w:val="Normal"/>
      </w:pPr>
      <w:r>
        <w:rPr>
          <w:rStyle w:val="Hyperlink"/>
        </w:rPr>
        <w:t xml:space="preserve">http://dx.doi.org/10.1111/jvim.14852</w:t>
      </w:r>
      <w:r>
        <w:rPr>
          <w:rStyle w:val="Hyperlink"/>
        </w:rPr>
        <w:fldChar w:fldCharType="end"/>
      </w:r>
    </w:p>
    <w:p>
      <w:pPr>
        <w:pStyle w:val="Normal"/>
      </w:pPr>
      <w:r>
        <w:rPr>
          <w:color w:val="323232"/>
        </w:rPr>
        <w:t xml:space="preserve">————————</w:t>
      </w:r>
    </w:p>
    <w:p>
      <w:pPr>
        <w:pStyle w:val="Heading4"/>
      </w:pPr>
      <w:r>
        <w:t xml:space="preserve">Effects of 6 Weeks of Parenteral Cobalamin Supplementation on Clinical and Biochemical Variables in Cats with Gastrointestinal Disease.</w:t>
      </w:r>
    </w:p>
    <w:p/>
    <w:p>
      <w:pPr>
        <w:pStyle w:val="Normal"/>
      </w:pPr>
      <w:r>
        <w:rPr>
          <w:color w:val="323232"/>
        </w:rPr>
        <w:t xml:space="preserve">J Kempf, M Hersberger, R H Melliger, C E Reusch, and P H Kook.</w:t>
      </w:r>
    </w:p>
    <w:p/>
    <w:p>
      <w:pPr>
        <w:pStyle w:val="Normal"/>
      </w:pPr>
      <w:r>
        <w:rPr>
          <w:color w:val="323232"/>
        </w:rPr>
        <w:t xml:space="preserve">BACKGROUND:Effects and duration of commonly used protocols for cobalamin (Cbl) supplementation on cellular Cbl deficiency have not been determined in hypocobalaminemic cats.</w:t>
      </w:r>
    </w:p>
    <w:p/>
    <w:p>
      <w:pPr>
        <w:pStyle w:val="Normal"/>
      </w:pPr>
      <w:r>
        <w:rPr>
          <w:color w:val="323232"/>
        </w:rPr>
        <w:t xml:space="preserve">HYPOTHESIS/OBJECTIVES:To evaluate effect of Cbl supplementation on clinical signs, serum and urine methylmalonic acid (MMA) concentrations over 16</w:t>
      </w:r>
      <w:r>
        <w:rPr>
          <w:color w:val="323232"/>
        </w:rPr>
        <w:t xml:space="preserve"> </w:t>
      </w:r>
      <w:r>
        <w:rPr>
          <w:color w:val="323232"/>
        </w:rPr>
        <w:t xml:space="preserve">weeks.</w:t>
      </w:r>
    </w:p>
    <w:p/>
    <w:p>
      <w:pPr>
        <w:pStyle w:val="Normal"/>
      </w:pPr>
      <w:r>
        <w:rPr>
          <w:color w:val="323232"/>
        </w:rPr>
        <w:t xml:space="preserve">ANIMALS:Twenty client-owned hypocobalaminemic cats with enteropathy.</w:t>
      </w:r>
    </w:p>
    <w:p/>
    <w:p>
      <w:pPr>
        <w:pStyle w:val="Normal"/>
      </w:pPr>
      <w:r>
        <w:rPr>
          <w:color w:val="323232"/>
        </w:rPr>
        <w:t xml:space="preserve">METHODS:Prospective study. Serum Cbl and serum and urine MMA concentrations were determined prospectively in cats at enrollment (t0), immediately before (t6), and 4 (t10) and 10</w:t>
      </w:r>
      <w:r>
        <w:rPr>
          <w:color w:val="323232"/>
        </w:rPr>
        <w:t xml:space="preserve"> </w:t>
      </w:r>
      <w:r>
        <w:rPr>
          <w:color w:val="323232"/>
        </w:rPr>
        <w:t xml:space="preserve">weeks (t16) after 6th Cbl injection (250</w:t>
      </w:r>
      <w:r>
        <w:rPr>
          <w:color w:val="323232"/>
        </w:rPr>
        <w:t xml:space="preserve"> </w:t>
      </w:r>
      <w:r>
        <w:rPr>
          <w:color w:val="323232"/>
        </w:rPr>
        <w:t xml:space="preserve">μg, IM q 7</w:t>
      </w:r>
      <w:r>
        <w:rPr>
          <w:color w:val="323232"/>
        </w:rPr>
        <w:t xml:space="preserve"> </w:t>
      </w:r>
      <w:r>
        <w:rPr>
          <w:color w:val="323232"/>
        </w:rPr>
        <w:t xml:space="preserve">days). Clinical signs severity (activity, appetite, vomiting, diarrhea, body weight) graded at each time point and expressed as clinical disease activity score.</w:t>
      </w:r>
    </w:p>
    <w:p/>
    <w:p>
      <w:pPr>
        <w:pStyle w:val="Normal"/>
      </w:pPr>
      <w:r>
        <w:rPr>
          <w:color w:val="323232"/>
        </w:rPr>
        <w:t xml:space="preserve">RESULTS:Clinical disease activity score decreased during supplementation and increased after treatment discontinuation. Median serum Cbl concentration increased significantly from t0 (111</w:t>
      </w:r>
      <w:r>
        <w:rPr>
          <w:color w:val="323232"/>
        </w:rPr>
        <w:t xml:space="preserve"> </w:t>
      </w:r>
      <w:r>
        <w:rPr>
          <w:color w:val="323232"/>
        </w:rPr>
        <w:t xml:space="preserve">pmol</w:t>
      </w:r>
      <w:r>
        <w:rPr>
          <w:i w:val="1"/>
          <w:color w:val="323232"/>
        </w:rPr>
        <w:t xml:space="preserve">L, range 111-212) to t6 (2,332.5</w:t>
      </w:r>
      <w:r>
        <w:rPr>
          <w:color w:val="323232"/>
        </w:rPr>
        <w:t xml:space="preserve"> </w:t>
      </w:r>
      <w:r>
        <w:rPr>
          <w:i w:val="1"/>
          <w:color w:val="323232"/>
        </w:rPr>
        <w:t xml:space="preserve">pmol</w:t>
      </w:r>
      <w:r>
        <w:rPr>
          <w:color w:val="323232"/>
        </w:rPr>
        <w:t xml:space="preserve">L, range 123-22,730) (P</w:t>
      </w:r>
      <w:r>
        <w:rPr>
          <w:color w:val="323232"/>
        </w:rPr>
        <w:t xml:space="preserve"> </w:t>
      </w:r>
      <w:r>
        <w:rPr>
          <w:color w:val="323232"/>
        </w:rPr>
        <w:t xml:space="preserve">&lt;</w:t>
      </w:r>
      <w:r>
        <w:rPr>
          <w:color w:val="323232"/>
        </w:rPr>
        <w:t xml:space="preserve"> </w:t>
      </w:r>
      <w:r>
        <w:rPr>
          <w:color w:val="323232"/>
        </w:rPr>
        <w:t xml:space="preserve">0.01). Values at t10 were 610.5</w:t>
      </w:r>
      <w:r>
        <w:rPr>
          <w:color w:val="323232"/>
        </w:rPr>
        <w:t xml:space="preserve"> </w:t>
      </w:r>
      <w:r>
        <w:rPr>
          <w:color w:val="323232"/>
        </w:rPr>
        <w:t xml:space="preserve">pmol</w:t>
      </w:r>
      <w:r>
        <w:rPr>
          <w:i w:val="1"/>
          <w:color w:val="323232"/>
        </w:rPr>
        <w:t xml:space="preserve">L (range, 111-2,527) and 180.5</w:t>
      </w:r>
      <w:r>
        <w:rPr>
          <w:color w:val="323232"/>
        </w:rPr>
        <w:t xml:space="preserve"> </w:t>
      </w:r>
      <w:r>
        <w:rPr>
          <w:i w:val="1"/>
          <w:color w:val="323232"/>
        </w:rPr>
        <w:t xml:space="preserve">pmol</w:t>
      </w:r>
      <w:r>
        <w:rPr>
          <w:color w:val="323232"/>
        </w:rPr>
        <w:t xml:space="preserve">L (range, 111-2,262) at t16 (P</w:t>
      </w:r>
      <w:r>
        <w:rPr>
          <w:color w:val="323232"/>
        </w:rPr>
        <w:t xml:space="preserve"> </w:t>
      </w:r>
      <w:r>
        <w:rPr>
          <w:color w:val="323232"/>
        </w:rPr>
        <w:t xml:space="preserve">&lt;</w:t>
      </w:r>
      <w:r>
        <w:rPr>
          <w:color w:val="323232"/>
        </w:rPr>
        <w:t xml:space="preserve"> </w:t>
      </w:r>
      <w:r>
        <w:rPr>
          <w:color w:val="323232"/>
        </w:rPr>
        <w:t xml:space="preserve">0.01). Median baseline serum MMA concentration (372</w:t>
      </w:r>
      <w:r>
        <w:rPr>
          <w:color w:val="323232"/>
        </w:rPr>
        <w:t xml:space="preserve"> </w:t>
      </w:r>
      <w:r>
        <w:rPr>
          <w:color w:val="323232"/>
        </w:rPr>
        <w:t xml:space="preserve">μmol</w:t>
      </w:r>
      <w:r>
        <w:rPr>
          <w:i w:val="1"/>
          <w:color w:val="323232"/>
        </w:rPr>
        <w:t xml:space="preserve">L, range 0.39-147,000) decreased significantly to 1.62</w:t>
      </w:r>
      <w:r>
        <w:rPr>
          <w:color w:val="323232"/>
        </w:rPr>
        <w:t xml:space="preserve"> </w:t>
      </w:r>
      <w:r>
        <w:rPr>
          <w:i w:val="1"/>
          <w:color w:val="323232"/>
        </w:rPr>
        <w:t xml:space="preserve">μmol</w:t>
      </w:r>
      <w:r>
        <w:rPr>
          <w:color w:val="323232"/>
        </w:rPr>
        <w:t xml:space="preserve">L (range, 0.18-806) at t6 (P</w:t>
      </w:r>
      <w:r>
        <w:rPr>
          <w:color w:val="323232"/>
        </w:rPr>
        <w:t xml:space="preserve"> </w:t>
      </w:r>
      <w:r>
        <w:rPr>
          <w:color w:val="323232"/>
        </w:rPr>
        <w:t xml:space="preserve">&lt;</w:t>
      </w:r>
      <w:r>
        <w:rPr>
          <w:color w:val="323232"/>
        </w:rPr>
        <w:t xml:space="preserve"> </w:t>
      </w:r>
      <w:r>
        <w:rPr>
          <w:color w:val="323232"/>
        </w:rPr>
        <w:t xml:space="preserve">0.01) and gradually increased to 5.34</w:t>
      </w:r>
      <w:r>
        <w:rPr>
          <w:color w:val="323232"/>
        </w:rPr>
        <w:t xml:space="preserve"> </w:t>
      </w:r>
      <w:r>
        <w:rPr>
          <w:color w:val="323232"/>
        </w:rPr>
        <w:t xml:space="preserve">μmol</w:t>
      </w:r>
      <w:r>
        <w:rPr>
          <w:i w:val="1"/>
          <w:color w:val="323232"/>
        </w:rPr>
        <w:t xml:space="preserve">L (range, 0.13-1,730) at t10 and 189</w:t>
      </w:r>
      <w:r>
        <w:rPr>
          <w:color w:val="323232"/>
        </w:rPr>
        <w:t xml:space="preserve"> </w:t>
      </w:r>
      <w:r>
        <w:rPr>
          <w:i w:val="1"/>
          <w:color w:val="323232"/>
        </w:rPr>
        <w:t xml:space="preserve">μmol</w:t>
      </w:r>
      <w:r>
        <w:rPr>
          <w:color w:val="323232"/>
        </w:rPr>
        <w:t xml:space="preserve">L (range, 0.4-983) at t16. Similar, nonsignificant, pattern observed for urine MMA concentration. Serum and urine MMA concentrations had not normalized in 12 and 6 cats, respectively, at t6.</w:t>
      </w:r>
    </w:p>
    <w:p/>
    <w:p>
      <w:pPr>
        <w:pStyle w:val="Normal"/>
      </w:pPr>
      <w:r>
        <w:rPr>
          <w:color w:val="323232"/>
        </w:rPr>
        <w:t xml:space="preserve">CONCLUSION AND CLINICAL IMPORTANCE:The Cbl supplementation protocol used here did not lead to complete normalization of cellular Cbl deficiency in all examined cats, and biochemical improvements were transient.</w:t>
      </w:r>
    </w:p>
    <w:p/>
    <w:p>
      <w:pPr>
        <w:pStyle w:val="Normal"/>
      </w:pPr>
      <w:r>
        <w:rPr>
          <w:color w:val="323232"/>
        </w:rPr>
        <w:t xml:space="preserve">J Vet Intern Med, 2017 vol. 31 (6) pp. 1664-1672.</w:t>
      </w:r>
    </w:p>
    <w:p>
      <w:r>
        <w:rPr>
          <w:rStyle w:val="Hyperlink"/>
        </w:rPr>
        <w:fldChar w:fldCharType="begin"/>
      </w:r>
      <w:r>
        <w:rPr>
          <w:rStyle w:val="Hyperlink"/>
        </w:rPr>
        <w:instrText xml:space="preserve"> HYPERLINK "http://dx.doi.org/10.1111/jvim.14830" </w:instrText>
      </w:r>
      <w:r>
        <w:rPr>
          <w:rStyle w:val="Hyperlink"/>
        </w:rPr>
      </w:r>
      <w:r>
        <w:rPr>
          <w:rStyle w:val="Hyperlink"/>
        </w:rPr>
        <w:fldChar w:fldCharType="separate"/>
      </w:r>
      <w:pPr>
        <w:pStyle w:val="Normal"/>
      </w:pPr>
      <w:r>
        <w:rPr>
          <w:rStyle w:val="Hyperlink"/>
        </w:rPr>
        <w:t xml:space="preserve">http://dx.doi.org/10.1111/jvim.14830</w:t>
      </w:r>
      <w:r>
        <w:rPr>
          <w:rStyle w:val="Hyperlink"/>
        </w:rPr>
        <w:fldChar w:fldCharType="end"/>
      </w:r>
    </w:p>
    <w:p>
      <w:pPr>
        <w:pStyle w:val="Normal"/>
      </w:pPr>
      <w:r>
        <w:rPr>
          <w:color w:val="323232"/>
        </w:rPr>
        <w:t xml:space="preserve">————————</w:t>
      </w:r>
    </w:p>
    <w:p>
      <w:pPr>
        <w:pStyle w:val="Heading4"/>
      </w:pPr>
      <w:r>
        <w:t xml:space="preserve">Chronic Gingivostomatitis with Esophagitis in Cats.</w:t>
      </w:r>
    </w:p>
    <w:p/>
    <w:p>
      <w:pPr>
        <w:pStyle w:val="Normal"/>
      </w:pPr>
      <w:r>
        <w:rPr>
          <w:color w:val="323232"/>
        </w:rPr>
        <w:t xml:space="preserve">M I Kouki, S A Papadimitriou, D Psalla, A Kolokotronis, and T S Rallis.</w:t>
      </w:r>
    </w:p>
    <w:p/>
    <w:p>
      <w:pPr>
        <w:pStyle w:val="Normal"/>
      </w:pPr>
      <w:r>
        <w:rPr>
          <w:color w:val="323232"/>
        </w:rPr>
        <w:t xml:space="preserve">BACKGROUND:Chronic gingivostomatitis in cats (FCG) is a debilitating disease with potentially deleterious effects on overall health.</w:t>
      </w:r>
    </w:p>
    <w:p/>
    <w:p>
      <w:pPr>
        <w:pStyle w:val="Normal"/>
      </w:pPr>
      <w:r>
        <w:rPr>
          <w:color w:val="323232"/>
        </w:rPr>
        <w:t xml:space="preserve">HYPOTHESIS/OBJECTIVES:Little is known about the pathophysiology and overall impact of FCG. The aims of our study were to investigate whether gingivostomatitis occurs concurrently with esophagitis, if FCG treatment contributes to esophagitis and if esophagitis exacerbates signs of FCG.</w:t>
      </w:r>
    </w:p>
    <w:p/>
    <w:p>
      <w:pPr>
        <w:pStyle w:val="Normal"/>
      </w:pPr>
      <w:r>
        <w:rPr>
          <w:color w:val="323232"/>
        </w:rPr>
        <w:t xml:space="preserve">ANIMALS:Fifty-eight cats with clinical signs of FCG and 12 healthy control cats exhibiting no signs of oral disease, all client-owned.</w:t>
      </w:r>
    </w:p>
    <w:p/>
    <w:p>
      <w:pPr>
        <w:pStyle w:val="Normal"/>
      </w:pPr>
      <w:r>
        <w:rPr>
          <w:color w:val="323232"/>
        </w:rPr>
        <w:t xml:space="preserve">METHODS:Prospective study. Physical, oral and endoscopic examinations were performed on all cats. Measurements of salivary and esophageal lumen pH were obtained from both groups. Biopsies were acquired from sites of esophageal inflammation in cats with FCG and from normal-appearing esophageal mucosa in control cats.</w:t>
      </w:r>
    </w:p>
    <w:p/>
    <w:p>
      <w:pPr>
        <w:pStyle w:val="Normal"/>
      </w:pPr>
      <w:r>
        <w:rPr>
          <w:color w:val="323232"/>
        </w:rPr>
        <w:t xml:space="preserve">RESULTS:The majority of cats with clinical signs of FCG exhibited some degree of esophagitis especially in the proximal (44/58) and distal (53/58) parts (P &lt; 0.001) with or without columnar metaplasia, compared to controls. All cats lacked signs related to gastrointestinal disease. Salivary and esophageal lumen pH were not statistically different compared to controls.</w:t>
      </w:r>
    </w:p>
    <w:p/>
    <w:p>
      <w:pPr>
        <w:pStyle w:val="Normal"/>
      </w:pPr>
      <w:r>
        <w:rPr>
          <w:color w:val="323232"/>
        </w:rPr>
        <w:t xml:space="preserve">CONCLUSIONS AND CLINICAL IMPORTANCE:Feline chronic gingivostomatitis seems to occur concurrently with esophagitis. Esophagitis also should be managed in cats with chronic gingivostomatitis because it may aggravate the existing condition.</w:t>
      </w:r>
    </w:p>
    <w:p/>
    <w:p>
      <w:pPr>
        <w:pStyle w:val="Normal"/>
      </w:pPr>
      <w:r>
        <w:rPr>
          <w:color w:val="323232"/>
        </w:rPr>
        <w:t xml:space="preserve">J Vet Intern Med, 2017 vol. 31 (6), 1 pp. 1673-1679.</w:t>
      </w:r>
    </w:p>
    <w:p>
      <w:r>
        <w:rPr>
          <w:rStyle w:val="Hyperlink"/>
        </w:rPr>
        <w:fldChar w:fldCharType="begin"/>
      </w:r>
      <w:r>
        <w:rPr>
          <w:rStyle w:val="Hyperlink"/>
        </w:rPr>
        <w:instrText xml:space="preserve"> HYPERLINK "http://dx.doi.org/10.1111/jvim.14850" </w:instrText>
      </w:r>
      <w:r>
        <w:rPr>
          <w:rStyle w:val="Hyperlink"/>
        </w:rPr>
      </w:r>
      <w:r>
        <w:rPr>
          <w:rStyle w:val="Hyperlink"/>
        </w:rPr>
        <w:fldChar w:fldCharType="separate"/>
      </w:r>
      <w:pPr>
        <w:pStyle w:val="Normal"/>
      </w:pPr>
      <w:r>
        <w:rPr>
          <w:rStyle w:val="Hyperlink"/>
        </w:rPr>
        <w:t xml:space="preserve">http://dx.doi.org/10.1111/jvim.14850</w:t>
      </w:r>
      <w:r>
        <w:rPr>
          <w:rStyle w:val="Hyperlink"/>
        </w:rPr>
        <w:fldChar w:fldCharType="end"/>
      </w:r>
    </w:p>
    <w:p>
      <w:pPr>
        <w:pStyle w:val="Normal"/>
      </w:pPr>
      <w:r>
        <w:rPr>
          <w:color w:val="323232"/>
        </w:rPr>
        <w:t xml:space="preserve">————————</w:t>
      </w:r>
    </w:p>
    <w:p>
      <w:pPr>
        <w:pStyle w:val="Heading4"/>
      </w:pPr>
      <w:r>
        <w:t xml:space="preserve">Effect of Laparoscopic-assisted Gastropexy on Gastrointestinal Transit Time in Dogs.</w:t>
      </w:r>
    </w:p>
    <w:p/>
    <w:p>
      <w:pPr>
        <w:pStyle w:val="Normal"/>
      </w:pPr>
      <w:r>
        <w:rPr>
          <w:color w:val="323232"/>
        </w:rPr>
        <w:t xml:space="preserve">I M Balsa, W T N Culp, K J Drobatz, E G Johnson, P D Mayhew, and S L Marks.</w:t>
      </w:r>
    </w:p>
    <w:p/>
    <w:p>
      <w:pPr>
        <w:pStyle w:val="Normal"/>
      </w:pPr>
      <w:r>
        <w:rPr>
          <w:color w:val="323232"/>
        </w:rPr>
        <w:t xml:space="preserve">BACKGROUND:Prophylactic gastropexy has been promoted as a means of preventing gastric volvulus during gastric dilatation and volvulus (GDV) syndrome. Little is known about the impact of gastropexy on gastrointestinal transit time.</w:t>
      </w:r>
    </w:p>
    <w:p/>
    <w:p>
      <w:pPr>
        <w:pStyle w:val="Normal"/>
      </w:pPr>
      <w:r>
        <w:rPr>
          <w:color w:val="323232"/>
        </w:rPr>
        <w:t xml:space="preserve">HYPOTHESIS:Laparoscopic-assisted gastropexy (LAG) will not alter gastrointestinal transit times when comparing gastric (GET), small and large bowel (SLBTT), and whole gut transit times (TTT) before and after surgery.</w:t>
      </w:r>
    </w:p>
    <w:p/>
    <w:p>
      <w:pPr>
        <w:pStyle w:val="Normal"/>
      </w:pPr>
      <w:r>
        <w:rPr>
          <w:color w:val="323232"/>
        </w:rPr>
        <w:t xml:space="preserve">ANIMALS:10 healthy client-owned large-breed dogs.</w:t>
      </w:r>
    </w:p>
    <w:p/>
    <w:p>
      <w:pPr>
        <w:pStyle w:val="Normal"/>
      </w:pPr>
      <w:r>
        <w:rPr>
          <w:color w:val="323232"/>
        </w:rPr>
        <w:t xml:space="preserve">METHODS:Prospective clinical trial. Before surgery, all dogs underwent physical examination and diagnostic evaluation to ensure normal health status. Dogs were fed a prescription diet for 6 weeks before determination of gastrointestinal transit with a wireless motility capsule. LAG was then performed, and dogs were fed the diet for 6 additional weeks. Measurement of transit times was repeated 6 weeks after surgery.</w:t>
      </w:r>
    </w:p>
    <w:p/>
    <w:p>
      <w:pPr>
        <w:pStyle w:val="Normal"/>
      </w:pPr>
      <w:r>
        <w:rPr>
          <w:color w:val="323232"/>
        </w:rPr>
        <w:t xml:space="preserve">RESULTS:Ten dogs of various breeds at-risk for GDV were enrolled. No complications were encountered associated with surgery or capsule administration. There were no significant differences in GET 429 [306-1,370] versus 541 [326-1,298] (P = 0.80), SLBTT 1,243 [841-3,070] versus 1,540 [756-2,623] (P = 0.72), or TTT 1,971 [1,205-3,469] versus 1,792 [1,234-3,343] minutes (median, range) (P = 0.65) before and after LAG.</w:t>
      </w:r>
    </w:p>
    <w:p/>
    <w:p>
      <w:pPr>
        <w:pStyle w:val="Normal"/>
      </w:pPr>
      <w:r>
        <w:rPr>
          <w:color w:val="323232"/>
        </w:rPr>
        <w:t xml:space="preserve">CONCLUSIONS AND CLINICAL IMPORTANCE:An effect of LAG on gastrointestinal transit time was not identified, and wireless motility capsule can be safely administered in dogs after LAG.</w:t>
      </w:r>
    </w:p>
    <w:p/>
    <w:p>
      <w:pPr>
        <w:pStyle w:val="Normal"/>
      </w:pPr>
      <w:r>
        <w:rPr>
          <w:color w:val="323232"/>
        </w:rPr>
        <w:t xml:space="preserve">J Vet Intern Med, 2017 vol. 31 (6) pp. 1680-1685.</w:t>
      </w:r>
    </w:p>
    <w:p>
      <w:r>
        <w:rPr>
          <w:rStyle w:val="Hyperlink"/>
        </w:rPr>
        <w:fldChar w:fldCharType="begin"/>
      </w:r>
      <w:r>
        <w:rPr>
          <w:rStyle w:val="Hyperlink"/>
        </w:rPr>
        <w:instrText xml:space="preserve"> HYPERLINK "http://dx.doi.org/10.1111/jvim.14816" </w:instrText>
      </w:r>
      <w:r>
        <w:rPr>
          <w:rStyle w:val="Hyperlink"/>
        </w:rPr>
      </w:r>
      <w:r>
        <w:rPr>
          <w:rStyle w:val="Hyperlink"/>
        </w:rPr>
        <w:fldChar w:fldCharType="separate"/>
      </w:r>
      <w:pPr>
        <w:pStyle w:val="Normal"/>
      </w:pPr>
      <w:r>
        <w:rPr>
          <w:rStyle w:val="Hyperlink"/>
        </w:rPr>
        <w:t xml:space="preserve">http://dx.doi.org/10.1111/jvim.14816</w:t>
      </w:r>
      <w:r>
        <w:rPr>
          <w:rStyle w:val="Hyperlink"/>
        </w:rPr>
        <w:fldChar w:fldCharType="end"/>
      </w:r>
    </w:p>
    <w:p>
      <w:pPr>
        <w:pStyle w:val="Normal"/>
      </w:pPr>
      <w:r>
        <w:rPr>
          <w:color w:val="323232"/>
        </w:rPr>
        <w:t xml:space="preserve">————————</w:t>
      </w:r>
    </w:p>
    <w:p>
      <w:pPr>
        <w:pStyle w:val="Heading4"/>
      </w:pPr>
      <w:r>
        <w:t xml:space="preserve">Risk Factors for Death in Dogs Treated for Esophageal Foreign Body Obstruction: A Retrospective Cohort Study of 222 Cases (1998-2017).</w:t>
      </w:r>
    </w:p>
    <w:p/>
    <w:p>
      <w:pPr>
        <w:pStyle w:val="Normal"/>
      </w:pPr>
      <w:r>
        <w:rPr>
          <w:color w:val="323232"/>
        </w:rPr>
        <w:t xml:space="preserve">A G Burton, C T Talbot, and M S Kent.</w:t>
      </w:r>
    </w:p>
    <w:p/>
    <w:p>
      <w:pPr>
        <w:pStyle w:val="Normal"/>
      </w:pPr>
      <w:r>
        <w:rPr>
          <w:color w:val="323232"/>
        </w:rPr>
        <w:t xml:space="preserve">BACKGROUND:Limited data exist describing risk factors for death, and long-term outcomes in dogs with esophageal foreign body (EFB) obstruction.</w:t>
      </w:r>
    </w:p>
    <w:p/>
    <w:p>
      <w:pPr>
        <w:pStyle w:val="Normal"/>
      </w:pPr>
      <w:r>
        <w:rPr>
          <w:color w:val="323232"/>
        </w:rPr>
        <w:t xml:space="preserve">HYPOTHESIS/OBJECTIVES:To evaluate short- and long-term outcomes, and analyze risk factors for death in dogs with EFB obstruction. We hypothesized duration of entrapment and treatment type would affect outcome.</w:t>
      </w:r>
    </w:p>
    <w:p/>
    <w:p>
      <w:pPr>
        <w:pStyle w:val="Normal"/>
      </w:pPr>
      <w:r>
        <w:rPr>
          <w:color w:val="323232"/>
        </w:rPr>
        <w:t xml:space="preserve">ANIMALS:A total of 222 dogs were treated for EFB obstruction at an emergency and referral hospital between March 1998 and March 2017.</w:t>
      </w:r>
    </w:p>
    <w:p/>
    <w:p>
      <w:pPr>
        <w:pStyle w:val="Normal"/>
      </w:pPr>
      <w:r>
        <w:rPr>
          <w:color w:val="323232"/>
        </w:rPr>
        <w:t xml:space="preserve">METHODS:Medical records for dogs with EFB were retrospectively evaluated.</w:t>
      </w:r>
    </w:p>
    <w:p/>
    <w:p>
      <w:pPr>
        <w:pStyle w:val="Normal"/>
      </w:pPr>
      <w:r>
        <w:rPr>
          <w:color w:val="323232"/>
        </w:rPr>
        <w:t xml:space="preserve">RESULTS:Foreign material most frequently was osseous (180/222 [81%]), with distal esophagus the most common location (110/222 [49.5%]). Duration of clinical signs was not associated with risk of death (OR = 1.08, 95% CI 0.99-1.17; P = 0.2). Entrapment was treated by endoscopy (204/222 [91.8%]), surgery after endoscopic attempt (13/222 [5.9%]), and repeat endoscopy after surgery was recommended but declined (5/222 [2.3%]). In-hospital case fatality rate was 11/222 (5%). Risk of death was significantly higher with surgery (OR = 20.1, 95% CI 3.59-112.44; P = 0.001), and 5/5 (100%) of dogs died if undergoing endoscopy after surgery was recommended but declined. Increasing numbers of postprocedural complications (OR = 3.44, CI 2.01-5.91; P &lt; 0.001), esophageal perforation (OR = 65.47, CI 4.27-1004.15; P = 0.003), and postprocedure esophageal hemorrhage (OR = 11.81, CI 1.19-116.77; P = 0.04) increased in-hospital risk of death. Esophageal strictures were reported in 4/189 (2.1%) of survivors available for follow-up.</w:t>
      </w:r>
    </w:p>
    <w:p/>
    <w:p>
      <w:pPr>
        <w:pStyle w:val="Normal"/>
      </w:pPr>
      <w:r>
        <w:rPr>
          <w:color w:val="323232"/>
        </w:rPr>
        <w:t xml:space="preserve">CONCLUSIONS AND CLINICAL IMPORTANCE:Death is uncommon in canine EFB; however, treatment type affects outcome, and these data should be used to guide decision-making in dogs with EFB.</w:t>
      </w:r>
    </w:p>
    <w:p/>
    <w:p>
      <w:pPr>
        <w:pStyle w:val="Normal"/>
      </w:pPr>
      <w:r>
        <w:rPr>
          <w:color w:val="323232"/>
        </w:rPr>
        <w:t xml:space="preserve">J Vet Intern Med, 2017 vol. 31 (6) pp. 1686-1690.</w:t>
      </w:r>
    </w:p>
    <w:p>
      <w:r>
        <w:rPr>
          <w:rStyle w:val="Hyperlink"/>
        </w:rPr>
        <w:fldChar w:fldCharType="begin"/>
      </w:r>
      <w:r>
        <w:rPr>
          <w:rStyle w:val="Hyperlink"/>
        </w:rPr>
        <w:instrText xml:space="preserve"> HYPERLINK "http://dx.doi.org/10.1111/jvim.14849" </w:instrText>
      </w:r>
      <w:r>
        <w:rPr>
          <w:rStyle w:val="Hyperlink"/>
        </w:rPr>
      </w:r>
      <w:r>
        <w:rPr>
          <w:rStyle w:val="Hyperlink"/>
        </w:rPr>
        <w:fldChar w:fldCharType="separate"/>
      </w:r>
      <w:pPr>
        <w:pStyle w:val="Normal"/>
      </w:pPr>
      <w:r>
        <w:rPr>
          <w:rStyle w:val="Hyperlink"/>
        </w:rPr>
        <w:t xml:space="preserve">http://dx.doi.org/10.1111/jvim.14849</w:t>
      </w:r>
      <w:r>
        <w:rPr>
          <w:rStyle w:val="Hyperlink"/>
        </w:rPr>
        <w:fldChar w:fldCharType="end"/>
      </w:r>
    </w:p>
    <w:p>
      <w:pPr>
        <w:pStyle w:val="Normal"/>
      </w:pPr>
      <w:r>
        <w:rPr>
          <w:color w:val="323232"/>
        </w:rPr>
        <w:t xml:space="preserve">————————</w:t>
      </w:r>
    </w:p>
    <w:p>
      <w:pPr>
        <w:pStyle w:val="Heading4"/>
      </w:pPr>
      <w:r>
        <w:t xml:space="preserve">Thrombocytosis in 715 Dogs (2011-2015).</w:t>
      </w:r>
    </w:p>
    <w:p/>
    <w:p>
      <w:pPr>
        <w:pStyle w:val="Normal"/>
      </w:pPr>
      <w:r>
        <w:rPr>
          <w:color w:val="323232"/>
        </w:rPr>
        <w:t xml:space="preserve">A D Woolcock, A Keenan, C Cheung, J A Christian, and G E Moore.</w:t>
      </w:r>
    </w:p>
    <w:p/>
    <w:p>
      <w:pPr>
        <w:pStyle w:val="Normal"/>
      </w:pPr>
      <w:r>
        <w:rPr>
          <w:color w:val="323232"/>
        </w:rPr>
        <w:t xml:space="preserve">BACKGROUND:Thrombocytosis is a hematologic abnormality in dogs that has been associated with various neoplastic, metabolic, and inflammatory conditions.</w:t>
      </w:r>
    </w:p>
    <w:p/>
    <w:p>
      <w:pPr>
        <w:pStyle w:val="Normal"/>
      </w:pPr>
      <w:r>
        <w:rPr>
          <w:color w:val="323232"/>
        </w:rPr>
        <w:t xml:space="preserve">OBJECTIVE:To classify thrombocytosis in dogs based on severity and evaluate whether there are associations between severity and underlying disease processes.</w:t>
      </w:r>
    </w:p>
    <w:p/>
    <w:p>
      <w:pPr>
        <w:pStyle w:val="Normal"/>
      </w:pPr>
      <w:r>
        <w:rPr>
          <w:color w:val="323232"/>
        </w:rPr>
        <w:t xml:space="preserve">ANIMALS:Seven hundred and fifteen dogs with thrombocytosis and 1,430 dogs with normal numbers of platelets.</w:t>
      </w:r>
    </w:p>
    <w:p/>
    <w:p>
      <w:pPr>
        <w:pStyle w:val="Normal"/>
      </w:pPr>
      <w:r>
        <w:rPr>
          <w:color w:val="323232"/>
        </w:rPr>
        <w:t xml:space="preserve">METHODS:Retrospective study. Medical records of dogs with increased (&gt;500</w:t>
      </w:r>
      <w:r>
        <w:rPr>
          <w:color w:val="323232"/>
        </w:rPr>
        <w:t xml:space="preserve"> </w:t>
      </w:r>
      <w:r>
        <w:rPr>
          <w:color w:val="323232"/>
        </w:rPr>
        <w:t xml:space="preserve">×</w:t>
      </w:r>
      <w:r>
        <w:rPr>
          <w:color w:val="323232"/>
        </w:rPr>
        <w:t xml:space="preserve"> </w:t>
      </w:r>
      <w:r>
        <w:rPr>
          <w:color w:val="323232"/>
        </w:rPr>
        <w:t xml:space="preserve">103 /μL; thrombocytosis group) and normal (300-500</w:t>
      </w:r>
      <w:r>
        <w:rPr>
          <w:color w:val="323232"/>
        </w:rPr>
        <w:t xml:space="preserve"> </w:t>
      </w:r>
      <w:r>
        <w:rPr>
          <w:color w:val="323232"/>
        </w:rPr>
        <w:t xml:space="preserve">×</w:t>
      </w:r>
      <w:r>
        <w:rPr>
          <w:color w:val="323232"/>
        </w:rPr>
        <w:t xml:space="preserve"> </w:t>
      </w:r>
      <w:r>
        <w:rPr>
          <w:color w:val="323232"/>
        </w:rPr>
        <w:t xml:space="preserve">103 /μL; control group) platelet counts between 2011 and 2015 were reviewed. Dogs were characterized by severity of platelet increase and diagnosis. Diagnostic categories included neoplasia, endocrine disease, inflammatory disease, or miscellaneous.</w:t>
      </w:r>
    </w:p>
    <w:p/>
    <w:p>
      <w:pPr>
        <w:pStyle w:val="Normal"/>
      </w:pPr>
      <w:r>
        <w:rPr>
          <w:color w:val="323232"/>
        </w:rPr>
        <w:t xml:space="preserve">RESULTS:A total of 1,254 complete blood counts with thrombocytosis from 715 dogs were included in the study. Median platelet count in this population was 582</w:t>
      </w:r>
      <w:r>
        <w:rPr>
          <w:color w:val="323232"/>
        </w:rPr>
        <w:t xml:space="preserve"> </w:t>
      </w:r>
      <w:r>
        <w:rPr>
          <w:color w:val="323232"/>
        </w:rPr>
        <w:t xml:space="preserve">×</w:t>
      </w:r>
      <w:r>
        <w:rPr>
          <w:color w:val="323232"/>
        </w:rPr>
        <w:t xml:space="preserve"> </w:t>
      </w:r>
      <w:r>
        <w:rPr>
          <w:color w:val="323232"/>
        </w:rPr>
        <w:t xml:space="preserve">103 /μL (500-1,810</w:t>
      </w:r>
      <w:r>
        <w:rPr>
          <w:color w:val="323232"/>
        </w:rPr>
        <w:t xml:space="preserve"> </w:t>
      </w:r>
      <w:r>
        <w:rPr>
          <w:color w:val="323232"/>
        </w:rPr>
        <w:t xml:space="preserve">×</w:t>
      </w:r>
      <w:r>
        <w:rPr>
          <w:color w:val="323232"/>
        </w:rPr>
        <w:t xml:space="preserve"> </w:t>
      </w:r>
      <w:r>
        <w:rPr>
          <w:color w:val="323232"/>
        </w:rPr>
        <w:t xml:space="preserve">103 /μL). No correlation between severity of thrombocytosis and diagnosis was identified. Causes of secondary thrombocytosis included neoplasia (55.7%), endocrine disease (12.0%), and inflammatory disease (46.6%). Immune-mediated disease was common (22.2%), associated with frequent glucocorticoid administration, and had a significantly higher median platelet count (636</w:t>
      </w:r>
      <w:r>
        <w:rPr>
          <w:color w:val="323232"/>
        </w:rPr>
        <w:t xml:space="preserve"> </w:t>
      </w:r>
      <w:r>
        <w:rPr>
          <w:color w:val="323232"/>
        </w:rPr>
        <w:t xml:space="preserve">×</w:t>
      </w:r>
      <w:r>
        <w:rPr>
          <w:color w:val="323232"/>
        </w:rPr>
        <w:t xml:space="preserve"> </w:t>
      </w:r>
      <w:r>
        <w:rPr>
          <w:color w:val="323232"/>
        </w:rPr>
        <w:t xml:space="preserve">103 /μL [500-1,262</w:t>
      </w:r>
      <w:r>
        <w:rPr>
          <w:color w:val="323232"/>
        </w:rPr>
        <w:t xml:space="preserve"> </w:t>
      </w:r>
      <w:r>
        <w:rPr>
          <w:color w:val="323232"/>
        </w:rPr>
        <w:t xml:space="preserve">×</w:t>
      </w:r>
      <w:r>
        <w:rPr>
          <w:color w:val="323232"/>
        </w:rPr>
        <w:t xml:space="preserve"> </w:t>
      </w:r>
      <w:r>
        <w:rPr>
          <w:color w:val="323232"/>
        </w:rPr>
        <w:t xml:space="preserve">103 /μL] versus 565</w:t>
      </w:r>
      <w:r>
        <w:rPr>
          <w:color w:val="323232"/>
        </w:rPr>
        <w:t xml:space="preserve"> </w:t>
      </w:r>
      <w:r>
        <w:rPr>
          <w:color w:val="323232"/>
        </w:rPr>
        <w:t xml:space="preserve">×</w:t>
      </w:r>
      <w:r>
        <w:rPr>
          <w:color w:val="323232"/>
        </w:rPr>
        <w:t xml:space="preserve"> </w:t>
      </w:r>
      <w:r>
        <w:rPr>
          <w:color w:val="323232"/>
        </w:rPr>
        <w:t xml:space="preserve">103 /μL [500-1,810</w:t>
      </w:r>
      <w:r>
        <w:rPr>
          <w:color w:val="323232"/>
        </w:rPr>
        <w:t xml:space="preserve"> </w:t>
      </w:r>
      <w:r>
        <w:rPr>
          <w:color w:val="323232"/>
        </w:rPr>
        <w:t xml:space="preserve">×</w:t>
      </w:r>
      <w:r>
        <w:rPr>
          <w:color w:val="323232"/>
        </w:rPr>
        <w:t xml:space="preserve"> </w:t>
      </w:r>
      <w:r>
        <w:rPr>
          <w:color w:val="323232"/>
        </w:rPr>
        <w:t xml:space="preserve">103 /μL]) when compared to the other inflammatory processes (P</w:t>
      </w:r>
      <w:r>
        <w:rPr>
          <w:color w:val="323232"/>
        </w:rPr>
        <w:t xml:space="preserve"> </w:t>
      </w:r>
      <w:r>
        <w:rPr>
          <w:color w:val="323232"/>
        </w:rPr>
        <w:t xml:space="preserve">&lt;</w:t>
      </w:r>
      <w:r>
        <w:rPr>
          <w:color w:val="323232"/>
        </w:rPr>
        <w:t xml:space="preserve"> </w:t>
      </w:r>
      <w:r>
        <w:rPr>
          <w:color w:val="323232"/>
        </w:rPr>
        <w:t xml:space="preserve">0.001). The diagnoses in the thrombocytosis dogs differed significantly from the control population (P</w:t>
      </w:r>
      <w:r>
        <w:rPr>
          <w:color w:val="323232"/>
        </w:rPr>
        <w:t xml:space="preserve"> </w:t>
      </w:r>
      <w:r>
        <w:rPr>
          <w:color w:val="323232"/>
        </w:rPr>
        <w:t xml:space="preserve">&lt;</w:t>
      </w:r>
      <w:r>
        <w:rPr>
          <w:color w:val="323232"/>
        </w:rPr>
        <w:t xml:space="preserve"> </w:t>
      </w:r>
      <w:r>
        <w:rPr>
          <w:color w:val="323232"/>
        </w:rPr>
        <w:t xml:space="preserve">0.001).</w:t>
      </w:r>
    </w:p>
    <w:p/>
    <w:p>
      <w:pPr>
        <w:pStyle w:val="Normal"/>
      </w:pPr>
      <w:r>
        <w:rPr>
          <w:color w:val="323232"/>
        </w:rPr>
        <w:t xml:space="preserve">CONCLUSIONS AND CLINICAL IMPORTANCE:Thrombocytosis is commonly associated with carcinoma and immune-mediated disease in dogs.</w:t>
      </w:r>
    </w:p>
    <w:p/>
    <w:p>
      <w:pPr>
        <w:pStyle w:val="Normal"/>
      </w:pPr>
      <w:r>
        <w:rPr>
          <w:color w:val="323232"/>
        </w:rPr>
        <w:t xml:space="preserve">J Vet Intern Med, 2017 vol. 31 (6), 6 pp. 1691-1699.</w:t>
      </w:r>
    </w:p>
    <w:p>
      <w:r>
        <w:rPr>
          <w:rStyle w:val="Hyperlink"/>
        </w:rPr>
        <w:fldChar w:fldCharType="begin"/>
      </w:r>
      <w:r>
        <w:rPr>
          <w:rStyle w:val="Hyperlink"/>
        </w:rPr>
        <w:instrText xml:space="preserve"> HYPERLINK "http://dx.doi.org/10.1111/jvim.14831" </w:instrText>
      </w:r>
      <w:r>
        <w:rPr>
          <w:rStyle w:val="Hyperlink"/>
        </w:rPr>
      </w:r>
      <w:r>
        <w:rPr>
          <w:rStyle w:val="Hyperlink"/>
        </w:rPr>
        <w:fldChar w:fldCharType="separate"/>
      </w:r>
      <w:pPr>
        <w:pStyle w:val="Normal"/>
      </w:pPr>
      <w:r>
        <w:rPr>
          <w:rStyle w:val="Hyperlink"/>
        </w:rPr>
        <w:t xml:space="preserve">http://dx.doi.org/10.1111/jvim.14831</w:t>
      </w:r>
      <w:r>
        <w:rPr>
          <w:rStyle w:val="Hyperlink"/>
        </w:rPr>
        <w:fldChar w:fldCharType="end"/>
      </w:r>
    </w:p>
    <w:p>
      <w:pPr>
        <w:pStyle w:val="Normal"/>
      </w:pPr>
      <w:r>
        <w:rPr>
          <w:color w:val="323232"/>
        </w:rPr>
        <w:t xml:space="preserve">————————</w:t>
      </w:r>
    </w:p>
    <w:p>
      <w:pPr>
        <w:pStyle w:val="Heading4"/>
      </w:pPr>
      <w:r>
        <w:t xml:space="preserve">Glutathione Peroxidase Activity, Plasma Total Antioxidant Capacity, and Urinary F2- Isoprostanes as Markers of Oxidative Stress in Anemic Dogs.</w:t>
      </w:r>
    </w:p>
    <w:p/>
    <w:p>
      <w:pPr>
        <w:pStyle w:val="Normal"/>
      </w:pPr>
      <w:r>
        <w:rPr>
          <w:color w:val="323232"/>
        </w:rPr>
        <w:t xml:space="preserve">A Kendall, A Woolcock, A Brooks, and G E Moore.</w:t>
      </w:r>
    </w:p>
    <w:p/>
    <w:p>
      <w:pPr>
        <w:pStyle w:val="Normal"/>
      </w:pPr>
      <w:r>
        <w:rPr>
          <w:color w:val="323232"/>
        </w:rPr>
        <w:t xml:space="preserve">BACKGROUND:Oxidative stress plays a role in the pathophysiology of several diseases and has been documented as a contributor to disease in both the human and veterinary literature. One at-risk cell is the erythrocyte, however, the role of oxidative stress in anemia in dogs has not been widely investigated.</w:t>
      </w:r>
    </w:p>
    <w:p/>
    <w:p>
      <w:pPr>
        <w:pStyle w:val="Normal"/>
      </w:pPr>
      <w:r>
        <w:rPr>
          <w:color w:val="323232"/>
        </w:rPr>
        <w:t xml:space="preserve">HYPOTHESIS/OBJECTIVE:Anemic dogs will have an alteration in the activity of glutathione peroxidase (GPx), a decrease in of total antioxidant capacity (TAC), and an increased concentration of urinary 15-F2 -isoprostanes (F2 -IsoP) when compared to healthy dogs.</w:t>
      </w:r>
    </w:p>
    <w:p/>
    <w:p>
      <w:pPr>
        <w:pStyle w:val="Normal"/>
      </w:pPr>
      <w:r>
        <w:rPr>
          <w:color w:val="323232"/>
        </w:rPr>
        <w:t xml:space="preserve">ANIMALS:40 client-owned dogs with anemia (PCV &lt;30%) age-matched to 40 client-owned healthy control dogs.</w:t>
      </w:r>
    </w:p>
    <w:p/>
    <w:p>
      <w:pPr>
        <w:pStyle w:val="Normal"/>
      </w:pPr>
      <w:r>
        <w:rPr>
          <w:color w:val="323232"/>
        </w:rPr>
        <w:t xml:space="preserve">METHODS:Prospective, cross-sectional study. Whole blood GPx activity, plasma TAC, and urinary F2 -isoprostane concentrations were evaluated in each dog and compared between groups.</w:t>
      </w:r>
    </w:p>
    <w:p/>
    <w:p>
      <w:pPr>
        <w:pStyle w:val="Normal"/>
      </w:pPr>
      <w:r>
        <w:rPr>
          <w:color w:val="323232"/>
        </w:rPr>
        <w:t xml:space="preserve">RESULTS:Anemic dogs had significantly lower GPx activity (43.1 × 103 +</w:t>
      </w:r>
      <w:r>
        <w:rPr>
          <w:i w:val="1"/>
          <w:color w:val="323232"/>
        </w:rPr>
        <w:t xml:space="preserve">- 1.6 × 103 U</w:t>
      </w:r>
      <w:r>
        <w:rPr>
          <w:color w:val="323232"/>
        </w:rPr>
        <w:t xml:space="preserve">L) than did dogs in the control group (75.8 × 103 +</w:t>
      </w:r>
      <w:r>
        <w:rPr>
          <w:i w:val="1"/>
          <w:color w:val="323232"/>
        </w:rPr>
        <w:t xml:space="preserve">- 2.0 × 103 U</w:t>
      </w:r>
      <w:r>
        <w:rPr>
          <w:color w:val="323232"/>
        </w:rPr>
        <w:t xml:space="preserve">L; P &lt; 0.0001). The GPx activity in dogs with hemolysis (103 +</w:t>
      </w:r>
      <w:r>
        <w:rPr>
          <w:i w:val="1"/>
          <w:color w:val="323232"/>
        </w:rPr>
        <w:t xml:space="preserve">- 0.8 × 103 U</w:t>
      </w:r>
      <w:r>
        <w:rPr>
          <w:color w:val="323232"/>
        </w:rPr>
        <w:t xml:space="preserve">L) was not significantly different (P = 0.57) than in dogs with nonhemolytic anemia (43.5 × 103 +</w:t>
      </w:r>
      <w:r>
        <w:rPr>
          <w:i w:val="1"/>
          <w:color w:val="323232"/>
        </w:rPr>
        <w:t xml:space="preserve">- 1.1 × 103 U</w:t>
      </w:r>
      <w:r>
        <w:rPr>
          <w:color w:val="323232"/>
        </w:rPr>
        <w:t xml:space="preserve">L). The TAC concentrations (P = 0.15) and urinary F2 -isoprostanes (P = 0.73) did not significantly differ between groups.</w:t>
      </w:r>
    </w:p>
    <w:p/>
    <w:p>
      <w:pPr>
        <w:pStyle w:val="Normal"/>
      </w:pPr>
      <w:r>
        <w:rPr>
          <w:color w:val="323232"/>
        </w:rPr>
        <w:t xml:space="preserve">CONCLUSIONS AND CLINICAL IMPORTANCE:Glutathione peroxidase activity was significantly decreased in anemic dogs indicating oxidative stress. Additional studies are warranted to determine if antioxidant supplementation would improve survival and overall outcome as part of a therapeutic regimen for anemic dogs.</w:t>
      </w:r>
    </w:p>
    <w:p/>
    <w:p>
      <w:pPr>
        <w:pStyle w:val="Normal"/>
      </w:pPr>
      <w:r>
        <w:rPr>
          <w:color w:val="323232"/>
        </w:rPr>
        <w:t xml:space="preserve">J Vet Intern Med, 2017 vol. 31 (6) pp. 1700-1707.</w:t>
      </w:r>
    </w:p>
    <w:p>
      <w:r>
        <w:rPr>
          <w:rStyle w:val="Hyperlink"/>
        </w:rPr>
        <w:fldChar w:fldCharType="begin"/>
      </w:r>
      <w:r>
        <w:rPr>
          <w:rStyle w:val="Hyperlink"/>
        </w:rPr>
        <w:instrText xml:space="preserve"> HYPERLINK "http://dx.doi.org/10.1111/jvim.14847" </w:instrText>
      </w:r>
      <w:r>
        <w:rPr>
          <w:rStyle w:val="Hyperlink"/>
        </w:rPr>
      </w:r>
      <w:r>
        <w:rPr>
          <w:rStyle w:val="Hyperlink"/>
        </w:rPr>
        <w:fldChar w:fldCharType="separate"/>
      </w:r>
      <w:pPr>
        <w:pStyle w:val="Normal"/>
      </w:pPr>
      <w:r>
        <w:rPr>
          <w:rStyle w:val="Hyperlink"/>
        </w:rPr>
        <w:t xml:space="preserve">http://dx.doi.org/10.1111/jvim.14847</w:t>
      </w:r>
      <w:r>
        <w:rPr>
          <w:rStyle w:val="Hyperlink"/>
        </w:rPr>
        <w:fldChar w:fldCharType="end"/>
      </w:r>
    </w:p>
    <w:p>
      <w:pPr>
        <w:pStyle w:val="Normal"/>
      </w:pPr>
      <w:r>
        <w:rPr>
          <w:color w:val="323232"/>
        </w:rPr>
        <w:t xml:space="preserve">————————</w:t>
      </w:r>
    </w:p>
    <w:p>
      <w:pPr>
        <w:pStyle w:val="Heading4"/>
      </w:pPr>
      <w:r>
        <w:t xml:space="preserve">Feline Differential Leukocyte Count with ProCyte Dx: Frequency and Severity of a Neutrophil-Lymphocyte Error and How to Avoid It.</w:t>
      </w:r>
    </w:p>
    <w:p/>
    <w:p>
      <w:pPr>
        <w:pStyle w:val="Normal"/>
      </w:pPr>
      <w:r>
        <w:rPr>
          <w:color w:val="323232"/>
        </w:rPr>
        <w:t xml:space="preserve">H W Tvedten, V Andersson, and I E Lilliehöök.</w:t>
      </w:r>
    </w:p>
    <w:p/>
    <w:p>
      <w:pPr>
        <w:pStyle w:val="Normal"/>
      </w:pPr>
      <w:r>
        <w:rPr>
          <w:color w:val="323232"/>
        </w:rPr>
        <w:t xml:space="preserve">BACKGROUND:Erroneous neutrophil and lymphocyte counts from analysis of feline blood samples were transferred directly into the hospital information system from the ProCyte Dx hematology instrument in our after-hours laboratory. Errors usually were not detected by the users.</w:t>
      </w:r>
    </w:p>
    <w:p/>
    <w:p>
      <w:pPr>
        <w:pStyle w:val="Normal"/>
      </w:pPr>
      <w:r>
        <w:rPr>
          <w:color w:val="323232"/>
        </w:rPr>
        <w:t xml:space="preserve">HYPOTHESIS/OBJECTIVES:To quantify the frequency and severity of errors associated with the ProCyte Dx analyzer and to identify methods to avoid the errors.</w:t>
      </w:r>
    </w:p>
    <w:p/>
    <w:p>
      <w:pPr>
        <w:pStyle w:val="Normal"/>
      </w:pPr>
      <w:r>
        <w:rPr>
          <w:color w:val="323232"/>
        </w:rPr>
        <w:t xml:space="preserve">ANIMALS:One-hundred six EDTA blood samples routinely submitted from feline hospital patients were analyzed.</w:t>
      </w:r>
    </w:p>
    <w:p/>
    <w:p>
      <w:pPr>
        <w:pStyle w:val="Normal"/>
      </w:pPr>
      <w:r>
        <w:rPr>
          <w:color w:val="323232"/>
        </w:rPr>
        <w:t xml:space="preserve">METHODS:ProCyte differential leukocyte counts were compared to 2 reference methods: Advia 2120 hematology instrument and manual enumeration. Limits for unacceptable deviation from the reference methods were defined as 18 for % lymphocytes and 23 for % neutrophils.</w:t>
      </w:r>
    </w:p>
    <w:p/>
    <w:p>
      <w:pPr>
        <w:pStyle w:val="Normal"/>
      </w:pPr>
      <w:r>
        <w:rPr>
          <w:color w:val="323232"/>
        </w:rPr>
        <w:t xml:space="preserve">RESULTS:Fourteen of 106 samples had unacceptable errors for both lymphocytes and neutrophils compared to both reference methods. Median % lymphocytes in those 14 samples were 11.2, 15.0, and 53.0% for Advia, manual, and ProCyte, respectively. Median % neutrophils were 85.4, 81.5, and 34.2% for Advia, manual, and ProCyte, respectively. All errors were avoided by rejecting automated ProCyte differential leukocyte results whenever the dot plot appeared clearly incorrect, but only 9 of these 14 samples had a ProCyte WBC distribution error flag.</w:t>
      </w:r>
    </w:p>
    <w:p/>
    <w:p>
      <w:pPr>
        <w:pStyle w:val="Normal"/>
      </w:pPr>
      <w:r>
        <w:rPr>
          <w:color w:val="323232"/>
        </w:rPr>
        <w:t xml:space="preserve">CONCLUSIONS AND CLINICAL IMPORTANCE:Results reported by ProCyte had markedly falsely increased lymphocyte and decreased neutrophil counts in 13% of feline patient samples. Users must reject automated differential leukocyte count results when the WBC dot plot appears overtly incorrect. Rejection based only on ProCyte WBC error flag was insufficient.</w:t>
      </w:r>
    </w:p>
    <w:p/>
    <w:p>
      <w:pPr>
        <w:pStyle w:val="Normal"/>
      </w:pPr>
      <w:r>
        <w:rPr>
          <w:color w:val="323232"/>
        </w:rPr>
        <w:t xml:space="preserve">J Vet Intern Med, 2017 vol. 31 (6), 6 pp. 1708-1716.</w:t>
      </w:r>
    </w:p>
    <w:p>
      <w:r>
        <w:rPr>
          <w:rStyle w:val="Hyperlink"/>
        </w:rPr>
        <w:fldChar w:fldCharType="begin"/>
      </w:r>
      <w:r>
        <w:rPr>
          <w:rStyle w:val="Hyperlink"/>
        </w:rPr>
        <w:instrText xml:space="preserve"> HYPERLINK "http://dx.doi.org/10.1111/jvim.14815" </w:instrText>
      </w:r>
      <w:r>
        <w:rPr>
          <w:rStyle w:val="Hyperlink"/>
        </w:rPr>
      </w:r>
      <w:r>
        <w:rPr>
          <w:rStyle w:val="Hyperlink"/>
        </w:rPr>
        <w:fldChar w:fldCharType="separate"/>
      </w:r>
      <w:pPr>
        <w:pStyle w:val="Normal"/>
      </w:pPr>
      <w:r>
        <w:rPr>
          <w:rStyle w:val="Hyperlink"/>
        </w:rPr>
        <w:t xml:space="preserve">http://dx.doi.org/10.1111/jvim.14815</w:t>
      </w:r>
      <w:r>
        <w:rPr>
          <w:rStyle w:val="Hyperlink"/>
        </w:rPr>
        <w:fldChar w:fldCharType="end"/>
      </w:r>
    </w:p>
    <w:p>
      <w:pPr>
        <w:pStyle w:val="Normal"/>
      </w:pPr>
      <w:r>
        <w:rPr>
          <w:color w:val="323232"/>
        </w:rPr>
        <w:t xml:space="preserve">————————</w:t>
      </w:r>
    </w:p>
    <w:p>
      <w:pPr>
        <w:pStyle w:val="Heading4"/>
      </w:pPr>
      <w:r>
        <w:t xml:space="preserve">Antihistone Autoantibodies in Dobermans With Hepatitis.</w:t>
      </w:r>
    </w:p>
    <w:p/>
    <w:p>
      <w:pPr>
        <w:pStyle w:val="Normal"/>
      </w:pPr>
      <w:r>
        <w:rPr>
          <w:color w:val="323232"/>
        </w:rPr>
        <w:t xml:space="preserve">H Dyggve, S Meri, T Spillmann, H Jarva, and M Speeti.</w:t>
      </w:r>
    </w:p>
    <w:p/>
    <w:p>
      <w:pPr>
        <w:pStyle w:val="Normal"/>
      </w:pPr>
      <w:r>
        <w:rPr>
          <w:color w:val="323232"/>
        </w:rPr>
        <w:t xml:space="preserve">BACKGROUND:Immune system involvement is suggested as an underlying cause for Doberman hepatitis (DH) based on female predisposition, lymphocyte infiltration, abnormal hepatocyte expression of major histocompatibility complex class II antigens, and homozygosity for dog leukocyte antigen DRB1*00601.</w:t>
      </w:r>
    </w:p>
    <w:p/>
    <w:p>
      <w:pPr>
        <w:pStyle w:val="Normal"/>
      </w:pPr>
      <w:r>
        <w:rPr>
          <w:color w:val="323232"/>
        </w:rPr>
        <w:t xml:space="preserve">OBJECTIVE:To measure serum antinuclear antibodies (ANA) and serum antihistone antibodies (AHA) in Dobermans with hepatitis. To determine whether increased serum ANA or serum AHA could be used to support the diagnosis of Doberman hepatitis (DH).</w:t>
      </w:r>
    </w:p>
    <w:p/>
    <w:p>
      <w:pPr>
        <w:pStyle w:val="Normal"/>
      </w:pPr>
      <w:r>
        <w:rPr>
          <w:color w:val="323232"/>
        </w:rPr>
        <w:t xml:space="preserve">ANIMALS:Privately owned 25 subclinically and 13 clinically affected DH Dobermans and 17 healthy control Dobermans.</w:t>
      </w:r>
    </w:p>
    <w:p/>
    <w:p>
      <w:pPr>
        <w:pStyle w:val="Normal"/>
      </w:pPr>
      <w:r>
        <w:rPr>
          <w:color w:val="323232"/>
        </w:rPr>
        <w:t xml:space="preserve">METHODS:Case-control study. Indirect immunofluorescence (IIF) microscopy and line blot tests were employed for the ANA pilot studies and an enzyme-linked immunosorbent assay (ELISA) assay for detection of IgG AHA.</w:t>
      </w:r>
    </w:p>
    <w:p/>
    <w:p>
      <w:pPr>
        <w:pStyle w:val="Normal"/>
      </w:pPr>
      <w:r>
        <w:rPr>
          <w:color w:val="323232"/>
        </w:rPr>
        <w:t xml:space="preserve">RESULTS:Indirect immunofluorescence revealed ANA-positive cases, and line blot showed AHA reactivity. In ELISA, importantly increased concentrations of AHA were found in 92% (23/25) of dogs in the subclinical stage and 84.6% (11 of 13) of dogs in the clinical stage of DH compared with no control dogs (0/17) (P &lt; 0.0005). The mean AHA absorbance values of the blood samples obtained from the 25 subclinical DH dogs (1.36 ± 0.60, mean ± SD) and the 13 clinically affected dogs (1.46 ± 0.49) were significantly higher than in 17 control dogs (0.51 ± 0.18; P &lt; 0.0001).</w:t>
      </w:r>
    </w:p>
    <w:p/>
    <w:p>
      <w:pPr>
        <w:pStyle w:val="Normal"/>
      </w:pPr>
      <w:r>
        <w:rPr>
          <w:color w:val="323232"/>
        </w:rPr>
        <w:t xml:space="preserve">CONCLUSIONS AND CLINICAL IMPORTANCE:As the presence of AHA indicates autoimmune activity, our results favor an autoimmune background as one cause for DH. Antihistone antibody could represent a novel means for screening Dobermans with increased serum alanine transaminase concentrations and suspicion of DH.</w:t>
      </w:r>
    </w:p>
    <w:p/>
    <w:p>
      <w:pPr>
        <w:pStyle w:val="Normal"/>
      </w:pPr>
      <w:r>
        <w:rPr>
          <w:color w:val="323232"/>
        </w:rPr>
        <w:t xml:space="preserve">J Vet Intern Med, 2017 vol. 31 (6) pp. 1717-1723.</w:t>
      </w:r>
    </w:p>
    <w:p>
      <w:r>
        <w:rPr>
          <w:rStyle w:val="Hyperlink"/>
        </w:rPr>
        <w:fldChar w:fldCharType="begin"/>
      </w:r>
      <w:r>
        <w:rPr>
          <w:rStyle w:val="Hyperlink"/>
        </w:rPr>
        <w:instrText xml:space="preserve"> HYPERLINK "http://dx.doi.org/10.1111/jvim.14838" </w:instrText>
      </w:r>
      <w:r>
        <w:rPr>
          <w:rStyle w:val="Hyperlink"/>
        </w:rPr>
      </w:r>
      <w:r>
        <w:rPr>
          <w:rStyle w:val="Hyperlink"/>
        </w:rPr>
        <w:fldChar w:fldCharType="separate"/>
      </w:r>
      <w:pPr>
        <w:pStyle w:val="Normal"/>
      </w:pPr>
      <w:r>
        <w:rPr>
          <w:rStyle w:val="Hyperlink"/>
        </w:rPr>
        <w:t xml:space="preserve">http://dx.doi.org/10.1111/jvim.14838</w:t>
      </w:r>
      <w:r>
        <w:rPr>
          <w:rStyle w:val="Hyperlink"/>
        </w:rPr>
        <w:fldChar w:fldCharType="end"/>
      </w:r>
    </w:p>
    <w:p>
      <w:pPr>
        <w:pStyle w:val="Normal"/>
      </w:pPr>
      <w:r>
        <w:rPr>
          <w:color w:val="323232"/>
        </w:rPr>
        <w:t xml:space="preserve">————————</w:t>
      </w:r>
    </w:p>
    <w:p>
      <w:pPr>
        <w:pStyle w:val="Heading4"/>
      </w:pPr>
      <w:r>
        <w:t xml:space="preserve">Opportunistic Invasive Cutaneous Fungal Infections Associated with Administration of Cyclosporine to Dogs with Immune-mediated Disease.</w:t>
      </w:r>
    </w:p>
    <w:p/>
    <w:p>
      <w:pPr>
        <w:pStyle w:val="Normal"/>
      </w:pPr>
      <w:r>
        <w:rPr>
          <w:color w:val="323232"/>
        </w:rPr>
        <w:t xml:space="preserve">B B McAtee, K J Cummings, A K Cook, J A Lidbury, J C Heseltine, and M D Willard.</w:t>
      </w:r>
    </w:p>
    <w:p/>
    <w:p>
      <w:pPr>
        <w:pStyle w:val="Normal"/>
      </w:pPr>
      <w:r>
        <w:rPr>
          <w:color w:val="323232"/>
        </w:rPr>
        <w:t xml:space="preserve">BACKGROUND:Opportunistic invasive fungal infections (OIFIs) occur in dogs administered immunosuppressive medications. However, the epidemiology of OIFIs among dogs undergoing immunosuppressive treatment is poorly understood. The aims of this study were to (1) estimate the incidence of OIFIs among dogs diagnosed with certain immune-mediated diseases and treated with immunosuppressive drugs, and (2) determine if administration of particular drug(s) was a risk factor for OIFIs.</w:t>
      </w:r>
    </w:p>
    <w:p/>
    <w:p>
      <w:pPr>
        <w:pStyle w:val="Normal"/>
      </w:pPr>
      <w:r>
        <w:rPr>
          <w:color w:val="323232"/>
        </w:rPr>
        <w:t xml:space="preserve">HYPOTHESIS:Dogs receiving cyclosporine treatment (alone or as part of a multidrug protocol) are at higher risk of developing OIFIs.</w:t>
      </w:r>
    </w:p>
    <w:p/>
    <w:p>
      <w:pPr>
        <w:pStyle w:val="Normal"/>
      </w:pPr>
      <w:r>
        <w:rPr>
          <w:color w:val="323232"/>
        </w:rPr>
        <w:t xml:space="preserve">ANIMALS:One hundred and thirteen client-owned dogs diagnosed with select immune-mediated diseases: 42 with IMHA, 29 with ITP, 34 with IMPA, and 8 with Evans syndrome.</w:t>
      </w:r>
    </w:p>
    <w:p/>
    <w:p>
      <w:pPr>
        <w:pStyle w:val="Normal"/>
      </w:pPr>
      <w:r>
        <w:rPr>
          <w:color w:val="323232"/>
        </w:rPr>
        <w:t xml:space="preserve">METHODS:Retrospective cohort study. Medical records of dogs presenting to the Texas A&amp;M University, Veterinary Medical Teaching Hospital between January 2008 and December 2015, and treated for 1 or more of IMHA, IMPA, ITP, or Evans syndrome were retrospectively reviewed. Dogs that did not develop an OIFI were excluded if they died, were euthanized, or were lost to follow-up within 120 days of initiation of immunosuppressive treatment.</w:t>
      </w:r>
    </w:p>
    <w:p/>
    <w:p>
      <w:pPr>
        <w:pStyle w:val="Normal"/>
      </w:pPr>
      <w:r>
        <w:rPr>
          <w:color w:val="323232"/>
        </w:rPr>
        <w:t xml:space="preserve">RESULTS:Fifteen dogs of 113 (13%) were diagnosed with an OIFI based on 1 or more of cytology, culture, or histopathology. The odds of developing an OIFI were greater among dogs that were treated with cyclosporine (OR = 7.1, P = 0.017; 95% CI, 1.5-34.4) and among male dogs (OR = 5.1, P = 0.018; 95% CI, 1.4-17.9).</w:t>
      </w:r>
    </w:p>
    <w:p/>
    <w:p>
      <w:pPr>
        <w:pStyle w:val="Normal"/>
      </w:pPr>
      <w:r>
        <w:rPr>
          <w:color w:val="323232"/>
        </w:rPr>
        <w:t xml:space="preserve">CONCLUSIONS AND CLINICAL IMPORTANCE:OIFIs were significantly more likely in male dogs and those receiving cyclosporine. It is important to consider OIFIs as a potential complication of immunosuppressive treatment, particularly cyclosporine.</w:t>
      </w:r>
    </w:p>
    <w:p/>
    <w:p>
      <w:pPr>
        <w:pStyle w:val="Normal"/>
      </w:pPr>
      <w:r>
        <w:rPr>
          <w:color w:val="323232"/>
        </w:rPr>
        <w:t xml:space="preserve">J Vet Intern Med, 2017 vol. 31 (6), 1 pp. 1724-1729.</w:t>
      </w:r>
    </w:p>
    <w:p>
      <w:r>
        <w:rPr>
          <w:rStyle w:val="Hyperlink"/>
        </w:rPr>
        <w:fldChar w:fldCharType="begin"/>
      </w:r>
      <w:r>
        <w:rPr>
          <w:rStyle w:val="Hyperlink"/>
        </w:rPr>
        <w:instrText xml:space="preserve"> HYPERLINK "http://dx.doi.org/10.1111/jvim.14824" </w:instrText>
      </w:r>
      <w:r>
        <w:rPr>
          <w:rStyle w:val="Hyperlink"/>
        </w:rPr>
      </w:r>
      <w:r>
        <w:rPr>
          <w:rStyle w:val="Hyperlink"/>
        </w:rPr>
        <w:fldChar w:fldCharType="separate"/>
      </w:r>
      <w:pPr>
        <w:pStyle w:val="Normal"/>
      </w:pPr>
      <w:r>
        <w:rPr>
          <w:rStyle w:val="Hyperlink"/>
        </w:rPr>
        <w:t xml:space="preserve">http://dx.doi.org/10.1111/jvim.14824</w:t>
      </w:r>
      <w:r>
        <w:rPr>
          <w:rStyle w:val="Hyperlink"/>
        </w:rPr>
        <w:fldChar w:fldCharType="end"/>
      </w:r>
    </w:p>
    <w:p>
      <w:pPr>
        <w:pStyle w:val="Normal"/>
      </w:pPr>
      <w:r>
        <w:rPr>
          <w:color w:val="323232"/>
        </w:rPr>
        <w:t xml:space="preserve">————————</w:t>
      </w:r>
    </w:p>
    <w:p>
      <w:pPr>
        <w:pStyle w:val="Heading4"/>
      </w:pPr>
      <w:r>
        <w:t xml:space="preserve">Immunophenotype of Peripheral Blood Lymphocytes in Dogs with Inflammatory Bowel Disease.</w:t>
      </w:r>
    </w:p>
    <w:p/>
    <w:p>
      <w:pPr>
        <w:pStyle w:val="Normal"/>
      </w:pPr>
      <w:r>
        <w:rPr>
          <w:color w:val="323232"/>
        </w:rPr>
        <w:t xml:space="preserve">A Galler, B C Rütgen, E Haas, A Saalmüller, R A Hirt, W Gerner, I Schwendenwein, B Richter, J G Thalhammer, and N Luckschander-Zeller.</w:t>
      </w:r>
    </w:p>
    <w:p/>
    <w:p>
      <w:pPr>
        <w:pStyle w:val="Normal"/>
      </w:pPr>
      <w:r>
        <w:rPr>
          <w:color w:val="323232"/>
        </w:rPr>
        <w:t xml:space="preserve">BACKGROUND:Inflammatory bowel disease (IBD) is common in dogs. Despite the known importance of intestinal lymphocytes in its pathogenesis, little is known about the role of peripheral blood lymphocytes (PBLs) in IBD.</w:t>
      </w:r>
    </w:p>
    <w:p/>
    <w:p>
      <w:pPr>
        <w:pStyle w:val="Normal"/>
      </w:pPr>
      <w:r>
        <w:rPr>
          <w:color w:val="323232"/>
        </w:rPr>
        <w:t xml:space="preserve">OBJECTIVES:The aims of this study were (1) comparison of PBLs analyzed by flow cytometry (FCM) in IBD dogs and healthy controls and (2) comparison of PBLs in IBD dogs at the time of diagnosis and in dogs in clinical remission.</w:t>
      </w:r>
    </w:p>
    <w:p/>
    <w:p>
      <w:pPr>
        <w:pStyle w:val="Normal"/>
      </w:pPr>
      <w:r>
        <w:rPr>
          <w:color w:val="323232"/>
        </w:rPr>
        <w:t xml:space="preserve">ANIMALS:Whole blood samples of 19 IBD dogs at the time of diagnosis and blood samples of 6 dogs in clinical remission were collected. Ten healthy dogs served as controls.</w:t>
      </w:r>
    </w:p>
    <w:p/>
    <w:p>
      <w:pPr>
        <w:pStyle w:val="Normal"/>
      </w:pPr>
      <w:r>
        <w:rPr>
          <w:color w:val="323232"/>
        </w:rPr>
        <w:t xml:space="preserve">METHODS:In this prospective observational study, PBLs were analyzed with multicolor FCM by staining with a panel of anticanine and cross-reactive monoclonal antibodies against T- and B-cell differentiation antigens, including CD45, CD3, CD4, CD8α, CD8β, TCRαβ, TCRγδ, CD79αcy, and CD21.</w:t>
      </w:r>
    </w:p>
    <w:p/>
    <w:p>
      <w:pPr>
        <w:pStyle w:val="Normal"/>
      </w:pPr>
      <w:r>
        <w:rPr>
          <w:color w:val="323232"/>
        </w:rPr>
        <w:t xml:space="preserve">RESULTS:The IBD patients' PBLs had significantly decreased percentages of TCRγδ+ T lymphocytes (median: healthy dogs, 3.32; IBD dogs, 0.97; P = 0.03) and CD21+ B cells (median: healthy dogs, 27.61; IBD dogs, 17.26; P = 0.04). There were no significant differences in PBLs between pretreatment and follow-up samples.</w:t>
      </w:r>
    </w:p>
    <w:p/>
    <w:p>
      <w:pPr>
        <w:pStyle w:val="Normal"/>
      </w:pPr>
      <w:r>
        <w:rPr>
          <w:color w:val="323232"/>
        </w:rPr>
        <w:t xml:space="preserve">CONCLUSIONS AND CLINICAL IMPORTANCE:The differences between PBLs in healthy and IBD dogs analyzed by FCM indicate an imbalance of lymphocytes with different immunologic functions and emphasize the potential value of this technique in a larger cohort of dogs. The PBLs did not differ between IBD dogs before treatment and clinically well-controlled dogs after treatment.</w:t>
      </w:r>
    </w:p>
    <w:p/>
    <w:p>
      <w:pPr>
        <w:pStyle w:val="Normal"/>
      </w:pPr>
      <w:r>
        <w:rPr>
          <w:color w:val="323232"/>
        </w:rPr>
        <w:t xml:space="preserve">J Vet Intern Med, 2017 vol. 31 (6) pp. 1730-1739.</w:t>
      </w:r>
    </w:p>
    <w:p>
      <w:r>
        <w:rPr>
          <w:rStyle w:val="Hyperlink"/>
        </w:rPr>
        <w:fldChar w:fldCharType="begin"/>
      </w:r>
      <w:r>
        <w:rPr>
          <w:rStyle w:val="Hyperlink"/>
        </w:rPr>
        <w:instrText xml:space="preserve"> HYPERLINK "http://dx.doi.org/10.1111/jvim.14812" </w:instrText>
      </w:r>
      <w:r>
        <w:rPr>
          <w:rStyle w:val="Hyperlink"/>
        </w:rPr>
      </w:r>
      <w:r>
        <w:rPr>
          <w:rStyle w:val="Hyperlink"/>
        </w:rPr>
        <w:fldChar w:fldCharType="separate"/>
      </w:r>
      <w:pPr>
        <w:pStyle w:val="Normal"/>
      </w:pPr>
      <w:r>
        <w:rPr>
          <w:rStyle w:val="Hyperlink"/>
        </w:rPr>
        <w:t xml:space="preserve">http://dx.doi.org/10.1111/jvim.14812</w:t>
      </w:r>
      <w:r>
        <w:rPr>
          <w:rStyle w:val="Hyperlink"/>
        </w:rPr>
        <w:fldChar w:fldCharType="end"/>
      </w:r>
    </w:p>
    <w:p>
      <w:pPr>
        <w:pStyle w:val="Normal"/>
      </w:pPr>
      <w:r>
        <w:rPr>
          <w:color w:val="323232"/>
        </w:rPr>
        <w:t xml:space="preserve">————————</w:t>
      </w:r>
    </w:p>
    <w:p>
      <w:pPr>
        <w:pStyle w:val="Heading4"/>
      </w:pPr>
      <w:r>
        <w:t xml:space="preserve">Clinical Consequences of Hypertriglyceridemia-Associated Proteinuria in Miniature Schnauzers.</w:t>
      </w:r>
    </w:p>
    <w:p/>
    <w:p>
      <w:pPr>
        <w:pStyle w:val="Normal"/>
      </w:pPr>
      <w:r>
        <w:rPr>
          <w:color w:val="323232"/>
        </w:rPr>
        <w:t xml:space="preserve">R E Smith, J L Granick, C D Stauthammer, D J Polzin, D A Heinrich, and E Furrow.</w:t>
      </w:r>
    </w:p>
    <w:p/>
    <w:p>
      <w:pPr>
        <w:pStyle w:val="Normal"/>
      </w:pPr>
      <w:r>
        <w:rPr>
          <w:color w:val="323232"/>
        </w:rPr>
        <w:t xml:space="preserve">BACKGROUND:Primary hypertriglyceridemia is a common condition in older Miniature Schnauzers that recently has been associated with proteinuria and underlying glomerular pathology, particularly glomerular lipid thromboemboli. Consequences of glomerular disease can include hypertension, thromboembolic disease, and cardiac disease. The incidence of these sequelae in Miniature Schnauzers with hypertriglyceridemia-associated proteinuria (HTGP) is unknown.</w:t>
      </w:r>
    </w:p>
    <w:p/>
    <w:p>
      <w:pPr>
        <w:pStyle w:val="Normal"/>
      </w:pPr>
      <w:r>
        <w:rPr>
          <w:color w:val="323232"/>
        </w:rPr>
        <w:t xml:space="preserve">OBJECTIVE:To investigate prevalence of hypertension, decreased antithrombin III activity, and cardiac disease in Miniature Schnauzers with and without HTGP.</w:t>
      </w:r>
    </w:p>
    <w:p/>
    <w:p>
      <w:pPr>
        <w:pStyle w:val="Normal"/>
      </w:pPr>
      <w:r>
        <w:rPr>
          <w:color w:val="323232"/>
        </w:rPr>
        <w:t xml:space="preserve">ANIMALS:Thirty-two Miniature Schnauzers ≥7 years old.</w:t>
      </w:r>
    </w:p>
    <w:p/>
    <w:p>
      <w:pPr>
        <w:pStyle w:val="Normal"/>
      </w:pPr>
      <w:r>
        <w:rPr>
          <w:color w:val="323232"/>
        </w:rPr>
        <w:t xml:space="preserve">METHODS:Prospective case-control study. Data collected from dogs included a CBC, biochemistry panel, urinalysis, urine protein-to-creatinine ratio, urine cortisol-to-creatinine ratio, serum total thyroxine concentration, fasting serum triglyceride concentration, indirect blood pressure, antithrombin III activity, and serum cardiac troponin I concentration. Results from dogs with HTGP (serum triglyceride concentration ≥ 100 mg/dL and urine protein-to-creatinine ratio &gt;0.5) were statistically compared to normotriglyceridemic, nonproteinuric dogs.</w:t>
      </w:r>
    </w:p>
    <w:p/>
    <w:p>
      <w:pPr>
        <w:pStyle w:val="Normal"/>
      </w:pPr>
      <w:r>
        <w:rPr>
          <w:color w:val="323232"/>
        </w:rPr>
        <w:t xml:space="preserve">RESULTS:Eighteen of the 32 dogs (56%) had primary hypertriglyceridemia. Of those dogs, 8 of 18 had proteinuria. None of the HTGP dogs were azotemic or hypoalbuminemic. Serum albumin concentration, alkaline phosphatase activity, and cholesterol concentration were significantly increased in dogs with HGTP compared to those without HGTP. No increased risk of hypertension, decreased antithrombin III activity, or cardiac disease was noted. Limited data from 8 dogs with HTGP showed no development of hypoalbuminemia or azotemia over a median follow-up period of 18 months.</w:t>
      </w:r>
    </w:p>
    <w:p/>
    <w:p>
      <w:pPr>
        <w:pStyle w:val="Normal"/>
      </w:pPr>
      <w:r>
        <w:rPr>
          <w:color w:val="323232"/>
        </w:rPr>
        <w:t xml:space="preserve">CONCLUSIONS AND CLINICAL IMPORTANCE:Geriatric Miniature Schnauzers with HGTP may have a good prognosis overall, and are not typically azotemic or hypoalbuminemic.</w:t>
      </w:r>
    </w:p>
    <w:p/>
    <w:p>
      <w:pPr>
        <w:pStyle w:val="Normal"/>
      </w:pPr>
      <w:r>
        <w:rPr>
          <w:color w:val="323232"/>
        </w:rPr>
        <w:t xml:space="preserve">J Vet Intern Med, 2017 vol. 31 (6), 12 pp. 1740-1748.</w:t>
      </w:r>
    </w:p>
    <w:p>
      <w:r>
        <w:rPr>
          <w:rStyle w:val="Hyperlink"/>
        </w:rPr>
        <w:fldChar w:fldCharType="begin"/>
      </w:r>
      <w:r>
        <w:rPr>
          <w:rStyle w:val="Hyperlink"/>
        </w:rPr>
        <w:instrText xml:space="preserve"> HYPERLINK "http://dx.doi.org/10.1111/jvim.14833" </w:instrText>
      </w:r>
      <w:r>
        <w:rPr>
          <w:rStyle w:val="Hyperlink"/>
        </w:rPr>
      </w:r>
      <w:r>
        <w:rPr>
          <w:rStyle w:val="Hyperlink"/>
        </w:rPr>
        <w:fldChar w:fldCharType="separate"/>
      </w:r>
      <w:pPr>
        <w:pStyle w:val="Normal"/>
      </w:pPr>
      <w:r>
        <w:rPr>
          <w:rStyle w:val="Hyperlink"/>
        </w:rPr>
        <w:t xml:space="preserve">http://dx.doi.org/10.1111/jvim.14833</w:t>
      </w:r>
      <w:r>
        <w:rPr>
          <w:rStyle w:val="Hyperlink"/>
        </w:rPr>
        <w:fldChar w:fldCharType="end"/>
      </w:r>
    </w:p>
    <w:p>
      <w:pPr>
        <w:pStyle w:val="Normal"/>
      </w:pPr>
      <w:r>
        <w:rPr>
          <w:color w:val="323232"/>
        </w:rPr>
        <w:t xml:space="preserve">————————</w:t>
      </w:r>
    </w:p>
    <w:p>
      <w:pPr>
        <w:pStyle w:val="Heading4"/>
      </w:pPr>
      <w:r>
        <w:t xml:space="preserve">Effects of Hydroxyethyl Starch 130/0.4 on Serum Creatinine Concentration and Development of Acute Kidney Injury in Nonazotemic Cats.</w:t>
      </w:r>
    </w:p>
    <w:p/>
    <w:p>
      <w:pPr>
        <w:pStyle w:val="Normal"/>
      </w:pPr>
      <w:r>
        <w:rPr>
          <w:color w:val="323232"/>
        </w:rPr>
        <w:t xml:space="preserve">N E Sigrist, N Kälin, and A Dreyfus.</w:t>
      </w:r>
    </w:p>
    <w:p/>
    <w:p>
      <w:pPr>
        <w:pStyle w:val="Normal"/>
      </w:pPr>
      <w:r>
        <w:rPr>
          <w:color w:val="323232"/>
        </w:rPr>
        <w:t xml:space="preserve">BACKGROUND:Hydroxyethyl-starch (HES) solutions might have renal adverse effects in humans and dogs.</w:t>
      </w:r>
    </w:p>
    <w:p/>
    <w:p>
      <w:pPr>
        <w:pStyle w:val="Normal"/>
      </w:pPr>
      <w:r>
        <w:rPr>
          <w:color w:val="323232"/>
        </w:rPr>
        <w:t xml:space="preserve">OBJECTIVE:To determine if administration of 6% HES-130/0.4 is associated with an increase in serum creatinine concentration and development of acute kidney injury (AKI) in nonazotemic cats.</w:t>
      </w:r>
    </w:p>
    <w:p/>
    <w:p>
      <w:pPr>
        <w:pStyle w:val="Normal"/>
      </w:pPr>
      <w:r>
        <w:rPr>
          <w:color w:val="323232"/>
        </w:rPr>
        <w:t xml:space="preserve">ANIMALS:A total of 62 critically ill cats; 26 HES exposed and 36 unexposed.</w:t>
      </w:r>
    </w:p>
    <w:p/>
    <w:p>
      <w:pPr>
        <w:pStyle w:val="Normal"/>
      </w:pPr>
      <w:r>
        <w:rPr>
          <w:color w:val="323232"/>
        </w:rPr>
        <w:t xml:space="preserve">METHODS:Retrospective cohort study (2012-2015). Serum creatinine concentrations were recorded and changes in serum creatinine concentrations before exposure (baseline) and 2-10 and 11-90 days, respectively, were determined. Development of AKI was defined as a &gt; 150% increase or &gt;26 μmol</w:t>
      </w:r>
      <w:r>
        <w:rPr>
          <w:i w:val="1"/>
          <w:color w:val="323232"/>
        </w:rPr>
        <w:t xml:space="preserve">L increase in serum creatinine concentration from baseline. Risk factors, such as HES administration, cumulative volume of HES (mL</w:t>
      </w:r>
      <w:r>
        <w:rPr>
          <w:color w:val="323232"/>
        </w:rPr>
        <w:t xml:space="preserve">kg) and number of days of HES administration leading to development of AKI, and change in serum creatinine were analyzed.</w:t>
      </w:r>
    </w:p>
    <w:p/>
    <w:p>
      <w:pPr>
        <w:pStyle w:val="Normal"/>
      </w:pPr>
      <w:r>
        <w:rPr>
          <w:color w:val="323232"/>
        </w:rPr>
        <w:t xml:space="preserve">RESULTS:Cats in the HES cohort received a mean volume of 98.5 ± 76.2 mL</w:t>
      </w:r>
      <w:r>
        <w:rPr>
          <w:i w:val="1"/>
          <w:color w:val="323232"/>
        </w:rPr>
        <w:t xml:space="preserve">kg (range, 8-278 mL</w:t>
      </w:r>
      <w:r>
        <w:rPr>
          <w:color w:val="323232"/>
        </w:rPr>
        <w:t xml:space="preserve">kg) HES over a median of 4 (range, 1-11) days, resulting in a median dose of 20.1 (range, 8-40.5) mL</w:t>
      </w:r>
      <w:r>
        <w:rPr>
          <w:i w:val="1"/>
          <w:color w:val="323232"/>
        </w:rPr>
        <w:t xml:space="preserve">kg per day. Short-term %change in serum creatinine concentration (P = 0.40) and development of AKI (P = 0.32) were not significantly different between cohorts. Multivariable logistic regression did not identify HES dose in mL</w:t>
      </w:r>
      <w:r>
        <w:rPr>
          <w:color w:val="323232"/>
        </w:rPr>
        <w:t xml:space="preserve">kg (P = 0.33) and number of days of HES application (P = 0.49) as a risk factor for development of AKI.</w:t>
      </w:r>
    </w:p>
    <w:p/>
    <w:p>
      <w:pPr>
        <w:pStyle w:val="Normal"/>
      </w:pPr>
      <w:r>
        <w:rPr>
          <w:color w:val="323232"/>
        </w:rPr>
        <w:t xml:space="preserve">CONCLUSION AND CLINICAL IMPORTANCE:Hydroxyethyl-starch administration to critically ill nonazotemic cats seems to be safe. A larger prospective study is required to determine the effect of HES administration at higher dosages and for prolonged time periods.</w:t>
      </w:r>
    </w:p>
    <w:p/>
    <w:p>
      <w:pPr>
        <w:pStyle w:val="Normal"/>
      </w:pPr>
      <w:r>
        <w:rPr>
          <w:color w:val="323232"/>
        </w:rPr>
        <w:t xml:space="preserve">J Vet Intern Med, 2017 vol. 31 (6) pp. 1749-1756.</w:t>
      </w:r>
    </w:p>
    <w:p>
      <w:r>
        <w:rPr>
          <w:rStyle w:val="Hyperlink"/>
        </w:rPr>
        <w:fldChar w:fldCharType="begin"/>
      </w:r>
      <w:r>
        <w:rPr>
          <w:rStyle w:val="Hyperlink"/>
        </w:rPr>
        <w:instrText xml:space="preserve"> HYPERLINK "http://dx.doi.org/10.1111/jvim.14813" </w:instrText>
      </w:r>
      <w:r>
        <w:rPr>
          <w:rStyle w:val="Hyperlink"/>
        </w:rPr>
      </w:r>
      <w:r>
        <w:rPr>
          <w:rStyle w:val="Hyperlink"/>
        </w:rPr>
        <w:fldChar w:fldCharType="separate"/>
      </w:r>
      <w:pPr>
        <w:pStyle w:val="Normal"/>
      </w:pPr>
      <w:r>
        <w:rPr>
          <w:rStyle w:val="Hyperlink"/>
        </w:rPr>
        <w:t xml:space="preserve">http://dx.doi.org/10.1111/jvim.14813</w:t>
      </w:r>
      <w:r>
        <w:rPr>
          <w:rStyle w:val="Hyperlink"/>
        </w:rPr>
        <w:fldChar w:fldCharType="end"/>
      </w:r>
    </w:p>
    <w:p>
      <w:pPr>
        <w:pStyle w:val="Normal"/>
      </w:pPr>
      <w:r>
        <w:rPr>
          <w:color w:val="323232"/>
        </w:rPr>
        <w:t xml:space="preserve">————————</w:t>
      </w:r>
    </w:p>
    <w:p>
      <w:pPr>
        <w:pStyle w:val="Heading4"/>
      </w:pPr>
      <w:r>
        <w:t xml:space="preserve">Prevalence of Elevated Serum Creatinine Concentration in Dogs Presenting to a Veterinary Academic Medical Center (2010-2014).</w:t>
      </w:r>
    </w:p>
    <w:p/>
    <w:p>
      <w:pPr>
        <w:pStyle w:val="Normal"/>
      </w:pPr>
      <w:r>
        <w:rPr>
          <w:color w:val="323232"/>
        </w:rPr>
        <w:t xml:space="preserve">J M Babyak, D E Weiner, F Noubary, and C R Sharp.</w:t>
      </w:r>
    </w:p>
    <w:p/>
    <w:p>
      <w:pPr>
        <w:pStyle w:val="Normal"/>
      </w:pPr>
      <w:r>
        <w:rPr>
          <w:color w:val="323232"/>
        </w:rPr>
        <w:t xml:space="preserve">BACKGROUND:The epidemiology of kidney disease is not extensively described in dogs.</w:t>
      </w:r>
    </w:p>
    <w:p/>
    <w:p>
      <w:pPr>
        <w:pStyle w:val="Normal"/>
      </w:pPr>
      <w:r>
        <w:rPr>
          <w:color w:val="323232"/>
        </w:rPr>
        <w:t xml:space="preserve">HYPOTHESIS/OBJECTIVES:To better understand the prevalence of elevated serum creatinine concentration in dogs.</w:t>
      </w:r>
    </w:p>
    <w:p/>
    <w:p>
      <w:pPr>
        <w:pStyle w:val="Normal"/>
      </w:pPr>
      <w:r>
        <w:rPr>
          <w:color w:val="323232"/>
        </w:rPr>
        <w:t xml:space="preserve">ANIMALS:Client-owned dogs.</w:t>
      </w:r>
    </w:p>
    <w:p/>
    <w:p>
      <w:pPr>
        <w:pStyle w:val="Normal"/>
      </w:pPr>
      <w:r>
        <w:rPr>
          <w:color w:val="323232"/>
        </w:rPr>
        <w:t xml:space="preserve">METHODS:A retrospective, observational cross-sectional study design was used. We made a dataset of 115,631 hospital visits of all dogs presenting from October 2010 to October 2014. We estimated the prevalence and risk of elevated serum creatinine, defined as &gt;1.6</w:t>
      </w:r>
      <w:r>
        <w:rPr>
          <w:color w:val="323232"/>
        </w:rPr>
        <w:t xml:space="preserve"> </w:t>
      </w:r>
      <w:r>
        <w:rPr>
          <w:color w:val="323232"/>
        </w:rPr>
        <w:t xml:space="preserve">mg/dL, in evaluated dogs.</w:t>
      </w:r>
    </w:p>
    <w:p/>
    <w:p>
      <w:pPr>
        <w:pStyle w:val="Normal"/>
      </w:pPr>
      <w:r>
        <w:rPr>
          <w:color w:val="323232"/>
        </w:rPr>
        <w:t xml:space="preserve">RESULTS:Of 115,631 visits, 98,693 were outpatient visits and 16,938 were hospital admissions. Among outpatient visits, 9,983 (10.1%) had serum creatinine assessment (4,423 [44.3%] visits were first visits), whereas, among hospital admissions, 12,228 (60.0%) had at least 1 serum creatinine (7,731 [75.6%] admissions were first admissions). The prevalence of elevated serum creatinine concentration in all evaluated dogs was 11.5% (95% CI: 11.0%, 11.9%); 10.2% (95% CI: 9.6%, 10.8%) of inpatients and 12.9% (95% CI: 12.1%, 13.8%) of outpatients had elevated serum creatinine concentration. The relative risk (RR) of elevated serum creatinine concentration was significantly higher in geriatric dogs (outpatient RR 1.45 [95% CI: 1.23, 1.70], inpatient RR 1.43 [95% CI: 1.16, 1.76]) and lower in young dogs (outpatient RR 0.39 [95% CI: 0.26, 0.59], inpatient RR 0.44 [95% CI: 0.32, 0.62]) when compared to the measured population risk.</w:t>
      </w:r>
    </w:p>
    <w:p/>
    <w:p>
      <w:pPr>
        <w:pStyle w:val="Normal"/>
      </w:pPr>
      <w:r>
        <w:rPr>
          <w:color w:val="323232"/>
        </w:rPr>
        <w:t xml:space="preserve">CONCLUSIONS AND CLINICAL IMPORTANCE:When selected for laboratory evaluation, the proportion of dogs presenting to an academic medical center with evidence of kidney injury is high compared to previous reports and might reflect a population of sicker dogs.</w:t>
      </w:r>
    </w:p>
    <w:p/>
    <w:p>
      <w:pPr>
        <w:pStyle w:val="Normal"/>
      </w:pPr>
      <w:r>
        <w:rPr>
          <w:color w:val="323232"/>
        </w:rPr>
        <w:t xml:space="preserve">J Vet Intern Med, 2017 vol. 31 (6) pp. 1757-1764.</w:t>
      </w:r>
    </w:p>
    <w:p>
      <w:r>
        <w:rPr>
          <w:rStyle w:val="Hyperlink"/>
        </w:rPr>
        <w:fldChar w:fldCharType="begin"/>
      </w:r>
      <w:r>
        <w:rPr>
          <w:rStyle w:val="Hyperlink"/>
        </w:rPr>
        <w:instrText xml:space="preserve"> HYPERLINK "http://dx.doi.org/10.1111/jvim.14823" </w:instrText>
      </w:r>
      <w:r>
        <w:rPr>
          <w:rStyle w:val="Hyperlink"/>
        </w:rPr>
      </w:r>
      <w:r>
        <w:rPr>
          <w:rStyle w:val="Hyperlink"/>
        </w:rPr>
        <w:fldChar w:fldCharType="separate"/>
      </w:r>
      <w:pPr>
        <w:pStyle w:val="Normal"/>
      </w:pPr>
      <w:r>
        <w:rPr>
          <w:rStyle w:val="Hyperlink"/>
        </w:rPr>
        <w:t xml:space="preserve">http://dx.doi.org/10.1111/jvim.14823</w:t>
      </w:r>
      <w:r>
        <w:rPr>
          <w:rStyle w:val="Hyperlink"/>
        </w:rPr>
        <w:fldChar w:fldCharType="end"/>
      </w:r>
    </w:p>
    <w:p>
      <w:pPr>
        <w:pStyle w:val="Normal"/>
      </w:pPr>
      <w:r>
        <w:rPr>
          <w:color w:val="323232"/>
        </w:rPr>
        <w:t xml:space="preserve">————————</w:t>
      </w:r>
    </w:p>
    <w:p>
      <w:pPr>
        <w:pStyle w:val="Heading4"/>
      </w:pPr>
      <w:r>
        <w:t xml:space="preserve">Effects of Oral Prednisone Administration on Serum Cystatin C in Dogs.</w:t>
      </w:r>
    </w:p>
    <w:p/>
    <w:p>
      <w:pPr>
        <w:pStyle w:val="Normal"/>
      </w:pPr>
      <w:r>
        <w:rPr>
          <w:color w:val="323232"/>
        </w:rPr>
        <w:t xml:space="preserve">J Muñoz, P Soblechero, F J Duque, B Macías-García, P Ruiz, C Zaragoza, and R Barrera.</w:t>
      </w:r>
    </w:p>
    <w:p/>
    <w:p>
      <w:pPr>
        <w:pStyle w:val="Normal"/>
      </w:pPr>
      <w:r>
        <w:rPr>
          <w:color w:val="323232"/>
        </w:rPr>
        <w:t xml:space="preserve">BACKGROUND:Oral administration of glucocorticoid alters serum cystatin C (sCysC) concentration in humans.</w:t>
      </w:r>
    </w:p>
    <w:p/>
    <w:p>
      <w:pPr>
        <w:pStyle w:val="Normal"/>
      </w:pPr>
      <w:r>
        <w:rPr>
          <w:color w:val="323232"/>
        </w:rPr>
        <w:t xml:space="preserve">OBJECTIVE:To determine if oral administration of prednisone alters sCysC in dogs without pre-existing renal disease.</w:t>
      </w:r>
    </w:p>
    <w:p/>
    <w:p>
      <w:pPr>
        <w:pStyle w:val="Normal"/>
      </w:pPr>
      <w:r>
        <w:rPr>
          <w:color w:val="323232"/>
        </w:rPr>
        <w:t xml:space="preserve">ANIMALS:Forty six dogs were included: 10 dogs diagnosed with steroid responsive meningitis arteritis (SRMA; group A), 20 dogs diagnosed of pituitary-dependent hyperadrenocorticism (PDH; group B), and 16 healthy control dogs (group C).</w:t>
      </w:r>
    </w:p>
    <w:p/>
    <w:p>
      <w:pPr>
        <w:pStyle w:val="Normal"/>
      </w:pPr>
      <w:r>
        <w:rPr>
          <w:color w:val="323232"/>
        </w:rPr>
        <w:t xml:space="preserve">METHODS:Retrospective observational study. SRMA diagnosed dogs were administered prednisone 4 mg</w:t>
      </w:r>
      <w:r>
        <w:rPr>
          <w:i w:val="1"/>
          <w:color w:val="323232"/>
        </w:rPr>
        <w:t xml:space="preserve">kg/24 h PO 7 days, reducing the dose to 2 mg</w:t>
      </w:r>
      <w:r>
        <w:rPr>
          <w:color w:val="323232"/>
        </w:rPr>
        <w:t xml:space="preserve">kg/24 h 7 days before medication withdrawal. In group A, sampling was performed at days 0, 7, 14 and a final control at day 21. Blood and urine samples were collected in the 3 groups, and in group A, sampling was performed at all time points (days 1, 7, 14, and 21).</w:t>
      </w:r>
    </w:p>
    <w:p/>
    <w:p>
      <w:pPr>
        <w:pStyle w:val="Normal"/>
      </w:pPr>
      <w:r>
        <w:rPr>
          <w:color w:val="323232"/>
        </w:rPr>
        <w:t xml:space="preserve">RESULTS:In group A, sCysC was significantly higher at day 7 compared to the control group (0.4 ± 0.04 mg</w:t>
      </w:r>
      <w:r>
        <w:rPr>
          <w:i w:val="1"/>
          <w:color w:val="323232"/>
        </w:rPr>
        <w:t xml:space="preserve">L vs. 0.18 ± 0.03 mg</w:t>
      </w:r>
      <w:r>
        <w:rPr>
          <w:color w:val="323232"/>
        </w:rPr>
        <w:t xml:space="preserve">L mean ± SEM respectively P &lt; 0.01); sCysC values decreased to basal at day 14 when the dose was decreased and after 1 week of withdrawal of prednisone (0.27 ± 0.03 mg</w:t>
      </w:r>
      <w:r>
        <w:rPr>
          <w:i w:val="1"/>
          <w:color w:val="323232"/>
        </w:rPr>
        <w:t xml:space="preserve">L for group A at day 14 and 0.15 ± 0.02 mg</w:t>
      </w:r>
      <w:r>
        <w:rPr>
          <w:color w:val="323232"/>
        </w:rPr>
        <w:t xml:space="preserve">L at day 21; P &gt; 0.05). Dogs with PDH included in group B did not have significant differences in sCysC (0.22 ± 0.03 mg/L) compared to control (P &gt; 0.05).</w:t>
      </w:r>
    </w:p>
    <w:p/>
    <w:p>
      <w:pPr>
        <w:pStyle w:val="Normal"/>
      </w:pPr>
      <w:r>
        <w:rPr>
          <w:color w:val="323232"/>
        </w:rPr>
        <w:t xml:space="preserve">CONCLUSIONS AND CLINICAL IMPORTANCE:Oral administration of prednisone unlike altered endogenous glucocorticoid production, increases sCysC in dogs in a dose-dependent fashion.</w:t>
      </w:r>
    </w:p>
    <w:p/>
    <w:p>
      <w:pPr>
        <w:pStyle w:val="Normal"/>
      </w:pPr>
      <w:r>
        <w:rPr>
          <w:color w:val="323232"/>
        </w:rPr>
        <w:t xml:space="preserve">J Vet Intern Med, 2017 vol. 31 (6), 6 pp. 1765-1770.</w:t>
      </w:r>
    </w:p>
    <w:p>
      <w:r>
        <w:rPr>
          <w:rStyle w:val="Hyperlink"/>
        </w:rPr>
        <w:fldChar w:fldCharType="begin"/>
      </w:r>
      <w:r>
        <w:rPr>
          <w:rStyle w:val="Hyperlink"/>
        </w:rPr>
        <w:instrText xml:space="preserve"> HYPERLINK "http://dx.doi.org/10.1111/jvim.14820" </w:instrText>
      </w:r>
      <w:r>
        <w:rPr>
          <w:rStyle w:val="Hyperlink"/>
        </w:rPr>
      </w:r>
      <w:r>
        <w:rPr>
          <w:rStyle w:val="Hyperlink"/>
        </w:rPr>
        <w:fldChar w:fldCharType="separate"/>
      </w:r>
      <w:pPr>
        <w:pStyle w:val="Normal"/>
      </w:pPr>
      <w:r>
        <w:rPr>
          <w:rStyle w:val="Hyperlink"/>
        </w:rPr>
        <w:t xml:space="preserve">http://dx.doi.org/10.1111/jvim.14820</w:t>
      </w:r>
      <w:r>
        <w:rPr>
          <w:rStyle w:val="Hyperlink"/>
        </w:rPr>
        <w:fldChar w:fldCharType="end"/>
      </w:r>
    </w:p>
    <w:p>
      <w:pPr>
        <w:pStyle w:val="Normal"/>
      </w:pPr>
      <w:r>
        <w:rPr>
          <w:color w:val="323232"/>
        </w:rPr>
        <w:t xml:space="preserve">————————</w:t>
      </w:r>
    </w:p>
    <w:p>
      <w:pPr>
        <w:pStyle w:val="Heading4"/>
      </w:pPr>
      <w:r>
        <w:t xml:space="preserve">Syringomyelia and Craniocervical Junction Abnormalities in Chihuahuas.</w:t>
      </w:r>
    </w:p>
    <w:p/>
    <w:p>
      <w:pPr>
        <w:pStyle w:val="Normal"/>
      </w:pPr>
      <w:r>
        <w:rPr>
          <w:color w:val="323232"/>
        </w:rPr>
        <w:t xml:space="preserve">A-M Kiviranta, C Rusbridge, O Laitinen-Vapaavuori, A Hielm-Björkman, A K Lappalainen, S P Knowler, and T S Jokinen.</w:t>
      </w:r>
    </w:p>
    <w:p/>
    <w:p>
      <w:pPr>
        <w:pStyle w:val="Normal"/>
      </w:pPr>
      <w:r>
        <w:rPr>
          <w:color w:val="323232"/>
        </w:rPr>
        <w:t xml:space="preserve">BACKGROUND:Chiari-like malformation (CM) and syringomyelia (SM) are widely reported in Cavalier King Charles Spaniels and Griffon Bruxellois dogs. Increasing evidence indicates that CM and SM also occur in other small and toy breed dogs, such as Chihuahuas.</w:t>
      </w:r>
    </w:p>
    <w:p/>
    <w:p>
      <w:pPr>
        <w:pStyle w:val="Normal"/>
      </w:pPr>
      <w:r>
        <w:rPr>
          <w:color w:val="323232"/>
        </w:rPr>
        <w:t xml:space="preserve">OBJECTIVES:To describe the presence of SM and craniocervical junction (CCJ) abnormalities in Chihuahuas and to evaluate the possible association of CCJ abnormalities with SM. To describe CM</w:t>
      </w:r>
      <w:r>
        <w:rPr>
          <w:i w:val="1"/>
          <w:color w:val="323232"/>
        </w:rPr>
        <w:t xml:space="preserve">SM-related clinical signs and neurologic deficits and to investigate the association of CM</w:t>
      </w:r>
      <w:r>
        <w:rPr>
          <w:color w:val="323232"/>
        </w:rPr>
        <w:t xml:space="preserve">SM-related clinical signs with signalment, SM, or CCJ abnormalities.</w:t>
      </w:r>
    </w:p>
    <w:p/>
    <w:p>
      <w:pPr>
        <w:pStyle w:val="Normal"/>
      </w:pPr>
      <w:r>
        <w:rPr>
          <w:color w:val="323232"/>
        </w:rPr>
        <w:t xml:space="preserve">ANIMALS:Fifty-three client-owned Chihuahuas.</w:t>
      </w:r>
    </w:p>
    <w:p/>
    <w:p>
      <w:pPr>
        <w:pStyle w:val="Normal"/>
      </w:pPr>
      <w:r>
        <w:rPr>
          <w:color w:val="323232"/>
        </w:rPr>
        <w:t xml:space="preserve">METHODS:Prospective study. Questionnaire analyses and physical and neurologic examinations were obtained before magnetic resonance and computed tomography imaging. Images were evaluated for the presence of SM, CM, and atlantooccipital overlapping. Additionally, medullary kinking, dorsal spinal cord compression, and their sum indices were calculated.</w:t>
      </w:r>
    </w:p>
    <w:p/>
    <w:p>
      <w:pPr>
        <w:pStyle w:val="Normal"/>
      </w:pPr>
      <w:r>
        <w:rPr>
          <w:color w:val="323232"/>
        </w:rPr>
        <w:t xml:space="preserve">RESULTS:Scratching was the most common CM</w:t>
      </w:r>
      <w:r>
        <w:rPr>
          <w:i w:val="1"/>
          <w:color w:val="323232"/>
        </w:rPr>
        <w:t xml:space="preserve">SM-related clinical sign and decreased postural reaction the most common neurologic deficit in 73 and 87% of dogs, respectively. Chiari-like malformation and SM were present in 100 and 38% of dogs, respectively. Syringomyelia was associated with the presence of CM</w:t>
      </w:r>
      <w:r>
        <w:rPr>
          <w:color w:val="323232"/>
        </w:rPr>
        <w:t xml:space="preserve">SM-related clinical signs (P</w:t>
      </w:r>
      <w:r>
        <w:rPr>
          <w:color w:val="323232"/>
        </w:rPr>
        <w:t xml:space="preserve"> </w:t>
      </w:r>
      <w:r>
        <w:rPr>
          <w:color w:val="323232"/>
        </w:rPr>
        <w:t xml:space="preserve">=</w:t>
      </w:r>
      <w:r>
        <w:rPr>
          <w:color w:val="323232"/>
        </w:rPr>
        <w:t xml:space="preserve"> </w:t>
      </w:r>
      <w:r>
        <w:rPr>
          <w:color w:val="323232"/>
        </w:rPr>
        <w:t xml:space="preserve">0.034), and medullary kinking and sum indices were higher in dogs with clinical signs (P</w:t>
      </w:r>
      <w:r>
        <w:rPr>
          <w:color w:val="323232"/>
        </w:rPr>
        <w:t xml:space="preserve"> </w:t>
      </w:r>
      <w:r>
        <w:rPr>
          <w:color w:val="323232"/>
        </w:rPr>
        <w:t xml:space="preserve">=</w:t>
      </w:r>
      <w:r>
        <w:rPr>
          <w:color w:val="323232"/>
        </w:rPr>
        <w:t xml:space="preserve"> </w:t>
      </w:r>
      <w:r>
        <w:rPr>
          <w:color w:val="323232"/>
        </w:rPr>
        <w:t xml:space="preserve">0.016 and P</w:t>
      </w:r>
      <w:r>
        <w:rPr>
          <w:color w:val="323232"/>
        </w:rPr>
        <w:t xml:space="preserve"> </w:t>
      </w:r>
      <w:r>
        <w:rPr>
          <w:color w:val="323232"/>
        </w:rPr>
        <w:t xml:space="preserve">=</w:t>
      </w:r>
      <w:r>
        <w:rPr>
          <w:color w:val="323232"/>
        </w:rPr>
        <w:t xml:space="preserve"> </w:t>
      </w:r>
      <w:r>
        <w:rPr>
          <w:color w:val="323232"/>
        </w:rPr>
        <w:t xml:space="preserve">0.007, respectively).</w:t>
      </w:r>
    </w:p>
    <w:p/>
    <w:p>
      <w:pPr>
        <w:pStyle w:val="Normal"/>
      </w:pPr>
      <w:r>
        <w:rPr>
          <w:color w:val="323232"/>
        </w:rPr>
        <w:t xml:space="preserve">CONCLUSIONS AND CLINICAL IMPORTANCE:Syringomyelia and CCJ abnormalities are prevalent in Chihuahuas. Syringomyelia was an important factor for the presence of CM/SM-related clinical signs, but many dogs suffered from similar clinical signs without being affected by SM, highlighting the clinical importance of CCJ abnormalities in Chihuahuas.</w:t>
      </w:r>
    </w:p>
    <w:p/>
    <w:p>
      <w:pPr>
        <w:pStyle w:val="Normal"/>
      </w:pPr>
      <w:r>
        <w:rPr>
          <w:color w:val="323232"/>
        </w:rPr>
        <w:t xml:space="preserve">J Vet Intern Med, 2017 vol. 31 (6), 1 pp. 1771-1781.</w:t>
      </w:r>
    </w:p>
    <w:p>
      <w:r>
        <w:rPr>
          <w:rStyle w:val="Hyperlink"/>
        </w:rPr>
        <w:fldChar w:fldCharType="begin"/>
      </w:r>
      <w:r>
        <w:rPr>
          <w:rStyle w:val="Hyperlink"/>
        </w:rPr>
        <w:instrText xml:space="preserve"> HYPERLINK "http://dx.doi.org/10.1111/jvim.14826" </w:instrText>
      </w:r>
      <w:r>
        <w:rPr>
          <w:rStyle w:val="Hyperlink"/>
        </w:rPr>
      </w:r>
      <w:r>
        <w:rPr>
          <w:rStyle w:val="Hyperlink"/>
        </w:rPr>
        <w:fldChar w:fldCharType="separate"/>
      </w:r>
      <w:pPr>
        <w:pStyle w:val="Normal"/>
      </w:pPr>
      <w:r>
        <w:rPr>
          <w:rStyle w:val="Hyperlink"/>
        </w:rPr>
        <w:t xml:space="preserve">http://dx.doi.org/10.1111/jvim.14826</w:t>
      </w:r>
      <w:r>
        <w:rPr>
          <w:rStyle w:val="Hyperlink"/>
        </w:rPr>
        <w:fldChar w:fldCharType="end"/>
      </w:r>
    </w:p>
    <w:p>
      <w:pPr>
        <w:pStyle w:val="Normal"/>
      </w:pPr>
      <w:r>
        <w:rPr>
          <w:color w:val="323232"/>
        </w:rPr>
        <w:t xml:space="preserve">————————</w:t>
      </w:r>
    </w:p>
    <w:p>
      <w:pPr>
        <w:pStyle w:val="Heading4"/>
      </w:pPr>
      <w:r>
        <w:t xml:space="preserve">Clinical Characteristics of Dogs with Progressive Myelomalacia Following Acute Intervertebral Disc Extrusion.</w:t>
      </w:r>
    </w:p>
    <w:p/>
    <w:p>
      <w:pPr>
        <w:pStyle w:val="Normal"/>
      </w:pPr>
      <w:r>
        <w:rPr>
          <w:color w:val="323232"/>
        </w:rPr>
        <w:t xml:space="preserve">A Castel, N J Olby, C L Mariani, K R Muñana, and P J Early.</w:t>
      </w:r>
    </w:p>
    <w:p/>
    <w:p>
      <w:pPr>
        <w:pStyle w:val="Normal"/>
      </w:pPr>
      <w:r>
        <w:rPr>
          <w:color w:val="323232"/>
        </w:rPr>
        <w:t xml:space="preserve">BACKGROUND:Progressive myelomalacia (PMM) is a catastrophic disease associated with acute intervertebral disc extrusion (IVDE). Published data on the clinical characteristics of this disease are limited.</w:t>
      </w:r>
    </w:p>
    <w:p/>
    <w:p>
      <w:pPr>
        <w:pStyle w:val="Normal"/>
      </w:pPr>
      <w:r>
        <w:rPr>
          <w:color w:val="323232"/>
        </w:rPr>
        <w:t xml:space="preserve">OBJECTIVE:To describe the onset and progression of clinical signs of PMM in a large case cohort.</w:t>
      </w:r>
    </w:p>
    <w:p/>
    <w:p>
      <w:pPr>
        <w:pStyle w:val="Normal"/>
      </w:pPr>
      <w:r>
        <w:rPr>
          <w:color w:val="323232"/>
        </w:rPr>
        <w:t xml:space="preserve">ANIMALS:Fifty-one dogs, 18 with histopathologically confirmed PMM, 33 presumptively diagnosed based on clinical signs and diagnostic imaging.</w:t>
      </w:r>
    </w:p>
    <w:p/>
    <w:p>
      <w:pPr>
        <w:pStyle w:val="Normal"/>
      </w:pPr>
      <w:r>
        <w:rPr>
          <w:color w:val="323232"/>
        </w:rPr>
        <w:t xml:space="preserve">METHODS:Retrospective study. Dogs with confirmed IVDE and either a histopathologic diagnosis of PMM or a high clinical suspicion were identified by medical record search. Data on nature and progression of signs were extracted.</w:t>
      </w:r>
    </w:p>
    <w:p/>
    <w:p>
      <w:pPr>
        <w:pStyle w:val="Normal"/>
      </w:pPr>
      <w:r>
        <w:rPr>
          <w:color w:val="323232"/>
        </w:rPr>
        <w:t xml:space="preserve">RESULTS:Twenty-four of 51 dogs were Dachshunds. T12-T13 was the most common site of disc extrusion (12 of 56), and 18 of 55 of mid-to-caudal lumbar discs (between L3 and L6) were affected. Onset of PMM signs ranged from present at first evaluation (17/51) to 5 days after presentation, with 25 of 51 cases developing signs within 48 hours. Progression of signs from onset of PMM to euthanasia or death, excluding 7 cases euthanized at presentation, ranged from 1 to 13 days with 23 being euthanized within 3 days. Nonspecific systemic signs were documented in 30 of 51 dogs.</w:t>
      </w:r>
    </w:p>
    <w:p/>
    <w:p>
      <w:pPr>
        <w:pStyle w:val="Normal"/>
      </w:pPr>
      <w:r>
        <w:rPr>
          <w:color w:val="323232"/>
        </w:rPr>
        <w:t xml:space="preserve">CONCLUSION AND CLINICAL IMPORTANCE:The majority of dogs developed PMM within 2 days of presentation and was euthanized within another 3 days. However, onset can be delayed up to 5 days after presentation with progression to euthanasia taking as long as 2 weeks. Mid-to-caudal lumbar discs might be associated with an increased risk of PMM.</w:t>
      </w:r>
    </w:p>
    <w:p/>
    <w:p>
      <w:pPr>
        <w:pStyle w:val="Normal"/>
      </w:pPr>
      <w:r>
        <w:rPr>
          <w:color w:val="323232"/>
        </w:rPr>
        <w:t xml:space="preserve">J Vet Intern Med, 2017 vol. 31 (6) pp. 1782-1789.</w:t>
      </w:r>
    </w:p>
    <w:p>
      <w:r>
        <w:rPr>
          <w:rStyle w:val="Hyperlink"/>
        </w:rPr>
        <w:fldChar w:fldCharType="begin"/>
      </w:r>
      <w:r>
        <w:rPr>
          <w:rStyle w:val="Hyperlink"/>
        </w:rPr>
        <w:instrText xml:space="preserve"> HYPERLINK "http://dx.doi.org/10.1111/jvim.14829" </w:instrText>
      </w:r>
      <w:r>
        <w:rPr>
          <w:rStyle w:val="Hyperlink"/>
        </w:rPr>
      </w:r>
      <w:r>
        <w:rPr>
          <w:rStyle w:val="Hyperlink"/>
        </w:rPr>
        <w:fldChar w:fldCharType="separate"/>
      </w:r>
      <w:pPr>
        <w:pStyle w:val="Normal"/>
      </w:pPr>
      <w:r>
        <w:rPr>
          <w:rStyle w:val="Hyperlink"/>
        </w:rPr>
        <w:t xml:space="preserve">http://dx.doi.org/10.1111/jvim.14829</w:t>
      </w:r>
      <w:r>
        <w:rPr>
          <w:rStyle w:val="Hyperlink"/>
        </w:rPr>
        <w:fldChar w:fldCharType="end"/>
      </w:r>
    </w:p>
    <w:p>
      <w:pPr>
        <w:pStyle w:val="Normal"/>
      </w:pPr>
      <w:r>
        <w:rPr>
          <w:color w:val="323232"/>
        </w:rPr>
        <w:t xml:space="preserve">————————</w:t>
      </w:r>
    </w:p>
    <w:p>
      <w:pPr>
        <w:pStyle w:val="Heading4"/>
      </w:pPr>
      <w:r>
        <w:t xml:space="preserve">The Frequency and Clinical Implications of Bacteriuria in Chronically Paralyzed Dogs.</w:t>
      </w:r>
    </w:p>
    <w:p/>
    <w:p>
      <w:pPr>
        <w:pStyle w:val="Normal"/>
      </w:pPr>
      <w:r>
        <w:rPr>
          <w:color w:val="323232"/>
        </w:rPr>
        <w:t xml:space="preserve">S Rafatpanah Baigi, S Vaden, and N J Olby.</w:t>
      </w:r>
    </w:p>
    <w:p/>
    <w:p>
      <w:pPr>
        <w:pStyle w:val="Normal"/>
      </w:pPr>
      <w:r>
        <w:rPr>
          <w:color w:val="323232"/>
        </w:rPr>
        <w:t xml:space="preserve">BACKGROUND:Paralysis is a known risk factor for urinary tract infections (UTI), sepsis, and death in paralyzed people, but there are no data available on diagnostic criteria for UTI versus bacteriuria, their frequency, or clinical implications in chronically paralyzed dogs.</w:t>
      </w:r>
    </w:p>
    <w:p/>
    <w:p>
      <w:pPr>
        <w:pStyle w:val="Normal"/>
      </w:pPr>
      <w:r>
        <w:rPr>
          <w:color w:val="323232"/>
        </w:rPr>
        <w:t xml:space="preserve">HYPOTHESIS/OBJECTIVES:That chronically paralyzed dogs suffer frequent bacteriuria causing reduced duration of survival. We documented the frequency of bacteriuria, associated clinical signs, and survival rate in chronically paralyzed dogs.</w:t>
      </w:r>
    </w:p>
    <w:p/>
    <w:p>
      <w:pPr>
        <w:pStyle w:val="Normal"/>
      </w:pPr>
      <w:r>
        <w:rPr>
          <w:color w:val="323232"/>
        </w:rPr>
        <w:t xml:space="preserve">ANIMALS:Forty-seven client-owned dogs paralyzed with no pelvic limb pain perception for &gt;3</w:t>
      </w:r>
      <w:r>
        <w:rPr>
          <w:color w:val="323232"/>
        </w:rPr>
        <w:t xml:space="preserve"> </w:t>
      </w:r>
      <w:r>
        <w:rPr>
          <w:color w:val="323232"/>
        </w:rPr>
        <w:t xml:space="preserve">months and at least one urine culture (UC) performed.</w:t>
      </w:r>
    </w:p>
    <w:p/>
    <w:p>
      <w:pPr>
        <w:pStyle w:val="Normal"/>
      </w:pPr>
      <w:r>
        <w:rPr>
          <w:color w:val="323232"/>
        </w:rPr>
        <w:t xml:space="preserve">METHODS:Retrospective, observational study. Medical records of dogs meeting inclusion criteria were reviewed for results of UC, urinalysis, and clinical signs. Outcome was compared between dogs with and without bacteriuria.</w:t>
      </w:r>
    </w:p>
    <w:p/>
    <w:p>
      <w:pPr>
        <w:pStyle w:val="Normal"/>
      </w:pPr>
      <w:r>
        <w:rPr>
          <w:color w:val="323232"/>
        </w:rPr>
        <w:t xml:space="preserve">RESULTS:Thirty-five of 47 dogs had at least 1 positive UC, and 13 had recurrent bacteriuria. Rectal temperature and urinalysis results were extracted from records. Fever was present at time of UC in 5 of 68 observations, 2 with and 3 without bacteriuria. Pyuria was significantly associated with positive cultures (P</w:t>
      </w:r>
      <w:r>
        <w:rPr>
          <w:color w:val="323232"/>
        </w:rPr>
        <w:t xml:space="preserve"> </w:t>
      </w:r>
      <w:r>
        <w:rPr>
          <w:color w:val="323232"/>
        </w:rPr>
        <w:t xml:space="preserve">&lt;</w:t>
      </w:r>
      <w:r>
        <w:rPr>
          <w:color w:val="323232"/>
        </w:rPr>
        <w:t xml:space="preserve"> </w:t>
      </w:r>
      <w:r>
        <w:rPr>
          <w:color w:val="323232"/>
        </w:rPr>
        <w:t xml:space="preserve">0.001), cloudiness was not (P</w:t>
      </w:r>
      <w:r>
        <w:rPr>
          <w:color w:val="323232"/>
        </w:rPr>
        <w:t xml:space="preserve"> </w:t>
      </w:r>
      <w:r>
        <w:rPr>
          <w:color w:val="323232"/>
        </w:rPr>
        <w:t xml:space="preserve">=</w:t>
      </w:r>
      <w:r>
        <w:rPr>
          <w:color w:val="323232"/>
        </w:rPr>
        <w:t xml:space="preserve"> </w:t>
      </w:r>
      <w:r>
        <w:rPr>
          <w:color w:val="323232"/>
        </w:rPr>
        <w:t xml:space="preserve">0.076). Survival data in 35 dogs (8 dead) showed no association between bacteriuria and survival (P</w:t>
      </w:r>
      <w:r>
        <w:rPr>
          <w:color w:val="323232"/>
        </w:rPr>
        <w:t xml:space="preserve"> </w:t>
      </w:r>
      <w:r>
        <w:rPr>
          <w:color w:val="323232"/>
        </w:rPr>
        <w:t xml:space="preserve">=</w:t>
      </w:r>
      <w:r>
        <w:rPr>
          <w:color w:val="323232"/>
        </w:rPr>
        <w:t xml:space="preserve"> </w:t>
      </w:r>
      <w:r>
        <w:rPr>
          <w:color w:val="323232"/>
        </w:rPr>
        <w:t xml:space="preserve">0.69).</w:t>
      </w:r>
    </w:p>
    <w:p/>
    <w:p>
      <w:pPr>
        <w:pStyle w:val="Normal"/>
      </w:pPr>
      <w:r>
        <w:rPr>
          <w:color w:val="323232"/>
        </w:rPr>
        <w:t xml:space="preserve">CONCLUSIONS AND CLINICAL IMPORTANCE:Bacteriuria is common in paralyzed dogs but does not cause fever; diagnostic criteria of UTI are unclear. We did not detect an association of bacteriuria with survival, but this needs further confirmation.</w:t>
      </w:r>
    </w:p>
    <w:p/>
    <w:p>
      <w:pPr>
        <w:pStyle w:val="Normal"/>
      </w:pPr>
      <w:r>
        <w:rPr>
          <w:color w:val="323232"/>
        </w:rPr>
        <w:t xml:space="preserve">J Vet Intern Med, 2017 vol. 31 (6) pp. 1790-1795.</w:t>
      </w:r>
    </w:p>
    <w:p>
      <w:r>
        <w:rPr>
          <w:rStyle w:val="Hyperlink"/>
        </w:rPr>
        <w:fldChar w:fldCharType="begin"/>
      </w:r>
      <w:r>
        <w:rPr>
          <w:rStyle w:val="Hyperlink"/>
        </w:rPr>
        <w:instrText xml:space="preserve"> HYPERLINK "http://dx.doi.org/10.1111/jvim.14854" </w:instrText>
      </w:r>
      <w:r>
        <w:rPr>
          <w:rStyle w:val="Hyperlink"/>
        </w:rPr>
      </w:r>
      <w:r>
        <w:rPr>
          <w:rStyle w:val="Hyperlink"/>
        </w:rPr>
        <w:fldChar w:fldCharType="separate"/>
      </w:r>
      <w:pPr>
        <w:pStyle w:val="Normal"/>
      </w:pPr>
      <w:r>
        <w:rPr>
          <w:rStyle w:val="Hyperlink"/>
        </w:rPr>
        <w:t xml:space="preserve">http://dx.doi.org/10.1111/jvim.14854</w:t>
      </w:r>
      <w:r>
        <w:rPr>
          <w:rStyle w:val="Hyperlink"/>
        </w:rPr>
        <w:fldChar w:fldCharType="end"/>
      </w:r>
    </w:p>
    <w:p>
      <w:pPr>
        <w:pStyle w:val="Normal"/>
      </w:pPr>
      <w:r>
        <w:rPr>
          <w:color w:val="323232"/>
        </w:rPr>
        <w:t xml:space="preserve">————————</w:t>
      </w:r>
    </w:p>
    <w:p>
      <w:pPr>
        <w:pStyle w:val="Heading4"/>
      </w:pPr>
      <w:r>
        <w:t xml:space="preserve">Influence of Various Factors on Circulating 25(OH) Vitamin D Concentrations in Dogs with Cancer and Healthy Dogs.</w:t>
      </w:r>
    </w:p>
    <w:p/>
    <w:p>
      <w:pPr>
        <w:pStyle w:val="Normal"/>
      </w:pPr>
      <w:r>
        <w:rPr>
          <w:color w:val="323232"/>
        </w:rPr>
        <w:t xml:space="preserve">N Weidner, J P Woods, P Conlon, K A Meckling, J L Atkinson, J Bayle, A J Makowski, R L Horst, and A Verbrugghe.</w:t>
      </w:r>
    </w:p>
    <w:p/>
    <w:p>
      <w:pPr>
        <w:pStyle w:val="Normal"/>
      </w:pPr>
      <w:r>
        <w:rPr>
          <w:color w:val="323232"/>
        </w:rPr>
        <w:t xml:space="preserve">BACKGROUND:Low blood 25-hydroxyvitamin D (25(OH)D) concentrations have been associated with cancer in dogs. Little research has examined what other factors may affect 25(OH)D concentrations.</w:t>
      </w:r>
    </w:p>
    <w:p/>
    <w:p>
      <w:pPr>
        <w:pStyle w:val="Normal"/>
      </w:pPr>
      <w:r>
        <w:rPr>
          <w:color w:val="323232"/>
        </w:rPr>
        <w:t xml:space="preserve">OBJECTIVES:(1) To determine whether the presence of cancer (lymphoma, osteosarcoma, or mast cell tumor [MCT]) in dogs is associated with plasma 25(OH)D concentrations and (2) identify other factors related to plasma 25(OH)D concentrations in dogs.</w:t>
      </w:r>
    </w:p>
    <w:p/>
    <w:p>
      <w:pPr>
        <w:pStyle w:val="Normal"/>
      </w:pPr>
      <w:r>
        <w:rPr>
          <w:color w:val="323232"/>
        </w:rPr>
        <w:t xml:space="preserve">ANIMALS:Dogs newly diagnosed with osteosarcoma (n = 21), lymphoma (n = 27), and MCT (n = 21) presented to a tertiary referral oncology center, and healthy, client-owned dogs (n = 23).</w:t>
      </w:r>
    </w:p>
    <w:p/>
    <w:p>
      <w:pPr>
        <w:pStyle w:val="Normal"/>
      </w:pPr>
      <w:r>
        <w:rPr>
          <w:color w:val="323232"/>
        </w:rPr>
        <w:t xml:space="preserve">METHODS:An observational study design was used. Dietary vitamin D intake, sex, age, body condition score (BCS), muscle condition score (MCS), and plasma concentrations of 25(OH)D, 24,25-dihydroxyvitamin D (24,25(OH)2 D) (a marker of CYP24A1 activity), as well as ionized calcium (ICa), parathyroid hormone, and parathyroid hormone-related protein concentrations were measured. An analysis of covariance was used to model plasma 25(OH)D concentrations.</w:t>
      </w:r>
    </w:p>
    <w:p/>
    <w:p>
      <w:pPr>
        <w:pStyle w:val="Normal"/>
      </w:pPr>
      <w:r>
        <w:rPr>
          <w:color w:val="323232"/>
        </w:rPr>
        <w:t xml:space="preserve">RESULTS:Cancer type (P = 0.004), plasma 24,25(OH)2 D concentrations (P &lt; 0.001), and plasma ICa concentrations (P = 0.047) had significant effects on plasma 25(OH)D concentrations. Effects of age, sex, body weight, BCS, MCS, and plasma PTH concentrations were not identified. A significant interaction between ICa and cancer was found (P = 0.005). Plasma 25(OH)D concentrations increased as ICa concentrations increased in dogs with cancer, whereas plasma 25(OH)D concentrations decreased as ICa concentrations increased in healthy dogs.</w:t>
      </w:r>
    </w:p>
    <w:p/>
    <w:p>
      <w:pPr>
        <w:pStyle w:val="Normal"/>
      </w:pPr>
      <w:r>
        <w:rPr>
          <w:color w:val="323232"/>
        </w:rPr>
        <w:t xml:space="preserve">CONCLUSIONS AND CLINICAL IMPORTANCE:Results support a relationship between cancer and altered vitamin D metabolism in dogs, mediated by plasma ICa concentrations. The CYP24A1 activity and plasma ICa should be measured in studies examining plasma 25(OH)D concentrations in dogs.</w:t>
      </w:r>
    </w:p>
    <w:p/>
    <w:p>
      <w:pPr>
        <w:pStyle w:val="Normal"/>
      </w:pPr>
      <w:r>
        <w:rPr>
          <w:color w:val="323232"/>
        </w:rPr>
        <w:t xml:space="preserve">J Vet Intern Med, 2017 vol. 31 (6), 3 pp. 1796-1803.</w:t>
      </w:r>
    </w:p>
    <w:p>
      <w:r>
        <w:rPr>
          <w:rStyle w:val="Hyperlink"/>
        </w:rPr>
        <w:fldChar w:fldCharType="begin"/>
      </w:r>
      <w:r>
        <w:rPr>
          <w:rStyle w:val="Hyperlink"/>
        </w:rPr>
        <w:instrText xml:space="preserve"> HYPERLINK "http://dx.doi.org/10.1111/jvim.14834" </w:instrText>
      </w:r>
      <w:r>
        <w:rPr>
          <w:rStyle w:val="Hyperlink"/>
        </w:rPr>
      </w:r>
      <w:r>
        <w:rPr>
          <w:rStyle w:val="Hyperlink"/>
        </w:rPr>
        <w:fldChar w:fldCharType="separate"/>
      </w:r>
      <w:pPr>
        <w:pStyle w:val="Normal"/>
      </w:pPr>
      <w:r>
        <w:rPr>
          <w:rStyle w:val="Hyperlink"/>
        </w:rPr>
        <w:t xml:space="preserve">http://dx.doi.org/10.1111/jvim.14834</w:t>
      </w:r>
      <w:r>
        <w:rPr>
          <w:rStyle w:val="Hyperlink"/>
        </w:rPr>
        <w:fldChar w:fldCharType="end"/>
      </w:r>
    </w:p>
    <w:p>
      <w:pPr>
        <w:pStyle w:val="Normal"/>
      </w:pPr>
      <w:r>
        <w:rPr>
          <w:color w:val="323232"/>
        </w:rPr>
        <w:t xml:space="preserve">————————</w:t>
      </w:r>
    </w:p>
    <w:p>
      <w:pPr>
        <w:pStyle w:val="Heading4"/>
      </w:pPr>
      <w:r>
        <w:t xml:space="preserve">Fluoroscopic Estimation of Thoracic Dimensional Changes in Healthy Dogs.</w:t>
      </w:r>
    </w:p>
    <w:p/>
    <w:p>
      <w:pPr>
        <w:pStyle w:val="Normal"/>
      </w:pPr>
      <w:r>
        <w:rPr>
          <w:color w:val="323232"/>
        </w:rPr>
        <w:t xml:space="preserve">J C Chan, L R Johnson, C S Brown, and R E Pollard.</w:t>
      </w:r>
    </w:p>
    <w:p/>
    <w:p>
      <w:pPr>
        <w:pStyle w:val="Normal"/>
      </w:pPr>
      <w:r>
        <w:rPr>
          <w:color w:val="323232"/>
        </w:rPr>
        <w:t xml:space="preserve">BACKGROUND:Current methods available for assessing alterations in lung mechanics require sophisticated equipment and are of limited availability. A method that could assess lung area change with respiration might be a clinically useful surrogate for assessing lung compliance.</w:t>
      </w:r>
    </w:p>
    <w:p/>
    <w:p>
      <w:pPr>
        <w:pStyle w:val="Normal"/>
      </w:pPr>
      <w:r>
        <w:rPr>
          <w:color w:val="323232"/>
        </w:rPr>
        <w:t xml:space="preserve">OBJECTIVE:To use fluoroscopy to determine percent change in thoracic and lung areas in healthy dogs.</w:t>
      </w:r>
    </w:p>
    <w:p/>
    <w:p>
      <w:pPr>
        <w:pStyle w:val="Normal"/>
      </w:pPr>
      <w:r>
        <w:rPr>
          <w:color w:val="323232"/>
        </w:rPr>
        <w:t xml:space="preserve">ANIMALS:Forty-four client-owned dogs with no evidence of respiratory disease.</w:t>
      </w:r>
    </w:p>
    <w:p/>
    <w:p>
      <w:pPr>
        <w:pStyle w:val="Normal"/>
      </w:pPr>
      <w:r>
        <w:rPr>
          <w:color w:val="323232"/>
        </w:rPr>
        <w:t xml:space="preserve">METHODS:Prospective study. Resting respiration was recorded fluoroscopically, and peak inspiratory and expiratory frames were captured for 3 typical respiratory cycles. The number of intrathoracic pixels in the entire thoracic cavity was measured for both inspiration and expiration, and the average percent change in intrathoracic area was determined for each dog. This process was repeated by a hemithorax measurement of lung area that excluded the mediastinum and cardiac silhouette. Proposed reference ranges (and 95% confidence intervals [CI]) were computed by a nonparametric percentile distribution.</w:t>
      </w:r>
    </w:p>
    <w:p/>
    <w:p>
      <w:pPr>
        <w:pStyle w:val="Normal"/>
      </w:pPr>
      <w:r>
        <w:rPr>
          <w:color w:val="323232"/>
        </w:rPr>
        <w:t xml:space="preserve">RESULTS:Median percent change in thoracic dimension for the total thorax measurement was 12.5% (CI, 8.9-24.0%). Median percent change for the hemithorax measurement was significantly (P &lt; 0.001) larger (20.8%, CI, 14.3-37.6%). Both measurement techniques were correlated with body weight but not with age, sex, thoracic conformation, body condition score (BCS), or breed.</w:t>
      </w:r>
    </w:p>
    <w:p/>
    <w:p>
      <w:pPr>
        <w:pStyle w:val="Normal"/>
      </w:pPr>
      <w:r>
        <w:rPr>
          <w:color w:val="323232"/>
        </w:rPr>
        <w:t xml:space="preserve">CONCLUSIONS AND CLINICAL IMPORTANCE:Fluoroscopy allows a noninvasive and repeatable measure of lung area changes during respiration that must be corrected for body weight. Additional studies in dogs with respiratory diseases are needed to determine its utility in detecting clinically useful alterations in lung area changes.</w:t>
      </w:r>
    </w:p>
    <w:p/>
    <w:p>
      <w:pPr>
        <w:pStyle w:val="Normal"/>
      </w:pPr>
      <w:r>
        <w:rPr>
          <w:color w:val="323232"/>
        </w:rPr>
        <w:t xml:space="preserve">J Vet Intern Med, 2017 vol. 31 (6) pp. 1841-1848.</w:t>
      </w:r>
    </w:p>
    <w:p>
      <w:r>
        <w:rPr>
          <w:rStyle w:val="Hyperlink"/>
        </w:rPr>
        <w:fldChar w:fldCharType="begin"/>
      </w:r>
      <w:r>
        <w:rPr>
          <w:rStyle w:val="Hyperlink"/>
        </w:rPr>
        <w:instrText xml:space="preserve"> HYPERLINK "http://dx.doi.org/10.1111/jvim.14825" </w:instrText>
      </w:r>
      <w:r>
        <w:rPr>
          <w:rStyle w:val="Hyperlink"/>
        </w:rPr>
      </w:r>
      <w:r>
        <w:rPr>
          <w:rStyle w:val="Hyperlink"/>
        </w:rPr>
        <w:fldChar w:fldCharType="separate"/>
      </w:r>
      <w:pPr>
        <w:pStyle w:val="Normal"/>
      </w:pPr>
      <w:r>
        <w:rPr>
          <w:rStyle w:val="Hyperlink"/>
        </w:rPr>
        <w:t xml:space="preserve">http://dx.doi.org/10.1111/jvim.14825</w:t>
      </w:r>
      <w:r>
        <w:rPr>
          <w:rStyle w:val="Hyperlink"/>
        </w:rPr>
        <w:fldChar w:fldCharType="end"/>
      </w:r>
    </w:p>
    <w:p>
      <w:pPr>
        <w:pStyle w:val="Normal"/>
      </w:pPr>
      <w:r>
        <w:rPr>
          <w:color w:val="323232"/>
        </w:rPr>
        <w:t xml:space="preserve">————————</w:t>
      </w:r>
    </w:p>
    <w:p>
      <w:pPr>
        <w:pStyle w:val="Heading4"/>
      </w:pPr>
      <w:r>
        <w:t xml:space="preserve">Scintigraphic Assessment of Deposition of Radiolabeled Fluticasone Delivered from a Nebulizer and Metered Dose Inhaler in 10 Healthy Dogs.</w:t>
      </w:r>
    </w:p>
    <w:p/>
    <w:p>
      <w:pPr>
        <w:pStyle w:val="Normal"/>
      </w:pPr>
      <w:r>
        <w:rPr>
          <w:color w:val="323232"/>
        </w:rPr>
        <w:t xml:space="preserve">K E Chow, D Tyrrell, M Yang, L A Abraham, G A Anderson, and C S Mansfield.</w:t>
      </w:r>
    </w:p>
    <w:p/>
    <w:p>
      <w:pPr>
        <w:pStyle w:val="Normal"/>
      </w:pPr>
      <w:r>
        <w:rPr>
          <w:color w:val="323232"/>
        </w:rPr>
        <w:t xml:space="preserve">BACKGROUND:Aerosolized medications are increasingly being used to treat respiratory diseases in dogs. No previous studies assessing respiratory tract deposition of radiolabeled aerosols have been performed in conscious dogs.</w:t>
      </w:r>
    </w:p>
    <w:p/>
    <w:p>
      <w:pPr>
        <w:pStyle w:val="Normal"/>
      </w:pPr>
      <w:r>
        <w:rPr>
          <w:color w:val="323232"/>
        </w:rPr>
        <w:t xml:space="preserve">HYPOTHESIS/OBJECTIVES:Assess respiratory tract deposition of radiolabeled, inhalant corticosteroid (fluticasone propionate labeled with 99m Tc) delivered from a nebulizer and metered dose inhaler (MDI) to healthy dogs.</w:t>
      </w:r>
    </w:p>
    <w:p/>
    <w:p>
      <w:pPr>
        <w:pStyle w:val="Normal"/>
      </w:pPr>
      <w:r>
        <w:rPr>
          <w:color w:val="323232"/>
        </w:rPr>
        <w:t xml:space="preserve">ANIMALS:Ten healthy Foxhounds.</w:t>
      </w:r>
    </w:p>
    <w:p/>
    <w:p>
      <w:pPr>
        <w:pStyle w:val="Normal"/>
      </w:pPr>
      <w:r>
        <w:rPr>
          <w:color w:val="323232"/>
        </w:rPr>
        <w:t xml:space="preserve">METHODS:Prospective, randomized, cross-over pilot study. Initial inhalation method (nebulizer or MDI) was randomly assigned. Treatments were crossed over after a 7-day washout period. Treatments initially were performed using sedation. Dogs were imaged using 2-dimensional planar scintigraphy, with respiratory tract deposition quantified by manual region-of-interest analysis. Deposition calculated as percentage of delivered dose. Six of 10 dogs were randomly selected and reassessed without sedation.</w:t>
      </w:r>
    </w:p>
    <w:p/>
    <w:p>
      <w:pPr>
        <w:pStyle w:val="Normal"/>
      </w:pPr>
      <w:r>
        <w:rPr>
          <w:color w:val="323232"/>
        </w:rPr>
        <w:t xml:space="preserve">RESULTS:Inhalation method had significant effect on respiratory tract deposition (P = 0.027). Higher deposition was achieved by nebulization with mean deposition of 4.2% (standard deviation [SD], 1.4%; range, 1.9-6.1%); whereas MDI treatment achieved a mean of 2.3% (SD, 1.4%; range, 0.2-4.2%). Nebulization achieved higher respiratory tract deposition than MDI in 7 of 10 dogs. No statistical difference (P = 0.68) was found between mean respiratory tract deposition achieved in dogs when unsedated (3.8%; SD, 1.5%) or sedated (3.6%; SD, 1.7%).</w:t>
      </w:r>
    </w:p>
    <w:p/>
    <w:p>
      <w:pPr>
        <w:pStyle w:val="Normal"/>
      </w:pPr>
      <w:r>
        <w:rPr>
          <w:color w:val="323232"/>
        </w:rPr>
        <w:t xml:space="preserve">CONCLUSIONS AND CLINICAL IMPORTANCE:Study confirms respiratory tract deposition of inhalant medications delivered from a nebulizer and MDI in healthy dogs, breathing tidally with and without sedation. Respiratory tract deposition in these dogs was low compared to reported deposition in adult humans, but similar to reported deposition in children.</w:t>
      </w:r>
    </w:p>
    <w:p/>
    <w:p>
      <w:pPr>
        <w:pStyle w:val="Normal"/>
      </w:pPr>
      <w:r>
        <w:rPr>
          <w:color w:val="323232"/>
        </w:rPr>
        <w:t xml:space="preserve">J Vet Intern Med, 2017 vol. 31 (6) pp. 1849-1857.</w:t>
      </w:r>
    </w:p>
    <w:p>
      <w:r>
        <w:rPr>
          <w:rStyle w:val="Hyperlink"/>
        </w:rPr>
        <w:fldChar w:fldCharType="begin"/>
      </w:r>
      <w:r>
        <w:rPr>
          <w:rStyle w:val="Hyperlink"/>
        </w:rPr>
        <w:instrText xml:space="preserve"> HYPERLINK "http://dx.doi.org/10.1111/jvim.14832" </w:instrText>
      </w:r>
      <w:r>
        <w:rPr>
          <w:rStyle w:val="Hyperlink"/>
        </w:rPr>
      </w:r>
      <w:r>
        <w:rPr>
          <w:rStyle w:val="Hyperlink"/>
        </w:rPr>
        <w:fldChar w:fldCharType="separate"/>
      </w:r>
      <w:pPr>
        <w:pStyle w:val="Normal"/>
      </w:pPr>
      <w:r>
        <w:rPr>
          <w:rStyle w:val="Hyperlink"/>
        </w:rPr>
        <w:t xml:space="preserve">http://dx.doi.org/10.1111/jvim.14832</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