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Journal of Veterinary Emergency &amp; Critical Care 2019</w:t>
      </w:r>
    </w:p>
    <w:p>
      <w:pPr>
        <w:pStyle w:val="Heading2"/>
      </w:pPr>
      <w:r>
        <w:t xml:space="preserve">JVECC; Vol 29; Issue 1-6</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American College of Veterinary Emergency and Critical Care (ACVECC) Consensus on the Rational Use of Antithrombotics in Veterinary Critical Care (CURATIVE) guidelines: Small animal.</w:t>
      </w:r>
    </w:p>
    <w:p/>
    <w:p>
      <w:pPr>
        <w:pStyle w:val="Normal"/>
      </w:pPr>
      <w:r>
        <w:rPr>
          <w:color w:val="323232"/>
        </w:rPr>
        <w:t xml:space="preserve">Robert Goggs, Marie-Claude Blais, Benjamin M Brainard, Daniel L Chan, Armelle M deLaforcade, Elizabeth Rozanski, and Claire R Sharp.</w:t>
      </w:r>
    </w:p>
    <w:p/>
    <w:p>
      <w:pPr>
        <w:pStyle w:val="Normal"/>
      </w:pPr>
      <w:r>
        <w:rPr>
          <w:color w:val="323232"/>
        </w:rPr>
        <w:t xml:space="preserve">OBJECTIVES:To systematically review available evidence and establish guidelines related to the risk of developing thrombosis and the management of small animals with antithrombotics.</w:t>
      </w:r>
    </w:p>
    <w:p/>
    <w:p>
      <w:pPr>
        <w:pStyle w:val="Normal"/>
      </w:pPr>
      <w:r>
        <w:rPr>
          <w:color w:val="323232"/>
        </w:rPr>
        <w:t xml:space="preserve">DESIGN:Standardized, systematic evaluation of the literature (identified by searching Medline via PubMed and CAB abstracts) was carried out in 5 domains (Defining populations at risk; Defining rational therapeutic use; Defining evidence-based protocols; Refining and monitoring antithrombotic therapies; and Discontinuing antithrombotic therapies). Evidence evaluation was carried out using Population, Intervention, Comparison, Outcome generated within each domain questions to address specific aims. This was followed by categorization of relevant articles according to level of evidence and quality (Good, Fair, or Poor). Synthesis of these data led to the development of a series of statements. Consensus on the final guidelines was achieved via</w:t>
      </w:r>
      <w:r>
        <w:rPr>
          <w:color w:val="323232"/>
        </w:rPr>
        <w:t xml:space="preserve"> </w:t>
      </w:r>
      <w:r>
        <w:rPr>
          <w:color w:val="323232"/>
        </w:rPr>
        <w:t xml:space="preserve">Delphi-style surveys. Draft recommendations were presented at 2 international veterinary conferences and made available for community assessment, review, and comment prior to final revisions and publication.</w:t>
      </w:r>
    </w:p>
    <w:p/>
    <w:p>
      <w:pPr>
        <w:pStyle w:val="Normal"/>
      </w:pPr>
      <w:r>
        <w:rPr>
          <w:color w:val="323232"/>
        </w:rPr>
        <w:t xml:space="preserve">SETTINGS:Academic and referral veterinary medical centers.</w:t>
      </w:r>
    </w:p>
    <w:p/>
    <w:p>
      <w:pPr>
        <w:pStyle w:val="Normal"/>
      </w:pPr>
      <w:r>
        <w:rPr>
          <w:color w:val="323232"/>
        </w:rPr>
        <w:t xml:space="preserve">RESULTS:Over 500 studies were reviewed in detail. Worksheets from all 5 domains generated 59 statements with 83 guideline recommendations that were refined during 3 rounds of Delphi surveys. A high degree of consensus was reached across all guideline recommendations.</w:t>
      </w:r>
    </w:p>
    <w:p/>
    <w:p>
      <w:pPr>
        <w:pStyle w:val="Normal"/>
      </w:pPr>
      <w:r>
        <w:rPr>
          <w:color w:val="323232"/>
        </w:rPr>
        <w:t xml:space="preserve">CONCLUSIONS:Overall, systematic evidence evaluations yielded more than 80 recommendations for the treatment of small animals with or at risk of developing thrombosis. Numerous significant knowledge gaps were highlighted by the evidence reviews undertaken, indicating the need for substantial additional research in this field.</w:t>
      </w:r>
    </w:p>
    <w:p/>
    <w:p>
      <w:pPr>
        <w:pStyle w:val="Normal"/>
      </w:pPr>
      <w:r>
        <w:rPr>
          <w:color w:val="323232"/>
        </w:rPr>
        <w:t xml:space="preserve">J Vet Emerg Crit Care (San Antonio), 2019 vol. 29 (1) pp. 12-36.</w:t>
      </w:r>
    </w:p>
    <w:p>
      <w:r>
        <w:rPr>
          <w:rStyle w:val="Hyperlink"/>
        </w:rPr>
        <w:fldChar w:fldCharType="begin"/>
      </w:r>
      <w:r>
        <w:rPr>
          <w:rStyle w:val="Hyperlink"/>
        </w:rPr>
        <w:instrText xml:space="preserve"> HYPERLINK "http://eutils.ncbi.nlm.nih.gov/entrez/eutils/elink.fcgi?dbfrom=pubmed&amp;id=30654421&amp;retmode=ref&amp;cmd=prlinks"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http://eutils.ncbi.nlm.nih.gov/entrez/eutils/elink.fcgi?dbfrom=pubmed&amp;id=30654421&amp;retmode=ref&amp;cmd=prlinks</w:t>
      </w:r>
      <w:r>
        <w:rPr>
          <w:rStyle w:val="Hyperlink"/>
        </w:rPr>
        <w:fldChar w:fldCharType="end"/>
      </w:r>
    </w:p>
    <w:p>
      <w:pPr>
        <w:pStyle w:val="Normal"/>
      </w:pPr>
      <w:r>
        <w:rPr>
          <w:color w:val="323232"/>
        </w:rPr>
        <w:t xml:space="preserve">————————</w:t>
      </w:r>
    </w:p>
    <w:p>
      <w:pPr>
        <w:pStyle w:val="Heading4"/>
      </w:pPr>
      <w:r>
        <w:t xml:space="preserve">Psychogenic stress in hospitalized veterinary patients: Causation, implications, and therapies.</w:t>
      </w:r>
    </w:p>
    <w:p/>
    <w:p>
      <w:pPr>
        <w:pStyle w:val="Normal"/>
      </w:pPr>
      <w:r>
        <w:rPr>
          <w:color w:val="323232"/>
        </w:rPr>
        <w:t xml:space="preserve">Sara H Lefman and Jennifer E Prittie.</w:t>
      </w:r>
    </w:p>
    <w:p/>
    <w:p>
      <w:pPr>
        <w:pStyle w:val="Normal"/>
      </w:pPr>
      <w:r>
        <w:rPr>
          <w:color w:val="323232"/>
        </w:rPr>
        <w:t xml:space="preserve">OBJECTIVE:To review the sources, adverse effects, diagnosis, treatment, and prevention of psychogenic stress in hospitalized human and veterinary patients.</w:t>
      </w:r>
    </w:p>
    <w:p/>
    <w:p>
      <w:pPr>
        <w:pStyle w:val="Normal"/>
      </w:pPr>
      <w:r>
        <w:rPr>
          <w:color w:val="323232"/>
        </w:rPr>
        <w:t xml:space="preserve">DATA SOURCES:Data were collected by searching PubMed for veterinary and human literature from the past 10 years.</w:t>
      </w:r>
    </w:p>
    <w:p/>
    <w:p>
      <w:pPr>
        <w:pStyle w:val="Normal"/>
      </w:pPr>
      <w:r>
        <w:rPr>
          <w:color w:val="323232"/>
        </w:rPr>
        <w:t xml:space="preserve">HUMAN DATA SYNTHESIS:Psychogenic stress has been linked to immune suppression; gastrointestinal, cardiovascular, and cutaneous diseases; delayed wound healing; alterations in pain perception; and neurologic impairment. Sources of psychogenic stress include environmental alterations such as excessive noise and light, social and physical factors, sleep disruption, drugs, and underlying disease. Nonpharmacologic options for stress reduction include environmental and treatment modifications, music therapy, and early mobilization. Pharmacologic options include sedation with benzodiazepines and dexmedetomidine. Trazodone and melatonin have been examined for use in sleep promotion but are not currently recommended as standard treatments in ICU.</w:t>
      </w:r>
    </w:p>
    <w:p/>
    <w:p>
      <w:pPr>
        <w:pStyle w:val="Normal"/>
      </w:pPr>
      <w:r>
        <w:rPr>
          <w:color w:val="323232"/>
        </w:rPr>
        <w:t xml:space="preserve">VETERINARY DATA SYNTHESIS:Activation of the stress response in veterinary patients is largely the same as in people, as are the affected body systems. Possible sources of stress can include social, physical, and environmental factors. No gold standard currently exists for the identification and quantification of stress. A combination of physical examination findings and the results of serum biochemistry, CBC, and biomarker testing can be used to support the diagnosis. Stress scales can be implemented to identify stressed patients and assess severity. Nonpharmacologic treatment options include low-stress handling, pheromones, environmental modifications, and sleep promotion. Pharmacologic options include trazodone, benzodiazepines, dexmedetomidine, and melatonin.</w:t>
      </w:r>
    </w:p>
    <w:p/>
    <w:p>
      <w:pPr>
        <w:pStyle w:val="Normal"/>
      </w:pPr>
      <w:r>
        <w:rPr>
          <w:color w:val="323232"/>
        </w:rPr>
        <w:t xml:space="preserve">CONCLUSION:The prevalence and clinical significance of psychogenic stress in hospitalized veterinary patients is unknown. Future studies are needed to specifically examine the causative factors of psychogenic stress and the effects of various therapies on stress reduction. The recognition and reduction of psychogenic stress in veterinary patients can lead to improvements in patient care and welfare.</w:t>
      </w:r>
    </w:p>
    <w:p/>
    <w:p>
      <w:pPr>
        <w:pStyle w:val="Normal"/>
      </w:pPr>
      <w:r>
        <w:rPr>
          <w:color w:val="323232"/>
        </w:rPr>
        <w:t xml:space="preserve">J Vet Emerg Crit Care (San Antonio), 2019 vol. 29 (2) pp. 107-120.</w:t>
      </w:r>
    </w:p>
    <w:p>
      <w:r>
        <w:rPr>
          <w:rStyle w:val="Hyperlink"/>
        </w:rPr>
        <w:fldChar w:fldCharType="begin"/>
      </w:r>
      <w:r>
        <w:rPr>
          <w:rStyle w:val="Hyperlink"/>
        </w:rPr>
        <w:instrText xml:space="preserve"> HYPERLINK "http://eutils.ncbi.nlm.nih.gov/entrez/eutils/elink.fcgi?dbfrom=pubmed&amp;id=30861632&amp;retmode=ref&amp;cmd=prlinks"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http://eutils.ncbi.nlm.nih.gov/entrez/eutils/elink.fcgi?dbfrom=pubmed&amp;id=30861632&amp;retmode=ref&amp;cmd=prlinks</w:t>
      </w:r>
      <w:r>
        <w:rPr>
          <w:rStyle w:val="Hyperlink"/>
        </w:rPr>
        <w:fldChar w:fldCharType="end"/>
      </w:r>
    </w:p>
    <w:p>
      <w:pPr>
        <w:pStyle w:val="Normal"/>
      </w:pPr>
      <w:r>
        <w:rPr>
          <w:color w:val="323232"/>
        </w:rPr>
        <w:t xml:space="preserve">————————</w:t>
      </w:r>
    </w:p>
    <w:p>
      <w:pPr>
        <w:pStyle w:val="Heading4"/>
      </w:pPr>
      <w:r>
        <w:t xml:space="preserve">Evaluation of biomarkers of kidney injury following 4% succinylated gelatin and 6% hydroxyethyl starch 130/0.4 administration in a canine hemorrhagic shock model.</w:t>
      </w:r>
    </w:p>
    <w:p/>
    <w:p>
      <w:pPr>
        <w:pStyle w:val="Normal"/>
      </w:pPr>
      <w:r>
        <w:rPr>
          <w:color w:val="323232"/>
        </w:rPr>
        <w:t xml:space="preserve">Corrin J Boyd, Melissa A Claus, Anthea L Raisis, Rachel Cianciolo, Erika Bosio, Giselle Hosgood, Mary Nabity, Trevor Mori, Anne Barden, Claire R Sharp, and Lisa Smart.</w:t>
      </w:r>
    </w:p>
    <w:p/>
    <w:p>
      <w:pPr>
        <w:pStyle w:val="Normal"/>
      </w:pPr>
      <w:r>
        <w:rPr>
          <w:color w:val="323232"/>
        </w:rPr>
        <w:t xml:space="preserve">OBJECTIVE:To investigate the association between synthetic colloids and biomarkers of acute kidney injury (AKI) in dogs with hemorrhagic shock.</w:t>
      </w:r>
    </w:p>
    <w:p/>
    <w:p>
      <w:pPr>
        <w:pStyle w:val="Normal"/>
      </w:pPr>
      <w:r>
        <w:rPr>
          <w:color w:val="323232"/>
        </w:rPr>
        <w:t xml:space="preserve">DESIGN:Experimental interventional study.</w:t>
      </w:r>
    </w:p>
    <w:p/>
    <w:p>
      <w:pPr>
        <w:pStyle w:val="Normal"/>
      </w:pPr>
      <w:r>
        <w:rPr>
          <w:color w:val="323232"/>
        </w:rPr>
        <w:t xml:space="preserve">SETTING:University.</w:t>
      </w:r>
    </w:p>
    <w:p/>
    <w:p>
      <w:pPr>
        <w:pStyle w:val="Normal"/>
      </w:pPr>
      <w:r>
        <w:rPr>
          <w:color w:val="323232"/>
        </w:rPr>
        <w:t xml:space="preserve">ANIMALS:Twenty-four healthy ex-racing Greyhounds.</w:t>
      </w:r>
    </w:p>
    <w:p/>
    <w:p>
      <w:pPr>
        <w:pStyle w:val="Normal"/>
      </w:pPr>
      <w:r>
        <w:rPr>
          <w:color w:val="323232"/>
        </w:rPr>
        <w:t xml:space="preserve">INTERVENTIONS:Anesthetized Greyhounds subjected to hemorrhage for 60</w:t>
      </w:r>
      <w:r>
        <w:rPr>
          <w:color w:val="323232"/>
        </w:rPr>
        <w:t xml:space="preserve"> </w:t>
      </w:r>
      <w:r>
        <w:rPr>
          <w:color w:val="323232"/>
        </w:rPr>
        <w:t xml:space="preserve">min were resuscitated with 20</w:t>
      </w:r>
      <w:r>
        <w:rPr>
          <w:color w:val="323232"/>
        </w:rPr>
        <w:t xml:space="preserve"> </w:t>
      </w:r>
      <w:r>
        <w:rPr>
          <w:color w:val="323232"/>
        </w:rPr>
        <w:t xml:space="preserve">mL/ kg of fresh whole blood (FWB), 6% hydroxyethyl starch (HES) 130/ 0.4, 4% succinylated gelatin (GELO), or 80</w:t>
      </w:r>
      <w:r>
        <w:rPr>
          <w:color w:val="323232"/>
        </w:rPr>
        <w:t xml:space="preserve"> </w:t>
      </w:r>
      <w:r>
        <w:rPr>
          <w:color w:val="323232"/>
        </w:rPr>
        <w:t xml:space="preserve">mL/kg of isotonic crystalloid (CRYST) over 20</w:t>
      </w:r>
      <w:r>
        <w:rPr>
          <w:color w:val="323232"/>
        </w:rPr>
        <w:t xml:space="preserve"> </w:t>
      </w:r>
      <w:r>
        <w:rPr>
          <w:color w:val="323232"/>
        </w:rPr>
        <w:t xml:space="preserve">min (n</w:t>
      </w:r>
      <w:r>
        <w:rPr>
          <w:color w:val="323232"/>
        </w:rPr>
        <w:t xml:space="preserve"> </w:t>
      </w:r>
      <w:r>
        <w:rPr>
          <w:color w:val="323232"/>
        </w:rPr>
        <w:t xml:space="preserve">=</w:t>
      </w:r>
      <w:r>
        <w:rPr>
          <w:color w:val="323232"/>
        </w:rPr>
        <w:t xml:space="preserve"> </w:t>
      </w:r>
      <w:r>
        <w:rPr>
          <w:color w:val="323232"/>
        </w:rPr>
        <w:t xml:space="preserve">6 per treatment). Concentrations of biomarkers of AKI were measured at baseline, end of hemorrhage, and at 40 (T60), 100 (T120), and 160 (T180) min after fluid bolus. Biomarkers included neutrophil gelatinase-associated lipocalin in urine and serum (uNGAL; sNGAL), and urine cystatin C (uCYSC), kidney injury molecule-1 (uKIM), clusterin (uCLUST), osteopontin, gamma-glutamyl transferase, monocyte chemoattractant protein-1 (uMCP), interleukin-6, interleukin-8, protein (uPROT), hyaluronan, and F2 -isoprostanes. Renal histology was scored for tubular injury and microvesiculation. Biomarker fold-change from baseline was compared between groups using mixed effects models (Bonferroni-Holm corrected P&lt;0.05). Frequencies of histology scores were compared by Fisher's exact test.</w:t>
      </w:r>
    </w:p>
    <w:p/>
    <w:p>
      <w:pPr>
        <w:pStyle w:val="Normal"/>
      </w:pPr>
      <w:r>
        <w:rPr>
          <w:color w:val="323232"/>
        </w:rPr>
        <w:t xml:space="preserve">MEASUREMENTS AND MAIN RESULTS:In dogs treated with GELO, uNGAL fold-change was markedly greater compared with all other groups at T60, T120, and T180 (all P&lt;0.001), and uCYSC was greater at T60 compared with CRYST (P&lt;0.001), and at T120 and T180 compared with all other groups (all P&lt;0.001). Smaller, albeit significant, between-group differences in uKIM, uCLUST, uMCP, and urine protein concentration were observed across the FWB, GELO, and HES groups, compared with CRYST. The GELO group more frequently had marked tubular microvesiculation than the other groups (P</w:t>
      </w:r>
      <w:r>
        <w:rPr>
          <w:color w:val="323232"/>
        </w:rPr>
        <w:t xml:space="preserve"> </w:t>
      </w:r>
      <w:r>
        <w:rPr>
          <w:color w:val="323232"/>
        </w:rPr>
        <w:t xml:space="preserve">=</w:t>
      </w:r>
      <w:r>
        <w:rPr>
          <w:color w:val="323232"/>
        </w:rPr>
        <w:t xml:space="preserve"> </w:t>
      </w:r>
      <w:r>
        <w:rPr>
          <w:color w:val="323232"/>
        </w:rPr>
        <w:t xml:space="preserve">0.015) although tubular injury scores were comparable.</w:t>
      </w:r>
    </w:p>
    <w:p/>
    <w:p>
      <w:pPr>
        <w:pStyle w:val="Normal"/>
      </w:pPr>
      <w:r>
        <w:rPr>
          <w:color w:val="323232"/>
        </w:rPr>
        <w:t xml:space="preserve">CONCLUSION:In dogs with hemorrhagic shock, GELO was associated with greater magnitude increases in urine biomarkers of AKI and more frequent marked tubular microvesiculation, compared with FWB, CRYST, and HES.</w:t>
      </w:r>
    </w:p>
    <w:p/>
    <w:p>
      <w:pPr>
        <w:pStyle w:val="Normal"/>
      </w:pPr>
      <w:r>
        <w:rPr>
          <w:color w:val="323232"/>
        </w:rPr>
        <w:t xml:space="preserve">J Vet Emerg Crit Care (San Antonio), 2019 vol. 29 (2) pp. 132-142.</w:t>
      </w:r>
    </w:p>
    <w:p>
      <w:r>
        <w:rPr>
          <w:rStyle w:val="Hyperlink"/>
        </w:rPr>
        <w:fldChar w:fldCharType="begin"/>
      </w:r>
      <w:r>
        <w:rPr>
          <w:rStyle w:val="Hyperlink"/>
        </w:rPr>
        <w:instrText xml:space="preserve"> HYPERLINK "http://eutils.ncbi.nlm.nih.gov/entrez/eutils/elink.fcgi?dbfrom=pubmed&amp;id=30767375&amp;retmode=ref&amp;cmd=prlinks"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http://eutils.ncbi.nlm.nih.gov/entrez/eutils/elink.fcgi?dbfrom=pubmed&amp;id=30767375&amp;retmode=ref&amp;cmd=prlinks</w:t>
      </w:r>
      <w:r>
        <w:rPr>
          <w:rStyle w:val="Hyperlink"/>
        </w:rPr>
        <w:fldChar w:fldCharType="end"/>
      </w:r>
    </w:p>
    <w:p>
      <w:pPr>
        <w:pStyle w:val="Normal"/>
      </w:pPr>
      <w:r>
        <w:rPr>
          <w:color w:val="323232"/>
        </w:rPr>
        <w:t xml:space="preserve">————————</w:t>
      </w:r>
    </w:p>
    <w:p>
      <w:pPr>
        <w:pStyle w:val="Heading4"/>
      </w:pPr>
      <w:r>
        <w:t xml:space="preserve">Effect of three resuscitative fluid therapy strategies on NT-proBNP concentration in healthy dogs.</w:t>
      </w:r>
    </w:p>
    <w:p/>
    <w:p>
      <w:pPr>
        <w:pStyle w:val="Normal"/>
      </w:pPr>
      <w:r>
        <w:rPr>
          <w:color w:val="323232"/>
        </w:rPr>
        <w:t xml:space="preserve">Alison Khoo, Cheryl L Waldner, Anthony P Carr, and M Casey Gaunt.</w:t>
      </w:r>
    </w:p>
    <w:p/>
    <w:p>
      <w:pPr>
        <w:pStyle w:val="Normal"/>
      </w:pPr>
      <w:r>
        <w:rPr>
          <w:color w:val="323232"/>
        </w:rPr>
        <w:t xml:space="preserve">OBJECTIVE:To determine if 3 resuscitative fluid therapy strategies increase N-terminal pro-brain natriuretic peptide (NT proBNP) levels in healthy dogs.</w:t>
      </w:r>
    </w:p>
    <w:p/>
    <w:p>
      <w:pPr>
        <w:pStyle w:val="Normal"/>
      </w:pPr>
      <w:r>
        <w:rPr>
          <w:color w:val="323232"/>
        </w:rPr>
        <w:t xml:space="preserve">DESIGN:Randomized crossover trial.</w:t>
      </w:r>
    </w:p>
    <w:p/>
    <w:p>
      <w:pPr>
        <w:pStyle w:val="Normal"/>
      </w:pPr>
      <w:r>
        <w:rPr>
          <w:color w:val="323232"/>
        </w:rPr>
        <w:t xml:space="preserve">SETTING:Veterinary teaching hospital.</w:t>
      </w:r>
    </w:p>
    <w:p/>
    <w:p>
      <w:pPr>
        <w:pStyle w:val="Normal"/>
      </w:pPr>
      <w:r>
        <w:rPr>
          <w:color w:val="323232"/>
        </w:rPr>
        <w:t xml:space="preserve">ANIMALS:Plasma NT proBNP concentrations were measured in 6 healthy purpose-bred dogs that received 3 resuscitative fluid therapy protocols.</w:t>
      </w:r>
    </w:p>
    <w:p/>
    <w:p>
      <w:pPr>
        <w:pStyle w:val="Normal"/>
      </w:pPr>
      <w:r>
        <w:rPr>
          <w:color w:val="323232"/>
        </w:rPr>
        <w:t xml:space="preserve">MEASUREMENTS AND MAIN RESULTS:Crystalloid, synthetic colloid, or hypertonic saline fluids were administered at resuscitative doses. Blood samples were collected via an indwelling catheter before, and at set time points between 0.5 and 36 h after fluid therapy and analyzed for NT-proBNP. A general linear mixed model was used to estimate the differences in NT-proBNP over time and among treatments. None of the resuscitative fluid therapy protocols caused increases of serum NT-proBNP beyond the previously reported cutoff concentration used to differentiate cardiac versus noncardiac causes of respiratory signs. Dogs receiving crystalloid fluid therapy had the most significant and prolonged increase in serum NT-proBNP concentration above baseline compared to dogs receiving either resuscitative doses of colloids or hypertonic saline.</w:t>
      </w:r>
    </w:p>
    <w:p/>
    <w:p>
      <w:pPr>
        <w:pStyle w:val="Normal"/>
      </w:pPr>
      <w:r>
        <w:rPr>
          <w:color w:val="323232"/>
        </w:rPr>
        <w:t xml:space="preserve">CONCLUSIONS:Serum NT-proBNP concentration in normal dogs was not increased beyond concentrations previously established to equate to cardiac disease after receiving resuscitative fluid therapy with either a balanced crystalloid solution, hypertonic saline, or a synthetic colloid solution in this study.</w:t>
      </w:r>
    </w:p>
    <w:p/>
    <w:p>
      <w:pPr>
        <w:pStyle w:val="Normal"/>
      </w:pPr>
      <w:r>
        <w:rPr>
          <w:color w:val="323232"/>
        </w:rPr>
        <w:t xml:space="preserve">J Vet Emerg Crit Care (San Antonio), 2019 vol. 29 (2) pp. 143-148.</w:t>
      </w:r>
    </w:p>
    <w:p>
      <w:r>
        <w:rPr>
          <w:rStyle w:val="Hyperlink"/>
        </w:rPr>
        <w:fldChar w:fldCharType="begin"/>
      </w:r>
      <w:r>
        <w:rPr>
          <w:rStyle w:val="Hyperlink"/>
        </w:rPr>
        <w:instrText xml:space="preserve"> HYPERLINK "http://eutils.ncbi.nlm.nih.gov/entrez/eutils/elink.fcgi?dbfrom=pubmed&amp;id=30767350&amp;retmode=ref&amp;cmd=prlinks"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http://eutils.ncbi.nlm.nih.gov/entrez/eutils/elink.fcgi?dbfrom=pubmed&amp;id=30767350&amp;retmode=ref&amp;cmd=prlinks</w:t>
      </w:r>
      <w:r>
        <w:rPr>
          <w:rStyle w:val="Hyperlink"/>
        </w:rPr>
        <w:fldChar w:fldCharType="end"/>
      </w:r>
    </w:p>
    <w:p>
      <w:pPr>
        <w:pStyle w:val="Normal"/>
      </w:pPr>
      <w:r>
        <w:rPr>
          <w:color w:val="323232"/>
        </w:rPr>
        <w:t xml:space="preserve">————————</w:t>
      </w:r>
    </w:p>
    <w:p>
      <w:pPr>
        <w:pStyle w:val="Heading4"/>
      </w:pPr>
      <w:r>
        <w:t xml:space="preserve">Evaluation of tissue oxygen saturation in naturally occurring canine shock patients.</w:t>
      </w:r>
    </w:p>
    <w:p/>
    <w:p>
      <w:pPr>
        <w:pStyle w:val="Normal"/>
      </w:pPr>
      <w:r>
        <w:rPr>
          <w:color w:val="323232"/>
        </w:rPr>
        <w:t xml:space="preserve">Alexia N Berg, Michael G Conzemius, Richard B Evans, and Kelly M Tart.</w:t>
      </w:r>
    </w:p>
    <w:p/>
    <w:p>
      <w:pPr>
        <w:pStyle w:val="Normal"/>
      </w:pPr>
      <w:r>
        <w:rPr>
          <w:color w:val="323232"/>
        </w:rPr>
        <w:t xml:space="preserve">OBJECTIVE:To measure tissue oxygen saturation (StO2 ) in a population of dogs with naturally occurring shock and to evaluate the relationship of StO2 with an established veterinary severity scoring system (Acute Patient Physiologic and Laboratory Evaluation) and patient survival.</w:t>
      </w:r>
    </w:p>
    <w:p/>
    <w:p>
      <w:pPr>
        <w:pStyle w:val="Normal"/>
      </w:pPr>
      <w:r>
        <w:rPr>
          <w:color w:val="323232"/>
        </w:rPr>
        <w:t xml:space="preserve">DESIGN:Prospective observational study.</w:t>
      </w:r>
    </w:p>
    <w:p/>
    <w:p>
      <w:pPr>
        <w:pStyle w:val="Normal"/>
      </w:pPr>
      <w:r>
        <w:rPr>
          <w:color w:val="323232"/>
        </w:rPr>
        <w:t xml:space="preserve">SETTING:University teaching hospital.</w:t>
      </w:r>
    </w:p>
    <w:p/>
    <w:p>
      <w:pPr>
        <w:pStyle w:val="Normal"/>
      </w:pPr>
      <w:r>
        <w:rPr>
          <w:color w:val="323232"/>
        </w:rPr>
        <w:t xml:space="preserve">ANIMALS:Twenty-five adult dogs presenting in shock, as determined by the presence of hypotension, the calculated shock index, and hyperlactatemia.</w:t>
      </w:r>
    </w:p>
    <w:p/>
    <w:p>
      <w:pPr>
        <w:pStyle w:val="Normal"/>
      </w:pPr>
      <w:r>
        <w:rPr>
          <w:color w:val="323232"/>
        </w:rPr>
        <w:t xml:space="preserve">INTERVENTIONS:StO2 was measured prior to any therapeutic interventions. Blood samples were also collected for measurement of plasma lactate, complete blood count, and a serum biochemical profile. Abdominal and thoracic focused assessment with sonography was also performed.</w:t>
      </w:r>
    </w:p>
    <w:p/>
    <w:p>
      <w:pPr>
        <w:pStyle w:val="Normal"/>
      </w:pPr>
      <w:r>
        <w:rPr>
          <w:color w:val="323232"/>
        </w:rPr>
        <w:t xml:space="preserve">MEASUREMENTS AND MAIN RESULTS:Dogs enrolled in this study had lower mean (±SD) StO2 values (65.12 ± 17.7%) than previously reported in experimental models of canine hemorrhagic shock. There was a moderate correlation between lower StO2 and increasing Acute Patient Physiologic and Laboratory Evaluation scores. A single StO2 value, assessed prior to therapeutic intervention, was not a sensitive predictor of mortality in this population.</w:t>
      </w:r>
    </w:p>
    <w:p/>
    <w:p>
      <w:pPr>
        <w:pStyle w:val="Normal"/>
      </w:pPr>
      <w:r>
        <w:rPr>
          <w:color w:val="323232"/>
        </w:rPr>
        <w:t xml:space="preserve">CONCLUSIONS:Dogs with naturally occurring shock have lower mean StO2 values than those previously reported in dogs with experimentally induced shock. A lower initial StO2 was associated with worse disease severity but was not a significant predictor of survival in this population.</w:t>
      </w:r>
    </w:p>
    <w:p/>
    <w:p>
      <w:pPr>
        <w:pStyle w:val="Normal"/>
      </w:pPr>
      <w:r>
        <w:rPr>
          <w:color w:val="323232"/>
        </w:rPr>
        <w:t xml:space="preserve">J Vet Emerg Crit Care (San Antonio), 2019 vol. 29 (2) pp. 149-153.</w:t>
      </w:r>
    </w:p>
    <w:p>
      <w:r>
        <w:rPr>
          <w:rStyle w:val="Hyperlink"/>
        </w:rPr>
        <w:fldChar w:fldCharType="begin"/>
      </w:r>
      <w:r>
        <w:rPr>
          <w:rStyle w:val="Hyperlink"/>
        </w:rPr>
        <w:instrText xml:space="preserve"> HYPERLINK "http://eutils.ncbi.nlm.nih.gov/entrez/eutils/elink.fcgi?dbfrom=pubmed&amp;id=30893517&amp;retmode=ref&amp;cmd=prlinks"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http://eutils.ncbi.nlm.nih.gov/entrez/eutils/elink.fcgi?dbfrom=pubmed&amp;id=30893517&amp;retmode=ref&amp;cmd=prlinks</w:t>
      </w:r>
      <w:r>
        <w:rPr>
          <w:rStyle w:val="Hyperlink"/>
        </w:rPr>
        <w:fldChar w:fldCharType="end"/>
      </w:r>
    </w:p>
    <w:p>
      <w:pPr>
        <w:pStyle w:val="Normal"/>
      </w:pPr>
      <w:r>
        <w:rPr>
          <w:color w:val="323232"/>
        </w:rPr>
        <w:t xml:space="preserve">————————</w:t>
      </w:r>
    </w:p>
    <w:p>
      <w:pPr>
        <w:pStyle w:val="Heading4"/>
      </w:pPr>
      <w:r>
        <w:t xml:space="preserve">Comparison of biomarkers adiponectin, leptin, C-reactive protein, S100A12, and the Acute Patient Physiologic and Laboratory Evaluation (APPLE) score as mortality predictors in critically ill dogs.</w:t>
      </w:r>
    </w:p>
    <w:p/>
    <w:p>
      <w:pPr>
        <w:pStyle w:val="Normal"/>
      </w:pPr>
      <w:r>
        <w:rPr>
          <w:color w:val="323232"/>
        </w:rPr>
        <w:t xml:space="preserve">Liza S Köster, Geoffrey T Fosgate, Jan Suchodolski, Jonathan Lidbury, and Jörg M Steiner.</w:t>
      </w:r>
    </w:p>
    <w:p/>
    <w:p>
      <w:pPr>
        <w:pStyle w:val="Normal"/>
      </w:pPr>
      <w:r>
        <w:rPr>
          <w:color w:val="323232"/>
        </w:rPr>
        <w:t xml:space="preserve">OBJECTIVES:To determine if selected serum biomarkers are superior to the acute patient physiologic and laboratory evaluation (APPLE) complete score in predicting 30-day mortality in a non-homogeneous disease population of critically ill dogs.</w:t>
      </w:r>
    </w:p>
    <w:p/>
    <w:p>
      <w:pPr>
        <w:pStyle w:val="Normal"/>
      </w:pPr>
      <w:r>
        <w:rPr>
          <w:color w:val="323232"/>
        </w:rPr>
        <w:t xml:space="preserve">DESIGN:Prospective cohort study comparing the serum biomarkers adiponectin, leptin, C-reactive protein, and S100A12 concentrations between surviving and nonsurviving critically ill dogs.</w:t>
      </w:r>
    </w:p>
    <w:p/>
    <w:p>
      <w:pPr>
        <w:pStyle w:val="Normal"/>
      </w:pPr>
      <w:r>
        <w:rPr>
          <w:color w:val="323232"/>
        </w:rPr>
        <w:t xml:space="preserve">SETTING:University small animal teaching hospital.</w:t>
      </w:r>
    </w:p>
    <w:p/>
    <w:p>
      <w:pPr>
        <w:pStyle w:val="Normal"/>
      </w:pPr>
      <w:r>
        <w:rPr>
          <w:color w:val="323232"/>
        </w:rPr>
        <w:t xml:space="preserve">ANIMALS:Seventy critically ill dogs were prospectively recruited, and an APPLE complete score was calculated within 24 hours of being admitted to the intensive care unit. Logistic regression models were fit to estimate the association between biomarkers and 30-day survival. Results were interpreted at the 5% level of significance.</w:t>
      </w:r>
    </w:p>
    <w:p/>
    <w:p>
      <w:pPr>
        <w:pStyle w:val="Normal"/>
      </w:pPr>
      <w:r>
        <w:rPr>
          <w:color w:val="323232"/>
        </w:rPr>
        <w:t xml:space="preserve">MEASUREMENTS AND MAIN RESULTS:Leptin was the only biomarker that was significantly correlated with the APPLE complete score (P &lt; 0.001). Only the APPLE complete score (P = 0.003) and illness duration of &lt; 1 day (P = 0.043) were significantly associated with outcome.</w:t>
      </w:r>
    </w:p>
    <w:p/>
    <w:p>
      <w:pPr>
        <w:pStyle w:val="Normal"/>
      </w:pPr>
      <w:r>
        <w:rPr>
          <w:color w:val="323232"/>
        </w:rPr>
        <w:t xml:space="preserve">CONCLUSION:Based on the results of this study, there appears to be no benefit in using biomarkers over the APPLE score for disease severity stratification. Serum leptin concentration was significantly correlated with disease severity as determined by APPLE scoring. Longer duration of illness prior to admission was associated with a higher risk of death. APPLE scores were highest in dogs with infectious and immune-mediated diseases and bite wounds.</w:t>
      </w:r>
    </w:p>
    <w:p/>
    <w:p>
      <w:pPr>
        <w:pStyle w:val="Normal"/>
      </w:pPr>
      <w:r>
        <w:rPr>
          <w:color w:val="323232"/>
        </w:rPr>
        <w:t xml:space="preserve">J Vet Emerg Crit Care (San Antonio), 2019 vol. 29 (2) pp. 154-160.</w:t>
      </w:r>
    </w:p>
    <w:p>
      <w:r>
        <w:rPr>
          <w:rStyle w:val="Hyperlink"/>
        </w:rPr>
        <w:fldChar w:fldCharType="begin"/>
      </w:r>
      <w:r>
        <w:rPr>
          <w:rStyle w:val="Hyperlink"/>
        </w:rPr>
        <w:instrText xml:space="preserve"> HYPERLINK "http://eutils.ncbi.nlm.nih.gov/entrez/eutils/elink.fcgi?dbfrom=pubmed&amp;id=30861273&amp;retmode=ref&amp;cmd=prlinks"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http://eutils.ncbi.nlm.nih.gov/entrez/eutils/elink.fcgi?dbfrom=pubmed&amp;id=30861273&amp;retmode=ref&amp;cmd=prlinks</w:t>
      </w:r>
      <w:r>
        <w:rPr>
          <w:rStyle w:val="Hyperlink"/>
        </w:rPr>
        <w:fldChar w:fldCharType="end"/>
      </w:r>
    </w:p>
    <w:p>
      <w:pPr>
        <w:pStyle w:val="Normal"/>
      </w:pPr>
      <w:r>
        <w:rPr>
          <w:color w:val="323232"/>
        </w:rPr>
        <w:t xml:space="preserve">————————</w:t>
      </w:r>
    </w:p>
    <w:p>
      <w:pPr>
        <w:pStyle w:val="Heading4"/>
      </w:pPr>
      <w:r>
        <w:t xml:space="preserve">Comparison of pentobarbital-phenytoin alone vs propofol prior to pentobarbital-phenytoin for euthanasia in 436 client-owned dogs.</w:t>
      </w:r>
    </w:p>
    <w:p/>
    <w:p>
      <w:pPr>
        <w:pStyle w:val="Normal"/>
      </w:pPr>
      <w:r>
        <w:rPr>
          <w:color w:val="323232"/>
        </w:rPr>
        <w:t xml:space="preserve">Jessica M Bullock, Travis M Lanaux, and Justin W Shmalberg.</w:t>
      </w:r>
    </w:p>
    <w:p/>
    <w:p>
      <w:pPr>
        <w:pStyle w:val="Normal"/>
      </w:pPr>
      <w:r>
        <w:rPr>
          <w:color w:val="323232"/>
        </w:rPr>
        <w:t xml:space="preserve">OBJECTIVE:To report the incidence of adverse events during euthanasia of client-owned dogs administered either intravenous pentobarbital/phenytoin (PP) or PP after propofol delivery.</w:t>
      </w:r>
    </w:p>
    <w:p/>
    <w:p>
      <w:pPr>
        <w:pStyle w:val="Normal"/>
      </w:pPr>
      <w:r>
        <w:rPr>
          <w:color w:val="323232"/>
        </w:rPr>
        <w:t xml:space="preserve">DESIGN/SETTING:Prospective, observational, multi-site study.</w:t>
      </w:r>
    </w:p>
    <w:p/>
    <w:p>
      <w:pPr>
        <w:pStyle w:val="Normal"/>
      </w:pPr>
      <w:r>
        <w:rPr>
          <w:color w:val="323232"/>
        </w:rPr>
        <w:t xml:space="preserve">ANIMALS:Four hundred thirty-six dogs undergoing client-elected euthanasia over a 1-year period.</w:t>
      </w:r>
    </w:p>
    <w:p/>
    <w:p>
      <w:pPr>
        <w:pStyle w:val="Normal"/>
      </w:pPr>
      <w:r>
        <w:rPr>
          <w:color w:val="323232"/>
        </w:rPr>
        <w:t xml:space="preserve">INTERVENTIONS:Interventions included placement of an IV catheter and delivery of euthanasia agents (PP for the PP group, propofol followed by PP for the propofol group). Seven pre-determined adverse events were recorded: agonal breaths, urination, defecation, vocalization, muscle activity, dysphoria, and catheter complications. Euthanasia scores for each patient were defined as the sum of all adverse events (0-7) the patient exhibited.</w:t>
      </w:r>
    </w:p>
    <w:p/>
    <w:p>
      <w:pPr>
        <w:pStyle w:val="Normal"/>
      </w:pPr>
      <w:r>
        <w:rPr>
          <w:color w:val="323232"/>
        </w:rPr>
        <w:t xml:space="preserve">MEASUREMENTS AND MAIN RESULTS:Two hundred thirty-six dogs were in the PP group and 200</w:t>
      </w:r>
      <w:r>
        <w:rPr>
          <w:color w:val="323232"/>
        </w:rPr>
        <w:t xml:space="preserve"> </w:t>
      </w:r>
      <w:r>
        <w:rPr>
          <w:color w:val="323232"/>
        </w:rPr>
        <w:t xml:space="preserve">dogs were in the propofol group. No significant differences were detected in the dose of PP administered (166.9</w:t>
      </w:r>
      <w:r>
        <w:rPr>
          <w:color w:val="323232"/>
        </w:rPr>
        <w:t xml:space="preserve"> </w:t>
      </w:r>
      <w:r>
        <w:rPr>
          <w:color w:val="323232"/>
        </w:rPr>
        <w:t xml:space="preserve">±</w:t>
      </w:r>
      <w:r>
        <w:rPr>
          <w:color w:val="323232"/>
        </w:rPr>
        <w:t xml:space="preserve"> </w:t>
      </w:r>
      <w:r>
        <w:rPr>
          <w:color w:val="323232"/>
        </w:rPr>
        <w:t xml:space="preserve">105.6 mg/ kg for PP group, 182.6</w:t>
      </w:r>
      <w:r>
        <w:rPr>
          <w:color w:val="323232"/>
        </w:rPr>
        <w:t xml:space="preserve"> </w:t>
      </w:r>
      <w:r>
        <w:rPr>
          <w:color w:val="323232"/>
        </w:rPr>
        <w:t xml:space="preserve">±</w:t>
      </w:r>
      <w:r>
        <w:rPr>
          <w:color w:val="323232"/>
        </w:rPr>
        <w:t xml:space="preserve"> </w:t>
      </w:r>
      <w:r>
        <w:rPr>
          <w:color w:val="323232"/>
        </w:rPr>
        <w:t xml:space="preserve">109.8 mg/ kg for propofol group). Propofol dogs received 4.5</w:t>
      </w:r>
      <w:r>
        <w:rPr>
          <w:color w:val="323232"/>
        </w:rPr>
        <w:t xml:space="preserve"> </w:t>
      </w:r>
      <w:r>
        <w:rPr>
          <w:color w:val="323232"/>
        </w:rPr>
        <w:t xml:space="preserve">±</w:t>
      </w:r>
      <w:r>
        <w:rPr>
          <w:color w:val="323232"/>
        </w:rPr>
        <w:t xml:space="preserve"> </w:t>
      </w:r>
      <w:r>
        <w:rPr>
          <w:color w:val="323232"/>
        </w:rPr>
        <w:t xml:space="preserve">2.9 mg/kg propofol. The incidence of ≥ 1 adverse event was 35.2% in the PP group and 26.5% in the propofol group (P = 0.052). Mean euthanasia scores (0.47 PP group, 0.32 propofol group) were not significantly different (P = 0.08). Propofol significantly reduced the incidence of muscle activity (6% vs. 14%, odds ratio 0.39; P = 0.0079).</w:t>
      </w:r>
    </w:p>
    <w:p/>
    <w:p>
      <w:pPr>
        <w:pStyle w:val="Normal"/>
      </w:pPr>
      <w:r>
        <w:rPr>
          <w:color w:val="323232"/>
        </w:rPr>
        <w:t xml:space="preserve">CONCLUSIONS:There was no difference in the likelihood of the studied adverse events during client-elected euthanasia in dogs when propofol was used prior to PP. There was a significant reduction in perimortem muscle activity if propofol was given prior to PP.</w:t>
      </w:r>
    </w:p>
    <w:p/>
    <w:p>
      <w:pPr>
        <w:pStyle w:val="Normal"/>
      </w:pPr>
      <w:r>
        <w:rPr>
          <w:color w:val="323232"/>
        </w:rPr>
        <w:t xml:space="preserve">J Vet Emerg Crit Care (San Antonio), 2019 vol. 29 (2) pp. 161-165.</w:t>
      </w:r>
    </w:p>
    <w:p>
      <w:r>
        <w:rPr>
          <w:rStyle w:val="Hyperlink"/>
        </w:rPr>
        <w:fldChar w:fldCharType="begin"/>
      </w:r>
      <w:r>
        <w:rPr>
          <w:rStyle w:val="Hyperlink"/>
        </w:rPr>
        <w:instrText xml:space="preserve"> HYPERLINK "http://eutils.ncbi.nlm.nih.gov/entrez/eutils/elink.fcgi?dbfrom=pubmed&amp;id=30767356&amp;retmode=ref&amp;cmd=prlinks"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http://eutils.ncbi.nlm.nih.gov/entrez/eutils/elink.fcgi?dbfrom=pubmed&amp;id=30767356&amp;retmode=ref&amp;cmd=prlinks</w:t>
      </w:r>
      <w:r>
        <w:rPr>
          <w:rStyle w:val="Hyperlink"/>
        </w:rPr>
        <w:fldChar w:fldCharType="end"/>
      </w:r>
    </w:p>
    <w:p>
      <w:pPr>
        <w:pStyle w:val="Normal"/>
      </w:pPr>
      <w:r>
        <w:rPr>
          <w:color w:val="323232"/>
        </w:rPr>
        <w:t xml:space="preserve">————————</w:t>
      </w:r>
    </w:p>
    <w:p>
      <w:pPr>
        <w:pStyle w:val="Heading4"/>
      </w:pPr>
      <w:r>
        <w:t xml:space="preserve">Risk factors, characteristics, and outcomes of acute respiratory distress syndrome in dogs and cats: 54 cases.</w:t>
      </w:r>
    </w:p>
    <w:p/>
    <w:p>
      <w:pPr>
        <w:pStyle w:val="Normal"/>
      </w:pPr>
      <w:r>
        <w:rPr>
          <w:color w:val="323232"/>
        </w:rPr>
        <w:t xml:space="preserve">Ludivine Boiron, Kate Hopper, and Angela Borchers.</w:t>
      </w:r>
    </w:p>
    <w:p/>
    <w:p>
      <w:pPr>
        <w:pStyle w:val="Normal"/>
      </w:pPr>
      <w:r>
        <w:rPr>
          <w:color w:val="323232"/>
        </w:rPr>
        <w:t xml:space="preserve">OBJECTIVE:To characterize the clinical features of the acute respiratory distress syndrome (ARDS), risk factors, and outcome in dogs and cats. The study also aimed to evaluate the current veterinary criteria for the diagnosis of ARDS by comparison of clinical diagnostic criteria with necropsy findings.</w:t>
      </w:r>
    </w:p>
    <w:p/>
    <w:p>
      <w:pPr>
        <w:pStyle w:val="Normal"/>
      </w:pPr>
      <w:r>
        <w:rPr>
          <w:color w:val="323232"/>
        </w:rPr>
        <w:t xml:space="preserve">DESIGN:Retrospective study.</w:t>
      </w:r>
    </w:p>
    <w:p/>
    <w:p>
      <w:pPr>
        <w:pStyle w:val="Normal"/>
      </w:pPr>
      <w:r>
        <w:rPr>
          <w:color w:val="323232"/>
        </w:rPr>
        <w:t xml:space="preserve">ANIMALS:Fifty-four client-owned animals, 46 dogs and 8 cats.</w:t>
      </w:r>
    </w:p>
    <w:p/>
    <w:p>
      <w:pPr>
        <w:pStyle w:val="Normal"/>
      </w:pPr>
      <w:r>
        <w:rPr>
          <w:color w:val="323232"/>
        </w:rPr>
        <w:t xml:space="preserve">INTERVENTIONS:Medical records were reviewed for patients with the diagnosis of ARDS based on previously published clinical criteria or necropsy diagnosis. Signalment, clinical findings, and outcome were recorded.</w:t>
      </w:r>
    </w:p>
    <w:p/>
    <w:p>
      <w:pPr>
        <w:pStyle w:val="Normal"/>
      </w:pPr>
      <w:r>
        <w:rPr>
          <w:color w:val="323232"/>
        </w:rPr>
        <w:t xml:space="preserve">MEASUREMENTS AND MAIN RESULTS:Animals were grouped according to a clinical or necropsy diagnosis: 43/54 (80%) were diagnosed with ARDS based on clinical criteria (group 1) and 11/54 (20%) were diagnosed with ARDS based on necropsy only (group 2). In group 1, 22/43 (51%) had a necropsy, which confirmed ARDS in 12/22 (54%). Direct (pulmonary) causes of ARDS were more common than indirect causes in dogs, while cats had a similar occurrence of direct and indirect causes. The most common risk factors identified in dogs were aspiration pneumonia (42%), systemic inflammatory response syndrome (SIRS) (29%), and shock (29%). All cats diagnosed clinically with ARDS had SIRS with or without sepsis. Of the animals with a clinical diagnosis of ARDS, 49% received mechanical ventilation and 58% received treatment (with or without mechanical ventilation) for 24 hours or longer. The overall case fatality rate was 84% in dogs and 100% in cats.</w:t>
      </w:r>
    </w:p>
    <w:p/>
    <w:p>
      <w:pPr>
        <w:pStyle w:val="Normal"/>
      </w:pPr>
      <w:r>
        <w:rPr>
          <w:color w:val="323232"/>
        </w:rPr>
        <w:t xml:space="preserve">CONCLUSIONS AND CLINICAL RELEVANCE:As described in human literature, pneumonia was the most common risk factor in dogs with ARDS, whereas it was SIRS for the cat population. The high mortality rate and discrepancy between the clinical diagnosis and necropsy findings may highlight limitations in the clinical criteria for the diagnosis of ARDS and treatment in dogs and cats.</w:t>
      </w:r>
    </w:p>
    <w:p/>
    <w:p>
      <w:pPr>
        <w:pStyle w:val="Normal"/>
      </w:pPr>
      <w:r>
        <w:rPr>
          <w:color w:val="323232"/>
        </w:rPr>
        <w:t xml:space="preserve">J Vet Emerg Crit Care (San Antonio), 2019 vol. 29 (2) pp. 173-179.</w:t>
      </w:r>
    </w:p>
    <w:p>
      <w:r>
        <w:rPr>
          <w:rStyle w:val="Hyperlink"/>
        </w:rPr>
        <w:fldChar w:fldCharType="begin"/>
      </w:r>
      <w:r>
        <w:rPr>
          <w:rStyle w:val="Hyperlink"/>
        </w:rPr>
        <w:instrText xml:space="preserve"> HYPERLINK "http://eutils.ncbi.nlm.nih.gov/entrez/eutils/elink.fcgi?dbfrom=pubmed&amp;id=30861281&amp;retmode=ref&amp;cmd=prlinks"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http://eutils.ncbi.nlm.nih.gov/entrez/eutils/elink.fcgi?dbfrom=pubmed&amp;id=30861281&amp;retmode=ref&amp;cmd=prlinks</w:t>
      </w:r>
      <w:r>
        <w:rPr>
          <w:rStyle w:val="Hyperlink"/>
        </w:rPr>
        <w:fldChar w:fldCharType="end"/>
      </w:r>
    </w:p>
    <w:p>
      <w:pPr>
        <w:pStyle w:val="Normal"/>
      </w:pPr>
      <w:r>
        <w:rPr>
          <w:color w:val="323232"/>
        </w:rPr>
        <w:t xml:space="preserve">————————</w:t>
      </w:r>
    </w:p>
    <w:p>
      <w:pPr>
        <w:pStyle w:val="Heading4"/>
      </w:pPr>
      <w:r>
        <w:t xml:space="preserve">Clinical experience utilizing a novel fluoroscopic technique for wire-guided esophagojejunal tube placement in the dog and cat: Twenty cases (2010-2013).</w:t>
      </w:r>
    </w:p>
    <w:p/>
    <w:p>
      <w:pPr>
        <w:pStyle w:val="Normal"/>
      </w:pPr>
      <w:r>
        <w:rPr>
          <w:color w:val="323232"/>
        </w:rPr>
        <w:t xml:space="preserve">David J Carabetta, Amy M Koenigshof, and Matthew W Beal.</w:t>
      </w:r>
    </w:p>
    <w:p/>
    <w:p>
      <w:pPr>
        <w:pStyle w:val="Normal"/>
      </w:pPr>
      <w:r>
        <w:rPr>
          <w:color w:val="323232"/>
        </w:rPr>
        <w:t xml:space="preserve">OBJECTIVE:To describe the clinical use of a novel, minimally invasive technique for fluoroscopic wire-guided esophagojejunal tube (FEJT) placement in dogs and cats.</w:t>
      </w:r>
    </w:p>
    <w:p/>
    <w:p>
      <w:pPr>
        <w:pStyle w:val="Normal"/>
      </w:pPr>
      <w:r>
        <w:rPr>
          <w:color w:val="323232"/>
        </w:rPr>
        <w:t xml:space="preserve">DESIGN:Retrospective study (February 2010-September 2013).</w:t>
      </w:r>
    </w:p>
    <w:p/>
    <w:p>
      <w:pPr>
        <w:pStyle w:val="Normal"/>
      </w:pPr>
      <w:r>
        <w:rPr>
          <w:color w:val="323232"/>
        </w:rPr>
        <w:t xml:space="preserve">SETTING:University veterinary teaching hospital.</w:t>
      </w:r>
    </w:p>
    <w:p/>
    <w:p>
      <w:pPr>
        <w:pStyle w:val="Normal"/>
      </w:pPr>
      <w:r>
        <w:rPr>
          <w:color w:val="323232"/>
        </w:rPr>
        <w:t xml:space="preserve">ANIMALS:Eighteen dogs and 2 cats with intolerance of, or contraindications to, gastric feeding that underwent attempted FEJT placement.</w:t>
      </w:r>
    </w:p>
    <w:p/>
    <w:p>
      <w:pPr>
        <w:pStyle w:val="Normal"/>
      </w:pPr>
      <w:r>
        <w:rPr>
          <w:color w:val="323232"/>
        </w:rPr>
        <w:t xml:space="preserve">INTERVENTIONS:All patients underwent attempted FEJT placement using a novel fluoroscopic wire-guided technique.</w:t>
      </w:r>
    </w:p>
    <w:p/>
    <w:p>
      <w:pPr>
        <w:pStyle w:val="Normal"/>
      </w:pPr>
      <w:r>
        <w:rPr>
          <w:color w:val="323232"/>
        </w:rPr>
        <w:t xml:space="preserve">MEASUREMENTS AND MAIN RESULTS:Patient data were collected including information about the FEJT placement and utilization of the tube postplacement. The primary diagnosis in dogs undergoing FEJT placement was pancreatitis in 61% of cases. The ability to achieve postpyloric access with the technique was 95% (19/20). Mean duration of the procedure in dogs where FEJT placement was successful was 63.8 minutes (SD, 28.6; min-max, 30-120 min). Mean fluoroscopy time was 19.4 minutes (SD, 11.5; min-max, 5.2-42.1-min). Esophagostomy site infection was a complication of FEJT placement in 2 dogs. The mean duration the FEJT remained in place in dogs was 3.8 days (SD, 2.2; min-max, 1-7 days), and mean duration of feeding was 3.6 days (SD, 2.2; min-max, 1-7 days). Vomiting was noted in 89% of patients prior to FEJT placement and was significantly reduced to only 24% of patients postplacement (P = 0.0001).</w:t>
      </w:r>
    </w:p>
    <w:p/>
    <w:p>
      <w:pPr>
        <w:pStyle w:val="Normal"/>
      </w:pPr>
      <w:r>
        <w:rPr>
          <w:color w:val="323232"/>
        </w:rPr>
        <w:t xml:space="preserve">CONCLUSIONS:FEJT placement is a viable technique for providing postpyloric nutrition in dogs and cats intolerant of, or with contraindications to, gastric feeding.</w:t>
      </w:r>
    </w:p>
    <w:p/>
    <w:p>
      <w:pPr>
        <w:pStyle w:val="Normal"/>
      </w:pPr>
      <w:r>
        <w:rPr>
          <w:color w:val="323232"/>
        </w:rPr>
        <w:t xml:space="preserve">J Vet Emerg Crit Care (San Antonio), 2019 vol. 29 (2) pp. 180-184.</w:t>
      </w:r>
    </w:p>
    <w:p>
      <w:r>
        <w:rPr>
          <w:rStyle w:val="Hyperlink"/>
        </w:rPr>
        <w:fldChar w:fldCharType="begin"/>
      </w:r>
      <w:r>
        <w:rPr>
          <w:rStyle w:val="Hyperlink"/>
        </w:rPr>
        <w:instrText xml:space="preserve"> HYPERLINK "http://eutils.ncbi.nlm.nih.gov/entrez/eutils/elink.fcgi?dbfrom=pubmed&amp;id=30861280&amp;retmode=ref&amp;cmd=prlinks"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http://eutils.ncbi.nlm.nih.gov/entrez/eutils/elink.fcgi?dbfrom=pubmed&amp;id=30861280&amp;retmode=ref&amp;cmd=prlinks</w:t>
      </w:r>
      <w:r>
        <w:rPr>
          <w:rStyle w:val="Hyperlink"/>
        </w:rPr>
        <w:fldChar w:fldCharType="end"/>
      </w:r>
    </w:p>
    <w:p>
      <w:pPr>
        <w:pStyle w:val="Normal"/>
      </w:pPr>
      <w:r>
        <w:rPr>
          <w:color w:val="323232"/>
        </w:rPr>
        <w:t xml:space="preserve">————————</w:t>
      </w:r>
    </w:p>
    <w:p>
      <w:pPr>
        <w:pStyle w:val="Heading4"/>
      </w:pPr>
      <w:r>
        <w:t xml:space="preserve">Computed tomographic features of intra-abdominal hypertension in three dogs.</w:t>
      </w:r>
    </w:p>
    <w:p/>
    <w:p>
      <w:pPr>
        <w:pStyle w:val="Normal"/>
      </w:pPr>
      <w:r>
        <w:rPr>
          <w:color w:val="323232"/>
        </w:rPr>
        <w:t xml:space="preserve">Min Jang, Sooyoung Choi, In Lee, and Inhyung Lee.</w:t>
      </w:r>
    </w:p>
    <w:p/>
    <w:p>
      <w:pPr>
        <w:pStyle w:val="Normal"/>
      </w:pPr>
      <w:r>
        <w:rPr>
          <w:color w:val="323232"/>
        </w:rPr>
        <w:t xml:space="preserve">OBJECTIVE:To describe computed tomographic (CT) features of intra-abdominal hypertension (IAH) in 3 dogs with abdominal distension.</w:t>
      </w:r>
    </w:p>
    <w:p/>
    <w:p>
      <w:pPr>
        <w:pStyle w:val="Normal"/>
      </w:pPr>
      <w:r>
        <w:rPr>
          <w:color w:val="323232"/>
        </w:rPr>
        <w:t xml:space="preserve">CASE SUMMARY:Three dogs with anorexia, distended abdomen, or labored breathing were presented for CT imaging. All 3 dogs were premedicated with IV butorphanol (0.2</w:t>
      </w:r>
      <w:r>
        <w:rPr>
          <w:color w:val="323232"/>
        </w:rPr>
        <w:t xml:space="preserve"> </w:t>
      </w:r>
      <w:r>
        <w:rPr>
          <w:color w:val="323232"/>
        </w:rPr>
        <w:t xml:space="preserve">mg</w:t>
      </w:r>
      <w:r>
        <w:rPr>
          <w:i w:val="1"/>
          <w:color w:val="323232"/>
        </w:rPr>
        <w:t xml:space="preserve">kg). A Foley urinary catheter was aseptically placed and the transvesical technique was used to obtain intra-abdominal pressure (IAP). The IAP measurements were obtained with the dogs in a standing position after a stabilization period of 5 minutes. The mean IAP values for each of the 3 dogs were 26.0, 12.0, and 13.0</w:t>
      </w:r>
      <w:r>
        <w:rPr>
          <w:color w:val="323232"/>
        </w:rPr>
        <w:t xml:space="preserve"> </w:t>
      </w:r>
      <w:r>
        <w:rPr>
          <w:i w:val="1"/>
          <w:color w:val="323232"/>
        </w:rPr>
        <w:t xml:space="preserve">mm Hg. Anesthesia was induced with IV propofol (2.0-4.0</w:t>
      </w:r>
      <w:r>
        <w:rPr>
          <w:color w:val="323232"/>
        </w:rPr>
        <w:t xml:space="preserve"> </w:t>
      </w:r>
      <w:r>
        <w:rPr>
          <w:i w:val="1"/>
          <w:color w:val="323232"/>
        </w:rPr>
        <w:t xml:space="preserve">mg</w:t>
      </w:r>
      <w:r>
        <w:rPr>
          <w:color w:val="323232"/>
        </w:rPr>
        <w:t xml:space="preserve">kg, to effect) in all 3 dogs and maintained with sevoflurane in 2 dogs. Compression of the caudal vena cava and elevation of the diaphragm were observed in all 3 dogs, whereas renal compression and the extension of peritoneal fluid to the vaginal canal and cavity were seen in the dog with the highest IAP.</w:t>
      </w:r>
    </w:p>
    <w:p/>
    <w:p>
      <w:pPr>
        <w:pStyle w:val="Normal"/>
      </w:pPr>
      <w:r>
        <w:rPr>
          <w:color w:val="323232"/>
        </w:rPr>
        <w:t xml:space="preserve">NEW OR UNIQUE INFORMATION PROVIDED:Compression of the caudal vena cava, direct renal compression, and the extension of peritoneal fluid into the vaginal canal and vaginal cavity are consistent with a diagnosis of IAH. Measurement of IAP and detection of these CT features should alert clinicians to the possible presence of IAH in veterinary patients.</w:t>
      </w:r>
    </w:p>
    <w:p/>
    <w:p>
      <w:pPr>
        <w:pStyle w:val="Normal"/>
      </w:pPr>
      <w:r>
        <w:rPr>
          <w:color w:val="323232"/>
        </w:rPr>
        <w:t xml:space="preserve">J Vet Emerg Crit Care (San Antonio), 2019 vol. 29 (2) pp. 185-189.</w:t>
      </w:r>
    </w:p>
    <w:p>
      <w:r>
        <w:rPr>
          <w:rStyle w:val="Hyperlink"/>
        </w:rPr>
        <w:fldChar w:fldCharType="begin"/>
      </w:r>
      <w:r>
        <w:rPr>
          <w:rStyle w:val="Hyperlink"/>
        </w:rPr>
        <w:instrText xml:space="preserve"> HYPERLINK "http://eutils.ncbi.nlm.nih.gov/entrez/eutils/elink.fcgi?dbfrom=pubmed&amp;id=30742356&amp;retmode=ref&amp;cmd=prlinks"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http://eutils.ncbi.nlm.nih.gov/entrez/eutils/elink.fcgi?dbfrom=pubmed&amp;id=30742356&amp;retmode=ref&amp;cmd=prlinks</w:t>
      </w:r>
      <w:r>
        <w:rPr>
          <w:rStyle w:val="Hyperlink"/>
        </w:rPr>
        <w:fldChar w:fldCharType="end"/>
      </w:r>
    </w:p>
    <w:p>
      <w:pPr>
        <w:pStyle w:val="Normal"/>
      </w:pPr>
      <w:r>
        <w:rPr>
          <w:color w:val="323232"/>
        </w:rPr>
        <w:t xml:space="preserve">————————</w:t>
      </w:r>
    </w:p>
    <w:p>
      <w:pPr>
        <w:pStyle w:val="Heading4"/>
      </w:pPr>
      <w:r>
        <w:t xml:space="preserve">Acute liver failure in two dogs following ingestion of cheese tree (Glochidion ferdinandi) roots.</w:t>
      </w:r>
    </w:p>
    <w:p/>
    <w:p>
      <w:pPr>
        <w:pStyle w:val="Normal"/>
      </w:pPr>
      <w:r>
        <w:rPr>
          <w:color w:val="323232"/>
        </w:rPr>
        <w:t xml:space="preserve">Christine Griebsch, Joanna Whitney, John Angles, and Peter Bennett.</w:t>
      </w:r>
    </w:p>
    <w:p/>
    <w:p>
      <w:pPr>
        <w:pStyle w:val="Normal"/>
      </w:pPr>
      <w:r>
        <w:rPr>
          <w:color w:val="323232"/>
        </w:rPr>
        <w:t xml:space="preserve">OBJECTIVE:To describe the management and resolution of acute liver failure (ALF) in two dogs following ingestion of cheese tree (Glochidion ferdinandi) roots.</w:t>
      </w:r>
    </w:p>
    <w:p/>
    <w:p>
      <w:pPr>
        <w:pStyle w:val="Normal"/>
      </w:pPr>
      <w:r>
        <w:rPr>
          <w:color w:val="323232"/>
        </w:rPr>
        <w:t xml:space="preserve">CASE SUMMARIES:A 2-year-old male entire Bullmastiff and a 5-year-old female neutered German Shepherd dog were presented for acute-onset lethargy and vomiting after chewing on tree roots of a cheese tree. Both dogs developed clinical abnormalities consistent with ALF, including hepatic encephalopathy, marked increase in alanine aminotransferase activity and bilirubin concentration, and prolonged coagulation times. Treatment included administration of intravenous fluids, hepatoprotectants, vitamin K1 , antibiotics, lactulose, antacids, antiemetics, and multiple fresh frozen plasma transfusions. Follow-up examinations performed 30 days after initial presentation revealed the dogs to be clinically healthy with serum biochemical and coagulation profiles within reference intervals.</w:t>
      </w:r>
    </w:p>
    <w:p/>
    <w:p>
      <w:pPr>
        <w:pStyle w:val="Normal"/>
      </w:pPr>
      <w:r>
        <w:rPr>
          <w:color w:val="323232"/>
        </w:rPr>
        <w:t xml:space="preserve">NEW OR UNIQUE INFORMATION:This is the first report describing ALF in two dogs following ingestion of cheese tree (G. ferdinandi) roots. In this clinical setting, despite a poor prognosis, survival and recovery of adequate liver function were possible with medical management.</w:t>
      </w:r>
    </w:p>
    <w:p/>
    <w:p>
      <w:pPr>
        <w:pStyle w:val="Normal"/>
      </w:pPr>
      <w:r>
        <w:rPr>
          <w:color w:val="323232"/>
        </w:rPr>
        <w:t xml:space="preserve">J Vet Emerg Crit Care (San Antonio), 2019 vol. 29 (2) pp. 190-200.</w:t>
      </w:r>
    </w:p>
    <w:p>
      <w:r>
        <w:rPr>
          <w:rStyle w:val="Hyperlink"/>
        </w:rPr>
        <w:fldChar w:fldCharType="begin"/>
      </w:r>
      <w:r>
        <w:rPr>
          <w:rStyle w:val="Hyperlink"/>
        </w:rPr>
        <w:instrText xml:space="preserve"> HYPERLINK "http://eutils.ncbi.nlm.nih.gov/entrez/eutils/elink.fcgi?dbfrom=pubmed&amp;id=30507024&amp;retmode=ref&amp;cmd=prlinks"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http://eutils.ncbi.nlm.nih.gov/entrez/eutils/elink.fcgi?dbfrom=pubmed&amp;id=30507024&amp;retmode=ref&amp;cmd=prlinks</w:t>
      </w:r>
      <w:r>
        <w:rPr>
          <w:rStyle w:val="Hyperlink"/>
        </w:rPr>
        <w:fldChar w:fldCharType="end"/>
      </w:r>
    </w:p>
    <w:p>
      <w:pPr>
        <w:pStyle w:val="Normal"/>
      </w:pPr>
      <w:r>
        <w:rPr>
          <w:color w:val="323232"/>
        </w:rPr>
        <w:t xml:space="preserve">————————</w:t>
      </w:r>
    </w:p>
    <w:p>
      <w:pPr>
        <w:pStyle w:val="Heading4"/>
      </w:pPr>
      <w:r>
        <w:t xml:space="preserve">Acute barium poisoning in a dog after ingestion of handheld fireworks (party sparklers).</w:t>
      </w:r>
    </w:p>
    <w:p/>
    <w:p>
      <w:pPr>
        <w:pStyle w:val="Normal"/>
      </w:pPr>
      <w:r>
        <w:rPr>
          <w:color w:val="323232"/>
        </w:rPr>
        <w:t xml:space="preserve">Monique K Stanley, Kylie Kelers, Elise Boller, and Manuel Boller.</w:t>
      </w:r>
    </w:p>
    <w:p/>
    <w:p>
      <w:pPr>
        <w:pStyle w:val="Normal"/>
      </w:pPr>
      <w:r>
        <w:rPr>
          <w:color w:val="323232"/>
        </w:rPr>
        <w:t xml:space="preserve">OBJECTIVE:To report a case of acute barium poisoning in a dog subsequent to ingestion of a common handheld pyrotechnic (sparkler).</w:t>
      </w:r>
    </w:p>
    <w:p/>
    <w:p>
      <w:pPr>
        <w:pStyle w:val="Normal"/>
      </w:pPr>
      <w:r>
        <w:rPr>
          <w:color w:val="323232"/>
        </w:rPr>
        <w:t xml:space="preserve">CASE SUMMARY:A 5-year-old female neutered German Shorthaired Pointer presented with acute onset of generalized flaccid muscle paralysis and fasciculations, ptyalism, and an irregular heart rhythm. Marked hypokalemia (1.9 mmol</w:t>
      </w:r>
      <w:r>
        <w:rPr>
          <w:i w:val="1"/>
          <w:color w:val="323232"/>
        </w:rPr>
        <w:t xml:space="preserve">L [mEq</w:t>
      </w:r>
      <w:r>
        <w:rPr>
          <w:color w:val="323232"/>
        </w:rPr>
        <w:t xml:space="preserve">L]; reference range [3.5-5.8 mmol</w:t>
      </w:r>
      <w:r>
        <w:rPr>
          <w:i w:val="1"/>
          <w:color w:val="323232"/>
        </w:rPr>
        <w:t xml:space="preserve">L [mEq</w:t>
      </w:r>
      <w:r>
        <w:rPr>
          <w:color w:val="323232"/>
        </w:rPr>
        <w:t xml:space="preserve">L]), acidemia (pH 7.20; reference range 7.38-7.44), and hypoventilation (PvCO2 55 mm Hg; reference range 40-50 mm Hg) were present on admission. Treatment consisted of fluid therapy, aggressive IV potassium chloride supplementation, gastric lavage, and oral magnesium sulfate administration. Based on history and clinical presentation, barium intoxication after ingestion of handheld firework (sparklers) was suspected and a serum sample was submitted for barium analysis. The serum barium concentration determined by inductively coupled plasma/ mass spectrometry was 2,000 μg/ L, a 3 orders of magnitude elevation above previously reported normal values in dogs. Within 18 hours of admission, the clinical signs resolved and the blood potassium concentration normalized. The animal was discharged home 36 hours after admission. On follow-up performed after 1 and 5 years, no health issues were apparent.</w:t>
      </w:r>
    </w:p>
    <w:p/>
    <w:p>
      <w:pPr>
        <w:pStyle w:val="Normal"/>
      </w:pPr>
      <w:r>
        <w:rPr>
          <w:color w:val="323232"/>
        </w:rPr>
        <w:t xml:space="preserve">NEW INFORMATION PROVIDED:To the authors' knowledge, this is the first report of acute, life-threatening barium toxicosis characterized by flaccid paralysis, acidemia, and severe hypokalemia occurring in a dog after ingestion of a popular pyrotechnic (sparkler) containing barium nitrate. Clinical signs may resolve within 24 hours with appropriate supportive care including aggressive potassium supplementation and chelation therapy.</w:t>
      </w:r>
    </w:p>
    <w:p/>
    <w:p>
      <w:pPr>
        <w:pStyle w:val="Normal"/>
      </w:pPr>
      <w:r>
        <w:rPr>
          <w:color w:val="323232"/>
        </w:rPr>
        <w:t xml:space="preserve">J Vet Emerg Crit Care (San Antonio), 2019 vol. 29 (2) pp. 201-207.</w:t>
      </w:r>
    </w:p>
    <w:p>
      <w:r>
        <w:rPr>
          <w:rStyle w:val="Hyperlink"/>
        </w:rPr>
        <w:fldChar w:fldCharType="begin"/>
      </w:r>
      <w:r>
        <w:rPr>
          <w:rStyle w:val="Hyperlink"/>
        </w:rPr>
        <w:instrText xml:space="preserve"> HYPERLINK "http://eutils.ncbi.nlm.nih.gov/entrez/eutils/elink.fcgi?dbfrom=pubmed&amp;id=30861291&amp;retmode=ref&amp;cmd=prlinks"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http://eutils.ncbi.nlm.nih.gov/entrez/eutils/elink.fcgi?dbfrom=pubmed&amp;id=30861291&amp;retmode=ref&amp;cmd=prlinks</w:t>
      </w:r>
      <w:r>
        <w:rPr>
          <w:rStyle w:val="Hyperlink"/>
        </w:rPr>
        <w:fldChar w:fldCharType="end"/>
      </w:r>
    </w:p>
    <w:p>
      <w:pPr>
        <w:pStyle w:val="Normal"/>
      </w:pPr>
      <w:r>
        <w:rPr>
          <w:color w:val="323232"/>
        </w:rPr>
        <w:t xml:space="preserve">————————</w:t>
      </w:r>
    </w:p>
    <w:p>
      <w:pPr>
        <w:pStyle w:val="Heading4"/>
      </w:pPr>
      <w:r>
        <w:t xml:space="preserve">Development and validation of a hemangiosarcoma likelihood prediction model in dogs presenting with spontaneous hemoabdomen: The HeLP score.</w:t>
      </w:r>
    </w:p>
    <w:p/>
    <w:p>
      <w:pPr>
        <w:pStyle w:val="Normal"/>
      </w:pPr>
      <w:r>
        <w:rPr>
          <w:color w:val="323232"/>
        </w:rPr>
        <w:t xml:space="preserve">Ashley R Schick, Galina M Hayes, Ameet Singh, Kyle G Mathews, Mary Lynn Higginbotham, and J Matthew Sherwood.</w:t>
      </w:r>
    </w:p>
    <w:p/>
    <w:p>
      <w:pPr>
        <w:pStyle w:val="Normal"/>
      </w:pPr>
      <w:r>
        <w:rPr>
          <w:color w:val="323232"/>
        </w:rPr>
        <w:t xml:space="preserve">OBJECTIVE:To calculate a risk prediction model for hemangiosarcoma (HSA) diagnosis in dogs presenting with nontraumatic hemoabdomen.</w:t>
      </w:r>
    </w:p>
    <w:p/>
    <w:p>
      <w:pPr>
        <w:pStyle w:val="Normal"/>
      </w:pPr>
      <w:r>
        <w:rPr>
          <w:color w:val="323232"/>
        </w:rPr>
        <w:t xml:space="preserve">DESIGN:Retrospective multicenter observational cohort study enrolling dogs presented 2003-2016.</w:t>
      </w:r>
    </w:p>
    <w:p/>
    <w:p>
      <w:pPr>
        <w:pStyle w:val="Normal"/>
      </w:pPr>
      <w:r>
        <w:rPr>
          <w:color w:val="323232"/>
        </w:rPr>
        <w:t xml:space="preserve">SETTING:Five academic veterinary medical centers.</w:t>
      </w:r>
    </w:p>
    <w:p/>
    <w:p>
      <w:pPr>
        <w:pStyle w:val="Normal"/>
      </w:pPr>
      <w:r>
        <w:rPr>
          <w:color w:val="323232"/>
        </w:rPr>
        <w:t xml:space="preserve">ANIMALS:A total of 406 dogs with nontraumatic hemoabdomen as the presenting complaint that underwent surgical exploration or necropsy and received a histological diagnosis. Overall, 219 dogs from 3 centers provided the data for model construction, and 187 dogs from 2 centers provided the population for external validation.</w:t>
      </w:r>
    </w:p>
    <w:p/>
    <w:p>
      <w:pPr>
        <w:pStyle w:val="Normal"/>
      </w:pPr>
      <w:r>
        <w:rPr>
          <w:color w:val="323232"/>
        </w:rPr>
        <w:t xml:space="preserve">INTERVENTIONS:None.</w:t>
      </w:r>
    </w:p>
    <w:p/>
    <w:p>
      <w:pPr>
        <w:pStyle w:val="Normal"/>
      </w:pPr>
      <w:r>
        <w:rPr>
          <w:color w:val="323232"/>
        </w:rPr>
        <w:t xml:space="preserve">MEASUREMENTS AND MAIN RESULTS:The risk score was modeled on 4 predictors: bodyweight (P = 0.01), total plasma protein (P &lt; 0.01), platelet count (P &lt; 0.01), and thoracic radiograph findings (P = 0.02). The incidence of HSA diagnosis was 36%, 76%, and 96% in the low risk (≤40), medium risk (41-55), and high risk (&gt;55) score groups, respectively. The risk score AUROC was 0.85 (95% CI 0.79-0.90) on the construction population, and 0.77 (95% CI 0.70-0.84) on the validation population.</w:t>
      </w:r>
    </w:p>
    <w:p/>
    <w:p>
      <w:pPr>
        <w:pStyle w:val="Normal"/>
      </w:pPr>
      <w:r>
        <w:rPr>
          <w:color w:val="323232"/>
        </w:rPr>
        <w:t xml:space="preserve">CONCLUSIONS:The risk of HSA diagnosis in dogs presenting with nontraumatic hemoabdomen could be predicted using a simple risk score, which could aid in identification and treatment of dogs at lower risk for this diagnosis.</w:t>
      </w:r>
    </w:p>
    <w:p/>
    <w:p>
      <w:pPr>
        <w:pStyle w:val="Normal"/>
      </w:pPr>
      <w:r>
        <w:rPr>
          <w:color w:val="323232"/>
        </w:rPr>
        <w:t xml:space="preserve">J Vet Emerg Crit Care (San Antonio), 2019 vol. 29 (3) pp. 239-245.</w:t>
      </w:r>
    </w:p>
    <w:p>
      <w:r>
        <w:rPr>
          <w:rStyle w:val="Hyperlink"/>
        </w:rPr>
        <w:fldChar w:fldCharType="begin"/>
      </w:r>
      <w:r>
        <w:rPr>
          <w:rStyle w:val="Hyperlink"/>
        </w:rPr>
        <w:instrText xml:space="preserve"> HYPERLINK "http://eutils.ncbi.nlm.nih.gov/entrez/eutils/elink.fcgi?dbfrom=pubmed&amp;id=30994972&amp;retmode=ref&amp;cmd=prlinks"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http://eutils.ncbi.nlm.nih.gov/entrez/eutils/elink.fcgi?dbfrom=pubmed&amp;id=30994972&amp;retmode=ref&amp;cmd=prlinks</w:t>
      </w:r>
      <w:r>
        <w:rPr>
          <w:rStyle w:val="Hyperlink"/>
        </w:rPr>
        <w:fldChar w:fldCharType="end"/>
      </w:r>
    </w:p>
    <w:p>
      <w:pPr>
        <w:pStyle w:val="Normal"/>
      </w:pPr>
      <w:r>
        <w:rPr>
          <w:color w:val="323232"/>
        </w:rPr>
        <w:t xml:space="preserve">————————</w:t>
      </w:r>
    </w:p>
    <w:p>
      <w:pPr>
        <w:pStyle w:val="Heading4"/>
      </w:pPr>
      <w:r>
        <w:t xml:space="preserve">Comparison of high flow nasal cannula oxygen administration to traditional nasal cannula oxygen therapy in healthy dogs.</w:t>
      </w:r>
    </w:p>
    <w:p/>
    <w:p>
      <w:pPr>
        <w:pStyle w:val="Normal"/>
      </w:pPr>
      <w:r>
        <w:rPr>
          <w:color w:val="323232"/>
        </w:rPr>
        <w:t xml:space="preserve">Tiffany A Jagodich, Alexa M E Bersenas, Shane W Bateman, and Carolyn L Kerr.</w:t>
      </w:r>
    </w:p>
    <w:p/>
    <w:p>
      <w:pPr>
        <w:pStyle w:val="Normal"/>
      </w:pPr>
      <w:r>
        <w:rPr>
          <w:color w:val="323232"/>
        </w:rPr>
        <w:t xml:space="preserve">OBJECTIVE:To determine the feasibility, degree of respiratory support, and safety of high flow nasal cannula (HFNC) oxygen therapy in sedated and awake healthy dogs, when compared to traditional nasal cannula (TNC) oxygen administration.</w:t>
      </w:r>
    </w:p>
    <w:p/>
    <w:p>
      <w:pPr>
        <w:pStyle w:val="Normal"/>
      </w:pPr>
      <w:r>
        <w:rPr>
          <w:color w:val="323232"/>
        </w:rPr>
        <w:t xml:space="preserve">DESIGN:Randomized experimental crossover study.</w:t>
      </w:r>
    </w:p>
    <w:p/>
    <w:p>
      <w:pPr>
        <w:pStyle w:val="Normal"/>
      </w:pPr>
      <w:r>
        <w:rPr>
          <w:color w:val="323232"/>
        </w:rPr>
        <w:t xml:space="preserve">SETTING:University research facility.</w:t>
      </w:r>
    </w:p>
    <w:p/>
    <w:p>
      <w:pPr>
        <w:pStyle w:val="Normal"/>
      </w:pPr>
      <w:r>
        <w:rPr>
          <w:color w:val="323232"/>
        </w:rPr>
        <w:t xml:space="preserve">ANIMALS:Eight healthy dogs.</w:t>
      </w:r>
    </w:p>
    <w:p/>
    <w:p>
      <w:pPr>
        <w:pStyle w:val="Normal"/>
      </w:pPr>
      <w:r>
        <w:rPr>
          <w:color w:val="323232"/>
        </w:rPr>
        <w:t xml:space="preserve">INTERVENTIONS:Variable flow rates (L</w:t>
      </w:r>
      <w:r>
        <w:rPr>
          <w:i w:val="1"/>
          <w:color w:val="323232"/>
        </w:rPr>
        <w:t xml:space="preserve">kg</w:t>
      </w:r>
      <w:r>
        <w:rPr>
          <w:color w:val="323232"/>
        </w:rPr>
        <w:t xml:space="preserve">min) were assessed, TNC: 0.1, 0.2, and 0.4 and HFNC: 0.4, 1.0, 2.0, and 2.5. HFNC was assessed in sedated and awake dogs.</w:t>
      </w:r>
    </w:p>
    <w:p/>
    <w:p>
      <w:pPr>
        <w:pStyle w:val="Normal"/>
      </w:pPr>
      <w:r>
        <w:rPr>
          <w:color w:val="323232"/>
        </w:rPr>
        <w:t xml:space="preserve">MEASUREMENTS:Variables measured included: inspiratory</w:t>
      </w:r>
      <w:r>
        <w:rPr>
          <w:i w:val="1"/>
          <w:color w:val="323232"/>
        </w:rPr>
        <w:t xml:space="preserve">expiratory airway pressures, fraction of inspired oxygen (FiO2 ), end-tidal oxygen (ETO2 ), end-tidal carbon dioxide (ETCO2 ), partial pressure of oxygen (PaO2 ), partial pressure of carbon dioxide (PaCO2 ), temperature, heart</w:t>
      </w:r>
      <w:r>
        <w:rPr>
          <w:color w:val="323232"/>
        </w:rPr>
        <w:t xml:space="preserve">respiratory rate, arterial blood pressure, and pulse oximetry. Sedation status, complications, and predefined tolerance and respiratory scores were recorded.</w:t>
      </w:r>
    </w:p>
    <w:p/>
    <w:p>
      <w:pPr>
        <w:pStyle w:val="Normal"/>
      </w:pPr>
      <w:r>
        <w:rPr>
          <w:color w:val="323232"/>
        </w:rPr>
        <w:t xml:space="preserve">MAIN RESULTS:Using HFNC, continuous positive airway pressure (CPAP) was achieved at 1 and 2 L</w:t>
      </w:r>
      <w:r>
        <w:rPr>
          <w:i w:val="1"/>
          <w:color w:val="323232"/>
        </w:rPr>
        <w:t xml:space="preserve">kg</w:t>
      </w:r>
      <w:r>
        <w:rPr>
          <w:color w:val="323232"/>
        </w:rPr>
        <w:t xml:space="preserve">min. CPAP was not higher at 2.5 than 2 L</w:t>
      </w:r>
      <w:r>
        <w:rPr>
          <w:i w:val="1"/>
          <w:color w:val="323232"/>
        </w:rPr>
        <w:t xml:space="preserve">kg</w:t>
      </w:r>
      <w:r>
        <w:rPr>
          <w:color w:val="323232"/>
        </w:rPr>
        <w:t xml:space="preserve">min, with worse tolerance scores. Expiratory airway pressures were increased when sedated (P = 0.006). FiO2 at 0.4 L</w:t>
      </w:r>
      <w:r>
        <w:rPr>
          <w:i w:val="1"/>
          <w:color w:val="323232"/>
        </w:rPr>
        <w:t xml:space="preserve">kg</w:t>
      </w:r>
      <w:r>
        <w:rPr>
          <w:color w:val="323232"/>
        </w:rPr>
        <w:t xml:space="preserve">min for both methods was 72%. FiO2 with TNC 0.1 L</w:t>
      </w:r>
      <w:r>
        <w:rPr>
          <w:i w:val="1"/>
          <w:color w:val="323232"/>
        </w:rPr>
        <w:t xml:space="preserve">kg</w:t>
      </w:r>
      <w:r>
        <w:rPr>
          <w:color w:val="323232"/>
        </w:rPr>
        <w:t xml:space="preserve">min was 27% and not different from room air. The FiO2 at all HFNC flow rates ≥1 L</w:t>
      </w:r>
      <w:r>
        <w:rPr>
          <w:i w:val="1"/>
          <w:color w:val="323232"/>
        </w:rPr>
        <w:t xml:space="preserve">kg</w:t>
      </w:r>
      <w:r>
        <w:rPr>
          <w:color w:val="323232"/>
        </w:rPr>
        <w:t xml:space="preserve">min was 95%. PaO2 for HFNC 0.4 L</w:t>
      </w:r>
      <w:r>
        <w:rPr>
          <w:i w:val="1"/>
          <w:color w:val="323232"/>
        </w:rPr>
        <w:t xml:space="preserve">kg</w:t>
      </w:r>
      <w:r>
        <w:rPr>
          <w:color w:val="323232"/>
        </w:rPr>
        <w:t xml:space="preserve">min was lower than at other flow rates (P = 0.005). The only noted complication was aerophagia. PaCO2 was increased with sedation and use of HFNC when compared to baseline (P = 0.006; P &lt; 0.01).</w:t>
      </w:r>
    </w:p>
    <w:p/>
    <w:p>
      <w:pPr>
        <w:pStyle w:val="Normal"/>
      </w:pPr>
      <w:r>
        <w:rPr>
          <w:color w:val="323232"/>
        </w:rPr>
        <w:t xml:space="preserve">CONCLUSIONS:Use of HFNC in dogs is feasible and safe, provides predictable oxygen support and provides CPAP, but may cause a mild increase in PaCO2 . Flow rates of 1-2 L</w:t>
      </w:r>
      <w:r>
        <w:rPr>
          <w:i w:val="1"/>
          <w:color w:val="323232"/>
        </w:rPr>
        <w:t xml:space="preserve">kg</w:t>
      </w:r>
      <w:r>
        <w:rPr>
          <w:color w:val="323232"/>
        </w:rPr>
        <w:t xml:space="preserve">min are recommended. If using TNC, flow rates above 0.1 L</w:t>
      </w:r>
      <w:r>
        <w:rPr>
          <w:i w:val="1"/>
          <w:color w:val="323232"/>
        </w:rPr>
        <w:t xml:space="preserve">kg</w:t>
      </w:r>
      <w:r>
        <w:rPr>
          <w:color w:val="323232"/>
        </w:rPr>
        <w:t xml:space="preserve">min may attain higher FiO2 .</w:t>
      </w:r>
    </w:p>
    <w:p/>
    <w:p>
      <w:pPr>
        <w:pStyle w:val="Normal"/>
      </w:pPr>
      <w:r>
        <w:rPr>
          <w:color w:val="323232"/>
        </w:rPr>
        <w:t xml:space="preserve">J Vet Emerg Crit Care (San Antonio), 2019 vol. 29 (3) pp. 246-255.</w:t>
      </w:r>
    </w:p>
    <w:p>
      <w:r>
        <w:rPr>
          <w:rStyle w:val="Hyperlink"/>
        </w:rPr>
        <w:fldChar w:fldCharType="begin"/>
      </w:r>
      <w:r>
        <w:rPr>
          <w:rStyle w:val="Hyperlink"/>
        </w:rPr>
        <w:instrText xml:space="preserve"> HYPERLINK "http://eutils.ncbi.nlm.nih.gov/entrez/eutils/elink.fcgi?dbfrom=pubmed&amp;id=30861261&amp;retmode=ref&amp;cmd=prlinks"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http://eutils.ncbi.nlm.nih.gov/entrez/eutils/elink.fcgi?dbfrom=pubmed&amp;id=30861261&amp;retmode=ref&amp;cmd=prlinks</w:t>
      </w:r>
      <w:r>
        <w:rPr>
          <w:rStyle w:val="Hyperlink"/>
        </w:rPr>
        <w:fldChar w:fldCharType="end"/>
      </w:r>
    </w:p>
    <w:p>
      <w:pPr>
        <w:pStyle w:val="Normal"/>
      </w:pPr>
      <w:r>
        <w:rPr>
          <w:color w:val="323232"/>
        </w:rPr>
        <w:t xml:space="preserve">————————</w:t>
      </w:r>
    </w:p>
    <w:p>
      <w:pPr>
        <w:pStyle w:val="Heading4"/>
      </w:pPr>
      <w:r>
        <w:t xml:space="preserve">Cardiovascular biomarkers in dogs with systemic inflammatory response syndrome.</w:t>
      </w:r>
    </w:p>
    <w:p/>
    <w:p>
      <w:pPr>
        <w:pStyle w:val="Normal"/>
      </w:pPr>
      <w:r>
        <w:rPr>
          <w:color w:val="323232"/>
        </w:rPr>
        <w:t xml:space="preserve">Kris Gommeren, Isabelle Desmas, Alexandra Garcia, Cécile Clercx, Kathleen Mc Entee, Anne-Christine Merveille, and Dominique Peeters.</w:t>
      </w:r>
    </w:p>
    <w:p/>
    <w:p>
      <w:pPr>
        <w:pStyle w:val="Normal"/>
      </w:pPr>
      <w:r>
        <w:rPr>
          <w:color w:val="323232"/>
        </w:rPr>
        <w:t xml:space="preserve">OBJECTIVE:To measure plasma N-terminal fragments of pro-B-type natriuretic peptides (NT-proBNP) and cardiac troponin T (cTnT) concentration in hospitalized dogs and relate these markers to underlying conditions and evaluate their potential as prognostic markers in dogs with systemic inflammatory response syndrome (SIRS).</w:t>
      </w:r>
    </w:p>
    <w:p/>
    <w:p>
      <w:pPr>
        <w:pStyle w:val="Normal"/>
      </w:pPr>
      <w:r>
        <w:rPr>
          <w:color w:val="323232"/>
        </w:rPr>
        <w:t xml:space="preserve">DESIGN:Prospective, observational, clinical study.</w:t>
      </w:r>
    </w:p>
    <w:p/>
    <w:p>
      <w:pPr>
        <w:pStyle w:val="Normal"/>
      </w:pPr>
      <w:r>
        <w:rPr>
          <w:color w:val="323232"/>
        </w:rPr>
        <w:t xml:space="preserve">SETTING:Emergency department of a university teaching hospital.</w:t>
      </w:r>
    </w:p>
    <w:p/>
    <w:p>
      <w:pPr>
        <w:pStyle w:val="Normal"/>
      </w:pPr>
      <w:r>
        <w:rPr>
          <w:color w:val="323232"/>
        </w:rPr>
        <w:t xml:space="preserve">ANIMALS:Sixty-nine dogs with SIRS examined in the emergency department were prospectively studied. Patient age ranged from 5 months to 15 years, and weight ranged from 5.5 to 75 kg.</w:t>
      </w:r>
    </w:p>
    <w:p/>
    <w:p>
      <w:pPr>
        <w:pStyle w:val="Normal"/>
      </w:pPr>
      <w:r>
        <w:rPr>
          <w:color w:val="323232"/>
        </w:rPr>
        <w:t xml:space="preserve">MEASUREMENTS AND MAIN RESULTS:Blood samples were obtained at presentation, during hospitalization until discharge or death, and at a "control" visit (T1m) at least 1 month after hospital discharge. NT-proBNP was assayed with a commercially available canine ELISA, while cTnT was measured with an automated immunoassay previously used in dogs. A correlation procedure, mixed procedure on a linear model, and a logistic procedure were performed. Forty-four patients survived, 19 of which had control visits. cTnT concentrations were significantly higher than T0 and T1m at T12, T24, and T72. In 28 dogs, cTnT was detected during hospitalization, but cTnT was not detected in any dog at the control visits. Higher concentrations of cTnT were negatively associated with survival, irrespective of disease category. NT-proBNP concentrations were significantly higher than T0, T6, T12, and T1m at T24, T72, and T120, but were not associated with survival.</w:t>
      </w:r>
    </w:p>
    <w:p/>
    <w:p>
      <w:pPr>
        <w:pStyle w:val="Normal"/>
      </w:pPr>
      <w:r>
        <w:rPr>
          <w:color w:val="323232"/>
        </w:rPr>
        <w:t xml:space="preserve">CONCLUSIONS:NT-proBNP and cTnT increased significantly in dogs with SIRS, regardless of the underlying disease process. Nonsurvivors displayed significantly higher cTnT concentrations during hospitalization.</w:t>
      </w:r>
    </w:p>
    <w:p/>
    <w:p>
      <w:pPr>
        <w:pStyle w:val="Normal"/>
      </w:pPr>
      <w:r>
        <w:rPr>
          <w:color w:val="323232"/>
        </w:rPr>
        <w:t xml:space="preserve">J Vet Emerg Crit Care (San Antonio), 2019 vol. 29 (3) pp. 256-263.</w:t>
      </w:r>
    </w:p>
    <w:p>
      <w:r>
        <w:rPr>
          <w:rStyle w:val="Hyperlink"/>
        </w:rPr>
        <w:fldChar w:fldCharType="begin"/>
      </w:r>
      <w:r>
        <w:rPr>
          <w:rStyle w:val="Hyperlink"/>
        </w:rPr>
        <w:instrText xml:space="preserve"> HYPERLINK "http://eutils.ncbi.nlm.nih.gov/entrez/eutils/elink.fcgi?dbfrom=pubmed&amp;id=31034737&amp;retmode=ref&amp;cmd=prlinks"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http://eutils.ncbi.nlm.nih.gov/entrez/eutils/elink.fcgi?dbfrom=pubmed&amp;id=31034737&amp;retmode=ref&amp;cmd=prlinks</w:t>
      </w:r>
      <w:r>
        <w:rPr>
          <w:rStyle w:val="Hyperlink"/>
        </w:rPr>
        <w:fldChar w:fldCharType="end"/>
      </w:r>
    </w:p>
    <w:p>
      <w:pPr>
        <w:pStyle w:val="Normal"/>
      </w:pPr>
      <w:r>
        <w:rPr>
          <w:color w:val="323232"/>
        </w:rPr>
        <w:t xml:space="preserve">————————</w:t>
      </w:r>
    </w:p>
    <w:p>
      <w:pPr>
        <w:pStyle w:val="Heading4"/>
      </w:pPr>
      <w:r>
        <w:t xml:space="preserve">Multicenter investigation of hemostatic dysfunction in 15 dogs with acute pancreatitis.</w:t>
      </w:r>
    </w:p>
    <w:p/>
    <w:p>
      <w:pPr>
        <w:pStyle w:val="Normal"/>
      </w:pPr>
      <w:r>
        <w:rPr>
          <w:color w:val="323232"/>
        </w:rPr>
        <w:t xml:space="preserve">Lindsey Nielsen, Jennifer Holm, Elizabeth Rozanski, Dawn Meola, Lori Lyn Price, and Armelle de Laforcade.</w:t>
      </w:r>
    </w:p>
    <w:p/>
    <w:p>
      <w:pPr>
        <w:pStyle w:val="Normal"/>
      </w:pPr>
      <w:r>
        <w:rPr>
          <w:color w:val="323232"/>
        </w:rPr>
        <w:t xml:space="preserve">OBJECTIVE:To characterize hemostatic profiles in dogs with acute pancreatitis.</w:t>
      </w:r>
    </w:p>
    <w:p/>
    <w:p>
      <w:pPr>
        <w:pStyle w:val="Normal"/>
      </w:pPr>
      <w:r>
        <w:rPr>
          <w:color w:val="323232"/>
        </w:rPr>
        <w:t xml:space="preserve">DESIGN:Prospective and observational study.</w:t>
      </w:r>
    </w:p>
    <w:p/>
    <w:p>
      <w:pPr>
        <w:pStyle w:val="Normal"/>
      </w:pPr>
      <w:r>
        <w:rPr>
          <w:color w:val="323232"/>
        </w:rPr>
        <w:t xml:space="preserve">SETTING:Tertiary referral centers.</w:t>
      </w:r>
    </w:p>
    <w:p/>
    <w:p>
      <w:pPr>
        <w:pStyle w:val="Normal"/>
      </w:pPr>
      <w:r>
        <w:rPr>
          <w:color w:val="323232"/>
        </w:rPr>
        <w:t xml:space="preserve">ANIMALS:Fifteen client-owned dogs with acute pancreatitis enrolled between December 1, 2011 and June 1, 2012.</w:t>
      </w:r>
    </w:p>
    <w:p/>
    <w:p>
      <w:pPr>
        <w:pStyle w:val="Normal"/>
      </w:pPr>
      <w:r>
        <w:rPr>
          <w:color w:val="323232"/>
        </w:rPr>
        <w:t xml:space="preserve">MATERIALS AND METHODS:Blood samples were collected on admission for measurement of platelet count, PCV, thromboelastography (TEG), antithrombin, prothrombin time, activated partial thromboplastin time, D-dimer, von Willebrand factor, and fibrinogen values, which were compared to reference intervals derived from healthy dogs. The Wilcoxon rank-sum test was used to test for differences in continuous variables between study subjects and reference intervals.</w:t>
      </w:r>
    </w:p>
    <w:p/>
    <w:p>
      <w:pPr>
        <w:pStyle w:val="Normal"/>
      </w:pPr>
      <w:r>
        <w:rPr>
          <w:color w:val="323232"/>
        </w:rPr>
        <w:t xml:space="preserve">MEASUREMENTS AND MAIN RESULTS:Dogs with acute pancreatitis were globally hypercoagulable using TEG when compared with reference intervals. Dogs with acute pancreatitis had significantly higher D-dimers (1,144</w:t>
      </w:r>
      <w:r>
        <w:rPr>
          <w:color w:val="323232"/>
        </w:rPr>
        <w:t xml:space="preserve"> </w:t>
      </w:r>
      <w:r>
        <w:rPr>
          <w:color w:val="323232"/>
        </w:rPr>
        <w:t xml:space="preserve">μg/ L vs 251</w:t>
      </w:r>
      <w:r>
        <w:rPr>
          <w:color w:val="323232"/>
        </w:rPr>
        <w:t xml:space="preserve"> </w:t>
      </w:r>
      <w:r>
        <w:rPr>
          <w:color w:val="323232"/>
        </w:rPr>
        <w:t xml:space="preserve">μg/ L [6264.5</w:t>
      </w:r>
      <w:r>
        <w:rPr>
          <w:color w:val="323232"/>
        </w:rPr>
        <w:t xml:space="preserve"> </w:t>
      </w:r>
      <w:r>
        <w:rPr>
          <w:color w:val="323232"/>
        </w:rPr>
        <w:t xml:space="preserve">vs 1374.5</w:t>
      </w:r>
      <w:r>
        <w:rPr>
          <w:color w:val="323232"/>
        </w:rPr>
        <w:t xml:space="preserve"> </w:t>
      </w:r>
      <w:r>
        <w:rPr>
          <w:color w:val="323232"/>
        </w:rPr>
        <w:t xml:space="preserve">nmol/ L]; P</w:t>
      </w:r>
      <w:r>
        <w:rPr>
          <w:color w:val="323232"/>
        </w:rPr>
        <w:t xml:space="preserve"> </w:t>
      </w:r>
      <w:r>
        <w:rPr>
          <w:color w:val="323232"/>
        </w:rPr>
        <w:t xml:space="preserve">=</w:t>
      </w:r>
      <w:r>
        <w:rPr>
          <w:color w:val="323232"/>
        </w:rPr>
        <w:t xml:space="preserve"> </w:t>
      </w:r>
      <w:r>
        <w:rPr>
          <w:color w:val="323232"/>
        </w:rPr>
        <w:t xml:space="preserve">0.001), fibrinogen (837</w:t>
      </w:r>
      <w:r>
        <w:rPr>
          <w:color w:val="323232"/>
        </w:rPr>
        <w:t xml:space="preserve"> </w:t>
      </w:r>
      <w:r>
        <w:rPr>
          <w:color w:val="323232"/>
        </w:rPr>
        <w:t xml:space="preserve">vs 232</w:t>
      </w:r>
      <w:r>
        <w:rPr>
          <w:color w:val="323232"/>
        </w:rPr>
        <w:t xml:space="preserve"> </w:t>
      </w:r>
      <w:r>
        <w:rPr>
          <w:color w:val="323232"/>
        </w:rPr>
        <w:t xml:space="preserve">mg/ dL [8.37</w:t>
      </w:r>
      <w:r>
        <w:rPr>
          <w:color w:val="323232"/>
        </w:rPr>
        <w:t xml:space="preserve"> </w:t>
      </w:r>
      <w:r>
        <w:rPr>
          <w:color w:val="323232"/>
        </w:rPr>
        <w:t xml:space="preserve">vs 2.32</w:t>
      </w:r>
      <w:r>
        <w:rPr>
          <w:color w:val="323232"/>
        </w:rPr>
        <w:t xml:space="preserve"> </w:t>
      </w:r>
      <w:r>
        <w:rPr>
          <w:color w:val="323232"/>
        </w:rPr>
        <w:t xml:space="preserve">g/ L]; P</w:t>
      </w:r>
      <w:r>
        <w:rPr>
          <w:color w:val="323232"/>
        </w:rPr>
        <w:t xml:space="preserve"> </w:t>
      </w:r>
      <w:r>
        <w:rPr>
          <w:color w:val="323232"/>
        </w:rPr>
        <w:t xml:space="preserve">&lt;</w:t>
      </w:r>
      <w:r>
        <w:rPr>
          <w:color w:val="323232"/>
        </w:rPr>
        <w:t xml:space="preserve"> </w:t>
      </w:r>
      <w:r>
        <w:rPr>
          <w:color w:val="323232"/>
        </w:rPr>
        <w:t xml:space="preserve">0.001), and von Willebrand factor (92.9%</w:t>
      </w:r>
      <w:r>
        <w:rPr>
          <w:color w:val="323232"/>
        </w:rPr>
        <w:t xml:space="preserve"> </w:t>
      </w:r>
      <w:r>
        <w:rPr>
          <w:color w:val="323232"/>
        </w:rPr>
        <w:t xml:space="preserve">vs 65.1%; P</w:t>
      </w:r>
      <w:r>
        <w:rPr>
          <w:color w:val="323232"/>
        </w:rPr>
        <w:t xml:space="preserve"> </w:t>
      </w:r>
      <w:r>
        <w:rPr>
          <w:color w:val="323232"/>
        </w:rPr>
        <w:t xml:space="preserve">=</w:t>
      </w:r>
      <w:r>
        <w:rPr>
          <w:color w:val="323232"/>
        </w:rPr>
        <w:t xml:space="preserve"> </w:t>
      </w:r>
      <w:r>
        <w:rPr>
          <w:color w:val="323232"/>
        </w:rPr>
        <w:t xml:space="preserve">0.02) as well as significantly lower antithrombin (85.7% vs 120%; P</w:t>
      </w:r>
      <w:r>
        <w:rPr>
          <w:color w:val="323232"/>
        </w:rPr>
        <w:t xml:space="preserve"> </w:t>
      </w:r>
      <w:r>
        <w:rPr>
          <w:color w:val="323232"/>
        </w:rPr>
        <w:t xml:space="preserve">&lt;</w:t>
      </w:r>
      <w:r>
        <w:rPr>
          <w:color w:val="323232"/>
        </w:rPr>
        <w:t xml:space="preserve"> </w:t>
      </w:r>
      <w:r>
        <w:rPr>
          <w:color w:val="323232"/>
        </w:rPr>
        <w:t xml:space="preserve">0.001) and prothrombin time values (3.8 vs 7.6 sec; P</w:t>
      </w:r>
      <w:r>
        <w:rPr>
          <w:color w:val="323232"/>
        </w:rPr>
        <w:t xml:space="preserve"> </w:t>
      </w:r>
      <w:r>
        <w:rPr>
          <w:color w:val="323232"/>
        </w:rPr>
        <w:t xml:space="preserve">&lt;</w:t>
      </w:r>
      <w:r>
        <w:rPr>
          <w:color w:val="323232"/>
        </w:rPr>
        <w:t xml:space="preserve"> </w:t>
      </w:r>
      <w:r>
        <w:rPr>
          <w:color w:val="323232"/>
        </w:rPr>
        <w:t xml:space="preserve">0.001) than reference intervals.</w:t>
      </w:r>
    </w:p>
    <w:p/>
    <w:p>
      <w:pPr>
        <w:pStyle w:val="Normal"/>
      </w:pPr>
      <w:r>
        <w:rPr>
          <w:color w:val="323232"/>
        </w:rPr>
        <w:t xml:space="preserve">CONCLUSIONS:Laboratory evidence of hypercoagulability was present in dogs with acute pancreatitis. TEG may be useful in dogs with acute pancreatitis for monitoring response to therapy and guiding therapeutic interventions.</w:t>
      </w:r>
    </w:p>
    <w:p/>
    <w:p>
      <w:pPr>
        <w:pStyle w:val="Normal"/>
      </w:pPr>
      <w:r>
        <w:rPr>
          <w:color w:val="323232"/>
        </w:rPr>
        <w:t xml:space="preserve">J Vet Emerg Crit Care (San Antonio), 2019 vol. 29 (3) pp. 264-268.</w:t>
      </w:r>
    </w:p>
    <w:p>
      <w:r>
        <w:rPr>
          <w:rStyle w:val="Hyperlink"/>
        </w:rPr>
        <w:fldChar w:fldCharType="begin"/>
      </w:r>
      <w:r>
        <w:rPr>
          <w:rStyle w:val="Hyperlink"/>
        </w:rPr>
        <w:instrText xml:space="preserve"> HYPERLINK "http://eutils.ncbi.nlm.nih.gov/entrez/eutils/elink.fcgi?dbfrom=pubmed&amp;id=31034751&amp;retmode=ref&amp;cmd=prlinks"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http://eutils.ncbi.nlm.nih.gov/entrez/eutils/elink.fcgi?dbfrom=pubmed&amp;id=31034751&amp;retmode=ref&amp;cmd=prlinks</w:t>
      </w:r>
      <w:r>
        <w:rPr>
          <w:rStyle w:val="Hyperlink"/>
        </w:rPr>
        <w:fldChar w:fldCharType="end"/>
      </w:r>
    </w:p>
    <w:p>
      <w:pPr>
        <w:pStyle w:val="Normal"/>
      </w:pPr>
      <w:r>
        <w:rPr>
          <w:color w:val="323232"/>
        </w:rPr>
        <w:t xml:space="preserve">————————</w:t>
      </w:r>
    </w:p>
    <w:p>
      <w:pPr>
        <w:pStyle w:val="Heading4"/>
      </w:pPr>
      <w:r>
        <w:t xml:space="preserve">Postmortem evaluation of renal tubular vacuolization in critically ill dogs.</w:t>
      </w:r>
    </w:p>
    <w:p/>
    <w:p>
      <w:pPr>
        <w:pStyle w:val="Normal"/>
      </w:pPr>
      <w:r>
        <w:rPr>
          <w:color w:val="323232"/>
        </w:rPr>
        <w:t xml:space="preserve">Sarah M Schmid, Rachel E Cianciolo, Kenneth J Drobatz, Melissa Sanchez, Josh M Price, and Lesley G King.</w:t>
      </w:r>
    </w:p>
    <w:p/>
    <w:p>
      <w:pPr>
        <w:pStyle w:val="Normal"/>
      </w:pPr>
      <w:r>
        <w:rPr>
          <w:color w:val="323232"/>
        </w:rPr>
        <w:t xml:space="preserve">OBJECTIVE:To describe the frequency of renal tubular vacuolization (RTV) as a surrogate of osmotic nephrosis and assess hyperosmolar agents as predictors of RTV severity.</w:t>
      </w:r>
    </w:p>
    <w:p/>
    <w:p>
      <w:pPr>
        <w:pStyle w:val="Normal"/>
      </w:pPr>
      <w:r>
        <w:rPr>
          <w:color w:val="323232"/>
        </w:rPr>
        <w:t xml:space="preserve">DESIGN:Retrospective study (February 2004-October 2014).</w:t>
      </w:r>
    </w:p>
    <w:p/>
    <w:p>
      <w:pPr>
        <w:pStyle w:val="Normal"/>
      </w:pPr>
      <w:r>
        <w:rPr>
          <w:color w:val="323232"/>
        </w:rPr>
        <w:t xml:space="preserve">SETTING:Veterinary teaching hospital.</w:t>
      </w:r>
    </w:p>
    <w:p/>
    <w:p>
      <w:pPr>
        <w:pStyle w:val="Normal"/>
      </w:pPr>
      <w:r>
        <w:rPr>
          <w:color w:val="323232"/>
        </w:rPr>
        <w:t xml:space="preserve">ANIMALS:Fifty-three client-owned, critically ill dogs that had a postmortem examination.</w:t>
      </w:r>
    </w:p>
    <w:p/>
    <w:p>
      <w:pPr>
        <w:pStyle w:val="Normal"/>
      </w:pPr>
      <w:r>
        <w:rPr>
          <w:color w:val="323232"/>
        </w:rPr>
        <w:t xml:space="preserve">INTERVENTIONS:None.</w:t>
      </w:r>
    </w:p>
    <w:p/>
    <w:p>
      <w:pPr>
        <w:pStyle w:val="Normal"/>
      </w:pPr>
      <w:r>
        <w:rPr>
          <w:color w:val="323232"/>
        </w:rPr>
        <w:t xml:space="preserve">MEASUREMENTS AND MAIN RESULTS:The frequency, severity, and location of RTV were determined in small group of critically ill dogs postmortem. Logistic regression was performed to assess cumulative 6% HES (670/0.75) and mannitol dose as predictors for RTV severity with presenting serum creatinine concentration, cumulative furosemide dose, and duration of hospitalization as covariates. RTV was noted in 45 (85%) of 53 critically ill dogs and was most commonly located to the medullary rays (68%). Cumulative 6% HES (670/0.75) dose (P = 0.009) and presenting serum creatinine concentration (P = 0.027) were significant predictors of RTV severity. For every 1 mL</w:t>
      </w:r>
      <w:r>
        <w:rPr>
          <w:i w:val="1"/>
          <w:color w:val="323232"/>
        </w:rPr>
        <w:t xml:space="preserve">kg increase in 6% HES (670/0.75) dose that a dog received, there was 1.6% increased chance of having more severe RTV (OR 1.016; 95% CI 1.004-1.029). In addition, for every 88.4 μmol</w:t>
      </w:r>
      <w:r>
        <w:rPr>
          <w:color w:val="323232"/>
        </w:rPr>
        <w:t xml:space="preserve">L (1 mg/dL) increase in presenting serum creatinine, there was a 22.7% increased chance of having more severe RTV (OR 1.227; 95% CI 1.023-1.472). Cumulative mannitol (P = 0.548) and furosemide (P = 0.136) doses were not significant predictors of RTV severity.</w:t>
      </w:r>
    </w:p>
    <w:p/>
    <w:p>
      <w:pPr>
        <w:pStyle w:val="Normal"/>
      </w:pPr>
      <w:r>
        <w:rPr>
          <w:color w:val="323232"/>
        </w:rPr>
        <w:t xml:space="preserve">CONCLUSION:In a small group of critically ill dogs, there was a high frequency of RTV identified on postmortem examination. Administration of 6% HES (670/0.75) and presenting serum creatinine concentration were significant predictors of RTV severity. Larger prospective studies are needed to determine the etiology and significance of RTV in dogs.</w:t>
      </w:r>
    </w:p>
    <w:p/>
    <w:p>
      <w:pPr>
        <w:pStyle w:val="Normal"/>
      </w:pPr>
      <w:r>
        <w:rPr>
          <w:color w:val="323232"/>
        </w:rPr>
        <w:t xml:space="preserve">J Vet Emerg Crit Care (San Antonio), 2019 vol. 29 (3) pp. 279-287.</w:t>
      </w:r>
    </w:p>
    <w:p>
      <w:r>
        <w:rPr>
          <w:rStyle w:val="Hyperlink"/>
        </w:rPr>
        <w:fldChar w:fldCharType="begin"/>
      </w:r>
      <w:r>
        <w:rPr>
          <w:rStyle w:val="Hyperlink"/>
        </w:rPr>
        <w:instrText xml:space="preserve"> HYPERLINK "http://eutils.ncbi.nlm.nih.gov/entrez/eutils/elink.fcgi?dbfrom=pubmed&amp;id=30983126&amp;retmode=ref&amp;cmd=prlinks"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http://eutils.ncbi.nlm.nih.gov/entrez/eutils/elink.fcgi?dbfrom=pubmed&amp;id=30983126&amp;retmode=ref&amp;cmd=prlinks</w:t>
      </w:r>
      <w:r>
        <w:rPr>
          <w:rStyle w:val="Hyperlink"/>
        </w:rPr>
        <w:fldChar w:fldCharType="end"/>
      </w:r>
    </w:p>
    <w:p>
      <w:pPr>
        <w:pStyle w:val="Normal"/>
      </w:pPr>
      <w:r>
        <w:rPr>
          <w:color w:val="323232"/>
        </w:rPr>
        <w:t xml:space="preserve">————————</w:t>
      </w:r>
    </w:p>
    <w:p>
      <w:pPr>
        <w:pStyle w:val="Heading4"/>
      </w:pPr>
      <w:r>
        <w:t xml:space="preserve">Retrospective evaluation of the route and timing of nutrition in dogs with septic peritonitis: 68 cases (2007-2016).</w:t>
      </w:r>
    </w:p>
    <w:p/>
    <w:p>
      <w:pPr>
        <w:pStyle w:val="Normal"/>
      </w:pPr>
      <w:r>
        <w:rPr>
          <w:color w:val="323232"/>
        </w:rPr>
        <w:t xml:space="preserve">Kristin M Smith, Aaron Rendahl, Yiwen Sun, and Jeffrey M Todd.</w:t>
      </w:r>
    </w:p>
    <w:p/>
    <w:p>
      <w:pPr>
        <w:pStyle w:val="Normal"/>
      </w:pPr>
      <w:r>
        <w:rPr>
          <w:color w:val="323232"/>
        </w:rPr>
        <w:t xml:space="preserve">OBJECTIVE:To determine the impact of route of nutrition on length of hospitalization and survival to discharge in dogs with septic peritonitis.</w:t>
      </w:r>
    </w:p>
    <w:p/>
    <w:p>
      <w:pPr>
        <w:pStyle w:val="Normal"/>
      </w:pPr>
      <w:r>
        <w:rPr>
          <w:color w:val="323232"/>
        </w:rPr>
        <w:t xml:space="preserve">DESIGN:Retrospective study from 2007 to 2016.</w:t>
      </w:r>
    </w:p>
    <w:p/>
    <w:p>
      <w:pPr>
        <w:pStyle w:val="Normal"/>
      </w:pPr>
      <w:r>
        <w:rPr>
          <w:color w:val="323232"/>
        </w:rPr>
        <w:t xml:space="preserve">SETTING:University teaching hospital.</w:t>
      </w:r>
    </w:p>
    <w:p/>
    <w:p>
      <w:pPr>
        <w:pStyle w:val="Normal"/>
      </w:pPr>
      <w:r>
        <w:rPr>
          <w:color w:val="323232"/>
        </w:rPr>
        <w:t xml:space="preserve">ANIMALS:Sixty-eight dogs with septic peritonitis that survived ≥48 hours.</w:t>
      </w:r>
    </w:p>
    <w:p/>
    <w:p>
      <w:pPr>
        <w:pStyle w:val="Normal"/>
      </w:pPr>
      <w:r>
        <w:rPr>
          <w:color w:val="323232"/>
        </w:rPr>
        <w:t xml:space="preserve">INTERVENTIONS:None.</w:t>
      </w:r>
    </w:p>
    <w:p/>
    <w:p>
      <w:pPr>
        <w:pStyle w:val="Normal"/>
      </w:pPr>
      <w:r>
        <w:rPr>
          <w:color w:val="323232"/>
        </w:rPr>
        <w:t xml:space="preserve">MEASUREMENTS AND MAIN RESULTS:Nutritional strategy was categorized into 1 of 4 groups: voluntary, feeding tube, parenteral (PN), and combined feeding tube and PN. Body weight, body condition score, time without caloric intake before and during hospitalization, length of hospitalization, and percentage of resting energy requirements provided during the first 3 days of nutritional support were recorded. Overall, 54/68 dogs survived (79%). Survival Prediction Index 2 scores were not significantly different between groups. Dogs receiving PN only were less likely to survive than those receiving any enteral nutrition (OR 9.7; 95CI 1.84-58.75). Compared to dogs not receiving PN, dogs receiving any PN were significantly less likely to survive (OR 9.66; 95% CI 1.7-105.8), and were in hospital significantly longer (P = 0.025). Metabolic complications associated with PN were frequent but not associated with increased length of hospitalization or survival to discharge.</w:t>
      </w:r>
    </w:p>
    <w:p/>
    <w:p>
      <w:pPr>
        <w:pStyle w:val="Normal"/>
      </w:pPr>
      <w:r>
        <w:rPr>
          <w:color w:val="323232"/>
        </w:rPr>
        <w:t xml:space="preserve">CONCLUSIONS:Dogs with septic peritonitis that received any PN were in hospital longer and less likely to survive but may have been sicker than those receiving other forms of nutritional support. Further studies are warranted to evaluate reasons for worse outcomes in dogs with septic peritonitis receiving PN.</w:t>
      </w:r>
    </w:p>
    <w:p/>
    <w:p>
      <w:pPr>
        <w:pStyle w:val="Normal"/>
      </w:pPr>
      <w:r>
        <w:rPr>
          <w:color w:val="323232"/>
        </w:rPr>
        <w:t xml:space="preserve">J Vet Emerg Crit Care (San Antonio), 2019 vol. 29 (3) pp. 288-295.</w:t>
      </w:r>
    </w:p>
    <w:p>
      <w:r>
        <w:rPr>
          <w:rStyle w:val="Hyperlink"/>
        </w:rPr>
        <w:fldChar w:fldCharType="begin"/>
      </w:r>
      <w:r>
        <w:rPr>
          <w:rStyle w:val="Hyperlink"/>
        </w:rPr>
        <w:instrText xml:space="preserve"> HYPERLINK "http://eutils.ncbi.nlm.nih.gov/entrez/eutils/elink.fcgi?dbfrom=pubmed&amp;id=31021527&amp;retmode=ref&amp;cmd=prlinks"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http://eutils.ncbi.nlm.nih.gov/entrez/eutils/elink.fcgi?dbfrom=pubmed&amp;id=31021527&amp;retmode=ref&amp;cmd=prlinks</w:t>
      </w:r>
      <w:r>
        <w:rPr>
          <w:rStyle w:val="Hyperlink"/>
        </w:rPr>
        <w:fldChar w:fldCharType="end"/>
      </w:r>
    </w:p>
    <w:p>
      <w:pPr>
        <w:pStyle w:val="Normal"/>
      </w:pPr>
      <w:r>
        <w:rPr>
          <w:color w:val="323232"/>
        </w:rPr>
        <w:t xml:space="preserve">————————</w:t>
      </w:r>
    </w:p>
    <w:p>
      <w:pPr>
        <w:pStyle w:val="Heading4"/>
      </w:pPr>
      <w:r>
        <w:t xml:space="preserve">Clinicopathologic abnormalities associated with increased animal triage trauma score in cats with bite wound injuries: 43 cases (1998-2009).</w:t>
      </w:r>
    </w:p>
    <w:p/>
    <w:p>
      <w:pPr>
        <w:pStyle w:val="Normal"/>
      </w:pPr>
      <w:r>
        <w:rPr>
          <w:color w:val="323232"/>
        </w:rPr>
        <w:t xml:space="preserve">Bridget M Lyons, Laura B Ateca, and Cynthia M Otto.</w:t>
      </w:r>
    </w:p>
    <w:p/>
    <w:p>
      <w:pPr>
        <w:pStyle w:val="Normal"/>
      </w:pPr>
      <w:r>
        <w:rPr>
          <w:color w:val="323232"/>
        </w:rPr>
        <w:t xml:space="preserve">OBJECTIVE:To document the clinical and clinicopathologic changes in cats presenting with trauma from bite wounds, identify common abnormalities associated with bite wounds, and to determine whether the calculated animal trauma triage (ATT) score is related to any clinicopathologic abnormalities.</w:t>
      </w:r>
    </w:p>
    <w:p/>
    <w:p>
      <w:pPr>
        <w:pStyle w:val="Normal"/>
      </w:pPr>
      <w:r>
        <w:rPr>
          <w:color w:val="323232"/>
        </w:rPr>
        <w:t xml:space="preserve">DESIGN:Retrospective descriptive study.</w:t>
      </w:r>
    </w:p>
    <w:p/>
    <w:p>
      <w:pPr>
        <w:pStyle w:val="Normal"/>
      </w:pPr>
      <w:r>
        <w:rPr>
          <w:color w:val="323232"/>
        </w:rPr>
        <w:t xml:space="preserve">SETTING:University veterinary teaching hospital.</w:t>
      </w:r>
    </w:p>
    <w:p/>
    <w:p>
      <w:pPr>
        <w:pStyle w:val="Normal"/>
      </w:pPr>
      <w:r>
        <w:rPr>
          <w:color w:val="323232"/>
        </w:rPr>
        <w:t xml:space="preserve">ANIMALS:Forty-three client-owned cats that presented for bite wounds to a large, urban, veterinary hospital between 1998 and 2009.</w:t>
      </w:r>
    </w:p>
    <w:p/>
    <w:p>
      <w:pPr>
        <w:pStyle w:val="Normal"/>
      </w:pPr>
      <w:r>
        <w:rPr>
          <w:color w:val="323232"/>
        </w:rPr>
        <w:t xml:space="preserve">INTERVENTIONS:None.</w:t>
      </w:r>
    </w:p>
    <w:p/>
    <w:p>
      <w:pPr>
        <w:pStyle w:val="Normal"/>
      </w:pPr>
      <w:r>
        <w:rPr>
          <w:color w:val="323232"/>
        </w:rPr>
        <w:t xml:space="preserve">MEASUREMENTS AND MAIN RESULTS:Pertinent history, physical examination findings, results of biochemical testing, and outcome were extracted from medical records. Animal triage trauma score was calculated based on the physical examination at presentation in cats with adequate available information. Patients were classified as having either a low (&lt;5) ATT (n</w:t>
      </w:r>
      <w:r>
        <w:rPr>
          <w:color w:val="323232"/>
        </w:rPr>
        <w:t xml:space="preserve"> </w:t>
      </w:r>
      <w:r>
        <w:rPr>
          <w:color w:val="323232"/>
        </w:rPr>
        <w:t xml:space="preserve">=</w:t>
      </w:r>
      <w:r>
        <w:rPr>
          <w:color w:val="323232"/>
        </w:rPr>
        <w:t xml:space="preserve"> </w:t>
      </w:r>
      <w:r>
        <w:rPr>
          <w:color w:val="323232"/>
        </w:rPr>
        <w:t xml:space="preserve">20) or a high (≥5) ATT (n</w:t>
      </w:r>
      <w:r>
        <w:rPr>
          <w:color w:val="323232"/>
        </w:rPr>
        <w:t xml:space="preserve"> </w:t>
      </w:r>
      <w:r>
        <w:rPr>
          <w:color w:val="323232"/>
        </w:rPr>
        <w:t xml:space="preserve">=</w:t>
      </w:r>
      <w:r>
        <w:rPr>
          <w:color w:val="323232"/>
        </w:rPr>
        <w:t xml:space="preserve"> </w:t>
      </w:r>
      <w:r>
        <w:rPr>
          <w:color w:val="323232"/>
        </w:rPr>
        <w:t xml:space="preserve">23) score. Male cats were overrepresented (65.1%), and a majority of cats had outdoor access (53.4%). Low venous blood pH (P</w:t>
      </w:r>
      <w:r>
        <w:rPr>
          <w:color w:val="323232"/>
        </w:rPr>
        <w:t xml:space="preserve"> </w:t>
      </w:r>
      <w:r>
        <w:rPr>
          <w:color w:val="323232"/>
        </w:rPr>
        <w:t xml:space="preserve">=</w:t>
      </w:r>
      <w:r>
        <w:rPr>
          <w:color w:val="323232"/>
        </w:rPr>
        <w:t xml:space="preserve"> </w:t>
      </w:r>
      <w:r>
        <w:rPr>
          <w:color w:val="323232"/>
        </w:rPr>
        <w:t xml:space="preserve">0.047), high plasma lactate concentration (P = 0.018), and low ionized calcium concentration (P</w:t>
      </w:r>
      <w:r>
        <w:rPr>
          <w:color w:val="323232"/>
        </w:rPr>
        <w:t xml:space="preserve"> </w:t>
      </w:r>
      <w:r>
        <w:rPr>
          <w:color w:val="323232"/>
        </w:rPr>
        <w:t xml:space="preserve">=</w:t>
      </w:r>
      <w:r>
        <w:rPr>
          <w:color w:val="323232"/>
        </w:rPr>
        <w:t xml:space="preserve"> </w:t>
      </w:r>
      <w:r>
        <w:rPr>
          <w:color w:val="323232"/>
        </w:rPr>
        <w:t xml:space="preserve">0.004) were associated with higher ATT scores.</w:t>
      </w:r>
    </w:p>
    <w:p/>
    <w:p>
      <w:pPr>
        <w:pStyle w:val="Normal"/>
      </w:pPr>
      <w:r>
        <w:rPr>
          <w:color w:val="323232"/>
        </w:rPr>
        <w:t xml:space="preserve">CONCLUSIONS:There is a significant association between low venous blood pH, high plasma lactate concentration, and low ionized calcium concentration and higher ATT scores at presentation in cats suffering from bite wounds. Early recognition of these abnormalities may help to identify more severely injured patients.</w:t>
      </w:r>
    </w:p>
    <w:p/>
    <w:p>
      <w:pPr>
        <w:pStyle w:val="Normal"/>
      </w:pPr>
      <w:r>
        <w:rPr>
          <w:color w:val="323232"/>
        </w:rPr>
        <w:t xml:space="preserve">J Vet Emerg Crit Care (San Antonio), 2019 vol. 29 (3) pp. 296-300.</w:t>
      </w:r>
    </w:p>
    <w:p>
      <w:r>
        <w:rPr>
          <w:rStyle w:val="Hyperlink"/>
        </w:rPr>
        <w:fldChar w:fldCharType="begin"/>
      </w:r>
      <w:r>
        <w:rPr>
          <w:rStyle w:val="Hyperlink"/>
        </w:rPr>
        <w:instrText xml:space="preserve"> HYPERLINK "http://eutils.ncbi.nlm.nih.gov/entrez/eutils/elink.fcgi?dbfrom=pubmed&amp;id=31012275&amp;retmode=ref&amp;cmd=prlinks"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http://eutils.ncbi.nlm.nih.gov/entrez/eutils/elink.fcgi?dbfrom=pubmed&amp;id=31012275&amp;retmode=ref&amp;cmd=prlinks</w:t>
      </w:r>
      <w:r>
        <w:rPr>
          <w:rStyle w:val="Hyperlink"/>
        </w:rPr>
        <w:fldChar w:fldCharType="end"/>
      </w:r>
    </w:p>
    <w:p>
      <w:pPr>
        <w:pStyle w:val="Normal"/>
      </w:pPr>
      <w:r>
        <w:rPr>
          <w:color w:val="323232"/>
        </w:rPr>
        <w:t xml:space="preserve">————————</w:t>
      </w:r>
    </w:p>
    <w:p>
      <w:pPr>
        <w:pStyle w:val="Heading4"/>
      </w:pPr>
      <w:r>
        <w:t xml:space="preserve">Traumatic atlantoaxial subluxation in dogs: 8 cases (2009-2016).</w:t>
      </w:r>
    </w:p>
    <w:p/>
    <w:p>
      <w:pPr>
        <w:pStyle w:val="Normal"/>
      </w:pPr>
      <w:r>
        <w:rPr>
          <w:color w:val="323232"/>
        </w:rPr>
        <w:t xml:space="preserve">Sonya C Hansen, Lenore M Bacek, Kendon W Kuo, and Amanda R Taylor.</w:t>
      </w:r>
    </w:p>
    <w:p/>
    <w:p>
      <w:pPr>
        <w:pStyle w:val="Normal"/>
      </w:pPr>
      <w:r>
        <w:rPr>
          <w:color w:val="323232"/>
        </w:rPr>
        <w:t xml:space="preserve">OBJECTIVE:To demonstrate the utility of advanced imaging in dogs with traumatic atlantoaxial subluxation (TAAS), and to report the presentation, treatment, and outcome for these dogs.</w:t>
      </w:r>
    </w:p>
    <w:p/>
    <w:p>
      <w:pPr>
        <w:pStyle w:val="Normal"/>
      </w:pPr>
      <w:r>
        <w:rPr>
          <w:color w:val="323232"/>
        </w:rPr>
        <w:t xml:space="preserve">DESIGN:Retrospective study (2009-2016).</w:t>
      </w:r>
    </w:p>
    <w:p/>
    <w:p>
      <w:pPr>
        <w:pStyle w:val="Normal"/>
      </w:pPr>
      <w:r>
        <w:rPr>
          <w:color w:val="323232"/>
        </w:rPr>
        <w:t xml:space="preserve">SETTING:University teaching hospital.</w:t>
      </w:r>
    </w:p>
    <w:p/>
    <w:p>
      <w:pPr>
        <w:pStyle w:val="Normal"/>
      </w:pPr>
      <w:r>
        <w:rPr>
          <w:color w:val="323232"/>
        </w:rPr>
        <w:t xml:space="preserve">ANIMALS:Eight dogs diagnosed with TAAS with magnetic resonance imaging (MRI), computed tomography (CT), or both.</w:t>
      </w:r>
    </w:p>
    <w:p/>
    <w:p>
      <w:pPr>
        <w:pStyle w:val="Normal"/>
      </w:pPr>
      <w:r>
        <w:rPr>
          <w:color w:val="323232"/>
        </w:rPr>
        <w:t xml:space="preserve">INTERVENTIONS:None.</w:t>
      </w:r>
    </w:p>
    <w:p/>
    <w:p>
      <w:pPr>
        <w:pStyle w:val="Normal"/>
      </w:pPr>
      <w:r>
        <w:rPr>
          <w:color w:val="323232"/>
        </w:rPr>
        <w:t xml:space="preserve">MEASUREMENTS AND MAIN RESULTS:Eight dogs met criteria for inclusion. Of these, 6 were male, median age was 4 years (range, 1.5-11 years), and median body weight was 4.9 kg (range, 3.0-25.0 kg). On presentation, 6/8 (75%) dogs were nonambulatory tetraparetic and the most common injury was trauma inflicted by another animal 5/8 (62.5%). Diagnosis of TAAS was made using a combination of imaging modalities including vertebral column radiographs in 7/8 (87.5%) (of which 71.4% were suspicious for TAAS), CT in 7/8 (87.5%), and MRI in 7/8 (87.5%). In 7/8 (87.5%) dogs, CT and/or MRI offered additional information regarding the extent of injuries. Vertebral fractures were identified in 62.5% (5/8) of dogs. The majority of dogs underwent surgical repair (7/8 [87.5%]). The most common complication was aspiration pneumonia (3/8 [37.5%]). All 8 dogs survived to discharge. At the time of discharge, 4/8 (50%) were ambulatory tetraparetic. The 4 dogs that were nonambulatory tetraparetic at discharge progressed to being ambulatory within 2 months of surgery.</w:t>
      </w:r>
    </w:p>
    <w:p/>
    <w:p>
      <w:pPr>
        <w:pStyle w:val="Normal"/>
      </w:pPr>
      <w:r>
        <w:rPr>
          <w:color w:val="323232"/>
        </w:rPr>
        <w:t xml:space="preserve">CONCLUSIONS:Although TAAS is an uncommon occurrence it should be considered a differential for any trauma patient that is presenting with signs of a cranial cervical myelopathy. CT and MRI have been shown to be useful to identify the extent of injuries and to facilitate surgical planning. With appropriate care, these dogs can have an excellent prognosis.</w:t>
      </w:r>
    </w:p>
    <w:p/>
    <w:p>
      <w:pPr>
        <w:pStyle w:val="Normal"/>
      </w:pPr>
      <w:r>
        <w:rPr>
          <w:color w:val="323232"/>
        </w:rPr>
        <w:t xml:space="preserve">J Vet Emerg Crit Care (San Antonio), 2019 vol. 29 (3) pp. 301-308.</w:t>
      </w:r>
    </w:p>
    <w:p>
      <w:r>
        <w:rPr>
          <w:rStyle w:val="Hyperlink"/>
        </w:rPr>
        <w:fldChar w:fldCharType="begin"/>
      </w:r>
      <w:r>
        <w:rPr>
          <w:rStyle w:val="Hyperlink"/>
        </w:rPr>
        <w:instrText xml:space="preserve"> HYPERLINK "http://eutils.ncbi.nlm.nih.gov/entrez/eutils/elink.fcgi?dbfrom=pubmed&amp;id=31025805&amp;retmode=ref&amp;cmd=prlinks"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http://eutils.ncbi.nlm.nih.gov/entrez/eutils/elink.fcgi?dbfrom=pubmed&amp;id=31025805&amp;retmode=ref&amp;cmd=prlinks</w:t>
      </w:r>
      <w:r>
        <w:rPr>
          <w:rStyle w:val="Hyperlink"/>
        </w:rPr>
        <w:fldChar w:fldCharType="end"/>
      </w:r>
    </w:p>
    <w:p>
      <w:pPr>
        <w:pStyle w:val="Normal"/>
      </w:pPr>
      <w:r>
        <w:rPr>
          <w:color w:val="323232"/>
        </w:rPr>
        <w:t xml:space="preserve">————————</w:t>
      </w:r>
    </w:p>
    <w:p>
      <w:pPr>
        <w:pStyle w:val="Heading4"/>
      </w:pPr>
      <w:r>
        <w:t xml:space="preserve">Retrospective evaluation of paired plasma creatinine and chloride concentrations following hetastarch administration in anesthetized dogs (2002-2015): 244 cases.</w:t>
      </w:r>
    </w:p>
    <w:p/>
    <w:p>
      <w:pPr>
        <w:pStyle w:val="Normal"/>
      </w:pPr>
      <w:r>
        <w:rPr>
          <w:color w:val="323232"/>
        </w:rPr>
        <w:t xml:space="preserve">Kristin M Zersen, Khursheed Mama, and Justin C Mathis.</w:t>
      </w:r>
    </w:p>
    <w:p/>
    <w:p>
      <w:pPr>
        <w:pStyle w:val="Normal"/>
      </w:pPr>
      <w:r>
        <w:rPr>
          <w:color w:val="323232"/>
        </w:rPr>
        <w:t xml:space="preserve">OBJECTIVE:To evaluate changes in serum creatinine and chloride concentrations in anesthetized dogs that received 6% hydroxyethyl starch (HES) 670/0.7.</w:t>
      </w:r>
    </w:p>
    <w:p/>
    <w:p>
      <w:pPr>
        <w:pStyle w:val="Normal"/>
      </w:pPr>
      <w:r>
        <w:rPr>
          <w:color w:val="323232"/>
        </w:rPr>
        <w:t xml:space="preserve">DESIGN:Retrospective case series, 2002-2015.</w:t>
      </w:r>
    </w:p>
    <w:p/>
    <w:p>
      <w:pPr>
        <w:pStyle w:val="Normal"/>
      </w:pPr>
      <w:r>
        <w:rPr>
          <w:color w:val="323232"/>
        </w:rPr>
        <w:t xml:space="preserve">SETTING:University veterinary teaching hospital.</w:t>
      </w:r>
    </w:p>
    <w:p/>
    <w:p>
      <w:pPr>
        <w:pStyle w:val="Normal"/>
      </w:pPr>
      <w:r>
        <w:rPr>
          <w:color w:val="323232"/>
        </w:rPr>
        <w:t xml:space="preserve">ANIMALS:Two hundred forty-four client-owned dogs undergoing general anesthesia that received an HES solution.</w:t>
      </w:r>
    </w:p>
    <w:p/>
    <w:p>
      <w:pPr>
        <w:pStyle w:val="Normal"/>
      </w:pPr>
      <w:r>
        <w:rPr>
          <w:color w:val="323232"/>
        </w:rPr>
        <w:t xml:space="preserve">INTERVENTIONS:None.</w:t>
      </w:r>
    </w:p>
    <w:p/>
    <w:p>
      <w:pPr>
        <w:pStyle w:val="Normal"/>
      </w:pPr>
      <w:r>
        <w:rPr>
          <w:color w:val="323232"/>
        </w:rPr>
        <w:t xml:space="preserve">MEASUREMENTS AND MAIN RESULTS:Medical records of dogs that received an HES solution (6%, 670/0.7) while under general anesthesia during the study period were reviewed. Information obtained from the medical record included patient signalment, reason for anesthesia or diagnosis, body weight, amount of HES solution administered, pre- and postanesthesia creatinine value, pre- and postanesthesia chloride value, and day interval between measurements. Corrected chloride values were used for all statistical analysis. Dogs received a median dose of 6.3 mL/ kg hetastarch during anesthesia. Median preanesthesia creatinine and corrected chloride values were 79.5</w:t>
      </w:r>
      <w:r>
        <w:rPr>
          <w:color w:val="323232"/>
        </w:rPr>
        <w:t xml:space="preserve"> </w:t>
      </w:r>
      <w:r>
        <w:rPr>
          <w:color w:val="323232"/>
        </w:rPr>
        <w:t xml:space="preserve">μmol/ L (0.9</w:t>
      </w:r>
      <w:r>
        <w:rPr>
          <w:color w:val="323232"/>
        </w:rPr>
        <w:t xml:space="preserve"> </w:t>
      </w:r>
      <w:r>
        <w:rPr>
          <w:color w:val="323232"/>
        </w:rPr>
        <w:t xml:space="preserve">mg/ dL) (range 8.8-689.5</w:t>
      </w:r>
      <w:r>
        <w:rPr>
          <w:color w:val="323232"/>
        </w:rPr>
        <w:t xml:space="preserve"> </w:t>
      </w:r>
      <w:r>
        <w:rPr>
          <w:color w:val="323232"/>
        </w:rPr>
        <w:t xml:space="preserve">μmol/ L [0.1-7.8</w:t>
      </w:r>
      <w:r>
        <w:rPr>
          <w:color w:val="323232"/>
        </w:rPr>
        <w:t xml:space="preserve"> </w:t>
      </w:r>
      <w:r>
        <w:rPr>
          <w:color w:val="323232"/>
        </w:rPr>
        <w:t xml:space="preserve">mg/ dL]) and 111</w:t>
      </w:r>
      <w:r>
        <w:rPr>
          <w:color w:val="323232"/>
        </w:rPr>
        <w:t xml:space="preserve"> </w:t>
      </w:r>
      <w:r>
        <w:rPr>
          <w:color w:val="323232"/>
        </w:rPr>
        <w:t xml:space="preserve">mmol/ L (111</w:t>
      </w:r>
      <w:r>
        <w:rPr>
          <w:color w:val="323232"/>
        </w:rPr>
        <w:t xml:space="preserve"> </w:t>
      </w:r>
      <w:r>
        <w:rPr>
          <w:color w:val="323232"/>
        </w:rPr>
        <w:t xml:space="preserve">mEq/ L) (range 80-123</w:t>
      </w:r>
      <w:r>
        <w:rPr>
          <w:color w:val="323232"/>
        </w:rPr>
        <w:t xml:space="preserve"> </w:t>
      </w:r>
      <w:r>
        <w:rPr>
          <w:color w:val="323232"/>
        </w:rPr>
        <w:t xml:space="preserve">mmol/ L [80-123</w:t>
      </w:r>
      <w:r>
        <w:rPr>
          <w:color w:val="323232"/>
        </w:rPr>
        <w:t xml:space="preserve"> </w:t>
      </w:r>
      <w:r>
        <w:rPr>
          <w:color w:val="323232"/>
        </w:rPr>
        <w:t xml:space="preserve">mg/ dL]), respectively. Median postanesthesia creatinine was 57.4</w:t>
      </w:r>
      <w:r>
        <w:rPr>
          <w:color w:val="323232"/>
        </w:rPr>
        <w:t xml:space="preserve"> </w:t>
      </w:r>
      <w:r>
        <w:rPr>
          <w:color w:val="323232"/>
        </w:rPr>
        <w:t xml:space="preserve">μmol/ L (0.65</w:t>
      </w:r>
      <w:r>
        <w:rPr>
          <w:color w:val="323232"/>
        </w:rPr>
        <w:t xml:space="preserve"> </w:t>
      </w:r>
      <w:r>
        <w:rPr>
          <w:color w:val="323232"/>
        </w:rPr>
        <w:t xml:space="preserve">mg/ dL) (8.8-716</w:t>
      </w:r>
      <w:r>
        <w:rPr>
          <w:color w:val="323232"/>
        </w:rPr>
        <w:t xml:space="preserve"> </w:t>
      </w:r>
      <w:r>
        <w:rPr>
          <w:color w:val="323232"/>
        </w:rPr>
        <w:t xml:space="preserve">μmol/ L [0.1-8.1</w:t>
      </w:r>
      <w:r>
        <w:rPr>
          <w:color w:val="323232"/>
        </w:rPr>
        <w:t xml:space="preserve"> </w:t>
      </w:r>
      <w:r>
        <w:rPr>
          <w:color w:val="323232"/>
        </w:rPr>
        <w:t xml:space="preserve">mg/ dL]). Median postanesthesia corrected chloride was 115</w:t>
      </w:r>
      <w:r>
        <w:rPr>
          <w:color w:val="323232"/>
        </w:rPr>
        <w:t xml:space="preserve"> </w:t>
      </w:r>
      <w:r>
        <w:rPr>
          <w:color w:val="323232"/>
        </w:rPr>
        <w:t xml:space="preserve">mmol/ L (115</w:t>
      </w:r>
      <w:r>
        <w:rPr>
          <w:color w:val="323232"/>
        </w:rPr>
        <w:t xml:space="preserve"> </w:t>
      </w:r>
      <w:r>
        <w:rPr>
          <w:color w:val="323232"/>
        </w:rPr>
        <w:t xml:space="preserve">mEq/ L) (range 87.5-129.6</w:t>
      </w:r>
      <w:r>
        <w:rPr>
          <w:color w:val="323232"/>
        </w:rPr>
        <w:t xml:space="preserve"> </w:t>
      </w:r>
      <w:r>
        <w:rPr>
          <w:color w:val="323232"/>
        </w:rPr>
        <w:t xml:space="preserve">mmol/ L [87.5-129.6</w:t>
      </w:r>
      <w:r>
        <w:rPr>
          <w:color w:val="323232"/>
        </w:rPr>
        <w:t xml:space="preserve"> </w:t>
      </w:r>
      <w:r>
        <w:rPr>
          <w:color w:val="323232"/>
        </w:rPr>
        <w:t xml:space="preserve">mEq/ L]). Mann-Whitney test analysis revealed a significant decrease in creatinine (Δ Cr 17.7</w:t>
      </w:r>
      <w:r>
        <w:rPr>
          <w:color w:val="323232"/>
        </w:rPr>
        <w:t xml:space="preserve"> </w:t>
      </w:r>
      <w:r>
        <w:rPr>
          <w:color w:val="323232"/>
        </w:rPr>
        <w:t xml:space="preserve">μmol/ L [0.2</w:t>
      </w:r>
      <w:r>
        <w:rPr>
          <w:color w:val="323232"/>
        </w:rPr>
        <w:t xml:space="preserve"> </w:t>
      </w:r>
      <w:r>
        <w:rPr>
          <w:color w:val="323232"/>
        </w:rPr>
        <w:t xml:space="preserve">mg/ dL], P &lt; 0.01) and a significant increase in corrected chloride (Δ Cl 4.1</w:t>
      </w:r>
      <w:r>
        <w:rPr>
          <w:color w:val="323232"/>
        </w:rPr>
        <w:t xml:space="preserve"> </w:t>
      </w:r>
      <w:r>
        <w:rPr>
          <w:color w:val="323232"/>
        </w:rPr>
        <w:t xml:space="preserve">mmol</w:t>
      </w:r>
      <w:r>
        <w:rPr>
          <w:i w:val="1"/>
          <w:color w:val="323232"/>
        </w:rPr>
        <w:t xml:space="preserve">L [4.1mEq</w:t>
      </w:r>
      <w:r>
        <w:rPr>
          <w:color w:val="323232"/>
        </w:rPr>
        <w:t xml:space="preserve"> L], P &lt; 0.01) between pre- and postanesthesia values.</w:t>
      </w:r>
    </w:p>
    <w:p/>
    <w:p>
      <w:pPr>
        <w:pStyle w:val="Normal"/>
      </w:pPr>
      <w:r>
        <w:rPr>
          <w:color w:val="323232"/>
        </w:rPr>
        <w:t xml:space="preserve">CONCLUSIONS:In a mixed population of hospitalized dogs undergoing general anesthesia that received a median dose of 6 mL/kg of HES, creatinine was lower and chloride was higher in the postanesthetic than in the preanesthetic period. The clinical significance of these changes and the role that HES administration played in them relative to concurrent therapies is unknown.</w:t>
      </w:r>
    </w:p>
    <w:p/>
    <w:p>
      <w:pPr>
        <w:pStyle w:val="Normal"/>
      </w:pPr>
      <w:r>
        <w:rPr>
          <w:color w:val="323232"/>
        </w:rPr>
        <w:t xml:space="preserve">J Vet Emerg Crit Care (San Antonio), 2019 vol. 29 (3) pp. 309-313.</w:t>
      </w:r>
    </w:p>
    <w:p>
      <w:r>
        <w:rPr>
          <w:rStyle w:val="Hyperlink"/>
        </w:rPr>
        <w:fldChar w:fldCharType="begin"/>
      </w:r>
      <w:r>
        <w:rPr>
          <w:rStyle w:val="Hyperlink"/>
        </w:rPr>
        <w:instrText xml:space="preserve"> HYPERLINK "http://eutils.ncbi.nlm.nih.gov/entrez/eutils/elink.fcgi?dbfrom=pubmed&amp;id=31066159&amp;retmode=ref&amp;cmd=prlinks"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http://eutils.ncbi.nlm.nih.gov/entrez/eutils/elink.fcgi?dbfrom=pubmed&amp;id=31066159&amp;retmode=ref&amp;cmd=prlinks</w:t>
      </w:r>
      <w:r>
        <w:rPr>
          <w:rStyle w:val="Hyperlink"/>
        </w:rPr>
        <w:fldChar w:fldCharType="end"/>
      </w:r>
    </w:p>
    <w:p>
      <w:pPr>
        <w:pStyle w:val="Normal"/>
      </w:pPr>
      <w:r>
        <w:rPr>
          <w:color w:val="323232"/>
        </w:rPr>
        <w:t xml:space="preserve">————————</w:t>
      </w:r>
    </w:p>
    <w:p>
      <w:pPr>
        <w:pStyle w:val="Heading4"/>
      </w:pPr>
      <w:r>
        <w:t xml:space="preserve">Clinical use of cryopoor plasma continuous rate infusion in critically ill, hypoalbuminemic dogs.</w:t>
      </w:r>
    </w:p>
    <w:p/>
    <w:p>
      <w:pPr>
        <w:pStyle w:val="Normal"/>
      </w:pPr>
      <w:r>
        <w:rPr>
          <w:color w:val="323232"/>
        </w:rPr>
        <w:t xml:space="preserve">Christine A Culler, Anusha Balakrishnan, Page E Yaxley, and Julien Guillaumin.</w:t>
      </w:r>
    </w:p>
    <w:p/>
    <w:p>
      <w:pPr>
        <w:pStyle w:val="Normal"/>
      </w:pPr>
      <w:r>
        <w:rPr>
          <w:color w:val="323232"/>
        </w:rPr>
        <w:t xml:space="preserve">OBJECTIVE:To investigate the impact of cryopoor plasma (CPP) continuous rate infusion (CRI) on albumin concentration and colloid osmotic pressure (COP) in critically ill dogs with hypoalbuminemia.</w:t>
      </w:r>
    </w:p>
    <w:p/>
    <w:p>
      <w:pPr>
        <w:pStyle w:val="Normal"/>
      </w:pPr>
      <w:r>
        <w:rPr>
          <w:color w:val="323232"/>
        </w:rPr>
        <w:t xml:space="preserve">DESIGN:Retrospective study between 2013 and 2015 with a 90-day follow-up on survivors.</w:t>
      </w:r>
    </w:p>
    <w:p/>
    <w:p>
      <w:pPr>
        <w:pStyle w:val="Normal"/>
      </w:pPr>
      <w:r>
        <w:rPr>
          <w:color w:val="323232"/>
        </w:rPr>
        <w:t xml:space="preserve">SETTING:University teaching hospital.</w:t>
      </w:r>
    </w:p>
    <w:p/>
    <w:p>
      <w:pPr>
        <w:pStyle w:val="Normal"/>
      </w:pPr>
      <w:r>
        <w:rPr>
          <w:color w:val="323232"/>
        </w:rPr>
        <w:t xml:space="preserve">ANIMALS:Ten hypoalbuminemic dogs receiving a CPP CRI for albumin replacement or oncotic support. All patients with documented hypoalbuminemia or low COP receiving CPP administration for albumin or oncotic support during the study period were included.</w:t>
      </w:r>
    </w:p>
    <w:p/>
    <w:p>
      <w:pPr>
        <w:pStyle w:val="Normal"/>
      </w:pPr>
      <w:r>
        <w:rPr>
          <w:color w:val="323232"/>
        </w:rPr>
        <w:t xml:space="preserve">INTERVENTIONS:CRI of CPP.</w:t>
      </w:r>
    </w:p>
    <w:p/>
    <w:p>
      <w:pPr>
        <w:pStyle w:val="Normal"/>
      </w:pPr>
      <w:r>
        <w:rPr>
          <w:color w:val="323232"/>
        </w:rPr>
        <w:t xml:space="preserve">MEASUREMENTS AND MAIN RESULTS:Mean age was 7.4</w:t>
      </w:r>
      <w:r>
        <w:rPr>
          <w:color w:val="323232"/>
        </w:rPr>
        <w:t xml:space="preserve"> </w:t>
      </w:r>
      <w:r>
        <w:rPr>
          <w:color w:val="323232"/>
        </w:rPr>
        <w:t xml:space="preserve">±</w:t>
      </w:r>
      <w:r>
        <w:rPr>
          <w:color w:val="323232"/>
        </w:rPr>
        <w:t xml:space="preserve"> </w:t>
      </w:r>
      <w:r>
        <w:rPr>
          <w:color w:val="323232"/>
        </w:rPr>
        <w:t xml:space="preserve">4.5 years. Mean survival prediction index score was 0.66</w:t>
      </w:r>
      <w:r>
        <w:rPr>
          <w:color w:val="323232"/>
        </w:rPr>
        <w:t xml:space="preserve"> </w:t>
      </w:r>
      <w:r>
        <w:rPr>
          <w:color w:val="323232"/>
        </w:rPr>
        <w:t xml:space="preserve">±</w:t>
      </w:r>
      <w:r>
        <w:rPr>
          <w:color w:val="323232"/>
        </w:rPr>
        <w:t xml:space="preserve"> </w:t>
      </w:r>
      <w:r>
        <w:rPr>
          <w:color w:val="323232"/>
        </w:rPr>
        <w:t xml:space="preserve">0.13. Seven dogs were septic, with 2 of 7 in septic shock and 5 of 7 having septic peritonitis. The mean pre- and postinfusion albumin was 15</w:t>
      </w:r>
      <w:r>
        <w:rPr>
          <w:color w:val="323232"/>
        </w:rPr>
        <w:t xml:space="preserve"> </w:t>
      </w:r>
      <w:r>
        <w:rPr>
          <w:color w:val="323232"/>
        </w:rPr>
        <w:t xml:space="preserve">±</w:t>
      </w:r>
      <w:r>
        <w:rPr>
          <w:color w:val="323232"/>
        </w:rPr>
        <w:t xml:space="preserve"> </w:t>
      </w:r>
      <w:r>
        <w:rPr>
          <w:color w:val="323232"/>
        </w:rPr>
        <w:t xml:space="preserve">4</w:t>
      </w:r>
      <w:r>
        <w:rPr>
          <w:color w:val="323232"/>
        </w:rPr>
        <w:t xml:space="preserve"> </w:t>
      </w:r>
      <w:r>
        <w:rPr>
          <w:color w:val="323232"/>
        </w:rPr>
        <w:t xml:space="preserve">g</w:t>
      </w:r>
      <w:r>
        <w:rPr>
          <w:i w:val="1"/>
          <w:color w:val="323232"/>
        </w:rPr>
        <w:t xml:space="preserve">L and 21</w:t>
      </w:r>
      <w:r>
        <w:rPr>
          <w:color w:val="323232"/>
        </w:rPr>
        <w:t xml:space="preserve"> </w:t>
      </w:r>
      <w:r>
        <w:rPr>
          <w:i w:val="1"/>
          <w:color w:val="323232"/>
        </w:rPr>
        <w:t xml:space="preserve">±</w:t>
      </w:r>
      <w:r>
        <w:rPr>
          <w:color w:val="323232"/>
        </w:rPr>
        <w:t xml:space="preserve"> </w:t>
      </w:r>
      <w:r>
        <w:rPr>
          <w:i w:val="1"/>
          <w:color w:val="323232"/>
        </w:rPr>
        <w:t xml:space="preserve">2</w:t>
      </w:r>
      <w:r>
        <w:rPr>
          <w:color w:val="323232"/>
        </w:rPr>
        <w:t xml:space="preserve"> </w:t>
      </w:r>
      <w:r>
        <w:rPr>
          <w:i w:val="1"/>
          <w:color w:val="323232"/>
        </w:rPr>
        <w:t xml:space="preserve">g</w:t>
      </w:r>
      <w:r>
        <w:rPr>
          <w:color w:val="323232"/>
        </w:rPr>
        <w:t xml:space="preserve">L, respectively. The median pre- and postinfusion COP was 8.6</w:t>
      </w:r>
      <w:r>
        <w:rPr>
          <w:color w:val="323232"/>
        </w:rPr>
        <w:t xml:space="preserve"> </w:t>
      </w:r>
      <w:r>
        <w:rPr>
          <w:color w:val="323232"/>
        </w:rPr>
        <w:t xml:space="preserve">mm Hg (4.9-9.7 mm Hg) and 10.2 mm Hg (8.1-13.3 mm Hg), respectively. The median duration of CRI was 16</w:t>
      </w:r>
      <w:r>
        <w:rPr>
          <w:color w:val="323232"/>
        </w:rPr>
        <w:t xml:space="preserve"> </w:t>
      </w:r>
      <w:r>
        <w:rPr>
          <w:color w:val="323232"/>
        </w:rPr>
        <w:t xml:space="preserve">hours (11-121 h). The mean CPP rate was 1.8</w:t>
      </w:r>
      <w:r>
        <w:rPr>
          <w:color w:val="323232"/>
        </w:rPr>
        <w:t xml:space="preserve"> </w:t>
      </w:r>
      <w:r>
        <w:rPr>
          <w:color w:val="323232"/>
        </w:rPr>
        <w:t xml:space="preserve">±</w:t>
      </w:r>
      <w:r>
        <w:rPr>
          <w:color w:val="323232"/>
        </w:rPr>
        <w:t xml:space="preserve"> </w:t>
      </w:r>
      <w:r>
        <w:rPr>
          <w:color w:val="323232"/>
        </w:rPr>
        <w:t xml:space="preserve">0.6</w:t>
      </w:r>
      <w:r>
        <w:rPr>
          <w:color w:val="323232"/>
        </w:rPr>
        <w:t xml:space="preserve"> </w:t>
      </w:r>
      <w:r>
        <w:rPr>
          <w:color w:val="323232"/>
        </w:rPr>
        <w:t xml:space="preserve">mL</w:t>
      </w:r>
      <w:r>
        <w:rPr>
          <w:i w:val="1"/>
          <w:color w:val="323232"/>
        </w:rPr>
        <w:t xml:space="preserve">kg</w:t>
      </w:r>
      <w:r>
        <w:rPr>
          <w:color w:val="323232"/>
        </w:rPr>
        <w:t xml:space="preserve">h, the mean crystalloid rate administered concurrently was 0.8</w:t>
      </w:r>
      <w:r>
        <w:rPr>
          <w:color w:val="323232"/>
        </w:rPr>
        <w:t xml:space="preserve"> </w:t>
      </w:r>
      <w:r>
        <w:rPr>
          <w:color w:val="323232"/>
        </w:rPr>
        <w:t xml:space="preserve">±</w:t>
      </w:r>
      <w:r>
        <w:rPr>
          <w:color w:val="323232"/>
        </w:rPr>
        <w:t xml:space="preserve"> </w:t>
      </w:r>
      <w:r>
        <w:rPr>
          <w:color w:val="323232"/>
        </w:rPr>
        <w:t xml:space="preserve">0.9</w:t>
      </w:r>
      <w:r>
        <w:rPr>
          <w:color w:val="323232"/>
        </w:rPr>
        <w:t xml:space="preserve"> </w:t>
      </w:r>
      <w:r>
        <w:rPr>
          <w:color w:val="323232"/>
        </w:rPr>
        <w:t xml:space="preserve">mL</w:t>
      </w:r>
      <w:r>
        <w:rPr>
          <w:i w:val="1"/>
          <w:color w:val="323232"/>
        </w:rPr>
        <w:t xml:space="preserve">kg</w:t>
      </w:r>
      <w:r>
        <w:rPr>
          <w:color w:val="323232"/>
        </w:rPr>
        <w:t xml:space="preserve">h, and the mean hydroxyethyl starch rate administered concurrently was 1.2</w:t>
      </w:r>
      <w:r>
        <w:rPr>
          <w:color w:val="323232"/>
        </w:rPr>
        <w:t xml:space="preserve"> </w:t>
      </w:r>
      <w:r>
        <w:rPr>
          <w:color w:val="323232"/>
        </w:rPr>
        <w:t xml:space="preserve">±</w:t>
      </w:r>
      <w:r>
        <w:rPr>
          <w:color w:val="323232"/>
        </w:rPr>
        <w:t xml:space="preserve"> </w:t>
      </w:r>
      <w:r>
        <w:rPr>
          <w:color w:val="323232"/>
        </w:rPr>
        <w:t xml:space="preserve">0.9</w:t>
      </w:r>
      <w:r>
        <w:rPr>
          <w:color w:val="323232"/>
        </w:rPr>
        <w:t xml:space="preserve"> </w:t>
      </w:r>
      <w:r>
        <w:rPr>
          <w:color w:val="323232"/>
        </w:rPr>
        <w:t xml:space="preserve">mL</w:t>
      </w:r>
      <w:r>
        <w:rPr>
          <w:i w:val="1"/>
          <w:color w:val="323232"/>
        </w:rPr>
        <w:t xml:space="preserve">kg</w:t>
      </w:r>
      <w:r>
        <w:rPr>
          <w:color w:val="323232"/>
        </w:rPr>
        <w:t xml:space="preserve">h. The difference in pre- and postinfusion albumin was significantly correlated with CPP rate (P = 0.0004), whereas the difference in pre- and postinfusion COP was correlated with hydroxyethyl starch rate (P = 0.0128). Mean duration of hospitalization was 8.6</w:t>
      </w:r>
      <w:r>
        <w:rPr>
          <w:color w:val="323232"/>
        </w:rPr>
        <w:t xml:space="preserve"> </w:t>
      </w:r>
      <w:r>
        <w:rPr>
          <w:color w:val="323232"/>
        </w:rPr>
        <w:t xml:space="preserve">±</w:t>
      </w:r>
      <w:r>
        <w:rPr>
          <w:color w:val="323232"/>
        </w:rPr>
        <w:t xml:space="preserve"> </w:t>
      </w:r>
      <w:r>
        <w:rPr>
          <w:color w:val="323232"/>
        </w:rPr>
        <w:t xml:space="preserve">3.9 days. Mann-Whitney U and Fisher's exact tests were used to compare survivors and nonsurvivors. Survivors were significantly younger than nonsurvivors (3.5 vs 11.5 y, P = 0.033). No side effects were reported. Survival to discharge was 40% with identical 90-day survival. Of the nonsurvivors, 50% died naturally.</w:t>
      </w:r>
    </w:p>
    <w:p/>
    <w:p>
      <w:pPr>
        <w:pStyle w:val="Normal"/>
      </w:pPr>
      <w:r>
        <w:rPr>
          <w:color w:val="323232"/>
        </w:rPr>
        <w:t xml:space="preserve">CONCLUSIONS:There was an association between the rate of CPP and the change in albumin after CPP CRI in critically ill dogs, suggesting that CPP may be a viable option for treatment of hypoalbuminemia.</w:t>
      </w:r>
    </w:p>
    <w:p/>
    <w:p>
      <w:pPr>
        <w:pStyle w:val="Normal"/>
      </w:pPr>
      <w:r>
        <w:rPr>
          <w:color w:val="323232"/>
        </w:rPr>
        <w:t xml:space="preserve">J Vet Emerg Crit Care (San Antonio), 2019 vol. 29 (3) pp. 314-320.</w:t>
      </w:r>
    </w:p>
    <w:p>
      <w:r>
        <w:rPr>
          <w:rStyle w:val="Hyperlink"/>
        </w:rPr>
        <w:fldChar w:fldCharType="begin"/>
      </w:r>
      <w:r>
        <w:rPr>
          <w:rStyle w:val="Hyperlink"/>
        </w:rPr>
        <w:instrText xml:space="preserve"> HYPERLINK "http://eutils.ncbi.nlm.nih.gov/entrez/eutils/elink.fcgi?dbfrom=pubmed&amp;id=31012237&amp;retmode=ref&amp;cmd=prlinks"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http://eutils.ncbi.nlm.nih.gov/entrez/eutils/elink.fcgi?dbfrom=pubmed&amp;id=31012237&amp;retmode=ref&amp;cmd=prlinks</w:t>
      </w:r>
      <w:r>
        <w:rPr>
          <w:rStyle w:val="Hyperlink"/>
        </w:rPr>
        <w:fldChar w:fldCharType="end"/>
      </w:r>
    </w:p>
    <w:p>
      <w:pPr>
        <w:pStyle w:val="Normal"/>
      </w:pPr>
      <w:r>
        <w:rPr>
          <w:color w:val="323232"/>
        </w:rPr>
        <w:t xml:space="preserve">————————</w:t>
      </w:r>
    </w:p>
    <w:p>
      <w:pPr>
        <w:pStyle w:val="Heading4"/>
      </w:pPr>
      <w:r>
        <w:t xml:space="preserve">Compartment syndrome of the muscles of mastication in a working dog following a traumatic training incident.</w:t>
      </w:r>
    </w:p>
    <w:p/>
    <w:p>
      <w:pPr>
        <w:pStyle w:val="Normal"/>
      </w:pPr>
      <w:r>
        <w:rPr>
          <w:color w:val="323232"/>
        </w:rPr>
        <w:t xml:space="preserve">Amy L Brida, Therese E O' Toole, James Sutherland-Smith, Christopher Pirie, and Michael P Kowaleski.</w:t>
      </w:r>
    </w:p>
    <w:p/>
    <w:p>
      <w:pPr>
        <w:pStyle w:val="Normal"/>
      </w:pPr>
      <w:r>
        <w:rPr>
          <w:color w:val="323232"/>
        </w:rPr>
        <w:t xml:space="preserve">OBJECTIVE:To describe acute compartment syndrome (CS) of the muscles of mastication in a working dog associated with a traumatic training event.</w:t>
      </w:r>
    </w:p>
    <w:p/>
    <w:p>
      <w:pPr>
        <w:pStyle w:val="Normal"/>
      </w:pPr>
      <w:r>
        <w:rPr>
          <w:color w:val="323232"/>
        </w:rPr>
        <w:t xml:space="preserve">CASE SUMMARY:A 2.5-year-old male Belgian Malinois was evaluated for acute blindness, severe diffuse swelling of the head, and inability to close the jaw following a traumatic incident during a bite training drill. During the exercise, the maxillary canine teeth were locked on a bite sleeve. Magnetic resonance imaging of the head and ocular system identified diffuse muscle swelling and hyperintensity, most severe in the muscles of mastication. Ocular abnormalities were not identified. Rhabdomyolysis, CS, and indirect optic nerve injury were supported by measurement of increased intramuscular pressure. Bilateral decompressive fasciotomies over the masseter and temporalis muscles resulted in immediate and marked resolution of the swelling and jaw movement. Blindness, however, did not resolve.</w:t>
      </w:r>
    </w:p>
    <w:p/>
    <w:p>
      <w:pPr>
        <w:pStyle w:val="Normal"/>
      </w:pPr>
      <w:r>
        <w:rPr>
          <w:color w:val="323232"/>
        </w:rPr>
        <w:t xml:space="preserve">NEW OR UNIQUE INFORMATION PROVIDED:CS involving the muscles of mastication may occur as a complication of bite training and may result in irreversible and even life-threatening complications. Emergent decompressive fasciotomy is indicated to reverse swelling; however, visual deficits may not resolve.</w:t>
      </w:r>
    </w:p>
    <w:p/>
    <w:p>
      <w:pPr>
        <w:pStyle w:val="Normal"/>
      </w:pPr>
      <w:r>
        <w:rPr>
          <w:color w:val="323232"/>
        </w:rPr>
        <w:t xml:space="preserve">J Vet Emerg Crit Care (San Antonio), 2019 vol. 29 (3) pp. 321-325.</w:t>
      </w:r>
    </w:p>
    <w:p>
      <w:r>
        <w:rPr>
          <w:rStyle w:val="Hyperlink"/>
        </w:rPr>
        <w:fldChar w:fldCharType="begin"/>
      </w:r>
      <w:r>
        <w:rPr>
          <w:rStyle w:val="Hyperlink"/>
        </w:rPr>
        <w:instrText xml:space="preserve"> HYPERLINK "http://eutils.ncbi.nlm.nih.gov/entrez/eutils/elink.fcgi?dbfrom=pubmed&amp;id=31066176&amp;retmode=ref&amp;cmd=prlinks"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http://eutils.ncbi.nlm.nih.gov/entrez/eutils/elink.fcgi?dbfrom=pubmed&amp;id=31066176&amp;retmode=ref&amp;cmd=prlinks</w:t>
      </w:r>
      <w:r>
        <w:rPr>
          <w:rStyle w:val="Hyperlink"/>
        </w:rPr>
        <w:fldChar w:fldCharType="end"/>
      </w:r>
    </w:p>
    <w:p>
      <w:pPr>
        <w:pStyle w:val="Normal"/>
      </w:pPr>
      <w:r>
        <w:rPr>
          <w:color w:val="323232"/>
        </w:rPr>
        <w:t xml:space="preserve">————————</w:t>
      </w:r>
    </w:p>
    <w:p>
      <w:pPr>
        <w:pStyle w:val="Heading4"/>
      </w:pPr>
      <w:r>
        <w:t xml:space="preserve">Successful management of persistent tachycardia using esmolol in 2 dogs with septic shock.</w:t>
      </w:r>
    </w:p>
    <w:p/>
    <w:p>
      <w:pPr>
        <w:pStyle w:val="Normal"/>
      </w:pPr>
      <w:r>
        <w:rPr>
          <w:color w:val="323232"/>
        </w:rPr>
        <w:t xml:space="preserve">Kari Santoro Beer, Anusha Balakrishnan, and Samantha K Hart.</w:t>
      </w:r>
    </w:p>
    <w:p/>
    <w:p>
      <w:pPr>
        <w:pStyle w:val="Normal"/>
      </w:pPr>
      <w:r>
        <w:rPr>
          <w:color w:val="323232"/>
        </w:rPr>
        <w:t xml:space="preserve">OBJECTIVE:To describe the successful management of 2 dogs with septic shock and persistent tachycardia using norepinephrine and esmolol, a short-acting beta receptor antagonist.</w:t>
      </w:r>
    </w:p>
    <w:p/>
    <w:p>
      <w:pPr>
        <w:pStyle w:val="Normal"/>
      </w:pPr>
      <w:r>
        <w:rPr>
          <w:color w:val="323232"/>
        </w:rPr>
        <w:t xml:space="preserve">SERIES SUMMARY:Two cases are reviewed. In the first case, septic shock with ventricular tachycardia was diagnosed in a 4-year-old neutered female Great Dane that underwent jejunoileal resection and anastomosis for a partial mesenteric torsion. The patient's tachyarrhythmias failed to respond to lidocaine, and an esmolol infusion was used for heart rate control. The condition of the dog improved and she was discharged after 4 days of hospitalization. The second case was a 7-year-old neutered female Cavalier King Charles Spaniel with septic peritonitis. Following surgery for intestinal resection and anastomosis, supraventricular tachycardia developed that was not responsive to volume resuscitation and was treated with an esmolol infusion. The condition of the dog improved and she was discharged after 6 days of hospitalization. Both patients were doing well at the time of long-term follow-up.</w:t>
      </w:r>
    </w:p>
    <w:p/>
    <w:p>
      <w:pPr>
        <w:pStyle w:val="Normal"/>
      </w:pPr>
      <w:r>
        <w:rPr>
          <w:color w:val="323232"/>
        </w:rPr>
        <w:t xml:space="preserve">NEW OR UNIQUE INFORMATION PROVIDED:This case series highlights a novel method of managing dogs in septic shock with persistent tachycardia based on recently published data in the human literature. The use of esmolol may be considered in certain veterinary patients with septic shock to improve persistent tachycardia not related to hypovolemia.</w:t>
      </w:r>
    </w:p>
    <w:p/>
    <w:p>
      <w:pPr>
        <w:pStyle w:val="Normal"/>
      </w:pPr>
      <w:r>
        <w:rPr>
          <w:color w:val="323232"/>
        </w:rPr>
        <w:t xml:space="preserve">J Vet Emerg Crit Care (San Antonio), 2019 vol. 29 (3) pp. 326-330.</w:t>
      </w:r>
    </w:p>
    <w:p>
      <w:r>
        <w:rPr>
          <w:rStyle w:val="Hyperlink"/>
        </w:rPr>
        <w:fldChar w:fldCharType="begin"/>
      </w:r>
      <w:r>
        <w:rPr>
          <w:rStyle w:val="Hyperlink"/>
        </w:rPr>
        <w:instrText xml:space="preserve"> HYPERLINK "http://eutils.ncbi.nlm.nih.gov/entrez/eutils/elink.fcgi?dbfrom=pubmed&amp;id=31044499&amp;retmode=ref&amp;cmd=prlinks"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http://eutils.ncbi.nlm.nih.gov/entrez/eutils/elink.fcgi?dbfrom=pubmed&amp;id=31044499&amp;retmode=ref&amp;cmd=prlinks</w:t>
      </w:r>
      <w:r>
        <w:rPr>
          <w:rStyle w:val="Hyperlink"/>
        </w:rPr>
        <w:fldChar w:fldCharType="end"/>
      </w:r>
    </w:p>
    <w:p>
      <w:pPr>
        <w:pStyle w:val="Normal"/>
      </w:pPr>
      <w:r>
        <w:rPr>
          <w:color w:val="323232"/>
        </w:rPr>
        <w:t xml:space="preserve">————————</w:t>
      </w:r>
    </w:p>
    <w:p>
      <w:pPr>
        <w:pStyle w:val="Heading4"/>
      </w:pPr>
      <w:r>
        <w:t xml:space="preserve">Ultrasound-guided placement of pigtail cystostomy tubes in dogs with urethral obstruction.</w:t>
      </w:r>
    </w:p>
    <w:p/>
    <w:p>
      <w:pPr>
        <w:pStyle w:val="Normal"/>
      </w:pPr>
      <w:r>
        <w:rPr>
          <w:color w:val="323232"/>
        </w:rPr>
        <w:t xml:space="preserve">Christine A Culler, Meghan Fick, and Alessio Vigani.</w:t>
      </w:r>
    </w:p>
    <w:p/>
    <w:p>
      <w:pPr>
        <w:pStyle w:val="Normal"/>
      </w:pPr>
      <w:r>
        <w:rPr>
          <w:color w:val="323232"/>
        </w:rPr>
        <w:t xml:space="preserve">BACKGROUND:Circumstances such as the inability to pass a retrograde urinary catheter or a lack of surgeon availability may prevent immediate relief of urethral obstruction in dogs. In such situations, a cystostomy tube may be placed with ultrasound guidance to allow urinary diversion until further treatment is possible.</w:t>
      </w:r>
    </w:p>
    <w:p/>
    <w:p>
      <w:pPr>
        <w:pStyle w:val="Normal"/>
      </w:pPr>
      <w:r>
        <w:rPr>
          <w:color w:val="323232"/>
        </w:rPr>
        <w:t xml:space="preserve">KEY FINDINGS:A case of a 5-year-old male neutered Swiss Mountain dog with an obstructive urolith at the level of the os penis is used to describe the technique. Multiple attempts to pass a urinary catheter under sedation were unsuccessful. A pigtail cystostomy tube was placed with ultrasound guidance to allow urinary diversion. The dog was discharged from the hospital within 2 days after scrotal urethrostomy and the dog made a full recovery. Ultrasound-guided placement of a pigtail cystostomy tube was straightforward and without complications.</w:t>
      </w:r>
    </w:p>
    <w:p/>
    <w:p>
      <w:pPr>
        <w:pStyle w:val="Normal"/>
      </w:pPr>
      <w:r>
        <w:rPr>
          <w:color w:val="323232"/>
        </w:rPr>
        <w:t xml:space="preserve">SIGNIFICANCE:Ultrasound-guided placement of a pigtail cystostomy tube may be beneficial as it is not technically challenging, can be performed rapidly, and may avoid the need for general anesthesia. Additionally, ultrasound is readily available and an inexperienced ultrasonographer can easily locate the urinary bladder. This report serves to provide a detailed technique of ultrasound-guided placement of a pigtail cystostomy tube in dogs for emergency urinary diversion.</w:t>
      </w:r>
    </w:p>
    <w:p/>
    <w:p>
      <w:pPr>
        <w:pStyle w:val="Normal"/>
      </w:pPr>
      <w:r>
        <w:rPr>
          <w:color w:val="323232"/>
        </w:rPr>
        <w:t xml:space="preserve">J Vet Emerg Crit Care (San Antonio), 2019 vol. 29 (3) pp. 331-336.</w:t>
      </w:r>
    </w:p>
    <w:p>
      <w:r>
        <w:rPr>
          <w:rStyle w:val="Hyperlink"/>
        </w:rPr>
        <w:fldChar w:fldCharType="begin"/>
      </w:r>
      <w:r>
        <w:rPr>
          <w:rStyle w:val="Hyperlink"/>
        </w:rPr>
        <w:instrText xml:space="preserve"> HYPERLINK "http://eutils.ncbi.nlm.nih.gov/entrez/eutils/elink.fcgi?dbfrom=pubmed&amp;id=30994963&amp;retmode=ref&amp;cmd=prlinks"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http://eutils.ncbi.nlm.nih.gov/entrez/eutils/elink.fcgi?dbfrom=pubmed&amp;id=30994963&amp;retmode=ref&amp;cmd=prlinks</w:t>
      </w:r>
      <w:r>
        <w:rPr>
          <w:rStyle w:val="Hyperlink"/>
        </w:rPr>
        <w:fldChar w:fldCharType="end"/>
      </w:r>
    </w:p>
    <w:p>
      <w:pPr>
        <w:pStyle w:val="Normal"/>
      </w:pPr>
      <w:r>
        <w:rPr>
          <w:color w:val="323232"/>
        </w:rPr>
        <w:t xml:space="preserve">————————</w:t>
      </w:r>
    </w:p>
    <w:p>
      <w:pPr>
        <w:pStyle w:val="Heading4"/>
      </w:pPr>
      <w:r>
        <w:t xml:space="preserve">Assessment of hydromorphone and dexmedetomidine for emesis induction in cats.</w:t>
      </w:r>
    </w:p>
    <w:p/>
    <w:p>
      <w:pPr>
        <w:pStyle w:val="Normal"/>
      </w:pPr>
      <w:r>
        <w:rPr>
          <w:color w:val="323232"/>
        </w:rPr>
        <w:t xml:space="preserve">Michael R Nystrom, Adesola Odunayo, and Chika C Okafor.</w:t>
      </w:r>
    </w:p>
    <w:p/>
    <w:p>
      <w:pPr>
        <w:pStyle w:val="Normal"/>
      </w:pPr>
      <w:r>
        <w:rPr>
          <w:color w:val="323232"/>
        </w:rPr>
        <w:t xml:space="preserve">OBJECTIVE:To compare the efficacy of hydromorphone and dexmedetomidine at inducing emesis in cats.</w:t>
      </w:r>
    </w:p>
    <w:p/>
    <w:p>
      <w:pPr>
        <w:pStyle w:val="Normal"/>
      </w:pPr>
      <w:r>
        <w:rPr>
          <w:color w:val="323232"/>
        </w:rPr>
        <w:t xml:space="preserve">DESIGN:Prospective, blinded, randomized crossover study.</w:t>
      </w:r>
    </w:p>
    <w:p/>
    <w:p>
      <w:pPr>
        <w:pStyle w:val="Normal"/>
      </w:pPr>
      <w:r>
        <w:rPr>
          <w:color w:val="323232"/>
        </w:rPr>
        <w:t xml:space="preserve">SETTING:Veterinary university teaching hospital.</w:t>
      </w:r>
    </w:p>
    <w:p/>
    <w:p>
      <w:pPr>
        <w:pStyle w:val="Normal"/>
      </w:pPr>
      <w:r>
        <w:rPr>
          <w:color w:val="323232"/>
        </w:rPr>
        <w:t xml:space="preserve">ANIMALS:12 healthy purpose-bred cats.</w:t>
      </w:r>
    </w:p>
    <w:p/>
    <w:p>
      <w:pPr>
        <w:pStyle w:val="Normal"/>
      </w:pPr>
      <w:r>
        <w:rPr>
          <w:color w:val="323232"/>
        </w:rPr>
        <w:t xml:space="preserve">INTERVENTIONS:Cats were randomly assigned to receive hydromorphone (0.1 mg/ kg, subcutaneously) or dexmedetomidine (7</w:t>
      </w:r>
      <w:r>
        <w:rPr>
          <w:color w:val="323232"/>
        </w:rPr>
        <w:t xml:space="preserve"> </w:t>
      </w:r>
      <w:r>
        <w:rPr>
          <w:color w:val="323232"/>
        </w:rPr>
        <w:t xml:space="preserve">μg/ kg, IM). Following administration, the incidences of emesis, number of emetic events, signs of nausea (hypersalivation, lip licking), temperature, heart rate, respiratory rate, and sedation score were recorded for 6 hours.</w:t>
      </w:r>
    </w:p>
    <w:p/>
    <w:p>
      <w:pPr>
        <w:pStyle w:val="Normal"/>
      </w:pPr>
      <w:r>
        <w:rPr>
          <w:color w:val="323232"/>
        </w:rPr>
        <w:t xml:space="preserve">MEASUREMENTS AND MAIN RESULTS:Emesis was successful in 9 of 12 (75%) cats when treated with hydromorphone and in 7 of 12 (58%) cats when treated with dexmedetomidine (P = 0.67). Dexmedetomidine was more likely to cause sedation than hydromorphone (P &lt; 0.001). Heart rate in cats was significantly decreased at 1 and 2 hours post-hydromorphone (P = 0.003, 0.014, respectively) and at 1, 2, 3, 5, 6 hours post-dexmedetomidine (P = 0.001, 0.003, 0.038, 0.013, 0.001, respectively). Cats were more likely to develop an increase in body temperature with hydromorphone administration although this was not clinically significant.</w:t>
      </w:r>
    </w:p>
    <w:p/>
    <w:p>
      <w:pPr>
        <w:pStyle w:val="Normal"/>
      </w:pPr>
      <w:r>
        <w:rPr>
          <w:color w:val="323232"/>
        </w:rPr>
        <w:t xml:space="preserve">CONCLUSIONS:Results of the present study indicate that hydromorphone is an effective alternative to dexmedetomidine for the induction of emesis in cats. Hydromorphone appears to cause less sedation and less decrease in heart rate. Further investigation into the most adequate dose of hydromorphone for optimizing emesis is warranted.</w:t>
      </w:r>
    </w:p>
    <w:p/>
    <w:p>
      <w:pPr>
        <w:pStyle w:val="Normal"/>
      </w:pPr>
      <w:r>
        <w:rPr>
          <w:color w:val="323232"/>
        </w:rPr>
        <w:t xml:space="preserve">J Vet Emerg Crit Care (San Antonio), 2019 vol. 29 (4) pp. 360-365.</w:t>
      </w:r>
    </w:p>
    <w:p>
      <w:r>
        <w:rPr>
          <w:rStyle w:val="Hyperlink"/>
        </w:rPr>
        <w:fldChar w:fldCharType="begin"/>
      </w:r>
      <w:r>
        <w:rPr>
          <w:rStyle w:val="Hyperlink"/>
        </w:rPr>
        <w:instrText xml:space="preserve"> HYPERLINK "http://eutils.ncbi.nlm.nih.gov/entrez/eutils/elink.fcgi?dbfrom=pubmed&amp;id=31240797&amp;retmode=ref&amp;cmd=prlinks"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http://eutils.ncbi.nlm.nih.gov/entrez/eutils/elink.fcgi?dbfrom=pubmed&amp;id=31240797&amp;retmode=ref&amp;cmd=prlinks</w:t>
      </w:r>
      <w:r>
        <w:rPr>
          <w:rStyle w:val="Hyperlink"/>
        </w:rPr>
        <w:fldChar w:fldCharType="end"/>
      </w:r>
    </w:p>
    <w:p>
      <w:pPr>
        <w:pStyle w:val="Normal"/>
      </w:pPr>
      <w:r>
        <w:rPr>
          <w:color w:val="323232"/>
        </w:rPr>
        <w:t xml:space="preserve">————————</w:t>
      </w:r>
    </w:p>
    <w:p>
      <w:pPr>
        <w:pStyle w:val="Heading4"/>
      </w:pPr>
      <w:r>
        <w:t xml:space="preserve">Effect of intra-abdominal hypertension on plasma exogenous creatinine clearance in conscious and anesthetized dogs.</w:t>
      </w:r>
    </w:p>
    <w:p/>
    <w:p>
      <w:pPr>
        <w:pStyle w:val="Normal"/>
      </w:pPr>
      <w:r>
        <w:rPr>
          <w:color w:val="323232"/>
        </w:rPr>
        <w:t xml:space="preserve">Min Jang, Won-Gyun Son, Sang-Min Jo, Hyunseok Kim, Chi Won Shin, and Inhyung Lee.</w:t>
      </w:r>
    </w:p>
    <w:p/>
    <w:p>
      <w:pPr>
        <w:pStyle w:val="Normal"/>
      </w:pPr>
      <w:r>
        <w:rPr>
          <w:color w:val="323232"/>
        </w:rPr>
        <w:t xml:space="preserve">OBJECTIVE:To evaluate the effect of intra-abdominal pressure (IAP) on plasma exogenous creatinine clearance in both conscious and anesthetized dog models using a balloon technique to generate intra-abdominal hypertension.</w:t>
      </w:r>
    </w:p>
    <w:p/>
    <w:p>
      <w:pPr>
        <w:pStyle w:val="Normal"/>
      </w:pPr>
      <w:r>
        <w:rPr>
          <w:color w:val="323232"/>
        </w:rPr>
        <w:t xml:space="preserve">DESIGN:Prospective, cross-over, experimental study.</w:t>
      </w:r>
    </w:p>
    <w:p/>
    <w:p>
      <w:pPr>
        <w:pStyle w:val="Normal"/>
      </w:pPr>
      <w:r>
        <w:rPr>
          <w:color w:val="323232"/>
        </w:rPr>
        <w:t xml:space="preserve">SETTING:University-based small animal research facility.</w:t>
      </w:r>
    </w:p>
    <w:p/>
    <w:p>
      <w:pPr>
        <w:pStyle w:val="Normal"/>
      </w:pPr>
      <w:r>
        <w:rPr>
          <w:color w:val="323232"/>
        </w:rPr>
        <w:t xml:space="preserve">ANIMALS:Six healthy male Beagle dogs.</w:t>
      </w:r>
    </w:p>
    <w:p/>
    <w:p>
      <w:pPr>
        <w:pStyle w:val="Normal"/>
      </w:pPr>
      <w:r>
        <w:rPr>
          <w:color w:val="323232"/>
        </w:rPr>
        <w:t xml:space="preserve">INTERVENTIONS:A balloon device comprising a Foley urinary catheter and latex balloon was placed in the intra-abdominal cavity. Plasma exogenous creatinine clearance was compared after intravenous administration of exogenous creatinine solution at 80 mg/kg under 4 different treatment conditions as follows: control and IAP levels of 25 mm Hg in conscious dogs and control and IAP levels of 25 mm Hg in anesthetized dogs (CC, C25, AC, and A25, respectively). Samples were obtained before (T0) and 10, 20, 30, 60, 90, 120, 240, 360, 480, and 600 min after administration of creatinine in all treatment groups.</w:t>
      </w:r>
    </w:p>
    <w:p/>
    <w:p>
      <w:pPr>
        <w:pStyle w:val="Normal"/>
      </w:pPr>
      <w:r>
        <w:rPr>
          <w:color w:val="323232"/>
        </w:rPr>
        <w:t xml:space="preserve">MEASUREMENTS AND MAIN RESULTS:There were no significant differences in plasma creatinine concentration for CC, AC, and C25 during the treatment period. However, in the A25 treatment condition, the plasma creatinine concentration increased significantly at 10, 20, 30, 60, 90, and 120 min after administration of creatinine (P &lt; 0.05). Plasma creatinine clearances were 5.0 ± 0.5, 4.7 ± 1.2, 5.5 ± 0.9, and 2.5 ± 0.5 mL</w:t>
      </w:r>
      <w:r>
        <w:rPr>
          <w:i w:val="1"/>
          <w:color w:val="323232"/>
        </w:rPr>
        <w:t xml:space="preserve">kg</w:t>
      </w:r>
      <w:r>
        <w:rPr>
          <w:color w:val="323232"/>
        </w:rPr>
        <w:t xml:space="preserve">min for 600 min (CC, AC, C25, and A25, respectively). In the A25 treatment condition, the plasma exogenous creatinine clearance decreased significantly to 50%, 47%, and 55% of that under control conditions (CC, AC, and C25, respectively). After decompression of the abdomen, plasma creatinine concentrations declined rapidly and returned to basal concentrations.</w:t>
      </w:r>
    </w:p>
    <w:p/>
    <w:p>
      <w:pPr>
        <w:pStyle w:val="Normal"/>
      </w:pPr>
      <w:r>
        <w:rPr>
          <w:color w:val="323232"/>
        </w:rPr>
        <w:t xml:space="preserve">CONCLUSIONS:Intra-abdominal hypertension under general anesthesia could cause renal hypoperfusion. Timely decompression may improve the outcome of acutely increased IAP when surgery and/or general anesthesia is required in canine patients.</w:t>
      </w:r>
    </w:p>
    <w:p/>
    <w:p>
      <w:pPr>
        <w:pStyle w:val="Normal"/>
      </w:pPr>
      <w:r>
        <w:rPr>
          <w:color w:val="323232"/>
        </w:rPr>
        <w:t xml:space="preserve">J Vet Emerg Crit Care (San Antonio), 2019 vol. 29 (4) pp. 366-372.</w:t>
      </w:r>
    </w:p>
    <w:p>
      <w:r>
        <w:rPr>
          <w:rStyle w:val="Hyperlink"/>
        </w:rPr>
        <w:fldChar w:fldCharType="begin"/>
      </w:r>
      <w:r>
        <w:rPr>
          <w:rStyle w:val="Hyperlink"/>
        </w:rPr>
        <w:instrText xml:space="preserve"> HYPERLINK "http://eutils.ncbi.nlm.nih.gov/entrez/eutils/elink.fcgi?dbfrom=pubmed&amp;id=31215748&amp;retmode=ref&amp;cmd=prlinks"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http://eutils.ncbi.nlm.nih.gov/entrez/eutils/elink.fcgi?dbfrom=pubmed&amp;id=31215748&amp;retmode=ref&amp;cmd=prlinks</w:t>
      </w:r>
      <w:r>
        <w:rPr>
          <w:rStyle w:val="Hyperlink"/>
        </w:rPr>
        <w:fldChar w:fldCharType="end"/>
      </w:r>
    </w:p>
    <w:p>
      <w:pPr>
        <w:pStyle w:val="Normal"/>
      </w:pPr>
      <w:r>
        <w:rPr>
          <w:color w:val="323232"/>
        </w:rPr>
        <w:t xml:space="preserve">————————</w:t>
      </w:r>
    </w:p>
    <w:p>
      <w:pPr>
        <w:pStyle w:val="Heading4"/>
      </w:pPr>
      <w:r>
        <w:t xml:space="preserve">Association between computed tomographic thoracic injury scores and blood gas and acid-base balance in dogs with blunt thoracic trauma.</w:t>
      </w:r>
    </w:p>
    <w:p/>
    <w:p>
      <w:pPr>
        <w:pStyle w:val="Normal"/>
      </w:pPr>
      <w:r>
        <w:rPr>
          <w:color w:val="323232"/>
        </w:rPr>
        <w:t xml:space="preserve">Robert M Kirberger, Andrew L Leisewitz, Yolandi Rautenbach, Chee Kin Lim, Nerissa Stander, Nicky Cassel, Luke Arnot, Marizelle deClercq, and Richard Burchell.</w:t>
      </w:r>
    </w:p>
    <w:p/>
    <w:p>
      <w:pPr>
        <w:pStyle w:val="Normal"/>
      </w:pPr>
      <w:r>
        <w:rPr>
          <w:color w:val="323232"/>
        </w:rPr>
        <w:t xml:space="preserve">OBJECTIVE:To determine the association between thoracic injuries evaluated by computed tomography (CT) and arterial blood gas and acid-base status in dogs with blunt thoracic trauma caused by motor vehicle accidents.</w:t>
      </w:r>
    </w:p>
    <w:p/>
    <w:p>
      <w:pPr>
        <w:pStyle w:val="Normal"/>
      </w:pPr>
      <w:r>
        <w:rPr>
          <w:color w:val="323232"/>
        </w:rPr>
        <w:t xml:space="preserve">DESIGN:Prospective observational clinical study.</w:t>
      </w:r>
    </w:p>
    <w:p/>
    <w:p>
      <w:pPr>
        <w:pStyle w:val="Normal"/>
      </w:pPr>
      <w:r>
        <w:rPr>
          <w:color w:val="323232"/>
        </w:rPr>
        <w:t xml:space="preserve">SETTING:University teaching hospital.</w:t>
      </w:r>
    </w:p>
    <w:p/>
    <w:p>
      <w:pPr>
        <w:pStyle w:val="Normal"/>
      </w:pPr>
      <w:r>
        <w:rPr>
          <w:color w:val="323232"/>
        </w:rPr>
        <w:t xml:space="preserve">ANIMALS:Thirty-one client owned traumatized dogs and 15 healthy dogs.</w:t>
      </w:r>
    </w:p>
    <w:p/>
    <w:p>
      <w:pPr>
        <w:pStyle w:val="Normal"/>
      </w:pPr>
      <w:r>
        <w:rPr>
          <w:color w:val="323232"/>
        </w:rPr>
        <w:t xml:space="preserve">PROCEDURES:All trauma group dogs underwent a CT scan and simultaneous arterial blood gas analysis within 24 hours, but not before 4 hours, after the traumatic incident within a 45-month enrollment period.</w:t>
      </w:r>
    </w:p>
    <w:p/>
    <w:p>
      <w:pPr>
        <w:pStyle w:val="Normal"/>
      </w:pPr>
      <w:r>
        <w:rPr>
          <w:color w:val="323232"/>
        </w:rPr>
        <w:t xml:space="preserve">MEASUREMENTS AND MAIN RESULTS:Thorax injuries were classified as pulmonary, pleural space, or rib cage and each of these components was scored for severity using a CT composite pulmonary, pleural, and rib score. The trauma group arterial blood gas and acid-base status were evaluated for statistical difference from the control group. The pulmonary-arterial oxygen pressure was significantly lower in the trauma group compared to the control group that was supported by significant differences in the calculated variables of arterial blood oxygenation as well. There was also a significant correlation between the composite lung score and pleural score and the variables of arterial oxygen status. The pulmonary-arterial carbon dioxide pressure was not significantly different to any of the thoracic injury variables indicating normal alveolar ventilation. Acid-base imbalances were generally mild, insignificant, and variable.</w:t>
      </w:r>
    </w:p>
    <w:p/>
    <w:p>
      <w:pPr>
        <w:pStyle w:val="Normal"/>
      </w:pPr>
      <w:r>
        <w:rPr>
          <w:color w:val="323232"/>
        </w:rPr>
        <w:t xml:space="preserve">CONCLUSIONS AND CLINICAL RELEVANCE:Blunt thoracic trauma causes significant pulmonary and pleural injury and the blood oxygen economy is significantly affected by this. The functional measures of arterial blood oxygenation were well correlated with thoracic CT pathology. Alveolar ventilation was mostly spared but a clinically significant ventilation perfusion mismatch was present.</w:t>
      </w:r>
    </w:p>
    <w:p/>
    <w:p>
      <w:pPr>
        <w:pStyle w:val="Normal"/>
      </w:pPr>
      <w:r>
        <w:rPr>
          <w:color w:val="323232"/>
        </w:rPr>
        <w:t xml:space="preserve">J Vet Emerg Crit Care (San Antonio), 2019 vol. 29 (4) pp. 373-384.</w:t>
      </w:r>
    </w:p>
    <w:p>
      <w:r>
        <w:rPr>
          <w:rStyle w:val="Hyperlink"/>
        </w:rPr>
        <w:fldChar w:fldCharType="begin"/>
      </w:r>
      <w:r>
        <w:rPr>
          <w:rStyle w:val="Hyperlink"/>
        </w:rPr>
        <w:instrText xml:space="preserve"> HYPERLINK "http://eutils.ncbi.nlm.nih.gov/entrez/eutils/elink.fcgi?dbfrom=pubmed&amp;id=31231948&amp;retmode=ref&amp;cmd=prlinks"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http://eutils.ncbi.nlm.nih.gov/entrez/eutils/elink.fcgi?dbfrom=pubmed&amp;id=31231948&amp;retmode=ref&amp;cmd=prlinks</w:t>
      </w:r>
      <w:r>
        <w:rPr>
          <w:rStyle w:val="Hyperlink"/>
        </w:rPr>
        <w:fldChar w:fldCharType="end"/>
      </w:r>
    </w:p>
    <w:p>
      <w:pPr>
        <w:pStyle w:val="Normal"/>
      </w:pPr>
      <w:r>
        <w:rPr>
          <w:color w:val="323232"/>
        </w:rPr>
        <w:t xml:space="preserve">————————</w:t>
      </w:r>
    </w:p>
    <w:p>
      <w:pPr>
        <w:pStyle w:val="Heading4"/>
      </w:pPr>
      <w:r>
        <w:t xml:space="preserve">A pilot study evaluating the effects of prestorage leukoreduction on markers of inflammation in critically ill dogs receiving a blood transfusion.</w:t>
      </w:r>
    </w:p>
    <w:p/>
    <w:p>
      <w:pPr>
        <w:pStyle w:val="Normal"/>
      </w:pPr>
      <w:r>
        <w:rPr>
          <w:color w:val="323232"/>
        </w:rPr>
        <w:t xml:space="preserve">Luis Bosch Lozano, Shauna L Blois, R Darren Wood, Anthony C G Abrams-Ogg, Alexa M Bersenas, Shane W Bateman, and Danielle M Richardson.</w:t>
      </w:r>
    </w:p>
    <w:p/>
    <w:p>
      <w:pPr>
        <w:pStyle w:val="Normal"/>
      </w:pPr>
      <w:r>
        <w:rPr>
          <w:color w:val="323232"/>
        </w:rPr>
        <w:t xml:space="preserve">OBJECTIVES:To compare markers of inflammation after transfusion of leukoreduced (LR) packed RBCs (pRBCs) versus non-LR pRBCs in dogs with critical illness requiring blood transfusion, and to report survival to discharge and rates of transfusion reactions in these dogs.</w:t>
      </w:r>
    </w:p>
    <w:p/>
    <w:p>
      <w:pPr>
        <w:pStyle w:val="Normal"/>
      </w:pPr>
      <w:r>
        <w:rPr>
          <w:color w:val="323232"/>
        </w:rPr>
        <w:t xml:space="preserve">DESIGN:Prospective randomized blinded clinical study June 2014-September 2015.</w:t>
      </w:r>
    </w:p>
    <w:p/>
    <w:p>
      <w:pPr>
        <w:pStyle w:val="Normal"/>
      </w:pPr>
      <w:r>
        <w:rPr>
          <w:color w:val="323232"/>
        </w:rPr>
        <w:t xml:space="preserve">SETTING:University veterinary teaching hospital.</w:t>
      </w:r>
    </w:p>
    <w:p/>
    <w:p>
      <w:pPr>
        <w:pStyle w:val="Normal"/>
      </w:pPr>
      <w:r>
        <w:rPr>
          <w:color w:val="323232"/>
        </w:rPr>
        <w:t xml:space="preserve">ANIMALS:Twenty-three client-owned critically ill dogs, consecutively enrolled.</w:t>
      </w:r>
    </w:p>
    <w:p/>
    <w:p>
      <w:pPr>
        <w:pStyle w:val="Normal"/>
      </w:pPr>
      <w:r>
        <w:rPr>
          <w:color w:val="323232"/>
        </w:rPr>
        <w:t xml:space="preserve">INTERVENTIONS:Dogs requiring a single pRBC transfusion were randomized into the LR or non-LR pRBC group. Exclusion criteria included: requirement for multiple blood products, history of previous blood transfusion, and administration of anti-inflammatory or immunosuppressive medication prior to enrollment.</w:t>
      </w:r>
    </w:p>
    <w:p/>
    <w:p>
      <w:pPr>
        <w:pStyle w:val="Normal"/>
      </w:pPr>
      <w:r>
        <w:rPr>
          <w:color w:val="323232"/>
        </w:rPr>
        <w:t xml:space="preserve">MEASUREMENTS:Blood samples were obtained immediately prior to transfusion, then 2 and 24 hours following transfusion. Parameters measured at each time point included: PCV, WBC count, segmented and band neutrophil counts, fibrinogen, and plasma lactate and C-reactive protein concentrations. Acute patient physiologic and laboratory evaluation fast score was calculated on admission.</w:t>
      </w:r>
    </w:p>
    <w:p/>
    <w:p>
      <w:pPr>
        <w:pStyle w:val="Normal"/>
      </w:pPr>
      <w:r>
        <w:rPr>
          <w:color w:val="323232"/>
        </w:rPr>
        <w:t xml:space="preserve">RESULTS:Eleven dogs were included in the LR group and 12 in the non-LR group; scores of illness severity were not significantly different between groups. Total WBC count was significantly higher in the non-LR versus LR group 24 hours following pRBC transfusion, but this difference was not evident 2 hours following transfusion. No other inflammatory parameters at any time point were significantly different between LR versus non-LR pRBC transfused dogs. Survival rates to discharge for LR and non-LR groups were 8/11 and 9/12, respectively. Acute transfusion reactions were identified in 1/11 and 2/12 dogs in the LR and non-LR group, respectively. All transfused blood was stored ≤12 days.</w:t>
      </w:r>
    </w:p>
    <w:p/>
    <w:p>
      <w:pPr>
        <w:pStyle w:val="Normal"/>
      </w:pPr>
      <w:r>
        <w:rPr>
          <w:color w:val="323232"/>
        </w:rPr>
        <w:t xml:space="preserve">CONCLUSIONS:Most markers of inflammation did not significantly increase following transfusion of LR versus non-LR pRBCs stored ≤12 days in ill dogs. Further prospective, randomized trials are needed in clinically ill dogs to determine the benefit of prestorage leukoreduction.</w:t>
      </w:r>
    </w:p>
    <w:p/>
    <w:p>
      <w:pPr>
        <w:pStyle w:val="Normal"/>
      </w:pPr>
      <w:r>
        <w:rPr>
          <w:color w:val="323232"/>
        </w:rPr>
        <w:t xml:space="preserve">J Vet Emerg Crit Care (San Antonio), 2019 vol. 29 (4) pp. 385-390.</w:t>
      </w:r>
    </w:p>
    <w:p>
      <w:r>
        <w:rPr>
          <w:rStyle w:val="Hyperlink"/>
        </w:rPr>
        <w:fldChar w:fldCharType="begin"/>
      </w:r>
      <w:r>
        <w:rPr>
          <w:rStyle w:val="Hyperlink"/>
        </w:rPr>
        <w:instrText xml:space="preserve"> HYPERLINK "http://eutils.ncbi.nlm.nih.gov/entrez/eutils/elink.fcgi?dbfrom=pubmed&amp;id=31218809&amp;retmode=ref&amp;cmd=prlinks"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http://eutils.ncbi.nlm.nih.gov/entrez/eutils/elink.fcgi?dbfrom=pubmed&amp;id=31218809&amp;retmode=ref&amp;cmd=prlinks</w:t>
      </w:r>
      <w:r>
        <w:rPr>
          <w:rStyle w:val="Hyperlink"/>
        </w:rPr>
        <w:fldChar w:fldCharType="end"/>
      </w:r>
    </w:p>
    <w:p>
      <w:pPr>
        <w:pStyle w:val="Normal"/>
      </w:pPr>
      <w:r>
        <w:rPr>
          <w:color w:val="323232"/>
        </w:rPr>
        <w:t xml:space="preserve">————————</w:t>
      </w:r>
    </w:p>
    <w:p>
      <w:pPr>
        <w:pStyle w:val="Heading4"/>
      </w:pPr>
      <w:r>
        <w:t xml:space="preserve">Investigation of percentage changes in pulse wave transit time induced by mini-fluid challenges to predict fluid responsiveness in ventilated dogs.</w:t>
      </w:r>
    </w:p>
    <w:p/>
    <w:p>
      <w:pPr>
        <w:pStyle w:val="Normal"/>
      </w:pPr>
      <w:r>
        <w:rPr>
          <w:color w:val="323232"/>
        </w:rPr>
        <w:t xml:space="preserve">Hiroki Sano, Masako Fujiyama, Paul Wightman, Nick J Cave, Mike A Gieseg, Craig B Johnson, and Paul Chambers.</w:t>
      </w:r>
    </w:p>
    <w:p/>
    <w:p>
      <w:pPr>
        <w:pStyle w:val="Normal"/>
      </w:pPr>
      <w:r>
        <w:rPr>
          <w:color w:val="323232"/>
        </w:rPr>
        <w:t xml:space="preserve">OBJECTIVE:To investigate whether percentage changes in pulse wave transit time (PWTT%Δ) induced by mini-fluid challenges predict fluid responsiveness in mechanically ventilated anesthetized dogs.</w:t>
      </w:r>
    </w:p>
    <w:p/>
    <w:p>
      <w:pPr>
        <w:pStyle w:val="Normal"/>
      </w:pPr>
      <w:r>
        <w:rPr>
          <w:color w:val="323232"/>
        </w:rPr>
        <w:t xml:space="preserve">DESIGN:Prospective experimental trial.</w:t>
      </w:r>
    </w:p>
    <w:p/>
    <w:p>
      <w:pPr>
        <w:pStyle w:val="Normal"/>
      </w:pPr>
      <w:r>
        <w:rPr>
          <w:color w:val="323232"/>
        </w:rPr>
        <w:t xml:space="preserve">SETTING:University teaching hospital.</w:t>
      </w:r>
    </w:p>
    <w:p/>
    <w:p>
      <w:pPr>
        <w:pStyle w:val="Normal"/>
      </w:pPr>
      <w:r>
        <w:rPr>
          <w:color w:val="323232"/>
        </w:rPr>
        <w:t xml:space="preserve">ANIMALS:Twelve Harrier hounds.</w:t>
      </w:r>
    </w:p>
    <w:p/>
    <w:p>
      <w:pPr>
        <w:pStyle w:val="Normal"/>
      </w:pPr>
      <w:r>
        <w:rPr>
          <w:color w:val="323232"/>
        </w:rPr>
        <w:t xml:space="preserve">INTERVENTION:Each dog was anesthetized with propofol and isoflurane after premedication with acepromazine, mechanically ventilated, and had a fluid challenge. This was repeated 4 weeks later. The fluid challenge, 10 mL/ kg of colloid administration over 13 minutes, consisted of 3 intermittent mini-fluid challenges (1 mL/ kg of each over a minute) with a minute interval, and the remaining colloid administration (7 mL/ kg) over 7 minutes.</w:t>
      </w:r>
    </w:p>
    <w:p/>
    <w:p>
      <w:pPr>
        <w:pStyle w:val="Normal"/>
      </w:pPr>
      <w:r>
        <w:rPr>
          <w:color w:val="323232"/>
        </w:rPr>
        <w:t xml:space="preserve">MEASUREMENTS AND MAIN RESULTS:Percentage change in velocity time integral of pulmonary arterial flow by echocardiography was calculated as an indication of change in stroke volume. Fluid responsiveness was defined as percentage change in velocity time integral ≥ 15% after 10 mL/ kg colloid. Dogs responded on 14 fluid challenges and did not on 10. After 1, 2, 3, and 10 mL/ kg of fluid challenge, PWTT%Δ1, 2, 3, 10 were measured. Receiver operator characteristic (ROC) curves were generated and areas under ROC curve were calculated for PWTT%Δ1, 2, 3 . A gray zone approach was used to identify the clinically inconclusive range. The area under the ROC curve for PWTT%Δ3 was 0.91 (P = 0.001). Cutoff value for PWTT%Δ3 was -2.5% (sensitivity: 86%, specificity: 90%). The gray zone for PWTT%Δ3 was identified as between -2.9% to -1.9% for which fluid responsiveness could not be predicted reliably in 6 out of 24 fluid challenges.</w:t>
      </w:r>
    </w:p>
    <w:p/>
    <w:p>
      <w:pPr>
        <w:pStyle w:val="Normal"/>
      </w:pPr>
      <w:r>
        <w:rPr>
          <w:color w:val="323232"/>
        </w:rPr>
        <w:t xml:space="preserve">CONCLUSIONS:In mechanically ventilated anesthetized dogs given a mini-fluid challenge of 3 mL/kg of colloid, PWTT%Δ could predict fluid responsiveness although the gray zone should be considered.</w:t>
      </w:r>
    </w:p>
    <w:p/>
    <w:p>
      <w:pPr>
        <w:pStyle w:val="Normal"/>
      </w:pPr>
      <w:r>
        <w:rPr>
          <w:color w:val="323232"/>
        </w:rPr>
        <w:t xml:space="preserve">J Vet Emerg Crit Care (San Antonio), 2019 vol. 29 (4) pp. 391-398.</w:t>
      </w:r>
    </w:p>
    <w:p>
      <w:r>
        <w:rPr>
          <w:rStyle w:val="Hyperlink"/>
        </w:rPr>
        <w:fldChar w:fldCharType="begin"/>
      </w:r>
      <w:r>
        <w:rPr>
          <w:rStyle w:val="Hyperlink"/>
        </w:rPr>
        <w:instrText xml:space="preserve"> HYPERLINK "http://eutils.ncbi.nlm.nih.gov/entrez/eutils/elink.fcgi?dbfrom=pubmed&amp;id=31222978&amp;retmode=ref&amp;cmd=prlinks"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http://eutils.ncbi.nlm.nih.gov/entrez/eutils/elink.fcgi?dbfrom=pubmed&amp;id=31222978&amp;retmode=ref&amp;cmd=prlinks</w:t>
      </w:r>
      <w:r>
        <w:rPr>
          <w:rStyle w:val="Hyperlink"/>
        </w:rPr>
        <w:fldChar w:fldCharType="end"/>
      </w:r>
    </w:p>
    <w:p>
      <w:pPr>
        <w:pStyle w:val="Normal"/>
      </w:pPr>
      <w:r>
        <w:rPr>
          <w:color w:val="323232"/>
        </w:rPr>
        <w:t xml:space="preserve">————————</w:t>
      </w:r>
    </w:p>
    <w:p>
      <w:pPr>
        <w:pStyle w:val="Heading4"/>
      </w:pPr>
      <w:r>
        <w:t xml:space="preserve">A pilot study comparing bone marrow aspirates and venous blood for emergency point-of-care blood parameters in healthy dogs.</w:t>
      </w:r>
    </w:p>
    <w:p/>
    <w:p>
      <w:pPr>
        <w:pStyle w:val="Normal"/>
      </w:pPr>
      <w:r>
        <w:rPr>
          <w:color w:val="323232"/>
        </w:rPr>
        <w:t xml:space="preserve">Lindsey Ackert, Søren R Boysen, and Teresa Schiller.</w:t>
      </w:r>
    </w:p>
    <w:p/>
    <w:p>
      <w:pPr>
        <w:pStyle w:val="Normal"/>
      </w:pPr>
      <w:r>
        <w:rPr>
          <w:color w:val="323232"/>
        </w:rPr>
        <w:t xml:space="preserve">OBJECTIVE:To compare intravenous and intraosseous blood aspirates using point-of-care diagnostic equipment available in veterinary hospitals.</w:t>
      </w:r>
    </w:p>
    <w:p/>
    <w:p>
      <w:pPr>
        <w:pStyle w:val="Normal"/>
      </w:pPr>
      <w:r>
        <w:rPr>
          <w:color w:val="323232"/>
        </w:rPr>
        <w:t xml:space="preserve">DESIGN:Prospective study.</w:t>
      </w:r>
    </w:p>
    <w:p/>
    <w:p>
      <w:pPr>
        <w:pStyle w:val="Normal"/>
      </w:pPr>
      <w:r>
        <w:rPr>
          <w:color w:val="323232"/>
        </w:rPr>
        <w:t xml:space="preserve">SETTING:Private referral hospital.</w:t>
      </w:r>
    </w:p>
    <w:p/>
    <w:p>
      <w:pPr>
        <w:pStyle w:val="Normal"/>
      </w:pPr>
      <w:r>
        <w:rPr>
          <w:color w:val="323232"/>
        </w:rPr>
        <w:t xml:space="preserve">ANIMALS:Dogs undergoing a</w:t>
      </w:r>
      <w:r>
        <w:rPr>
          <w:color w:val="323232"/>
        </w:rPr>
        <w:t xml:space="preserve"> </w:t>
      </w:r>
      <w:r>
        <w:rPr>
          <w:color w:val="323232"/>
        </w:rPr>
        <w:t xml:space="preserve">tibial</w:t>
      </w:r>
      <w:r>
        <w:rPr>
          <w:color w:val="323232"/>
        </w:rPr>
        <w:t xml:space="preserve"> </w:t>
      </w:r>
      <w:r>
        <w:rPr>
          <w:color w:val="323232"/>
        </w:rPr>
        <w:t xml:space="preserve">plateau leveling osteotomy or extracapsular anterior cruciate ligament stabilization procedure were enrolled.</w:t>
      </w:r>
    </w:p>
    <w:p/>
    <w:p>
      <w:pPr>
        <w:pStyle w:val="Normal"/>
      </w:pPr>
      <w:r>
        <w:rPr>
          <w:color w:val="323232"/>
        </w:rPr>
        <w:t xml:space="preserve">METHODS:Under general anesthesia, simultaneous 0.5 mL intravenous and intraosseous blood samples were collected from the jugular vein and proximal tibia, respectively. Samples were evaluated in duplicate within 10 minutes of collection and averaged for each of the following parameters: blood urea nitrogen (BUN), glucose, packed cell volume, total plasma protein (TPP), plasma lactate, sodium, potassium, chloride, urea, glucose, pH, anion gap, pO2, and pCO2 . Normalcy was tested with Kolmogorov-Smirnov test. A Student's t-test and Bland-Altman plot were used to compare intravenous and intraosseous samples.</w:t>
      </w:r>
    </w:p>
    <w:p/>
    <w:p>
      <w:pPr>
        <w:pStyle w:val="Normal"/>
      </w:pPr>
      <w:r>
        <w:rPr>
          <w:color w:val="323232"/>
        </w:rPr>
        <w:t xml:space="preserve">RESULTS:Twelve dogs were recruited into the study. There were statistically significant differences between intravenous and intraosseous samples for sodium (P = 0.0216), chloride (P = 0.0225), BUN (P = 0.014), and potassium (P &lt; 0.0001), respectively. No significant differences were detected for the other parameters evaluated.</w:t>
      </w:r>
    </w:p>
    <w:p/>
    <w:p>
      <w:pPr>
        <w:pStyle w:val="Normal"/>
      </w:pPr>
      <w:r>
        <w:rPr>
          <w:color w:val="323232"/>
        </w:rPr>
        <w:t xml:space="preserve">DISCUSSION:The intraosseous space provides an easily accessible, noncollapsible alternative for assessing blood parameters. Omitting potassium, the statistically significant differences noted between sites was not felt to be clinically significant. Although statistically insignificant, the large difference in hematocrit values indicates that the samples should not be used interchangeably.</w:t>
      </w:r>
    </w:p>
    <w:p/>
    <w:p>
      <w:pPr>
        <w:pStyle w:val="Normal"/>
      </w:pPr>
      <w:r>
        <w:rPr>
          <w:color w:val="323232"/>
        </w:rPr>
        <w:t xml:space="preserve">CONCLUSION:Intraosseous aspirates, excluding potassium and hematocrit, appear to be a reliable alternative for assessing most point-of-care analytes in healthy dogs, although a larger sample size should be investigated. The application of these data in shock patients is unknown.</w:t>
      </w:r>
    </w:p>
    <w:p/>
    <w:p>
      <w:pPr>
        <w:pStyle w:val="Normal"/>
      </w:pPr>
      <w:r>
        <w:rPr>
          <w:color w:val="323232"/>
        </w:rPr>
        <w:t xml:space="preserve">J Vet Emerg Crit Care (San Antonio), 2019 vol. 29 (4) pp. 399-406.</w:t>
      </w:r>
    </w:p>
    <w:p>
      <w:r>
        <w:rPr>
          <w:rStyle w:val="Hyperlink"/>
        </w:rPr>
        <w:fldChar w:fldCharType="begin"/>
      </w:r>
      <w:r>
        <w:rPr>
          <w:rStyle w:val="Hyperlink"/>
        </w:rPr>
        <w:instrText xml:space="preserve"> HYPERLINK "http://eutils.ncbi.nlm.nih.gov/entrez/eutils/elink.fcgi?dbfrom=pubmed&amp;id=31225690&amp;retmode=ref&amp;cmd=prlinks"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http://eutils.ncbi.nlm.nih.gov/entrez/eutils/elink.fcgi?dbfrom=pubmed&amp;id=31225690&amp;retmode=ref&amp;cmd=prlinks</w:t>
      </w:r>
      <w:r>
        <w:rPr>
          <w:rStyle w:val="Hyperlink"/>
        </w:rPr>
        <w:fldChar w:fldCharType="end"/>
      </w:r>
    </w:p>
    <w:p>
      <w:pPr>
        <w:pStyle w:val="Normal"/>
      </w:pPr>
      <w:r>
        <w:rPr>
          <w:color w:val="323232"/>
        </w:rPr>
        <w:t xml:space="preserve">————————</w:t>
      </w:r>
    </w:p>
    <w:p>
      <w:pPr>
        <w:pStyle w:val="Heading4"/>
      </w:pPr>
      <w:r>
        <w:t xml:space="preserve">Retrospective evaluation of factors influencing transfusion requirements and outcome in cats with pelvic injury (2009-2014): 122 cases.</w:t>
      </w:r>
    </w:p>
    <w:p/>
    <w:p>
      <w:pPr>
        <w:pStyle w:val="Normal"/>
      </w:pPr>
      <w:r>
        <w:rPr>
          <w:color w:val="323232"/>
        </w:rPr>
        <w:t xml:space="preserve">Poppy Gant, Imola Asztalos, Elvin Kulendra, Karla Lee, and Karen Humm.</w:t>
      </w:r>
    </w:p>
    <w:p/>
    <w:p>
      <w:pPr>
        <w:pStyle w:val="Normal"/>
      </w:pPr>
      <w:r>
        <w:rPr>
          <w:color w:val="323232"/>
        </w:rPr>
        <w:t xml:space="preserve">OBJECTIVE:To characterize a population of cats with pelvic trauma and evaluate factors influencing transfusion requirement and outcome.</w:t>
      </w:r>
    </w:p>
    <w:p/>
    <w:p>
      <w:pPr>
        <w:pStyle w:val="Normal"/>
      </w:pPr>
      <w:r>
        <w:rPr>
          <w:color w:val="323232"/>
        </w:rPr>
        <w:t xml:space="preserve">DESIGN:Retrospective case series (2009-2014).</w:t>
      </w:r>
    </w:p>
    <w:p/>
    <w:p>
      <w:pPr>
        <w:pStyle w:val="Normal"/>
      </w:pPr>
      <w:r>
        <w:rPr>
          <w:color w:val="323232"/>
        </w:rPr>
        <w:t xml:space="preserve">SETTING:University teaching hospital.</w:t>
      </w:r>
    </w:p>
    <w:p/>
    <w:p>
      <w:pPr>
        <w:pStyle w:val="Normal"/>
      </w:pPr>
      <w:r>
        <w:rPr>
          <w:color w:val="323232"/>
        </w:rPr>
        <w:t xml:space="preserve">ANIMALS:One hundred twelve client-owned cats with pelvic trauma.</w:t>
      </w:r>
    </w:p>
    <w:p/>
    <w:p>
      <w:pPr>
        <w:pStyle w:val="Normal"/>
      </w:pPr>
      <w:r>
        <w:rPr>
          <w:color w:val="323232"/>
        </w:rPr>
        <w:t xml:space="preserve">INTERVENTIONS:None.</w:t>
      </w:r>
    </w:p>
    <w:p/>
    <w:p>
      <w:pPr>
        <w:pStyle w:val="Normal"/>
      </w:pPr>
      <w:r>
        <w:rPr>
          <w:color w:val="323232"/>
        </w:rPr>
        <w:t xml:space="preserve">MEASUREMENTS AND MAIN RESULTS:Twenty-one (18.8%) cats received a transfusion. Most cats required only 1 fresh whole blood transfusion (85.8%). Packed cell volume at admission was significantly lower in cats that required transfusion but was not associated with hospitalization time or survival to discharge. Increasing Animal Trauma Triage (ATT) score at admission was significantly associated with transfusion requirement (P = 0.0001) and nonsurvival to discharge (P = 0.03). Number of pelvic fractures was not associated with transfusion requirement but cats with sacroiliac luxations and pubic fractures were more likely to require a transfusion (P = 0.0015 and P = 0.0026, respectively). However, fracture type was not associated with survival to discharge. Most cats (86%) required a surgical procedure and half of transfusions were administered preoperatively. No surgical comorbidities were associated with transfusion requirement or survival. Transfusion requirement was associated with longer length of hospitalization but not survival to discharge.</w:t>
      </w:r>
    </w:p>
    <w:p/>
    <w:p>
      <w:pPr>
        <w:pStyle w:val="Normal"/>
      </w:pPr>
      <w:r>
        <w:rPr>
          <w:color w:val="323232"/>
        </w:rPr>
        <w:t xml:space="preserve">CONCLUSIONS:Transfusion requirement in this population of cats with pelvic fractures was fairly high. Transfusion requirement was associated with lower packed cell volume, higher ATT score at admission, longer length of hospitalization, and certain types of pelvic fractures. Transfusion requirement was not associated with surgical comorbidities, surgical intervention, or survival to discharge. Lower ATT score at admission was associated with survival to discharge.</w:t>
      </w:r>
    </w:p>
    <w:p/>
    <w:p>
      <w:pPr>
        <w:pStyle w:val="Normal"/>
      </w:pPr>
      <w:r>
        <w:rPr>
          <w:color w:val="323232"/>
        </w:rPr>
        <w:t xml:space="preserve">J Vet Emerg Crit Care (San Antonio), 2019 vol. 29 (4) pp. 407-412.</w:t>
      </w:r>
    </w:p>
    <w:p>
      <w:r>
        <w:rPr>
          <w:rStyle w:val="Hyperlink"/>
        </w:rPr>
        <w:fldChar w:fldCharType="begin"/>
      </w:r>
      <w:r>
        <w:rPr>
          <w:rStyle w:val="Hyperlink"/>
        </w:rPr>
        <w:instrText xml:space="preserve"> HYPERLINK "http://eutils.ncbi.nlm.nih.gov/entrez/eutils/elink.fcgi?dbfrom=pubmed&amp;id=31218799&amp;retmode=ref&amp;cmd=prlinks"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http://eutils.ncbi.nlm.nih.gov/entrez/eutils/elink.fcgi?dbfrom=pubmed&amp;id=31218799&amp;retmode=ref&amp;cmd=prlinks</w:t>
      </w:r>
      <w:r>
        <w:rPr>
          <w:rStyle w:val="Hyperlink"/>
        </w:rPr>
        <w:fldChar w:fldCharType="end"/>
      </w:r>
    </w:p>
    <w:p>
      <w:pPr>
        <w:pStyle w:val="Normal"/>
      </w:pPr>
      <w:r>
        <w:rPr>
          <w:color w:val="323232"/>
        </w:rPr>
        <w:t xml:space="preserve">————————</w:t>
      </w:r>
    </w:p>
    <w:p>
      <w:pPr>
        <w:pStyle w:val="Heading4"/>
      </w:pPr>
      <w:r>
        <w:t xml:space="preserve">Retrospective evaluation of pericardial catheter placement in the management of pericardial effusion in dogs (2007-2015):18 cases.</w:t>
      </w:r>
    </w:p>
    <w:p/>
    <w:p>
      <w:pPr>
        <w:pStyle w:val="Normal"/>
      </w:pPr>
      <w:r>
        <w:rPr>
          <w:color w:val="323232"/>
        </w:rPr>
        <w:t xml:space="preserve">Simon Cook, Stefano Cortellini, and Karen Humm.</w:t>
      </w:r>
    </w:p>
    <w:p/>
    <w:p>
      <w:pPr>
        <w:pStyle w:val="Normal"/>
      </w:pPr>
      <w:r>
        <w:rPr>
          <w:color w:val="323232"/>
        </w:rPr>
        <w:t xml:space="preserve">OBJECTIVE:To describe the use of pericardial catheters in dogs with pericardial effusion (PE), and detail any associated adverse events.</w:t>
      </w:r>
    </w:p>
    <w:p/>
    <w:p>
      <w:pPr>
        <w:pStyle w:val="Normal"/>
      </w:pPr>
      <w:r>
        <w:rPr>
          <w:color w:val="323232"/>
        </w:rPr>
        <w:t xml:space="preserve">DESIGN:Retrospective study.</w:t>
      </w:r>
    </w:p>
    <w:p/>
    <w:p>
      <w:pPr>
        <w:pStyle w:val="Normal"/>
      </w:pPr>
      <w:r>
        <w:rPr>
          <w:color w:val="323232"/>
        </w:rPr>
        <w:t xml:space="preserve">SETTING:University teaching hospital.</w:t>
      </w:r>
    </w:p>
    <w:p/>
    <w:p>
      <w:pPr>
        <w:pStyle w:val="Normal"/>
      </w:pPr>
      <w:r>
        <w:rPr>
          <w:color w:val="323232"/>
        </w:rPr>
        <w:t xml:space="preserve">ANIMALS:Eighteen client-owned dogs that had pericardial catheters placed for pericardial fluid drainage between May 2007 and January 2015.</w:t>
      </w:r>
    </w:p>
    <w:p/>
    <w:p>
      <w:pPr>
        <w:pStyle w:val="Normal"/>
      </w:pPr>
      <w:r>
        <w:rPr>
          <w:color w:val="323232"/>
        </w:rPr>
        <w:t xml:space="preserve">INTERVENTIONS:None.</w:t>
      </w:r>
    </w:p>
    <w:p/>
    <w:p>
      <w:pPr>
        <w:pStyle w:val="Normal"/>
      </w:pPr>
      <w:r>
        <w:rPr>
          <w:color w:val="323232"/>
        </w:rPr>
        <w:t xml:space="preserve">MEASUREMENTS AND MAIN RESULTS:All pericardial catheters were placed within 5 hours of presentation, usually within 1 hour (median 72.5 min, range 45-300 min). Ten of 18 cases were sedated with butorphanol, and 4 with additional midazolam. Four had pericardial catheters positioned for single drainage only and were immediately removed. The other 14 pericardial catheters remained in situ for a median of 18 hours (range 2-88 h). Ten of the remaining 14 cases were redrained after pericardial catheter placement. The main adverse events reported were new arrhythmias in 6/18 cases, with 4 of these 6 patients being administered anti-arrhythmic therapy. No infectious or functional complications were reported. Ten patients were discharged, 1 died and 7 were euthanized.</w:t>
      </w:r>
    </w:p>
    <w:p/>
    <w:p>
      <w:pPr>
        <w:pStyle w:val="Normal"/>
      </w:pPr>
      <w:r>
        <w:rPr>
          <w:color w:val="323232"/>
        </w:rPr>
        <w:t xml:space="preserve">CONCLUSIONS:Thoracic drainage catheters inserted into the pericardial space via a modified-Seldinger technique can be positioned in dogs to aid management of PEs. The main associated adverse event is arrhythmia. Minimal sedation is required for placement, and dogs tend not to require postprocedural analgesia. Catheters can remain in situ for repeated drainage, potentially decreasing staffing time requirement and repeat sedation. Their use is associated with a rate of arrhythmia requiring treatment of 22%, compared to that of needle pericardiocentesis alone at 13%. They are easy to position using equipment available in many facilities.</w:t>
      </w:r>
    </w:p>
    <w:p/>
    <w:p>
      <w:pPr>
        <w:pStyle w:val="Normal"/>
      </w:pPr>
      <w:r>
        <w:rPr>
          <w:color w:val="323232"/>
        </w:rPr>
        <w:t xml:space="preserve">J Vet Emerg Crit Care (San Antonio), 2019 vol. 29 (4) pp. 413-417.</w:t>
      </w:r>
    </w:p>
    <w:p>
      <w:r>
        <w:rPr>
          <w:rStyle w:val="Hyperlink"/>
        </w:rPr>
        <w:fldChar w:fldCharType="begin"/>
      </w:r>
      <w:r>
        <w:rPr>
          <w:rStyle w:val="Hyperlink"/>
        </w:rPr>
        <w:instrText xml:space="preserve"> HYPERLINK "http://eutils.ncbi.nlm.nih.gov/entrez/eutils/elink.fcgi?dbfrom=pubmed&amp;id=31228330&amp;retmode=ref&amp;cmd=prlinks"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http://eutils.ncbi.nlm.nih.gov/entrez/eutils/elink.fcgi?dbfrom=pubmed&amp;id=31228330&amp;retmode=ref&amp;cmd=prlinks</w:t>
      </w:r>
      <w:r>
        <w:rPr>
          <w:rStyle w:val="Hyperlink"/>
        </w:rPr>
        <w:fldChar w:fldCharType="end"/>
      </w:r>
    </w:p>
    <w:p>
      <w:pPr>
        <w:pStyle w:val="Normal"/>
      </w:pPr>
      <w:r>
        <w:rPr>
          <w:color w:val="323232"/>
        </w:rPr>
        <w:t xml:space="preserve">————————</w:t>
      </w:r>
    </w:p>
    <w:p>
      <w:pPr>
        <w:pStyle w:val="Heading4"/>
      </w:pPr>
      <w:r>
        <w:t xml:space="preserve">Retrospective evaluation of the clinical presentation, magnetic resonance imaging findings, and outcome of dogs diagnosed with intracranial empyema (2008-2015): 9 cases.</w:t>
      </w:r>
    </w:p>
    <w:p/>
    <w:p>
      <w:pPr>
        <w:pStyle w:val="Normal"/>
      </w:pPr>
      <w:r>
        <w:rPr>
          <w:color w:val="323232"/>
        </w:rPr>
        <w:t xml:space="preserve">Alexander K Forward, Ioannis N Plessas, Sérgio Guilherme, and Steven De Decker.</w:t>
      </w:r>
    </w:p>
    <w:p/>
    <w:p>
      <w:pPr>
        <w:pStyle w:val="Normal"/>
      </w:pPr>
      <w:r>
        <w:rPr>
          <w:color w:val="323232"/>
        </w:rPr>
        <w:t xml:space="preserve">OBJECTIVE:To describe the clinical presentation, advanced imaging findings, and short- and long-term outcomes in dogs with intracranial empyema.</w:t>
      </w:r>
    </w:p>
    <w:p/>
    <w:p>
      <w:pPr>
        <w:pStyle w:val="Normal"/>
      </w:pPr>
      <w:r>
        <w:rPr>
          <w:color w:val="323232"/>
        </w:rPr>
        <w:t xml:space="preserve">DESIGN:Retrospective case series.</w:t>
      </w:r>
    </w:p>
    <w:p/>
    <w:p>
      <w:pPr>
        <w:pStyle w:val="Normal"/>
      </w:pPr>
      <w:r>
        <w:rPr>
          <w:color w:val="323232"/>
        </w:rPr>
        <w:t xml:space="preserve">ANIMALS:Client-owned dogs diagnosed with intracranial empyema.</w:t>
      </w:r>
    </w:p>
    <w:p/>
    <w:p>
      <w:pPr>
        <w:pStyle w:val="Normal"/>
      </w:pPr>
      <w:r>
        <w:rPr>
          <w:color w:val="323232"/>
        </w:rPr>
        <w:t xml:space="preserve">METHODS:Medical records from 2 referral hospitals were searched for dogs diagnosed with intracranial empyema. To be included in this study, dogs had to fulfill 1 or more of the following 3 inclusion criteria: a magnetic resonance imaging (MRI) scan with space occupying accumulation of extra-axial material suggestive of empyema, a cerebrospinal fluid analysis suggestive of empyema, or direct visualization of purulent material during intracranial surgery.</w:t>
      </w:r>
    </w:p>
    <w:p/>
    <w:p>
      <w:pPr>
        <w:pStyle w:val="Normal"/>
      </w:pPr>
      <w:r>
        <w:rPr>
          <w:color w:val="323232"/>
        </w:rPr>
        <w:t xml:space="preserve">RESULTS:Nine dogs with intracranial empyema were included, with a median age of 3.5 years (range: 4 mo-12.5 y). All presented as emergencies with 7 of the 9 dogs showing neurological abnormalities and 2 of the 9 with retrobulbar swelling and exophthalmos. Six had surgical intervention, 1 was medically managed, and the remaining 2 dogs were euthanized. Typical MRI findings included extra-axial, T1-weighted hypo- to isointense, T2-weighted hyperintense material compared to gray matter with varying degrees of contrast enhancement, with 6 of 8 showing evidence of contiguous infection from adjacent structures on MRI. For 7 dogs, ≥1 samples were sent for culture and sensitivity, with Enterococcus (surgical swab), Streptococcus pneumonia (from cerebral spinal fluid), and coagulase positive Staphylococcus (ear swab) being cultured. The median antimicrobial course length was 6 weeks (range: 2-28 wk). All dogs for which treatment was attempted survived to discharge, with a median hospitalization time of 7 days (range: 4-10</w:t>
      </w:r>
      <w:r>
        <w:rPr>
          <w:color w:val="323232"/>
        </w:rPr>
        <w:t xml:space="preserve"> </w:t>
      </w:r>
      <w:r>
        <w:rPr>
          <w:color w:val="323232"/>
        </w:rPr>
        <w:t xml:space="preserve">d). Four of the 7 are still alive at the time of writing (1 lost to follow-up; 2 euthanized for other reasons) with all 4 considered neurologically normal with a successful long-term outcome.</w:t>
      </w:r>
    </w:p>
    <w:p/>
    <w:p>
      <w:pPr>
        <w:pStyle w:val="Normal"/>
      </w:pPr>
      <w:r>
        <w:rPr>
          <w:color w:val="323232"/>
        </w:rPr>
        <w:t xml:space="preserve">CONCLUSION:Although intracranial empyema in dogs is a rare condition, excellent outcomes are possible in those cases treated appropriately.</w:t>
      </w:r>
    </w:p>
    <w:p/>
    <w:p>
      <w:pPr>
        <w:pStyle w:val="Normal"/>
      </w:pPr>
      <w:r>
        <w:rPr>
          <w:color w:val="323232"/>
        </w:rPr>
        <w:t xml:space="preserve">J Vet Emerg Crit Care (San Antonio), 2019 vol. 29 (4) pp. 431-438.</w:t>
      </w:r>
    </w:p>
    <w:p>
      <w:r>
        <w:rPr>
          <w:rStyle w:val="Hyperlink"/>
        </w:rPr>
        <w:fldChar w:fldCharType="begin"/>
      </w:r>
      <w:r>
        <w:rPr>
          <w:rStyle w:val="Hyperlink"/>
        </w:rPr>
        <w:instrText xml:space="preserve"> HYPERLINK "http://eutils.ncbi.nlm.nih.gov/entrez/eutils/elink.fcgi?dbfrom=pubmed&amp;id=31218823&amp;retmode=ref&amp;cmd=prlinks"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http://eutils.ncbi.nlm.nih.gov/entrez/eutils/elink.fcgi?dbfrom=pubmed&amp;id=31218823&amp;retmode=ref&amp;cmd=prlinks</w:t>
      </w:r>
      <w:r>
        <w:rPr>
          <w:rStyle w:val="Hyperlink"/>
        </w:rPr>
        <w:fldChar w:fldCharType="end"/>
      </w:r>
    </w:p>
    <w:p>
      <w:pPr>
        <w:pStyle w:val="Normal"/>
      </w:pPr>
      <w:r>
        <w:rPr>
          <w:color w:val="323232"/>
        </w:rPr>
        <w:t xml:space="preserve">————————</w:t>
      </w:r>
    </w:p>
    <w:p>
      <w:pPr>
        <w:pStyle w:val="Heading4"/>
      </w:pPr>
      <w:r>
        <w:t xml:space="preserve">Successful management of catastrophic peripheral vascular hemorrhage using massive autotransfusion and damage control surgery in a dog.</w:t>
      </w:r>
    </w:p>
    <w:p/>
    <w:p>
      <w:pPr>
        <w:pStyle w:val="Normal"/>
      </w:pPr>
      <w:r>
        <w:rPr>
          <w:color w:val="323232"/>
        </w:rPr>
        <w:t xml:space="preserve">Rita D K Ghosal and Alexandra Bos.</w:t>
      </w:r>
    </w:p>
    <w:p/>
    <w:p>
      <w:pPr>
        <w:pStyle w:val="Normal"/>
      </w:pPr>
      <w:r>
        <w:rPr>
          <w:color w:val="323232"/>
        </w:rPr>
        <w:t xml:space="preserve">OBJECTIVE:To describe a case of massive transfusion using unwashed, non-anticoagulated, nonsterile autologous blood in a dog with catastrophic hemorrhage from a peripheral vessel during orthopedic surgery. A damage control surgical strategy was also employed.</w:t>
      </w:r>
    </w:p>
    <w:p/>
    <w:p>
      <w:pPr>
        <w:pStyle w:val="Normal"/>
      </w:pPr>
      <w:r>
        <w:rPr>
          <w:color w:val="323232"/>
        </w:rPr>
        <w:t xml:space="preserve">CASE SUMMARY:A 6-year-old, 48</w:t>
      </w:r>
      <w:r>
        <w:rPr>
          <w:color w:val="323232"/>
        </w:rPr>
        <w:t xml:space="preserve"> </w:t>
      </w:r>
      <w:r>
        <w:rPr>
          <w:color w:val="323232"/>
        </w:rPr>
        <w:t xml:space="preserve">kg neutered male Labrador Retriever experienced massive hemorrhage after transection of a large blood vessel while undergoing femoral head and neck osteotomy. Blood was collected from clean, but not sterile, suction canisters and clots were skimmed off. The blood was then transfused back to the dog using a standard in-line blood filter. Approximately 58% of the dog's blood volume was autotransfused in less than 2 hours, thereby meeting the criteria for massive transfusion. Surgery was aborted after hemostasis was achieved by ligation of the vessel and packing of the surgical site. Two units of fresh frozen plasma were administered postoperatively due to the development of a coagulopathy. Hemoglobinuria developed but resolved within 18 hours. Three days later, completion of the surgical procedure was performed without incident. The dog was discharged 4 days after the initial surgery. Marked swelling of the affected limb developed, but resolved after the sixth day. No other significant complications developed.</w:t>
      </w:r>
    </w:p>
    <w:p/>
    <w:p>
      <w:pPr>
        <w:pStyle w:val="Normal"/>
      </w:pPr>
      <w:r>
        <w:rPr>
          <w:color w:val="323232"/>
        </w:rPr>
        <w:t xml:space="preserve">NEW OR UNIQUE INFORMATION PROVIDED:In this case report, the authors describe the successful management of catastrophic hemorrhage with autotransfusion performed in the absence of sterile collection, cell washing, or anticoagulation. Although not ideal, autotransfusion under these conditions can be lifesaving in situations of massive hemorrhage. This case also highlighted the employment of a damage control surgical strategy.</w:t>
      </w:r>
    </w:p>
    <w:p/>
    <w:p>
      <w:pPr>
        <w:pStyle w:val="Normal"/>
      </w:pPr>
      <w:r>
        <w:rPr>
          <w:color w:val="323232"/>
        </w:rPr>
        <w:t xml:space="preserve">J Vet Emerg Crit Care (San Antonio), 2019 vol. 29 (4) pp. 439-443.</w:t>
      </w:r>
    </w:p>
    <w:p>
      <w:r>
        <w:rPr>
          <w:rStyle w:val="Hyperlink"/>
        </w:rPr>
        <w:fldChar w:fldCharType="begin"/>
      </w:r>
      <w:r>
        <w:rPr>
          <w:rStyle w:val="Hyperlink"/>
        </w:rPr>
        <w:instrText xml:space="preserve"> HYPERLINK "http://eutils.ncbi.nlm.nih.gov/entrez/eutils/elink.fcgi?dbfrom=pubmed&amp;id=31228336&amp;retmode=ref&amp;cmd=prlinks"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http://eutils.ncbi.nlm.nih.gov/entrez/eutils/elink.fcgi?dbfrom=pubmed&amp;id=31228336&amp;retmode=ref&amp;cmd=prlinks</w:t>
      </w:r>
      <w:r>
        <w:rPr>
          <w:rStyle w:val="Hyperlink"/>
        </w:rPr>
        <w:fldChar w:fldCharType="end"/>
      </w:r>
    </w:p>
    <w:p>
      <w:pPr>
        <w:pStyle w:val="Normal"/>
      </w:pPr>
      <w:r>
        <w:rPr>
          <w:color w:val="323232"/>
        </w:rPr>
        <w:t xml:space="preserve">————————</w:t>
      </w:r>
    </w:p>
    <w:p>
      <w:pPr>
        <w:pStyle w:val="Heading4"/>
      </w:pPr>
      <w:r>
        <w:t xml:space="preserve">Severe acute cellulitis and sepsis caused by Aeromonas spp. in a dog on immunosuppressive therapy.</w:t>
      </w:r>
    </w:p>
    <w:p/>
    <w:p>
      <w:pPr>
        <w:pStyle w:val="Normal"/>
      </w:pPr>
      <w:r>
        <w:rPr>
          <w:color w:val="323232"/>
        </w:rPr>
        <w:t xml:space="preserve">Kate Alice Worthing, Jacqueline M Norris, and Katherine Anne Briscoe.</w:t>
      </w:r>
    </w:p>
    <w:p/>
    <w:p>
      <w:pPr>
        <w:pStyle w:val="Normal"/>
      </w:pPr>
      <w:r>
        <w:rPr>
          <w:color w:val="323232"/>
        </w:rPr>
        <w:t xml:space="preserve">OBJECTIVE:To describe the clinical presentation, diagnostic investigation, and medical management of a dog on immunosuppressive therapy that developed a severe soft tissue infection attributed to Aeromonas hydrophila/caviae.</w:t>
      </w:r>
    </w:p>
    <w:p/>
    <w:p>
      <w:pPr>
        <w:pStyle w:val="Normal"/>
      </w:pPr>
      <w:r>
        <w:rPr>
          <w:color w:val="323232"/>
        </w:rPr>
        <w:t xml:space="preserve">CASE SUMMARY:A 5-year-old female neutered Border Collie dog was presented for investigation of a rapidly growing skin lesion. The dog had been diagnosed with immune-mediated thrombocytopenia and was receiving immunosuppressive therapy for 5 weeks. Physical examination at initial presentation revealed no abnormalities except a 6 cm raised, erythematous, firm, and painful swelling on the ventral abdomen. Within 12 hours of admission, the lesion had expanded to cover much of the ventrum and some areas had begun to slough. The patient had also become obtunded and exhibited pyrexia, tachypnea, tachycardia as well as extreme pain around the lesion. The dog's clinical signs and hematology results were consistent with sepsis. Histopathology showed severe acute suppurative cellulitis and panniculitis and a heavy growth of A. hydrophila/caviae was obtained on tissue culture. The infection was treated with trimethoprim sulphadiazine, based on culture and susceptibility results.</w:t>
      </w:r>
    </w:p>
    <w:p/>
    <w:p>
      <w:pPr>
        <w:pStyle w:val="Normal"/>
      </w:pPr>
      <w:r>
        <w:rPr>
          <w:color w:val="323232"/>
        </w:rPr>
        <w:t xml:space="preserve">UNIQUE INFORMATION PROVIDED:This is the first reported case of severe panniculitis and cellulitis caused by Aeromonas spp. in a dog. Aeromonas spp. should be considered a differential diagnosis for cases of severe soft tissue infection, especially in immune-compromised animals or those with a history of aquatic exposure.</w:t>
      </w:r>
    </w:p>
    <w:p/>
    <w:p>
      <w:pPr>
        <w:pStyle w:val="Normal"/>
      </w:pPr>
      <w:r>
        <w:rPr>
          <w:color w:val="323232"/>
        </w:rPr>
        <w:t xml:space="preserve">J Vet Emerg Crit Care (San Antonio), 2019 vol. 29 (4) pp. 444-449.</w:t>
      </w:r>
    </w:p>
    <w:p>
      <w:r>
        <w:rPr>
          <w:rStyle w:val="Hyperlink"/>
        </w:rPr>
        <w:fldChar w:fldCharType="begin"/>
      </w:r>
      <w:r>
        <w:rPr>
          <w:rStyle w:val="Hyperlink"/>
        </w:rPr>
        <w:instrText xml:space="preserve"> HYPERLINK "http://eutils.ncbi.nlm.nih.gov/entrez/eutils/elink.fcgi?dbfrom=pubmed&amp;id=31240801&amp;retmode=ref&amp;cmd=prlinks"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http://eutils.ncbi.nlm.nih.gov/entrez/eutils/elink.fcgi?dbfrom=pubmed&amp;id=31240801&amp;retmode=ref&amp;cmd=prlinks</w:t>
      </w:r>
      <w:r>
        <w:rPr>
          <w:rStyle w:val="Hyperlink"/>
        </w:rPr>
        <w:fldChar w:fldCharType="end"/>
      </w:r>
    </w:p>
    <w:p>
      <w:pPr>
        <w:pStyle w:val="Normal"/>
      </w:pPr>
      <w:r>
        <w:rPr>
          <w:color w:val="323232"/>
        </w:rPr>
        <w:t xml:space="preserve">————————</w:t>
      </w:r>
    </w:p>
    <w:p>
      <w:pPr>
        <w:pStyle w:val="Heading4"/>
      </w:pPr>
      <w:r>
        <w:t xml:space="preserve">Incidence of bacteriuria at presentation and resulting from urinary catheterization in feline urethral obstruction.</w:t>
      </w:r>
    </w:p>
    <w:p/>
    <w:p>
      <w:pPr>
        <w:pStyle w:val="Normal"/>
      </w:pPr>
      <w:r>
        <w:rPr>
          <w:color w:val="323232"/>
        </w:rPr>
        <w:t xml:space="preserve">Edward S Cooper, Emma Lasley, Joshua B Daniels, and Dennis J Chew.</w:t>
      </w:r>
    </w:p>
    <w:p/>
    <w:p>
      <w:pPr>
        <w:pStyle w:val="Normal"/>
      </w:pPr>
      <w:r>
        <w:rPr>
          <w:color w:val="323232"/>
        </w:rPr>
        <w:t xml:space="preserve">OBJECTIVE:To determine the incidence of bacteriuria at the time of presentation and as a result of indwelling urethral catheterization in naturally occurring feline urethral obstruction (UO).</w:t>
      </w:r>
    </w:p>
    <w:p/>
    <w:p>
      <w:pPr>
        <w:pStyle w:val="Normal"/>
      </w:pPr>
      <w:r>
        <w:rPr>
          <w:color w:val="323232"/>
        </w:rPr>
        <w:t xml:space="preserve">DESIGN:Prospective observational study.</w:t>
      </w:r>
    </w:p>
    <w:p/>
    <w:p>
      <w:pPr>
        <w:pStyle w:val="Normal"/>
      </w:pPr>
      <w:r>
        <w:rPr>
          <w:color w:val="323232"/>
        </w:rPr>
        <w:t xml:space="preserve">SETTING:University teaching hospital.</w:t>
      </w:r>
    </w:p>
    <w:p/>
    <w:p>
      <w:pPr>
        <w:pStyle w:val="Normal"/>
      </w:pPr>
      <w:r>
        <w:rPr>
          <w:color w:val="323232"/>
        </w:rPr>
        <w:t xml:space="preserve">ANIMALS:A population of 34 male cats with UO admitted for standard medical care.</w:t>
      </w:r>
    </w:p>
    <w:p/>
    <w:p>
      <w:pPr>
        <w:pStyle w:val="Normal"/>
      </w:pPr>
      <w:r>
        <w:rPr>
          <w:color w:val="323232"/>
        </w:rPr>
        <w:t xml:space="preserve">INTERVENTIONS:A presenting urine sample was obtained by cystocentesis (precatheterization). After catheterization (performed under strict aseptic technique), a urine sample was obtained through the urinary catheter every 24 hours, as well as just prior to catheter removal. Urine was applied to culture media within 30 minutes of collection or refrigerated immediately at 4°C for subsequent culture the following morning. Samples positive for growth (defined as &gt; 104 colony forming units/mL) had bacterial identification and susceptibility testing performed.</w:t>
      </w:r>
    </w:p>
    <w:p/>
    <w:p>
      <w:pPr>
        <w:pStyle w:val="Normal"/>
      </w:pPr>
      <w:r>
        <w:rPr>
          <w:color w:val="323232"/>
        </w:rPr>
        <w:t xml:space="preserve">MEASUREMENTS AND MAIN RESULTS:All 34 cats enrolled had initial culture performed. Of these, 1 patient died and 2 were euthanized within 24 hours and therefore subsequent cultures were obtained. The remaining 31 cats had median catheterization time of 42 hours (range 20-110 hours). No urine cultures yielded growth at presentation (0/34). A total of 4 of 31 patients (13%) subsequently had bacterial cultures that yielded growth. In these cases, all yielded growth by the 24-hour time point, and all had the same organism identified on subsequent cultures. Identified bacteria included Streptococcus spp. (3) and Pasteurella spp. (1).</w:t>
      </w:r>
    </w:p>
    <w:p/>
    <w:p>
      <w:pPr>
        <w:pStyle w:val="Normal"/>
      </w:pPr>
      <w:r>
        <w:rPr>
          <w:color w:val="323232"/>
        </w:rPr>
        <w:t xml:space="preserve">CONCLUSIONS:The male cats with UO in this study did not have bacteriuria at the time of presentation. The overall incidence of acquired bacteriuria was found to be 13% and could represent a transient bacterial population or true bacterial urinary tract infection. Based on these findings, empirical administration of antibiotics is not warranted in male cats with UO.</w:t>
      </w:r>
    </w:p>
    <w:p/>
    <w:p>
      <w:pPr>
        <w:pStyle w:val="Normal"/>
      </w:pPr>
      <w:r>
        <w:rPr>
          <w:color w:val="323232"/>
        </w:rPr>
        <w:t xml:space="preserve">J Vet Emerg Crit Care (San Antonio), 2019 vol. 29 (5) pp. 472-477.</w:t>
      </w:r>
    </w:p>
    <w:p>
      <w:r>
        <w:rPr>
          <w:rStyle w:val="Hyperlink"/>
        </w:rPr>
        <w:fldChar w:fldCharType="begin"/>
      </w:r>
      <w:r>
        <w:rPr>
          <w:rStyle w:val="Hyperlink"/>
        </w:rPr>
        <w:instrText xml:space="preserve"> HYPERLINK "http://eutils.ncbi.nlm.nih.gov/entrez/eutils/elink.fcgi?dbfrom=pubmed&amp;id=31250535&amp;retmode=ref&amp;cmd=prlinks"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http://eutils.ncbi.nlm.nih.gov/entrez/eutils/elink.fcgi?dbfrom=pubmed&amp;id=31250535&amp;retmode=ref&amp;cmd=prlinks</w:t>
      </w:r>
      <w:r>
        <w:rPr>
          <w:rStyle w:val="Hyperlink"/>
        </w:rPr>
        <w:fldChar w:fldCharType="end"/>
      </w:r>
    </w:p>
    <w:p>
      <w:pPr>
        <w:pStyle w:val="Normal"/>
      </w:pPr>
      <w:r>
        <w:rPr>
          <w:color w:val="323232"/>
        </w:rPr>
        <w:t xml:space="preserve">————————</w:t>
      </w:r>
    </w:p>
    <w:p>
      <w:pPr>
        <w:pStyle w:val="Heading4"/>
      </w:pPr>
      <w:r>
        <w:t xml:space="preserve">Performance evaluation and validation of the Animal Trauma Triage score and modified Glasgow Coma Scale in injured cats: A Veterinary Committee on Trauma registry study.</w:t>
      </w:r>
    </w:p>
    <w:p/>
    <w:p>
      <w:pPr>
        <w:pStyle w:val="Normal"/>
      </w:pPr>
      <w:r>
        <w:rPr>
          <w:color w:val="323232"/>
        </w:rPr>
        <w:t xml:space="preserve">Janis Lapsley, Galina M Hayes, and Julia P Sumner.</w:t>
      </w:r>
    </w:p>
    <w:p/>
    <w:p>
      <w:pPr>
        <w:pStyle w:val="Normal"/>
      </w:pPr>
      <w:r>
        <w:rPr>
          <w:color w:val="323232"/>
        </w:rPr>
        <w:t xml:space="preserve">OBJECTIVES:To examine the Animal Trauma Triage (ATT) and modified Glasgow Coma Scale (mGCS) scores as predictors of mortality in injured cats.</w:t>
      </w:r>
    </w:p>
    <w:p/>
    <w:p>
      <w:pPr>
        <w:pStyle w:val="Normal"/>
      </w:pPr>
      <w:r>
        <w:rPr>
          <w:color w:val="323232"/>
        </w:rPr>
        <w:t xml:space="preserve">DESIGN:Observational cohort study conducted September 2013 to March 2015.</w:t>
      </w:r>
    </w:p>
    <w:p/>
    <w:p>
      <w:pPr>
        <w:pStyle w:val="Normal"/>
      </w:pPr>
      <w:r>
        <w:rPr>
          <w:color w:val="323232"/>
        </w:rPr>
        <w:t xml:space="preserve">SETTING:Nine Level I and II veterinary trauma centers.</w:t>
      </w:r>
    </w:p>
    <w:p/>
    <w:p>
      <w:pPr>
        <w:pStyle w:val="Normal"/>
      </w:pPr>
      <w:r>
        <w:rPr>
          <w:color w:val="323232"/>
        </w:rPr>
        <w:t xml:space="preserve">ANIMALS:Consecutive sample of 711 cats reported on the Veterinary Committee on Trauma (VetCOT) case registry.</w:t>
      </w:r>
    </w:p>
    <w:p/>
    <w:p>
      <w:pPr>
        <w:pStyle w:val="Normal"/>
      </w:pPr>
      <w:r>
        <w:rPr>
          <w:color w:val="323232"/>
        </w:rPr>
        <w:t xml:space="preserve">INTERVENTIONS:None.</w:t>
      </w:r>
    </w:p>
    <w:p/>
    <w:p>
      <w:pPr>
        <w:pStyle w:val="Normal"/>
      </w:pPr>
      <w:r>
        <w:rPr>
          <w:color w:val="323232"/>
        </w:rPr>
        <w:t xml:space="preserve">MEASUREMENTS AND MAIN RESULTS:We compared the predictive power (area under receiver operating characteristic curve; AUROC) and calibration of the ATT and mGCS scores to their components. Overall mortality risk was 16.5% (95% confidence interval [CI], 13.9-19.4). Head trauma prevalence was 11.8% (n = 84). The ATT score showed a linear relationship with mortality risk. Discriminatory performance of the ATT score was excellent (AUROC = 0.87 [95% CI, 0.84-0.90]). Each ATT score increase of 1 point was associated with an increase in mortality odds of 1.78 (95% CI, 1.61-1.97, P</w:t>
      </w:r>
      <w:r>
        <w:rPr>
          <w:color w:val="323232"/>
        </w:rPr>
        <w:t xml:space="preserve"> </w:t>
      </w:r>
      <w:r>
        <w:rPr>
          <w:color w:val="323232"/>
        </w:rPr>
        <w:t xml:space="preserve">&lt;</w:t>
      </w:r>
      <w:r>
        <w:rPr>
          <w:color w:val="323232"/>
        </w:rPr>
        <w:t xml:space="preserve"> </w:t>
      </w:r>
      <w:r>
        <w:rPr>
          <w:color w:val="323232"/>
        </w:rPr>
        <w:t xml:space="preserve">0.001). The eye</w:t>
      </w:r>
      <w:r>
        <w:rPr>
          <w:i w:val="1"/>
          <w:color w:val="323232"/>
        </w:rPr>
        <w:t xml:space="preserve">muscle</w:t>
      </w:r>
      <w:r>
        <w:rPr>
          <w:color w:val="323232"/>
        </w:rPr>
        <w:t xml:space="preserve">integument category of the ATT showed the lowest discrimination (AUROC = 0.60). When this component, skeletal, and cardiac components were omitted from score calculation, there was no loss in discriminatory capacity compared with the full score (AUROC = 0.86 vs 0.87, respectively, P = 0.66). The mGCS showed fair performance overall for prediction of mortality, but the point estimate of performance improved when restricted to head trauma patients (AUROC = 0.75, 95% CI, 0.70-0.80 vs AUROC = 0.80, 95% CI, 0.70-0.90). The motor component of the mGCS showed the best predictive performance (AUROC = 0.71); however, the full score performed better than the motor component alone (P = 0.004). When assessment was restricted to patients with head injury (n = 84), there was no difference in performance between the ATT and mGCS scores (AUROC = 0.82 vs 0.80, P = 0.67).</w:t>
      </w:r>
    </w:p>
    <w:p/>
    <w:p>
      <w:pPr>
        <w:pStyle w:val="Normal"/>
      </w:pPr>
      <w:r>
        <w:rPr>
          <w:color w:val="323232"/>
        </w:rPr>
        <w:t xml:space="preserve">CONCLUSION:On a large, multicenter dataset of feline trauma patients, the ATT score showed excellent discrimination and calibration for predicting mortality; however, an abbreviated score calculated from the perfusion, respiratory, and neurologic categories showed equivalent performance.</w:t>
      </w:r>
    </w:p>
    <w:p/>
    <w:p>
      <w:pPr>
        <w:pStyle w:val="Normal"/>
      </w:pPr>
      <w:r>
        <w:rPr>
          <w:color w:val="323232"/>
        </w:rPr>
        <w:t xml:space="preserve">J Vet Emerg Crit Care (San Antonio), 2019 vol. 29 (5) pp. 478-483.</w:t>
      </w:r>
    </w:p>
    <w:p>
      <w:r>
        <w:rPr>
          <w:rStyle w:val="Hyperlink"/>
        </w:rPr>
        <w:fldChar w:fldCharType="begin"/>
      </w:r>
      <w:r>
        <w:rPr>
          <w:rStyle w:val="Hyperlink"/>
        </w:rPr>
        <w:instrText xml:space="preserve"> HYPERLINK "http://eutils.ncbi.nlm.nih.gov/entrez/eutils/elink.fcgi?dbfrom=pubmed&amp;id=31468694&amp;retmode=ref&amp;cmd=prlinks"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http://eutils.ncbi.nlm.nih.gov/entrez/eutils/elink.fcgi?dbfrom=pubmed&amp;id=31468694&amp;retmode=ref&amp;cmd=prlinks</w:t>
      </w:r>
      <w:r>
        <w:rPr>
          <w:rStyle w:val="Hyperlink"/>
        </w:rPr>
        <w:fldChar w:fldCharType="end"/>
      </w:r>
    </w:p>
    <w:p>
      <w:pPr>
        <w:pStyle w:val="Normal"/>
      </w:pPr>
      <w:r>
        <w:rPr>
          <w:color w:val="323232"/>
        </w:rPr>
        <w:t xml:space="preserve">————————</w:t>
      </w:r>
    </w:p>
    <w:p>
      <w:pPr>
        <w:pStyle w:val="Heading4"/>
      </w:pPr>
      <w:r>
        <w:t xml:space="preserve">Assessment of the percutaneous dilatational tracheostomy technique in experimental manikins and canine cadavers.</w:t>
      </w:r>
    </w:p>
    <w:p/>
    <w:p>
      <w:pPr>
        <w:pStyle w:val="Normal"/>
      </w:pPr>
      <w:r>
        <w:rPr>
          <w:color w:val="323232"/>
        </w:rPr>
        <w:t xml:space="preserve">Mariana A Pardo, Julia P Sumner, Adele Friello, Daniel J Fletcher, and Robert Goggs.</w:t>
      </w:r>
    </w:p>
    <w:p/>
    <w:p>
      <w:pPr>
        <w:pStyle w:val="Normal"/>
      </w:pPr>
      <w:r>
        <w:rPr>
          <w:color w:val="323232"/>
        </w:rPr>
        <w:t xml:space="preserve">OBJECTIVE:To evaluate procedure time, ease of placement, and complication rates of percutaneous dilatational tracheostomy (PDT) compared to surgical tracheostomy (ST) in canine cadavers.</w:t>
      </w:r>
    </w:p>
    <w:p/>
    <w:p>
      <w:pPr>
        <w:pStyle w:val="Normal"/>
      </w:pPr>
      <w:r>
        <w:rPr>
          <w:color w:val="323232"/>
        </w:rPr>
        <w:t xml:space="preserve">DESIGN:Randomized crossover experimental manikin and cadaver study involving 6 novice veterinary students.</w:t>
      </w:r>
    </w:p>
    <w:p/>
    <w:p>
      <w:pPr>
        <w:pStyle w:val="Normal"/>
      </w:pPr>
      <w:r>
        <w:rPr>
          <w:color w:val="323232"/>
        </w:rPr>
        <w:t xml:space="preserve">SETTING:University teaching hospital.</w:t>
      </w:r>
    </w:p>
    <w:p/>
    <w:p>
      <w:pPr>
        <w:pStyle w:val="Normal"/>
      </w:pPr>
      <w:r>
        <w:rPr>
          <w:color w:val="323232"/>
        </w:rPr>
        <w:t xml:space="preserve">ANIMALS:Canine tracheostomy training manikin, 24 canine cadavers.</w:t>
      </w:r>
    </w:p>
    <w:p/>
    <w:p>
      <w:pPr>
        <w:pStyle w:val="Normal"/>
      </w:pPr>
      <w:r>
        <w:rPr>
          <w:color w:val="323232"/>
        </w:rPr>
        <w:t xml:space="preserve">INTERVENTIONS:None.</w:t>
      </w:r>
    </w:p>
    <w:p/>
    <w:p>
      <w:pPr>
        <w:pStyle w:val="Normal"/>
      </w:pPr>
      <w:r>
        <w:rPr>
          <w:color w:val="323232"/>
        </w:rPr>
        <w:t xml:space="preserve">MEASUREMENTS AND MAIN RESULTS:For training, each student performed 10 PDT and 10 ST procedures on a training manikin, followed by 2 PDT and 2 ST procedures on a canine cadaver. After each training procedure, feedback from bronchoscopy and observers was provided. Final PDT and ST tube placements using new equipment were performed in unused cadavers. Placements were timed, ease of placement was scored using visual analog scales (VAS, 0-10 cm), and complications were assessed by two independent observers using ordinal scales (0-3). Cadaver tracheas were explanted postprocedure to evaluate anatomical damage scores (0-3). Procedure time and VAS scores for PDT and ST procedures were analyzed using mixed-effects linear models, accounting for student, technique, and procedure number with post hoc pairwise comparisons. Data are presented as median (range). For the final cadaver placement, there were no significant differences in placement time (300 seconds [230-1020] vs 188 seconds [116-414], P = 0.210), ease of placement (3.8 cm [2.1-5.7] vs 1.9 cm [0-4.7], P = 0.132), anatomical damage score (1 [0-2] vs 0 [0-1], P = 0.063), or equipment complications score (0 [0-1] vs 0 [0-0], P = 1.000) between PDT and ST, respectively.</w:t>
      </w:r>
    </w:p>
    <w:p/>
    <w:p>
      <w:pPr>
        <w:pStyle w:val="Normal"/>
      </w:pPr>
      <w:r>
        <w:rPr>
          <w:color w:val="323232"/>
        </w:rPr>
        <w:t xml:space="preserve">CONCLUSIONS:These data suggest that PDT can be performed as quickly, as easily, and as safely as ST in a canine cadaver by novice veterinary students following manikin training. Additional studies will be required to determine if these findings can be translated into veterinary clinical practice.</w:t>
      </w:r>
    </w:p>
    <w:p/>
    <w:p>
      <w:pPr>
        <w:pStyle w:val="Normal"/>
      </w:pPr>
      <w:r>
        <w:rPr>
          <w:color w:val="323232"/>
        </w:rPr>
        <w:t xml:space="preserve">J Vet Emerg Crit Care (San Antonio), 2019 vol. 29 (5) pp. 484-494.</w:t>
      </w:r>
    </w:p>
    <w:p>
      <w:r>
        <w:rPr>
          <w:rStyle w:val="Hyperlink"/>
        </w:rPr>
        <w:fldChar w:fldCharType="begin"/>
      </w:r>
      <w:r>
        <w:rPr>
          <w:rStyle w:val="Hyperlink"/>
        </w:rPr>
        <w:instrText xml:space="preserve"> HYPERLINK "http://eutils.ncbi.nlm.nih.gov/entrez/eutils/elink.fcgi?dbfrom=pubmed&amp;id=31259471&amp;retmode=ref&amp;cmd=prlinks"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http://eutils.ncbi.nlm.nih.gov/entrez/eutils/elink.fcgi?dbfrom=pubmed&amp;id=31259471&amp;retmode=ref&amp;cmd=prlinks</w:t>
      </w:r>
      <w:r>
        <w:rPr>
          <w:rStyle w:val="Hyperlink"/>
        </w:rPr>
        <w:fldChar w:fldCharType="end"/>
      </w:r>
    </w:p>
    <w:p>
      <w:pPr>
        <w:pStyle w:val="Normal"/>
      </w:pPr>
      <w:r>
        <w:rPr>
          <w:color w:val="323232"/>
        </w:rPr>
        <w:t xml:space="preserve">————————</w:t>
      </w:r>
    </w:p>
    <w:p>
      <w:pPr>
        <w:pStyle w:val="Heading4"/>
      </w:pPr>
      <w:r>
        <w:t xml:space="preserve">Interobserver agreement between non-cardiologist veterinarians</w:t>
      </w:r>
      <w:r>
        <w:t xml:space="preserve"> </w:t>
      </w:r>
      <w:r>
        <w:t xml:space="preserve">and a cardiologist after a 6-hour training course for echographic evaluation of basic echocardiographic parameters and caudal vena cava diameter in 15 healthy Beagles.</w:t>
      </w:r>
    </w:p>
    <w:p/>
    <w:p>
      <w:pPr>
        <w:pStyle w:val="Normal"/>
      </w:pPr>
      <w:r>
        <w:rPr>
          <w:color w:val="323232"/>
        </w:rPr>
        <w:t xml:space="preserve">Elodie Darnis, Anne Christine Merveille, Loïc Desquilbet, Soren Boysen, and Kris Gommeren.</w:t>
      </w:r>
    </w:p>
    <w:p/>
    <w:p>
      <w:pPr>
        <w:pStyle w:val="Normal"/>
      </w:pPr>
      <w:r>
        <w:rPr>
          <w:color w:val="323232"/>
        </w:rPr>
        <w:t xml:space="preserve">OBJECTIVE:To evaluate cardiovascular focused assessment with sonography for trauma and triage (CV-FAST) interobserver agreement for echocardiographic parameters and caudal vena cava (CVC) diameter measurement, between a cardiologist and 2 non-cardiologists after a 6-hour training course.</w:t>
      </w:r>
    </w:p>
    <w:p/>
    <w:p>
      <w:pPr>
        <w:pStyle w:val="Normal"/>
      </w:pPr>
      <w:r>
        <w:rPr>
          <w:color w:val="323232"/>
        </w:rPr>
        <w:t xml:space="preserve">SETTING:University veterinary teaching hospital.</w:t>
      </w:r>
    </w:p>
    <w:p/>
    <w:p>
      <w:pPr>
        <w:pStyle w:val="Normal"/>
      </w:pPr>
      <w:r>
        <w:rPr>
          <w:color w:val="323232"/>
        </w:rPr>
        <w:t xml:space="preserve">ANIMALS:Fifteen healthy Beagle dogs.</w:t>
      </w:r>
    </w:p>
    <w:p/>
    <w:p>
      <w:pPr>
        <w:pStyle w:val="Normal"/>
      </w:pPr>
      <w:r>
        <w:rPr>
          <w:color w:val="323232"/>
        </w:rPr>
        <w:t xml:space="preserve">INTERVENTIONS:None.</w:t>
      </w:r>
    </w:p>
    <w:p/>
    <w:p>
      <w:pPr>
        <w:pStyle w:val="Normal"/>
      </w:pPr>
      <w:r>
        <w:rPr>
          <w:color w:val="323232"/>
        </w:rPr>
        <w:t xml:space="preserve">MEASUREMENTS AND MAIN RESULTS:Echocardiography parameters were assessed via standardized views. Caudal vena cava was assessed via a subxiphoid window (CVC-SubX) using 3 measurements (minimal and maximal CVC diameter, and collapsibility index) and via a dorsolateral window (CVC-DL) using 1 measurement (CVC diameter). Bland-Altman analysis assessed agreement of each non-cardiologist with the cardiologist; coefficients of variation (CoV) quantified variability between observers. The 95% limits of agreement (LOA) and CoVs were considered acceptable for left atrial diameter, left atrium to aortic ratio, normalized left ventricle diameter in diastole and systole but non-acceptable for fractional shortening and pulmonary vein to pulmonary artery ratio. For CVC-SubX, the 95% LOA for maximum CVC diameter were acceptable, while minimum CVC diameter and CVC collapsibility index were non-acceptable. The CoVs were good for maximum and minimum CVC (7%) and poor for collapsibility index (37%). For CVC-DL, the 95% LOA were non-acceptable, although the CoV was considered good (11%).</w:t>
      </w:r>
    </w:p>
    <w:p/>
    <w:p>
      <w:pPr>
        <w:pStyle w:val="Normal"/>
      </w:pPr>
      <w:r>
        <w:rPr>
          <w:color w:val="323232"/>
        </w:rPr>
        <w:t xml:space="preserve">CONCLUSIONS:A 6-hour training course in echocardiography allows non-cardiologists to assess left atrial diameter, left atrium to aortic ratio, normalized left ventricle diameter in diastole and systole, and CVCmax of the CV-FAST exam in healthy Beagles. Standardization of the CVC-SubX technique and assessment of the impact of the respiratory phase on CVC diameter in dogs is needed. Further studies are required to determine whether interobserver agreement remains acceptable when including different breeds. Assessment of basic echocardiographic parameters and the CVC to estimate volume status in small animal medicine merits further clinical evaluation.</w:t>
      </w:r>
    </w:p>
    <w:p/>
    <w:p>
      <w:pPr>
        <w:pStyle w:val="Normal"/>
      </w:pPr>
      <w:r>
        <w:rPr>
          <w:color w:val="323232"/>
        </w:rPr>
        <w:t xml:space="preserve">J Vet Emerg Crit Care (San Antonio), 2019 vol. 29 (5) pp. 495-504.</w:t>
      </w:r>
    </w:p>
    <w:p>
      <w:r>
        <w:rPr>
          <w:rStyle w:val="Hyperlink"/>
        </w:rPr>
        <w:fldChar w:fldCharType="begin"/>
      </w:r>
      <w:r>
        <w:rPr>
          <w:rStyle w:val="Hyperlink"/>
        </w:rPr>
        <w:instrText xml:space="preserve"> HYPERLINK "http://eutils.ncbi.nlm.nih.gov/entrez/eutils/elink.fcgi?dbfrom=pubmed&amp;id=31453666&amp;retmode=ref&amp;cmd=prlinks"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http://eutils.ncbi.nlm.nih.gov/entrez/eutils/elink.fcgi?dbfrom=pubmed&amp;id=31453666&amp;retmode=ref&amp;cmd=prlinks</w:t>
      </w:r>
      <w:r>
        <w:rPr>
          <w:rStyle w:val="Hyperlink"/>
        </w:rPr>
        <w:fldChar w:fldCharType="end"/>
      </w:r>
    </w:p>
    <w:p>
      <w:pPr>
        <w:pStyle w:val="Normal"/>
      </w:pPr>
      <w:r>
        <w:rPr>
          <w:color w:val="323232"/>
        </w:rPr>
        <w:t xml:space="preserve">————————</w:t>
      </w:r>
    </w:p>
    <w:p>
      <w:pPr>
        <w:pStyle w:val="Heading4"/>
      </w:pPr>
      <w:r>
        <w:t xml:space="preserve">Utility of admission lactate concentration, lactate variables, and shock index in outcome assessment in dogs diagnosed with shock.</w:t>
      </w:r>
    </w:p>
    <w:p/>
    <w:p>
      <w:pPr>
        <w:pStyle w:val="Normal"/>
      </w:pPr>
      <w:r>
        <w:rPr>
          <w:color w:val="323232"/>
        </w:rPr>
        <w:t xml:space="preserve">Ann Marie Zollo, Ashley L Ayoob, Jennifer E Prittie, Roger D Jepson, Kenneth E Lamb, and Philip R Fox.</w:t>
      </w:r>
    </w:p>
    <w:p/>
    <w:p>
      <w:pPr>
        <w:pStyle w:val="Normal"/>
      </w:pPr>
      <w:r>
        <w:rPr>
          <w:color w:val="323232"/>
        </w:rPr>
        <w:t xml:space="preserve">OBJECTIVE:To determine whether admission venous plasma lactate concentration, calculated lactate variables, or shock index (SI) could discriminate hospital survivors from nonsurvivors in dogs admitted with shock.</w:t>
      </w:r>
    </w:p>
    <w:p/>
    <w:p>
      <w:pPr>
        <w:pStyle w:val="Normal"/>
      </w:pPr>
      <w:r>
        <w:rPr>
          <w:color w:val="323232"/>
        </w:rPr>
        <w:t xml:space="preserve">DESIGN:Prospective investigation performed over a 19-month period.</w:t>
      </w:r>
    </w:p>
    <w:p/>
    <w:p>
      <w:pPr>
        <w:pStyle w:val="Normal"/>
      </w:pPr>
      <w:r>
        <w:rPr>
          <w:color w:val="323232"/>
        </w:rPr>
        <w:t xml:space="preserve">SETTING:Large urban private teaching hospital.</w:t>
      </w:r>
    </w:p>
    <w:p/>
    <w:p>
      <w:pPr>
        <w:pStyle w:val="Normal"/>
      </w:pPr>
      <w:r>
        <w:rPr>
          <w:color w:val="323232"/>
        </w:rPr>
        <w:t xml:space="preserve">ANIMALS:Twenty-three dogs consecutively admitted to the ICU from January 2008 to July 2009 with initial peripheral venous plasma lactate concentration &gt;2 mmol/ L (18.0 mg/ dL) and clinical and hemodynamic parameters consistent with shock.</w:t>
      </w:r>
    </w:p>
    <w:p/>
    <w:p>
      <w:pPr>
        <w:pStyle w:val="Normal"/>
      </w:pPr>
      <w:r>
        <w:rPr>
          <w:color w:val="323232"/>
        </w:rPr>
        <w:t xml:space="preserve">INTERVENTIONS:None.</w:t>
      </w:r>
    </w:p>
    <w:p/>
    <w:p>
      <w:pPr>
        <w:pStyle w:val="Normal"/>
      </w:pPr>
      <w:r>
        <w:rPr>
          <w:color w:val="323232"/>
        </w:rPr>
        <w:t xml:space="preserve">MEASUREMENTS AND MAIN RESULTS:Heart rate, systolic blood pressure, and venous plasma lactate concentrations were serially recorded at predefined time points and used to calculate SI (SI = heart rate/ systolic blood pressure) and lactate variables, including lactime (time lactate &gt; 2.0 mmol/ L), lactate clearance ([lactateinitial - lactatedelayed ]/lactateinitial × 100), and LACAREA (area under the lactate concentration versus time curve). Primary outcome was survival to discharge. Overall survival rate was 61%. Admission venous plasma lactate concentration did not differ between groups (P = 0.2). Lactime was shorter in survivors versus nonsurvivors (P = 0.02). Lactate clearance at 1, 10, 16, 24, and 36</w:t>
      </w:r>
      <w:r>
        <w:rPr>
          <w:color w:val="323232"/>
        </w:rPr>
        <w:t xml:space="preserve"> </w:t>
      </w:r>
      <w:r>
        <w:rPr>
          <w:color w:val="323232"/>
        </w:rPr>
        <w:t xml:space="preserve">hours, and final lactate clearance were greater in survivors versus nonsurvivors (P &lt; 0.05). LACAREA at time intervals 0-1, 1-4, 4-10, 10-16, 16-24, 24-30, and 30-36</w:t>
      </w:r>
      <w:r>
        <w:rPr>
          <w:color w:val="323232"/>
        </w:rPr>
        <w:t xml:space="preserve"> </w:t>
      </w:r>
      <w:r>
        <w:rPr>
          <w:color w:val="323232"/>
        </w:rPr>
        <w:t xml:space="preserve">hours was larger in nonsurvivors versus survivors (P &lt; 0.05). Total LACAREA did not differ between groups (P = 0.09). Admission SI and time to normalize SI (SI &lt; 0.9) were not different between survivors and nonsurvivors (P &gt; 0.05).</w:t>
      </w:r>
    </w:p>
    <w:p/>
    <w:p>
      <w:pPr>
        <w:pStyle w:val="Normal"/>
      </w:pPr>
      <w:r>
        <w:rPr>
          <w:color w:val="323232"/>
        </w:rPr>
        <w:t xml:space="preserve">CONCLUSIONS:While admission venous plasma lactate concentration could not discriminate between hospital survivors and nonsurvivors, lactate variables showed clinical utility to predict outcome in dogs with shock. Further studies are needed to determine SI reference ranges and optimal SI cut-off values to improve its prognostic ability in sick dogs.</w:t>
      </w:r>
    </w:p>
    <w:p/>
    <w:p>
      <w:pPr>
        <w:pStyle w:val="Normal"/>
      </w:pPr>
      <w:r>
        <w:rPr>
          <w:color w:val="323232"/>
        </w:rPr>
        <w:t xml:space="preserve">J Vet Emerg Crit Care (San Antonio), 2019 vol. 29 (5) pp. 505-513.</w:t>
      </w:r>
    </w:p>
    <w:p>
      <w:r>
        <w:rPr>
          <w:rStyle w:val="Hyperlink"/>
        </w:rPr>
        <w:fldChar w:fldCharType="begin"/>
      </w:r>
      <w:r>
        <w:rPr>
          <w:rStyle w:val="Hyperlink"/>
        </w:rPr>
        <w:instrText xml:space="preserve"> HYPERLINK "http://eutils.ncbi.nlm.nih.gov/entrez/eutils/elink.fcgi?dbfrom=pubmed&amp;id=31290240&amp;retmode=ref&amp;cmd=prlinks"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http://eutils.ncbi.nlm.nih.gov/entrez/eutils/elink.fcgi?dbfrom=pubmed&amp;id=31290240&amp;retmode=ref&amp;cmd=prlinks</w:t>
      </w:r>
      <w:r>
        <w:rPr>
          <w:rStyle w:val="Hyperlink"/>
        </w:rPr>
        <w:fldChar w:fldCharType="end"/>
      </w:r>
    </w:p>
    <w:p>
      <w:pPr>
        <w:pStyle w:val="Normal"/>
      </w:pPr>
      <w:r>
        <w:rPr>
          <w:color w:val="323232"/>
        </w:rPr>
        <w:t xml:space="preserve">————————</w:t>
      </w:r>
    </w:p>
    <w:p>
      <w:pPr>
        <w:pStyle w:val="Heading4"/>
      </w:pPr>
      <w:r>
        <w:t xml:space="preserve">Retrospective evaluation of 24 cases of gastrostomy tube usage in dogs with septic peritonitis (2009-2016).</w:t>
      </w:r>
    </w:p>
    <w:p/>
    <w:p>
      <w:pPr>
        <w:pStyle w:val="Normal"/>
      </w:pPr>
      <w:r>
        <w:rPr>
          <w:color w:val="323232"/>
        </w:rPr>
        <w:t xml:space="preserve">Sonya C Hansen, Katelyn C Hlusko, Brad M Matz, and Lenore M Bacek.</w:t>
      </w:r>
    </w:p>
    <w:p/>
    <w:p>
      <w:pPr>
        <w:pStyle w:val="Normal"/>
      </w:pPr>
      <w:r>
        <w:rPr>
          <w:color w:val="323232"/>
        </w:rPr>
        <w:t xml:space="preserve">OBJECTIVE:To describe the postoperative use of gastrostomy tubes (GT) in dogs with septic peritonitis. A secondary objective was to identify factors associated with GT placement and use that may be related to outcome.</w:t>
      </w:r>
    </w:p>
    <w:p/>
    <w:p>
      <w:pPr>
        <w:pStyle w:val="Normal"/>
      </w:pPr>
      <w:r>
        <w:rPr>
          <w:color w:val="323232"/>
        </w:rPr>
        <w:t xml:space="preserve">DESIGN:Retrospective study.</w:t>
      </w:r>
    </w:p>
    <w:p/>
    <w:p>
      <w:pPr>
        <w:pStyle w:val="Normal"/>
      </w:pPr>
      <w:r>
        <w:rPr>
          <w:color w:val="323232"/>
        </w:rPr>
        <w:t xml:space="preserve">SETTING:University teaching hospital.</w:t>
      </w:r>
    </w:p>
    <w:p/>
    <w:p>
      <w:pPr>
        <w:pStyle w:val="Normal"/>
      </w:pPr>
      <w:r>
        <w:rPr>
          <w:color w:val="323232"/>
        </w:rPr>
        <w:t xml:space="preserve">ANIMALS:Twenty-four dogs diagnosed with septic peritonitis with GT placement at the time of exploratory laparotomy.</w:t>
      </w:r>
    </w:p>
    <w:p/>
    <w:p>
      <w:pPr>
        <w:pStyle w:val="Normal"/>
      </w:pPr>
      <w:r>
        <w:rPr>
          <w:color w:val="323232"/>
        </w:rPr>
        <w:t xml:space="preserve">INTERVENTIONS:None.</w:t>
      </w:r>
    </w:p>
    <w:p/>
    <w:p>
      <w:pPr>
        <w:pStyle w:val="Normal"/>
      </w:pPr>
      <w:r>
        <w:rPr>
          <w:color w:val="323232"/>
        </w:rPr>
        <w:t xml:space="preserve">MEASUREMENTS AND MAIN RESULTS:Eighteen dogs (75%) survived to discharge. Eighteen dogs (75%) had a gastrointestinal source of septic peritonitis. Complications were reported in 12/24 (50%) patients. Four dogs (16.6%) had non-GT-related complications such as vomiting, regurgitation, or increased gastric residual volume. GT-related complications occurred in 8/24 (33.3%) dogs, the majority of which (6/8 [75%]) were minor and did not necessitate removal of the GT. Two dogs had major complications that required removal of the GT. Significant differences between survivors and nonsurvivors were found between the length of time after placement of the GT to when they began eating and outcome (discharge versus death versus euthanasia) (P</w:t>
      </w:r>
      <w:r>
        <w:rPr>
          <w:color w:val="323232"/>
        </w:rPr>
        <w:t xml:space="preserve"> </w:t>
      </w:r>
      <w:r>
        <w:rPr>
          <w:color w:val="323232"/>
        </w:rPr>
        <w:t xml:space="preserve">=</w:t>
      </w:r>
      <w:r>
        <w:rPr>
          <w:color w:val="323232"/>
        </w:rPr>
        <w:t xml:space="preserve"> </w:t>
      </w:r>
      <w:r>
        <w:rPr>
          <w:color w:val="323232"/>
        </w:rPr>
        <w:t xml:space="preserve">0.03), and GT dwell time (length of time the GT was in place) and outcome (P</w:t>
      </w:r>
      <w:r>
        <w:rPr>
          <w:color w:val="323232"/>
        </w:rPr>
        <w:t xml:space="preserve"> </w:t>
      </w:r>
      <w:r>
        <w:rPr>
          <w:color w:val="323232"/>
        </w:rPr>
        <w:t xml:space="preserve">=</w:t>
      </w:r>
      <w:r>
        <w:rPr>
          <w:color w:val="323232"/>
        </w:rPr>
        <w:t xml:space="preserve"> </w:t>
      </w:r>
      <w:r>
        <w:rPr>
          <w:color w:val="323232"/>
        </w:rPr>
        <w:t xml:space="preserve">0.006). Clinically relevant correlations were found between the time after placement of the GT until feeding and time after placement until voluntarily eating (P</w:t>
      </w:r>
      <w:r>
        <w:rPr>
          <w:color w:val="323232"/>
        </w:rPr>
        <w:t xml:space="preserve"> </w:t>
      </w:r>
      <w:r>
        <w:rPr>
          <w:color w:val="323232"/>
        </w:rPr>
        <w:t xml:space="preserve">=</w:t>
      </w:r>
      <w:r>
        <w:rPr>
          <w:color w:val="323232"/>
        </w:rPr>
        <w:t xml:space="preserve"> </w:t>
      </w:r>
      <w:r>
        <w:rPr>
          <w:color w:val="323232"/>
        </w:rPr>
        <w:t xml:space="preserve">0.0349), time after placement of the GT until voluntarily eating and length of hospitalization (P</w:t>
      </w:r>
      <w:r>
        <w:rPr>
          <w:color w:val="323232"/>
        </w:rPr>
        <w:t xml:space="preserve"> </w:t>
      </w:r>
      <w:r>
        <w:rPr>
          <w:color w:val="323232"/>
        </w:rPr>
        <w:t xml:space="preserve">=</w:t>
      </w:r>
      <w:r>
        <w:rPr>
          <w:color w:val="323232"/>
        </w:rPr>
        <w:t xml:space="preserve"> </w:t>
      </w:r>
      <w:r>
        <w:rPr>
          <w:color w:val="323232"/>
        </w:rPr>
        <w:t xml:space="preserve">0.0391), and time after placement of the GT until feeding and length of hospitalization (P</w:t>
      </w:r>
      <w:r>
        <w:rPr>
          <w:color w:val="323232"/>
        </w:rPr>
        <w:t xml:space="preserve"> </w:t>
      </w:r>
      <w:r>
        <w:rPr>
          <w:color w:val="323232"/>
        </w:rPr>
        <w:t xml:space="preserve">=</w:t>
      </w:r>
      <w:r>
        <w:rPr>
          <w:color w:val="323232"/>
        </w:rPr>
        <w:t xml:space="preserve"> </w:t>
      </w:r>
      <w:r>
        <w:rPr>
          <w:color w:val="323232"/>
        </w:rPr>
        <w:t xml:space="preserve">0.036).</w:t>
      </w:r>
    </w:p>
    <w:p/>
    <w:p>
      <w:pPr>
        <w:pStyle w:val="Normal"/>
      </w:pPr>
      <w:r>
        <w:rPr>
          <w:color w:val="323232"/>
        </w:rPr>
        <w:t xml:space="preserve">CONCLUSIONS:GTs can be placed during exploratory laparotomy in dogs with septic peritonitis. They facilitate early enteral nutrition and are associated with few clinically significant complications. Prospective studies are needed to determine the optimal postoperative feeding plan and the effects of early enteral nutrition on serum albumin concentration in this patient population.</w:t>
      </w:r>
    </w:p>
    <w:p/>
    <w:p>
      <w:pPr>
        <w:pStyle w:val="Normal"/>
      </w:pPr>
      <w:r>
        <w:rPr>
          <w:color w:val="323232"/>
        </w:rPr>
        <w:t xml:space="preserve">J Vet Emerg Crit Care (San Antonio), 2019 vol. 29 (5) pp. 514-520.</w:t>
      </w:r>
    </w:p>
    <w:p>
      <w:r>
        <w:rPr>
          <w:rStyle w:val="Hyperlink"/>
        </w:rPr>
        <w:fldChar w:fldCharType="begin"/>
      </w:r>
      <w:r>
        <w:rPr>
          <w:rStyle w:val="Hyperlink"/>
        </w:rPr>
        <w:instrText xml:space="preserve"> HYPERLINK "http://eutils.ncbi.nlm.nih.gov/entrez/eutils/elink.fcgi?dbfrom=pubmed&amp;id=31448863&amp;retmode=ref&amp;cmd=prlinks"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http://eutils.ncbi.nlm.nih.gov/entrez/eutils/elink.fcgi?dbfrom=pubmed&amp;id=31448863&amp;retmode=ref&amp;cmd=prlinks</w:t>
      </w:r>
      <w:r>
        <w:rPr>
          <w:rStyle w:val="Hyperlink"/>
        </w:rPr>
        <w:fldChar w:fldCharType="end"/>
      </w:r>
    </w:p>
    <w:p>
      <w:pPr>
        <w:pStyle w:val="Normal"/>
      </w:pPr>
      <w:r>
        <w:rPr>
          <w:color w:val="323232"/>
        </w:rPr>
        <w:t xml:space="preserve">————————</w:t>
      </w:r>
    </w:p>
    <w:p>
      <w:pPr>
        <w:pStyle w:val="Heading4"/>
      </w:pPr>
      <w:r>
        <w:t xml:space="preserve">Retrospective evaluation of serum/plasma iron, red blood cell distribution width, and nucleated red blood cells in dogs with acute trauma (2009-2015): 129 cases.</w:t>
      </w:r>
    </w:p>
    <w:p/>
    <w:p>
      <w:pPr>
        <w:pStyle w:val="Normal"/>
      </w:pPr>
      <w:r>
        <w:rPr>
          <w:color w:val="323232"/>
        </w:rPr>
        <w:t xml:space="preserve">Eric J Fish, Sonya C Hansen, Elizabeth A Spangler, Philippe R Gaillard, Shirley Fan, and Lenore M Bacek.</w:t>
      </w:r>
    </w:p>
    <w:p/>
    <w:p>
      <w:pPr>
        <w:pStyle w:val="Normal"/>
      </w:pPr>
      <w:r>
        <w:rPr>
          <w:color w:val="323232"/>
        </w:rPr>
        <w:t xml:space="preserve">OBJECTIVE:To compare the prognostic value of admission hematologic parameters serum/plasma iron, red blood cell distribution width (RDW), and nucleated red blood cells (nRBCs) in dogs presenting with acute traumatic injury.</w:t>
      </w:r>
    </w:p>
    <w:p/>
    <w:p>
      <w:pPr>
        <w:pStyle w:val="Normal"/>
      </w:pPr>
      <w:r>
        <w:rPr>
          <w:color w:val="323232"/>
        </w:rPr>
        <w:t xml:space="preserve">DESIGN:Retrospective observational study (2009-2015).</w:t>
      </w:r>
    </w:p>
    <w:p/>
    <w:p>
      <w:pPr>
        <w:pStyle w:val="Normal"/>
      </w:pPr>
      <w:r>
        <w:rPr>
          <w:color w:val="323232"/>
        </w:rPr>
        <w:t xml:space="preserve">SETTING:University teaching hospital.</w:t>
      </w:r>
    </w:p>
    <w:p/>
    <w:p>
      <w:pPr>
        <w:pStyle w:val="Normal"/>
      </w:pPr>
      <w:r>
        <w:rPr>
          <w:color w:val="323232"/>
        </w:rPr>
        <w:t xml:space="preserve">ANIMALS:One hundred and twenty-nine clinical dogs presenting within 24 hours of acute traumatic injury.</w:t>
      </w:r>
    </w:p>
    <w:p/>
    <w:p>
      <w:pPr>
        <w:pStyle w:val="Normal"/>
      </w:pPr>
      <w:r>
        <w:rPr>
          <w:color w:val="323232"/>
        </w:rPr>
        <w:t xml:space="preserve">INTERVENTIONS:None.</w:t>
      </w:r>
    </w:p>
    <w:p/>
    <w:p>
      <w:pPr>
        <w:pStyle w:val="Normal"/>
      </w:pPr>
      <w:r>
        <w:rPr>
          <w:color w:val="323232"/>
        </w:rPr>
        <w:t xml:space="preserve">MEASUREMENTS AND MAIN RESULTS:One hundred and twenty-nine dogs met the inclusion criteria and 109 (84.5%) survived, while 20 (15.5%) died or were euthanized in hospital. Patients with blunt force trauma comprised 79.8% of the patient population; dogs with penetrating trauma comprised 20.2% of cases. Hypoferremia occurred in all nonsurvivors, and the median serum</w:t>
      </w:r>
      <w:r>
        <w:rPr>
          <w:i w:val="1"/>
          <w:color w:val="323232"/>
        </w:rPr>
        <w:t xml:space="preserve">plasma iron concentration was significantly lower in nonsurvivors than survivors (P = 0.028). Normal or increased serum</w:t>
      </w:r>
      <w:r>
        <w:rPr>
          <w:color w:val="323232"/>
        </w:rPr>
        <w:t xml:space="preserve">plasma iron had 100% specificity and 100% positive predictive value for survival. Red blood cell distribution width was not significantly different between groups (P = 0.417). The presence of nRBCs was significantly associated with nonsurvival (P = 0.030), although the absolute nRBC concentrations were not significantly different (P = 0.070). A multiple logistic regression model found age, type of injury, presence of nRBCs, and serum/plasma iron to be independent predictors of survival with an area under the receiver operator characteristic curve of 0.813.</w:t>
      </w:r>
    </w:p>
    <w:p/>
    <w:p>
      <w:pPr>
        <w:pStyle w:val="Normal"/>
      </w:pPr>
      <w:r>
        <w:rPr>
          <w:color w:val="323232"/>
        </w:rPr>
        <w:t xml:space="preserve">CONCLUSIONS:The presence of nRBCs and low serum/plasma iron are associated with mortality in patients with acute trauma; however, red blood cell distribution width was not associated with survival. Absence of hypoferremia was highly associated with a favorable prognosis in this patient population. These parameters may warrant inclusion in trauma scoring systems.</w:t>
      </w:r>
    </w:p>
    <w:p/>
    <w:p>
      <w:pPr>
        <w:pStyle w:val="Normal"/>
      </w:pPr>
      <w:r>
        <w:rPr>
          <w:color w:val="323232"/>
        </w:rPr>
        <w:t xml:space="preserve">J Vet Emerg Crit Care (San Antonio), 2019 vol. 29 (5) pp. 521-527.</w:t>
      </w:r>
    </w:p>
    <w:p>
      <w:r>
        <w:rPr>
          <w:rStyle w:val="Hyperlink"/>
        </w:rPr>
        <w:fldChar w:fldCharType="begin"/>
      </w:r>
      <w:r>
        <w:rPr>
          <w:rStyle w:val="Hyperlink"/>
        </w:rPr>
        <w:instrText xml:space="preserve"> HYPERLINK "http://eutils.ncbi.nlm.nih.gov/entrez/eutils/elink.fcgi?dbfrom=pubmed&amp;id=31482676&amp;retmode=ref&amp;cmd=prlinks"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http://eutils.ncbi.nlm.nih.gov/entrez/eutils/elink.fcgi?dbfrom=pubmed&amp;id=31482676&amp;retmode=ref&amp;cmd=prlinks</w:t>
      </w:r>
      <w:r>
        <w:rPr>
          <w:rStyle w:val="Hyperlink"/>
        </w:rPr>
        <w:fldChar w:fldCharType="end"/>
      </w:r>
    </w:p>
    <w:p>
      <w:pPr>
        <w:pStyle w:val="Normal"/>
      </w:pPr>
      <w:r>
        <w:rPr>
          <w:color w:val="323232"/>
        </w:rPr>
        <w:t xml:space="preserve">————————</w:t>
      </w:r>
    </w:p>
    <w:p>
      <w:pPr>
        <w:pStyle w:val="Heading4"/>
      </w:pPr>
      <w:r>
        <w:t xml:space="preserve">Retrospective evaluation of factors associated with degree of esophagitis, treatment, and outcomes in dogs presenting with esophageal foreign bodies (2004-2014): 114 cases.</w:t>
      </w:r>
    </w:p>
    <w:p/>
    <w:p>
      <w:pPr>
        <w:pStyle w:val="Normal"/>
      </w:pPr>
      <w:r>
        <w:rPr>
          <w:color w:val="323232"/>
        </w:rPr>
        <w:t xml:space="preserve">Abigail B Bongard, Eva Furrow, and Jennifer L Granick.</w:t>
      </w:r>
    </w:p>
    <w:p/>
    <w:p>
      <w:pPr>
        <w:pStyle w:val="Normal"/>
      </w:pPr>
      <w:r>
        <w:rPr>
          <w:color w:val="323232"/>
        </w:rPr>
        <w:t xml:space="preserve">OBJECTIVE:To characterize a population of dogs presenting for esophageal foreign body removal and evaluate factors associated with degree of esophagitis and minor and major complications.</w:t>
      </w:r>
    </w:p>
    <w:p/>
    <w:p>
      <w:pPr>
        <w:pStyle w:val="Normal"/>
      </w:pPr>
      <w:r>
        <w:rPr>
          <w:color w:val="323232"/>
        </w:rPr>
        <w:t xml:space="preserve">DESIGN:Retrospective evaluation of dogs who presented for esophageal foreign body removal between January 2004 and December 2014.</w:t>
      </w:r>
    </w:p>
    <w:p/>
    <w:p>
      <w:pPr>
        <w:pStyle w:val="Normal"/>
      </w:pPr>
      <w:r>
        <w:rPr>
          <w:color w:val="323232"/>
        </w:rPr>
        <w:t xml:space="preserve">SETTING:University veterinary teaching hospital.</w:t>
      </w:r>
    </w:p>
    <w:p/>
    <w:p>
      <w:pPr>
        <w:pStyle w:val="Normal"/>
      </w:pPr>
      <w:r>
        <w:rPr>
          <w:color w:val="323232"/>
        </w:rPr>
        <w:t xml:space="preserve">ANIMALS:Data collected from 114 dogs included signalment, history, clinical signs, physical examination findings, duration and location of foreign body, degree of esophagitis, foreign body removal success, feeding tube placement, and clinical outcomes. Owners were contacted for outcome data not available in the medical record. Data were analyzed for breed predispositions, whether duration or type of foreign body was associated with degree of esophagitis or complications, and factors associated with feeding tube placement.</w:t>
      </w:r>
    </w:p>
    <w:p/>
    <w:p>
      <w:pPr>
        <w:pStyle w:val="Normal"/>
      </w:pPr>
      <w:r>
        <w:rPr>
          <w:color w:val="323232"/>
        </w:rPr>
        <w:t xml:space="preserve">INTERVENTIONS:None.</w:t>
      </w:r>
    </w:p>
    <w:p/>
    <w:p>
      <w:pPr>
        <w:pStyle w:val="Normal"/>
      </w:pPr>
      <w:r>
        <w:rPr>
          <w:color w:val="323232"/>
        </w:rPr>
        <w:t xml:space="preserve">MEASUREMENTS AND MAIN RESULTS:The overall success rate for foreign body removal via esophagoscopy was 95% with a complication rate of 22%. Small breed dogs were overrepresented. Dogs with a foreign body present for &gt;24 h were significantly more likely to have severe esophagitis (P &lt; 0.001) and major complications (P = 0.0044). Foreign body type did not predict degree of esophagitis or complications, though fishhooks were more likely to require surgical removal (P = 0.033). Feeding tubes (15 gastrostomy, 1 nasoesophageal) were placed in 14% of dogs and were more likely to be placed if the foreign body had been present for &gt;24 h (P &lt; 0.001).</w:t>
      </w:r>
    </w:p>
    <w:p/>
    <w:p>
      <w:pPr>
        <w:pStyle w:val="Normal"/>
      </w:pPr>
      <w:r>
        <w:rPr>
          <w:color w:val="323232"/>
        </w:rPr>
        <w:t xml:space="preserve">CONCLUSIONS:Consistent with previous studies, esophageal foreign bodies, appropriately identified and endoscopically removed, carry a good prognosis, particularly if they have been present for ≤24 h.</w:t>
      </w:r>
    </w:p>
    <w:p/>
    <w:p>
      <w:pPr>
        <w:pStyle w:val="Normal"/>
      </w:pPr>
      <w:r>
        <w:rPr>
          <w:color w:val="323232"/>
        </w:rPr>
        <w:t xml:space="preserve">J Vet Emerg Crit Care (San Antonio), 2019 vol. 29 (5) pp. 528-534.</w:t>
      </w:r>
    </w:p>
    <w:p>
      <w:r>
        <w:rPr>
          <w:rStyle w:val="Hyperlink"/>
        </w:rPr>
        <w:fldChar w:fldCharType="begin"/>
      </w:r>
      <w:r>
        <w:rPr>
          <w:rStyle w:val="Hyperlink"/>
        </w:rPr>
        <w:instrText xml:space="preserve"> HYPERLINK "http://eutils.ncbi.nlm.nih.gov/entrez/eutils/elink.fcgi?dbfrom=pubmed&amp;id=31448848&amp;retmode=ref&amp;cmd=prlinks"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http://eutils.ncbi.nlm.nih.gov/entrez/eutils/elink.fcgi?dbfrom=pubmed&amp;id=31448848&amp;retmode=ref&amp;cmd=prlinks</w:t>
      </w:r>
      <w:r>
        <w:rPr>
          <w:rStyle w:val="Hyperlink"/>
        </w:rPr>
        <w:fldChar w:fldCharType="end"/>
      </w:r>
    </w:p>
    <w:p>
      <w:pPr>
        <w:pStyle w:val="Normal"/>
      </w:pPr>
      <w:r>
        <w:rPr>
          <w:color w:val="323232"/>
        </w:rPr>
        <w:t xml:space="preserve">————————</w:t>
      </w:r>
    </w:p>
    <w:p>
      <w:pPr>
        <w:pStyle w:val="Heading4"/>
      </w:pPr>
      <w:r>
        <w:t xml:space="preserve">Temporary abdominal packing for management of persistent hemorrhage after liver lobectomy in three dogs with hepatic neoplasia.</w:t>
      </w:r>
    </w:p>
    <w:p/>
    <w:p>
      <w:pPr>
        <w:pStyle w:val="Normal"/>
      </w:pPr>
      <w:r>
        <w:rPr>
          <w:color w:val="323232"/>
        </w:rPr>
        <w:t xml:space="preserve">Natashia A Evans, Robert J Hardie, Julie Walker, and Jonathan Bach.</w:t>
      </w:r>
    </w:p>
    <w:p/>
    <w:p>
      <w:pPr>
        <w:pStyle w:val="Normal"/>
      </w:pPr>
      <w:r>
        <w:rPr>
          <w:color w:val="323232"/>
        </w:rPr>
        <w:t xml:space="preserve">OBJECTIVE:To describe the technique and outcome of temporary abdominal packing for control of persistent hemorrhage from liver lobectomy sites in 3 dogs with hepatic neoplasia.</w:t>
      </w:r>
    </w:p>
    <w:p/>
    <w:p>
      <w:pPr>
        <w:pStyle w:val="Normal"/>
      </w:pPr>
      <w:r>
        <w:rPr>
          <w:color w:val="323232"/>
        </w:rPr>
        <w:t xml:space="preserve">SERIES SUMMARY:Three dogs were treated with massive transfusion for hemoperitoneum secondary to bleeding hepatic tumors. Surgical resection of the affected liver lobe(s) was performed but hemostasis could not be achieved through conventional methods. All 3 dogs demonstrated acidosis, hypothermia, and coagulopathy. Temporary abdominal packing of liver lobectomy sites was performed and hemostasis was achieved in all dogs. One dog died prior to removal of the packing. The other 2 dogs had the packing removed with no evidence of rebleeding. One dog was euthanized after removal of the packing due to acute kidney injury and the remaining dog survived to discharge.</w:t>
      </w:r>
    </w:p>
    <w:p/>
    <w:p>
      <w:pPr>
        <w:pStyle w:val="Normal"/>
      </w:pPr>
      <w:r>
        <w:rPr>
          <w:color w:val="323232"/>
        </w:rPr>
        <w:t xml:space="preserve">NEW OR UNIQUE INFORMATION PROVIDED:Temporary abdominal packing combined with medical management was successful in achieving hemostasis in all 3 dogs, however, 2 dogs died of complications related to multiple organ dysfunction syndrome. Temporary abdominal packing may be considered when definitive surgical hemostasis cannot be achieved or in unstable patients not able to tolerate prolonged surgical times. Further research is needed to better define efficacy, optimal patient selection, packing technique, timing of removal, and complications associated with temporary abdominal packing.</w:t>
      </w:r>
    </w:p>
    <w:p/>
    <w:p>
      <w:pPr>
        <w:pStyle w:val="Normal"/>
      </w:pPr>
      <w:r>
        <w:rPr>
          <w:color w:val="323232"/>
        </w:rPr>
        <w:t xml:space="preserve">J Vet Emerg Crit Care (San Antonio), 2019 vol. 29 (5) pp. 535-541.</w:t>
      </w:r>
    </w:p>
    <w:p>
      <w:r>
        <w:rPr>
          <w:rStyle w:val="Hyperlink"/>
        </w:rPr>
        <w:fldChar w:fldCharType="begin"/>
      </w:r>
      <w:r>
        <w:rPr>
          <w:rStyle w:val="Hyperlink"/>
        </w:rPr>
        <w:instrText xml:space="preserve"> HYPERLINK "http://eutils.ncbi.nlm.nih.gov/entrez/eutils/elink.fcgi?dbfrom=pubmed&amp;id=31423720&amp;retmode=ref&amp;cmd=prlinks"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http://eutils.ncbi.nlm.nih.gov/entrez/eutils/elink.fcgi?dbfrom=pubmed&amp;id=31423720&amp;retmode=ref&amp;cmd=prlinks</w:t>
      </w:r>
      <w:r>
        <w:rPr>
          <w:rStyle w:val="Hyperlink"/>
        </w:rPr>
        <w:fldChar w:fldCharType="end"/>
      </w:r>
    </w:p>
    <w:p>
      <w:pPr>
        <w:pStyle w:val="Normal"/>
      </w:pPr>
      <w:r>
        <w:rPr>
          <w:color w:val="323232"/>
        </w:rPr>
        <w:t xml:space="preserve">————————</w:t>
      </w:r>
    </w:p>
    <w:p>
      <w:pPr>
        <w:pStyle w:val="Heading4"/>
      </w:pPr>
      <w:r>
        <w:t xml:space="preserve">Successful management and recovery following severe prolonged starvation in a dog.</w:t>
      </w:r>
    </w:p>
    <w:p/>
    <w:p>
      <w:pPr>
        <w:pStyle w:val="Normal"/>
      </w:pPr>
      <w:r>
        <w:rPr>
          <w:color w:val="323232"/>
        </w:rPr>
        <w:t xml:space="preserve">Alison Wui Sing Khoo, Susan M Taylor, and Tammy J Owens.</w:t>
      </w:r>
    </w:p>
    <w:p/>
    <w:p>
      <w:pPr>
        <w:pStyle w:val="Normal"/>
      </w:pPr>
      <w:r>
        <w:rPr>
          <w:color w:val="323232"/>
        </w:rPr>
        <w:t xml:space="preserve">OBJECTIVE:To describe the successful management of a dog following a period of prolonged food deprivation.</w:t>
      </w:r>
    </w:p>
    <w:p/>
    <w:p>
      <w:pPr>
        <w:pStyle w:val="Normal"/>
      </w:pPr>
      <w:r>
        <w:rPr>
          <w:color w:val="323232"/>
        </w:rPr>
        <w:t xml:space="preserve">CASE SUMMARY:A 7-year-old, intact male Labrador Retriever presented with profound weakness and loss of nearly 50% of his body weight due to severe prolonged starvation after being trapped in a well for 27 days. Electrolyte concentrations were managed with intensive intravenous supplementation during refeeding. The dog's electrolyte abnormalities resolved, wounds healed, and strength returned during the first 3 weeks of treatment. During the next 3 months, body condition score normalized and muscle mass improved.</w:t>
      </w:r>
    </w:p>
    <w:p/>
    <w:p>
      <w:pPr>
        <w:pStyle w:val="Normal"/>
      </w:pPr>
      <w:r>
        <w:rPr>
          <w:color w:val="323232"/>
        </w:rPr>
        <w:t xml:space="preserve">NEW OR UNIQUE INFORMATION PROVIDED:This report describes the management of a severely malnourished dog during refeeding, and highlights treatment considerations that may be important in the prevention of refeeding syndrome in such cases.</w:t>
      </w:r>
    </w:p>
    <w:p/>
    <w:p>
      <w:pPr>
        <w:pStyle w:val="Normal"/>
      </w:pPr>
      <w:r>
        <w:rPr>
          <w:color w:val="323232"/>
        </w:rPr>
        <w:t xml:space="preserve">J Vet Emerg Crit Care (San Antonio), 2019 vol. 29 (5) pp. 542-548.</w:t>
      </w:r>
    </w:p>
    <w:p>
      <w:r>
        <w:rPr>
          <w:rStyle w:val="Hyperlink"/>
        </w:rPr>
        <w:fldChar w:fldCharType="begin"/>
      </w:r>
      <w:r>
        <w:rPr>
          <w:rStyle w:val="Hyperlink"/>
        </w:rPr>
        <w:instrText xml:space="preserve"> HYPERLINK "http://eutils.ncbi.nlm.nih.gov/entrez/eutils/elink.fcgi?dbfrom=pubmed&amp;id=31448525&amp;retmode=ref&amp;cmd=prlinks"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http://eutils.ncbi.nlm.nih.gov/entrez/eutils/elink.fcgi?dbfrom=pubmed&amp;id=31448525&amp;retmode=ref&amp;cmd=prlinks</w:t>
      </w:r>
      <w:r>
        <w:rPr>
          <w:rStyle w:val="Hyperlink"/>
        </w:rPr>
        <w:fldChar w:fldCharType="end"/>
      </w:r>
    </w:p>
    <w:p>
      <w:pPr>
        <w:pStyle w:val="Normal"/>
      </w:pPr>
      <w:r>
        <w:rPr>
          <w:color w:val="323232"/>
        </w:rPr>
        <w:t xml:space="preserve">————————</w:t>
      </w:r>
    </w:p>
    <w:p>
      <w:pPr>
        <w:pStyle w:val="Heading4"/>
      </w:pPr>
      <w:r>
        <w:t xml:space="preserve">Successful management of acute bilirubin encephalopathy in a dog with immune-mediated hemolytic anemia using therapeutic plasma exchange.</w:t>
      </w:r>
    </w:p>
    <w:p/>
    <w:p>
      <w:pPr>
        <w:pStyle w:val="Normal"/>
      </w:pPr>
      <w:r>
        <w:rPr>
          <w:color w:val="323232"/>
        </w:rPr>
        <w:t xml:space="preserve">Geoff G Heffner, Amanda Cavanagh, and Benjamin Nolan.</w:t>
      </w:r>
    </w:p>
    <w:p/>
    <w:p>
      <w:pPr>
        <w:pStyle w:val="Normal"/>
      </w:pPr>
      <w:r>
        <w:rPr>
          <w:color w:val="323232"/>
        </w:rPr>
        <w:t xml:space="preserve">OBJECTIVE:To describe the successful management of acute bilirubin encephalopathy in a dog with immune-mediated hemolytic anemia (IMHA) treated with therapeutic plasma exchange (TPE) in conjunction with conventional medical management.</w:t>
      </w:r>
    </w:p>
    <w:p/>
    <w:p>
      <w:pPr>
        <w:pStyle w:val="Normal"/>
      </w:pPr>
      <w:r>
        <w:rPr>
          <w:color w:val="323232"/>
        </w:rPr>
        <w:t xml:space="preserve">CASE SUMMARY:A 6-year-old neutered male Australian Cattle Dog diagnosed with IMHA developed severe hyperbilirubinemia and stupor within the first 48 hours of implementing immunosuppressive therapy consisting of corticosteroids and mycophenolate. The patient received 4 blood transfusions during this period, but remained severely anemic PCV (18%) and experienced a subsequent increase in total bilirubin from 78 µmol/ L (4.6 mg/ dL) to a peak value of 1,563 µmol/ L (91.4 mg/ dL). The patient's neurological status rapidly deteriorated, resulting in lateral recumbency, vertical nystagmus, extensor rigidity, and stuporous mentation. Over the next 3 days, TPE was provided once every 24 hours, decreasing serum bilirubin, immunoglobulin G (IgG), and immunoglobulin M (IgM). The patient's red blood cell (RBC) transfusion requirements decreased immediately, requiring only 1 transfusion over the next 7 days that was required due to procedure-associated blood loss. Gradual neurological improvement was noted as serum bilirubin decreased. A brain magnetic resonance imaging (MRI) did not reveal any structural abnormalities and the patient was discharged after 11 days of hospitalization. Following discharge, the patient had complete remission of IMHA without any residual neurological deficits. Therapeutic plasma exchange played an integral role in case management and was successful in reducing bilirubin, IgG, and IgM.</w:t>
      </w:r>
    </w:p>
    <w:p/>
    <w:p>
      <w:pPr>
        <w:pStyle w:val="Normal"/>
      </w:pPr>
      <w:r>
        <w:rPr>
          <w:color w:val="323232"/>
        </w:rPr>
        <w:t xml:space="preserve">NEW OR UNIQUE INFORMATION PROVIDED:Bilirubin encephalopathy has been rarely reported in small animal medicine and cases have been limited to postmortem documentation. This is the first suspected case of acute bilirubin encephalopathy in a dog that survived and describes the clinical course of disease. The kinetics of serum bilirubin, IgG, and IgM concentrations before and after TPE and throughout the hospitalization period are also described.</w:t>
      </w:r>
    </w:p>
    <w:p/>
    <w:p>
      <w:pPr>
        <w:pStyle w:val="Normal"/>
      </w:pPr>
      <w:r>
        <w:rPr>
          <w:color w:val="323232"/>
        </w:rPr>
        <w:t xml:space="preserve">J Vet Emerg Crit Care (San Antonio), 2019 vol. 29 (5) pp. 549-557.</w:t>
      </w:r>
    </w:p>
    <w:p>
      <w:r>
        <w:rPr>
          <w:rStyle w:val="Hyperlink"/>
        </w:rPr>
        <w:fldChar w:fldCharType="begin"/>
      </w:r>
      <w:r>
        <w:rPr>
          <w:rStyle w:val="Hyperlink"/>
        </w:rPr>
        <w:instrText xml:space="preserve"> HYPERLINK "http://eutils.ncbi.nlm.nih.gov/entrez/eutils/elink.fcgi?dbfrom=pubmed&amp;id=31423707&amp;retmode=ref&amp;cmd=prlinks"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http://eutils.ncbi.nlm.nih.gov/entrez/eutils/elink.fcgi?dbfrom=pubmed&amp;id=31423707&amp;retmode=ref&amp;cmd=prlinks</w:t>
      </w:r>
      <w:r>
        <w:rPr>
          <w:rStyle w:val="Hyperlink"/>
        </w:rPr>
        <w:fldChar w:fldCharType="end"/>
      </w:r>
    </w:p>
    <w:p>
      <w:pPr>
        <w:pStyle w:val="Normal"/>
      </w:pPr>
      <w:r>
        <w:rPr>
          <w:color w:val="323232"/>
        </w:rPr>
        <w:t xml:space="preserve">————————</w:t>
      </w:r>
    </w:p>
    <w:p>
      <w:pPr>
        <w:pStyle w:val="Heading4"/>
      </w:pPr>
      <w:r>
        <w:t xml:space="preserve">Antivenin-associated serum sickness in a dog.</w:t>
      </w:r>
    </w:p>
    <w:p/>
    <w:p>
      <w:pPr>
        <w:pStyle w:val="Normal"/>
      </w:pPr>
      <w:r>
        <w:rPr>
          <w:color w:val="323232"/>
        </w:rPr>
        <w:t xml:space="preserve">Benjamin M Lee, Kristin M Zersen, Jennifer R Schissler, and Lauren A Sullivan.</w:t>
      </w:r>
    </w:p>
    <w:p/>
    <w:p>
      <w:pPr>
        <w:pStyle w:val="Normal"/>
      </w:pPr>
      <w:r>
        <w:rPr>
          <w:color w:val="323232"/>
        </w:rPr>
        <w:t xml:space="preserve">OBJECTIVE:To describe a case of documented serum sickness in a dog following administration of a single dose of a novel antivenin crotalidae polyvalent.</w:t>
      </w:r>
    </w:p>
    <w:p/>
    <w:p>
      <w:pPr>
        <w:pStyle w:val="Normal"/>
      </w:pPr>
      <w:r>
        <w:rPr>
          <w:color w:val="323232"/>
        </w:rPr>
        <w:t xml:space="preserve">CASE SUMMARY:A 4-year-old female neutered mixed breed dog developed recurrent signs of hypersensitivity (swelling, edema, urticaria/hives, gastrointestinal signs, vasculitis) at 1 and 2 weeks following administration of a single unit of a novel antivenin crotalidae polyvalent plasma product. Both episodes were treated with antihistamines and glucocorticoids and signs improved rapidly, with a prolonged course of glucocorticoids and antihistamines administered following the second occurrence. Diagnosis of serum sickness was based on clinical appearance of delayed hypersensitivity following exposure to novel biologic product, absence of other inciting cause of hypersensitivity, complement testing, and skin biopsies confirming vasculitis.</w:t>
      </w:r>
    </w:p>
    <w:p/>
    <w:p>
      <w:pPr>
        <w:pStyle w:val="Normal"/>
      </w:pPr>
      <w:r>
        <w:rPr>
          <w:color w:val="323232"/>
        </w:rPr>
        <w:t xml:space="preserve">NEW OR UNIQUE INFORMATION PROVIDED:This case documents the first report of delayed hypersensitivity with a novel antivenin plasma product. This is the only case report of serum sickness to a single unit of antivenin. Additionally, the dog developed recurrence of hypersensitivity following the initial episode at 1 week; appropriate identification and prolonged treatment could have prevented recurrence and additional hospitalization. Cost and benefit analysis should be considered with antivenin administration.</w:t>
      </w:r>
    </w:p>
    <w:p/>
    <w:p>
      <w:pPr>
        <w:pStyle w:val="Normal"/>
      </w:pPr>
      <w:r>
        <w:rPr>
          <w:color w:val="323232"/>
        </w:rPr>
        <w:t xml:space="preserve">J Vet Emerg Crit Care (San Antonio), 2019 vol. 29 (5) pp. 558-563.</w:t>
      </w:r>
    </w:p>
    <w:p>
      <w:r>
        <w:rPr>
          <w:rStyle w:val="Hyperlink"/>
        </w:rPr>
        <w:fldChar w:fldCharType="begin"/>
      </w:r>
      <w:r>
        <w:rPr>
          <w:rStyle w:val="Hyperlink"/>
        </w:rPr>
        <w:instrText xml:space="preserve"> HYPERLINK "http://eutils.ncbi.nlm.nih.gov/entrez/eutils/elink.fcgi?dbfrom=pubmed&amp;id=31448548&amp;retmode=ref&amp;cmd=prlinks"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http://eutils.ncbi.nlm.nih.gov/entrez/eutils/elink.fcgi?dbfrom=pubmed&amp;id=31448548&amp;retmode=ref&amp;cmd=prlinks</w:t>
      </w:r>
      <w:r>
        <w:rPr>
          <w:rStyle w:val="Hyperlink"/>
        </w:rPr>
        <w:fldChar w:fldCharType="end"/>
      </w:r>
    </w:p>
    <w:p>
      <w:pPr>
        <w:pStyle w:val="Normal"/>
      </w:pPr>
      <w:r>
        <w:rPr>
          <w:color w:val="323232"/>
        </w:rPr>
        <w:t xml:space="preserve">————————</w:t>
      </w:r>
    </w:p>
    <w:p>
      <w:pPr>
        <w:pStyle w:val="Heading4"/>
      </w:pPr>
      <w:r>
        <w:t xml:space="preserve">Description of a novel technique for surgical placement of gastrostomy tubes in dogs.</w:t>
      </w:r>
    </w:p>
    <w:p/>
    <w:p>
      <w:pPr>
        <w:pStyle w:val="Normal"/>
      </w:pPr>
      <w:r>
        <w:rPr>
          <w:color w:val="323232"/>
        </w:rPr>
        <w:t xml:space="preserve">Katelyn C Hlusko, Sonya C Hansen, Brad M Matz, Lenore M Bacek, Harry W Boothe, Jamie R Bellah, and D Michael Tillson.</w:t>
      </w:r>
    </w:p>
    <w:p/>
    <w:p>
      <w:pPr>
        <w:pStyle w:val="Normal"/>
      </w:pPr>
      <w:r>
        <w:rPr>
          <w:color w:val="323232"/>
        </w:rPr>
        <w:t xml:space="preserve">BACKGROUND:Early enteral nutrition in dogs with critical illnesses, including septic peritonitis, has been shown to have a positive influence on patient outcome. Surgical placement of a gastrostomy tube (GT) is one option for providing early enteral nutrition. Complications, including premature tube removal or separation of the stomach from the body wall, can result in leakage of gastric contents into the abdominal cavity and subsequent peritonitis. A safe and reliable technique for the placement of a GT is desirable to minimize such complications.</w:t>
      </w:r>
    </w:p>
    <w:p/>
    <w:p>
      <w:pPr>
        <w:pStyle w:val="Normal"/>
      </w:pPr>
      <w:r>
        <w:rPr>
          <w:color w:val="323232"/>
        </w:rPr>
        <w:t xml:space="preserve">KEY CONCEPTS:A modified method for surgical placement of a GT is described. A thoracic trocar catheter (TTC) with an attached Pezzer tube is inserted through a gastrotomy incision and exited through the left gastric body and body wall. A left-sided tube gastropexy is performed using an interlocking box (ILB) pattern.</w:t>
      </w:r>
    </w:p>
    <w:p/>
    <w:p>
      <w:pPr>
        <w:pStyle w:val="Normal"/>
      </w:pPr>
      <w:r>
        <w:rPr>
          <w:color w:val="323232"/>
        </w:rPr>
        <w:t xml:space="preserve">SIGNIFICANCE:GT placement using a TTC is efficient, requiring minimal additional anesthesia time. The gastric defect created by the TTC conforms well with the Pezzer tube. As such, placement and utilization of the ILB suture pattern enables removal of the GT in the early postoperative period, if appropriate.</w:t>
      </w:r>
    </w:p>
    <w:p/>
    <w:p>
      <w:pPr>
        <w:pStyle w:val="Normal"/>
      </w:pPr>
      <w:r>
        <w:rPr>
          <w:color w:val="323232"/>
        </w:rPr>
        <w:t xml:space="preserve">J Vet Emerg Crit Care (San Antonio), 2019 vol. 29 (5) pp. 564-567.</w:t>
      </w:r>
    </w:p>
    <w:p>
      <w:r>
        <w:rPr>
          <w:rStyle w:val="Hyperlink"/>
        </w:rPr>
        <w:fldChar w:fldCharType="begin"/>
      </w:r>
      <w:r>
        <w:rPr>
          <w:rStyle w:val="Hyperlink"/>
        </w:rPr>
        <w:instrText xml:space="preserve"> HYPERLINK "http://eutils.ncbi.nlm.nih.gov/entrez/eutils/elink.fcgi?dbfrom=pubmed&amp;id=31423701&amp;retmode=ref&amp;cmd=prlinks"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http://eutils.ncbi.nlm.nih.gov/entrez/eutils/elink.fcgi?dbfrom=pubmed&amp;id=31423701&amp;retmode=ref&amp;cmd=prlinks</w:t>
      </w:r>
      <w:r>
        <w:rPr>
          <w:rStyle w:val="Hyperlink"/>
        </w:rPr>
        <w:fldChar w:fldCharType="end"/>
      </w:r>
    </w:p>
    <w:p>
      <w:pPr>
        <w:pStyle w:val="Normal"/>
      </w:pPr>
      <w:r>
        <w:rPr>
          <w:color w:val="323232"/>
        </w:rPr>
        <w:t xml:space="preserve">————————</w:t>
      </w:r>
    </w:p>
    <w:p>
      <w:pPr>
        <w:pStyle w:val="Heading4"/>
      </w:pPr>
      <w:r>
        <w:t xml:space="preserve">Use of gas chromatography-mass spectrometry for definitive diagnosis of synthetic cannabinoid toxicity in a dog.</w:t>
      </w:r>
    </w:p>
    <w:p/>
    <w:p>
      <w:pPr>
        <w:pStyle w:val="Normal"/>
      </w:pPr>
      <w:r>
        <w:rPr>
          <w:color w:val="323232"/>
        </w:rPr>
        <w:t xml:space="preserve">Efrat Kelmer, Jakob A Shimshoni, Yael Merbl, Ofer Kolski, and Sigal Klainbart.</w:t>
      </w:r>
    </w:p>
    <w:p/>
    <w:p>
      <w:pPr>
        <w:pStyle w:val="Normal"/>
      </w:pPr>
      <w:r>
        <w:rPr>
          <w:color w:val="323232"/>
        </w:rPr>
        <w:t xml:space="preserve">OBJECTIVE:To report the use of gas chromatography-mass spectrometry to confirm a diagnosis of synthetic cannabis toxicosis in a dog and to describe the clinical course of the intoxication.</w:t>
      </w:r>
    </w:p>
    <w:p/>
    <w:p>
      <w:pPr>
        <w:pStyle w:val="Normal"/>
      </w:pPr>
      <w:r>
        <w:rPr>
          <w:color w:val="323232"/>
        </w:rPr>
        <w:t xml:space="preserve">CASE SUMMARY:An 11-year-old neutered female Boxer dog was referred due to acute onset of vomiting, ataxia, dull mentation, and delirium that progressed to generalized seizures, unresponsive to diazepam. Prior to presentation, the dog was found lying down, minimally responsive with vomitus around it. A chewed bag containing dried plant material was found next to the dog. The dog was anesthetized and ventilated with positive pressure for 16 hours, and eventually made a full recovery. Gas chromatography-mass spectrometry analysis of the plant material and a plasma sample from the dog revealed presence of the synthetic cannabinoid N-[(1S)-1-(aminocarbonyl)-2-methylpropyl]-1-(cyclohexylmethyl)-1H-indazole-3-carboxamide, also known as AB-CHMINACA, a relatively new illegal synthetic cannabinoid, known by the local forensic police department as a drug of recreational abuse.</w:t>
      </w:r>
    </w:p>
    <w:p/>
    <w:p>
      <w:pPr>
        <w:pStyle w:val="Normal"/>
      </w:pPr>
      <w:r>
        <w:rPr>
          <w:color w:val="323232"/>
        </w:rPr>
        <w:t xml:space="preserve">NEW OR UNIQUE INFORMATION PROVIDED:Reports of synthetic cannabinoid toxicosis in dogs are scarce and are based on urine test kits for tetrahydrocannabinol that have not been validated in the veterinary literature. This is the first report to describe utilization of gas chromatography-mass spectrometry on canine plasma to reach a definitive diagnosis.</w:t>
      </w:r>
    </w:p>
    <w:p/>
    <w:p>
      <w:pPr>
        <w:pStyle w:val="Normal"/>
      </w:pPr>
      <w:r>
        <w:rPr>
          <w:color w:val="323232"/>
        </w:rPr>
        <w:t xml:space="preserve">J Vet Emerg Crit Care (San Antonio), 2019 vol. 29 (5) pp. 573-577.</w:t>
      </w:r>
    </w:p>
    <w:p>
      <w:r>
        <w:rPr>
          <w:rStyle w:val="Hyperlink"/>
        </w:rPr>
        <w:fldChar w:fldCharType="begin"/>
      </w:r>
      <w:r>
        <w:rPr>
          <w:rStyle w:val="Hyperlink"/>
        </w:rPr>
        <w:instrText xml:space="preserve"> HYPERLINK "http://eutils.ncbi.nlm.nih.gov/entrez/eutils/elink.fcgi?dbfrom=pubmed&amp;id=31342645&amp;retmode=ref&amp;cmd=prlinks"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http://eutils.ncbi.nlm.nih.gov/entrez/eutils/elink.fcgi?dbfrom=pubmed&amp;id=31342645&amp;retmode=ref&amp;cmd=prlinks</w:t>
      </w:r>
      <w:r>
        <w:rPr>
          <w:rStyle w:val="Hyperlink"/>
        </w:rPr>
        <w:fldChar w:fldCharType="end"/>
      </w:r>
    </w:p>
    <w:p>
      <w:pPr>
        <w:pStyle w:val="Normal"/>
      </w:pPr>
      <w:r>
        <w:rPr>
          <w:color w:val="323232"/>
        </w:rPr>
        <w:t xml:space="preserve">————————</w:t>
      </w:r>
    </w:p>
    <w:p>
      <w:pPr>
        <w:pStyle w:val="Heading4"/>
      </w:pPr>
      <w:r>
        <w:t xml:space="preserve">A pilot study evaluating the effect of mannitol and hypertonic saline solution in the treatment of increased intracranial pressure in 2 cats and 1 dog naturally affected by traumatic brain injury.</w:t>
      </w:r>
    </w:p>
    <w:p/>
    <w:p>
      <w:pPr>
        <w:pStyle w:val="Normal"/>
      </w:pPr>
      <w:r>
        <w:rPr>
          <w:color w:val="323232"/>
        </w:rPr>
        <w:t xml:space="preserve">Isabella Ballocco, Maria Antonietta Evangelisti, Roberta Deiana, Francesca Cubeddu, Maria Luisa Pinna Parpaglia, Giovanna Serra, Giovanni Carta, and Maria Lucia Manunta.</w:t>
      </w:r>
    </w:p>
    <w:p/>
    <w:p>
      <w:pPr>
        <w:pStyle w:val="Normal"/>
      </w:pPr>
      <w:r>
        <w:rPr>
          <w:color w:val="323232"/>
        </w:rPr>
        <w:t xml:space="preserve">OBJECTIVE:To evaluate the effects of iso-osmolar doses of 18% mannitol and 3% sodium chloride (NaCl) solutions in decreasing intracranial pressure (ICP) in animals with severe traumatic brain injury (TBI).</w:t>
      </w:r>
    </w:p>
    <w:p/>
    <w:p>
      <w:pPr>
        <w:pStyle w:val="Normal"/>
      </w:pPr>
      <w:r>
        <w:rPr>
          <w:color w:val="323232"/>
        </w:rPr>
        <w:t xml:space="preserve">DESIGN:Prospective uncontrolled interventional study.</w:t>
      </w:r>
    </w:p>
    <w:p/>
    <w:p>
      <w:pPr>
        <w:pStyle w:val="Normal"/>
      </w:pPr>
      <w:r>
        <w:rPr>
          <w:color w:val="323232"/>
        </w:rPr>
        <w:t xml:space="preserve">SETTING:Veterinary university teaching hospital.</w:t>
      </w:r>
    </w:p>
    <w:p/>
    <w:p>
      <w:pPr>
        <w:pStyle w:val="Normal"/>
      </w:pPr>
      <w:r>
        <w:rPr>
          <w:color w:val="323232"/>
        </w:rPr>
        <w:t xml:space="preserve">ANIMALS:Two cats and 1 dog with TBI with a modified Glasgow Coma Scale score ≤8 after hemodynamic stabilization, and with brain magnetic resonance imaging changes suggestive of intracranial hypertension.</w:t>
      </w:r>
    </w:p>
    <w:p/>
    <w:p>
      <w:pPr>
        <w:pStyle w:val="Normal"/>
      </w:pPr>
      <w:r>
        <w:rPr>
          <w:color w:val="323232"/>
        </w:rPr>
        <w:t xml:space="preserve">INTERVENTIONS:Animals were surgically instrumented for direct ICP measurement, then randomly treated with iso-osmolar doses of 18% mannitol or 3% NaCl. Direct ICP and cerebral perfusion pressure (CPP) were recorded both before treatment and for 120 minutes following drug administration.</w:t>
      </w:r>
    </w:p>
    <w:p/>
    <w:p>
      <w:pPr>
        <w:pStyle w:val="Normal"/>
      </w:pPr>
      <w:r>
        <w:rPr>
          <w:color w:val="323232"/>
        </w:rPr>
        <w:t xml:space="preserve">MEASUREMENTS AND MAIN RESULTS:Direct ICP and CPP were recorded both before treatment and at 5 additional time points following administration over the subsequent 120 minutes. Case 1 received 3% NaCl without any response to therapy; refractory posttraumatic hypertension was suspected. Case 2 was treated with 3% NaCl; ICP decreased by 40.7% and CPP increased by 15%; however, these effects were transient. Case 3 received 18% mannitol, and ICP decreased by 19% and CPP increased to normal. However, there was a rebound increase in ICP that was higher than pretreatment values, and CPP decreased slightly before it gradually increased to normal values towards the end of the study.</w:t>
      </w:r>
    </w:p>
    <w:p/>
    <w:p>
      <w:pPr>
        <w:pStyle w:val="Normal"/>
      </w:pPr>
      <w:r>
        <w:rPr>
          <w:color w:val="323232"/>
        </w:rPr>
        <w:t xml:space="preserve">CONCLUSIONS:Both mannitol and hypertonic saline decrease ICP and improve CPP, but the effect observed in this pilot study suggests that there might be differences in the duration of these effects. Appropriately designed studies in a larger and homogeneous population are warranted to further investigate these findings.</w:t>
      </w:r>
    </w:p>
    <w:p/>
    <w:p>
      <w:pPr>
        <w:pStyle w:val="Normal"/>
      </w:pPr>
      <w:r>
        <w:rPr>
          <w:color w:val="323232"/>
        </w:rPr>
        <w:t xml:space="preserve">J Vet Emerg Crit Care (San Antonio), 2019 vol. 29 (5) pp. 578-584.</w:t>
      </w:r>
    </w:p>
    <w:p>
      <w:r>
        <w:rPr>
          <w:rStyle w:val="Hyperlink"/>
        </w:rPr>
        <w:fldChar w:fldCharType="begin"/>
      </w:r>
      <w:r>
        <w:rPr>
          <w:rStyle w:val="Hyperlink"/>
        </w:rPr>
        <w:instrText xml:space="preserve"> HYPERLINK "http://eutils.ncbi.nlm.nih.gov/entrez/eutils/elink.fcgi?dbfrom=pubmed&amp;id=31448527&amp;retmode=ref&amp;cmd=prlinks"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http://eutils.ncbi.nlm.nih.gov/entrez/eutils/elink.fcgi?dbfrom=pubmed&amp;id=31448527&amp;retmode=ref&amp;cmd=prlinks</w:t>
      </w:r>
      <w:r>
        <w:rPr>
          <w:rStyle w:val="Hyperlink"/>
        </w:rPr>
        <w:fldChar w:fldCharType="end"/>
      </w:r>
    </w:p>
    <w:p>
      <w:pPr>
        <w:pStyle w:val="Normal"/>
      </w:pPr>
      <w:r>
        <w:rPr>
          <w:color w:val="323232"/>
        </w:rPr>
        <w:t xml:space="preserve">————————</w:t>
      </w:r>
    </w:p>
    <w:p>
      <w:pPr>
        <w:pStyle w:val="Heading4"/>
      </w:pPr>
      <w:r>
        <w:t xml:space="preserve">A prospective evaluation of oral Yunnan Baiyao therapy on thromboelastographic parameters in apparently healthy cats.</w:t>
      </w:r>
    </w:p>
    <w:p/>
    <w:p>
      <w:pPr>
        <w:pStyle w:val="Normal"/>
      </w:pPr>
      <w:r>
        <w:rPr>
          <w:color w:val="323232"/>
        </w:rPr>
        <w:t xml:space="preserve">Jeffrey E Patlogar, Colleen Tansey, Melissa Wiebe, Gabrielle C Hybki, Todd Trostel, Lisa A Murphy, and Reid K Nakamura.</w:t>
      </w:r>
    </w:p>
    <w:p/>
    <w:p>
      <w:pPr>
        <w:pStyle w:val="Normal"/>
      </w:pPr>
      <w:r>
        <w:rPr>
          <w:color w:val="323232"/>
        </w:rPr>
        <w:t xml:space="preserve">OBJECTIVE:To determine the effect of Yunnan Baiyao (YB) on hemostatic parameters measured by thromboelastography (TEG) in apparently healthy cats administered 1 capsule of YB orally twice daily for 1 week.</w:t>
      </w:r>
    </w:p>
    <w:p/>
    <w:p>
      <w:pPr>
        <w:pStyle w:val="Normal"/>
      </w:pPr>
      <w:r>
        <w:rPr>
          <w:color w:val="323232"/>
        </w:rPr>
        <w:t xml:space="preserve">DESIGN:Prospective study of client-owned cats at a small animal specialty hospital.</w:t>
      </w:r>
    </w:p>
    <w:p/>
    <w:p>
      <w:pPr>
        <w:pStyle w:val="Normal"/>
      </w:pPr>
      <w:r>
        <w:rPr>
          <w:color w:val="323232"/>
        </w:rPr>
        <w:t xml:space="preserve">SETTING:One private referral center.</w:t>
      </w:r>
    </w:p>
    <w:p/>
    <w:p>
      <w:pPr>
        <w:pStyle w:val="Normal"/>
      </w:pPr>
      <w:r>
        <w:rPr>
          <w:color w:val="323232"/>
        </w:rPr>
        <w:t xml:space="preserve">ANIMALS:Twenty client-owned adult cats were prospectively enrolled.</w:t>
      </w:r>
    </w:p>
    <w:p/>
    <w:p>
      <w:pPr>
        <w:pStyle w:val="Normal"/>
      </w:pPr>
      <w:r>
        <w:rPr>
          <w:color w:val="323232"/>
        </w:rPr>
        <w:t xml:space="preserve">INTERVENTIONS:All cats underwent echocardiographic examination by the same board-certified cardiologist to rule out occult cardiomyopathy. Blood samples were collected for analysis of baseline CBC, fibrinogen, and kaolin-activated TEG values. Cats were administered 1 capsule (250 mg/capsule) of YB twice daily orally for 1 week and the physical examination, CBC, fibrinogen, and TEG were re-evaluated. Any side effects attributed to YB were noted at this time.</w:t>
      </w:r>
    </w:p>
    <w:p/>
    <w:p>
      <w:pPr>
        <w:pStyle w:val="Normal"/>
      </w:pPr>
      <w:r>
        <w:rPr>
          <w:color w:val="323232"/>
        </w:rPr>
        <w:t xml:space="preserve">MEASUREMENTS AND MAIN RESULTS:Three cats were excluded as 2 cats were identified with underlying cardiomyopathy and another cat had a cystic mass in the cranial mediastinum identified via echocardiography. Seventeen cats were treated with YB; however, 1 cat could not complete the study due to severe vomiting associated with YB administration. The remaining 16 cats completed the study, although 2 additional cats experienced transient vomiting. Yunnan Baiyao administration was associated with a significant decrease in HCT and red blood cell count, although no cat became anemic. None of the TEG parameters significantly changed compared to baseline after 1 week of YB therapy.</w:t>
      </w:r>
    </w:p>
    <w:p/>
    <w:p>
      <w:pPr>
        <w:pStyle w:val="Normal"/>
      </w:pPr>
      <w:r>
        <w:rPr>
          <w:color w:val="323232"/>
        </w:rPr>
        <w:t xml:space="preserve">CONCLUSIONS:The results of this study suggest YB at a dose of 1 capsule orally twice daily in cats fails to produce any significant change in hemostatic parameters as measured by TEG, although it did significantly reduce HCT and red blood cell count. Yunnan Baiyao was tolerated for most of the cats, although 3 of 17 (17.6%) cats experienced vomiting. Clinicians should be aware of these effects before considering the use of YB in cats.</w:t>
      </w:r>
    </w:p>
    <w:p/>
    <w:p>
      <w:pPr>
        <w:pStyle w:val="Normal"/>
      </w:pPr>
      <w:r>
        <w:rPr>
          <w:color w:val="323232"/>
        </w:rPr>
        <w:t xml:space="preserve">J Vet Emerg Crit Care (San Antonio), 2019 vol. 29 (6) pp. 611-615.</w:t>
      </w:r>
    </w:p>
    <w:p>
      <w:r>
        <w:rPr>
          <w:rStyle w:val="Hyperlink"/>
        </w:rPr>
        <w:fldChar w:fldCharType="begin"/>
      </w:r>
      <w:r>
        <w:rPr>
          <w:rStyle w:val="Hyperlink"/>
        </w:rPr>
        <w:instrText xml:space="preserve"> HYPERLINK "http://eutils.ncbi.nlm.nih.gov/entrez/eutils/elink.fcgi?dbfrom=pubmed&amp;id=31625678&amp;retmode=ref&amp;cmd=prlinks"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http://eutils.ncbi.nlm.nih.gov/entrez/eutils/elink.fcgi?dbfrom=pubmed&amp;id=31625678&amp;retmode=ref&amp;cmd=prlinks</w:t>
      </w:r>
      <w:r>
        <w:rPr>
          <w:rStyle w:val="Hyperlink"/>
        </w:rPr>
        <w:fldChar w:fldCharType="end"/>
      </w:r>
    </w:p>
    <w:p>
      <w:pPr>
        <w:pStyle w:val="Normal"/>
      </w:pPr>
      <w:r>
        <w:rPr>
          <w:color w:val="323232"/>
        </w:rPr>
        <w:t xml:space="preserve">————————</w:t>
      </w:r>
    </w:p>
    <w:p>
      <w:pPr>
        <w:pStyle w:val="Heading4"/>
      </w:pPr>
      <w:r>
        <w:t xml:space="preserve">Acute chlorfenapyr toxicity in 3 dogs from a single household.</w:t>
      </w:r>
    </w:p>
    <w:p/>
    <w:p>
      <w:pPr>
        <w:pStyle w:val="Normal"/>
      </w:pPr>
      <w:r>
        <w:rPr>
          <w:color w:val="323232"/>
        </w:rPr>
        <w:t xml:space="preserve">Rachel B Davy, Samantha Campos, and Alex M Lynch.</w:t>
      </w:r>
    </w:p>
    <w:p/>
    <w:p>
      <w:pPr>
        <w:pStyle w:val="Normal"/>
      </w:pPr>
      <w:r>
        <w:rPr>
          <w:color w:val="323232"/>
        </w:rPr>
        <w:t xml:space="preserve">OBJECTIVE:To describe the clinical characteristics of acute chlorfenapyr toxicity in 3 dogs from a single household.</w:t>
      </w:r>
    </w:p>
    <w:p/>
    <w:p>
      <w:pPr>
        <w:pStyle w:val="Normal"/>
      </w:pPr>
      <w:r>
        <w:rPr>
          <w:color w:val="323232"/>
        </w:rPr>
        <w:t xml:space="preserve">CASE SUMMARY:A 4-year-old neutered female Labrador Retriever was presented with severe hyperthermia (42.6°C [108.6°F]). Emergency management consisting of fluid resuscitation, active cooling, general anesthesia, gastric lavage, activated charcoal administration, and intravenous lipid emulsion was started immediately on the suspicion of toxin exposure. The dog developed symptoms following peracute death in 2 other small breed dog housemates. All dogs had a rapid onset of gastrointestinal signs, neurologic signs, and panting. The dog made a rapid and complete recovery and was discharged 48 hours later. Examination of gastric contents collected from the deceased dogs identified the presence of chlorfenapyr.</w:t>
      </w:r>
    </w:p>
    <w:p/>
    <w:p>
      <w:pPr>
        <w:pStyle w:val="Normal"/>
      </w:pPr>
      <w:r>
        <w:rPr>
          <w:color w:val="323232"/>
        </w:rPr>
        <w:t xml:space="preserve">NEW OR UNIQUE INFORMATION PROVIDED:This is the first reported case of chlorfenapyr toxicity in dogs. Previous case reports in human medicine have reported a variable mortality rate, although 1 of 3 dogs described here made a complete recovery. Chlorfenapyr should be considered in cases of suspected toxicity with similar presenting signs.</w:t>
      </w:r>
    </w:p>
    <w:p/>
    <w:p>
      <w:pPr>
        <w:pStyle w:val="Normal"/>
      </w:pPr>
      <w:r>
        <w:rPr>
          <w:color w:val="323232"/>
        </w:rPr>
        <w:t xml:space="preserve">J Vet Emerg Crit Care (San Antonio), 2019 vol. 29 (6) pp. 686-689.</w:t>
      </w:r>
    </w:p>
    <w:p>
      <w:r>
        <w:rPr>
          <w:rStyle w:val="Hyperlink"/>
        </w:rPr>
        <w:fldChar w:fldCharType="begin"/>
      </w:r>
      <w:r>
        <w:rPr>
          <w:rStyle w:val="Hyperlink"/>
        </w:rPr>
        <w:instrText xml:space="preserve"> HYPERLINK "http://eutils.ncbi.nlm.nih.gov/entrez/eutils/elink.fcgi?dbfrom=pubmed&amp;id=31637843&amp;retmode=ref&amp;cmd=prlinks"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http://eutils.ncbi.nlm.nih.gov/entrez/eutils/elink.fcgi?dbfrom=pubmed&amp;id=31637843&amp;retmode=ref&amp;cmd=prlinks</w:t>
      </w:r>
      <w:r>
        <w:rPr>
          <w:rStyle w:val="Hyperlink"/>
        </w:rPr>
        <w:fldChar w:fldCharType="end"/>
      </w:r>
    </w:p>
    <w:p>
      <w:pPr>
        <w:pStyle w:val="Normal"/>
      </w:pPr>
      <w:r>
        <w:rPr>
          <w:color w:val="323232"/>
        </w:rPr>
        <w:t xml:space="preserve">————————</w:t>
      </w:r>
    </w:p>
    <w:p>
      <w:pPr>
        <w:pStyle w:val="Heading4"/>
      </w:pPr>
      <w:r>
        <w:t xml:space="preserve">Acute kidney injury, seizures, and hypertonic hyponatremia secondary to mannitol intoxication in a dog.</w:t>
      </w:r>
    </w:p>
    <w:p/>
    <w:p>
      <w:pPr>
        <w:pStyle w:val="Normal"/>
      </w:pPr>
      <w:r>
        <w:rPr>
          <w:color w:val="323232"/>
        </w:rPr>
        <w:t xml:space="preserve">Maëlle F Clabots, Elodie Gaillard, and Marcel Aumann.</w:t>
      </w:r>
    </w:p>
    <w:p/>
    <w:p>
      <w:pPr>
        <w:pStyle w:val="Normal"/>
      </w:pPr>
      <w:r>
        <w:rPr>
          <w:color w:val="323232"/>
        </w:rPr>
        <w:t xml:space="preserve">OBJECTIVE:To describe a case of mannitol overdose associated with acute kidney injury (AKI), hypertonic hyponatremia, and neurologic abnormalities in a dog.</w:t>
      </w:r>
    </w:p>
    <w:p/>
    <w:p>
      <w:pPr>
        <w:pStyle w:val="Normal"/>
      </w:pPr>
      <w:r>
        <w:rPr>
          <w:color w:val="323232"/>
        </w:rPr>
        <w:t xml:space="preserve">CASE SUMMARY:A 10-year-old intact male Shiba Inu dog was referred to the emergency service of a veterinary teaching hospital for inappetence and acute onset of seizures. The dog had received 2 IV boluses of 3</w:t>
      </w:r>
      <w:r>
        <w:rPr>
          <w:color w:val="323232"/>
        </w:rPr>
        <w:t xml:space="preserve"> </w:t>
      </w:r>
      <w:r>
        <w:rPr>
          <w:color w:val="323232"/>
        </w:rPr>
        <w:t xml:space="preserve">g/ kg of mannitol in less than 24</w:t>
      </w:r>
      <w:r>
        <w:rPr>
          <w:color w:val="323232"/>
        </w:rPr>
        <w:t xml:space="preserve"> </w:t>
      </w:r>
      <w:r>
        <w:rPr>
          <w:color w:val="323232"/>
        </w:rPr>
        <w:t xml:space="preserve">hours for a glaucoma crisis. Twelve</w:t>
      </w:r>
      <w:r>
        <w:rPr>
          <w:color w:val="323232"/>
        </w:rPr>
        <w:t xml:space="preserve"> </w:t>
      </w:r>
      <w:r>
        <w:rPr>
          <w:color w:val="323232"/>
        </w:rPr>
        <w:t xml:space="preserve">hours after the second injection, the dog became inappetant and developed 2 generalized seizures. Seizure activity was treated with diazepam (0.5</w:t>
      </w:r>
      <w:r>
        <w:rPr>
          <w:color w:val="323232"/>
        </w:rPr>
        <w:t xml:space="preserve"> </w:t>
      </w:r>
      <w:r>
        <w:rPr>
          <w:color w:val="323232"/>
        </w:rPr>
        <w:t xml:space="preserve">mg/ kg IV). Serum biochemistry profile showed severe hyponatremia and hypochloremia, mild hypokalemia, marked increased creatinine (381</w:t>
      </w:r>
      <w:r>
        <w:rPr>
          <w:color w:val="323232"/>
        </w:rPr>
        <w:t xml:space="preserve"> </w:t>
      </w:r>
      <w:r>
        <w:rPr>
          <w:color w:val="323232"/>
        </w:rPr>
        <w:t xml:space="preserve">µmol/ L [44-133</w:t>
      </w:r>
      <w:r>
        <w:rPr>
          <w:color w:val="323232"/>
        </w:rPr>
        <w:t xml:space="preserve"> </w:t>
      </w:r>
      <w:r>
        <w:rPr>
          <w:color w:val="323232"/>
        </w:rPr>
        <w:t xml:space="preserve">µmol/ L]) and moderately increased BUN (13.8</w:t>
      </w:r>
      <w:r>
        <w:rPr>
          <w:color w:val="323232"/>
        </w:rPr>
        <w:t xml:space="preserve"> </w:t>
      </w:r>
      <w:r>
        <w:rPr>
          <w:color w:val="323232"/>
        </w:rPr>
        <w:t xml:space="preserve">mmol/ L [1.6-10.9</w:t>
      </w:r>
      <w:r>
        <w:rPr>
          <w:color w:val="323232"/>
        </w:rPr>
        <w:t xml:space="preserve"> </w:t>
      </w:r>
      <w:r>
        <w:rPr>
          <w:color w:val="323232"/>
        </w:rPr>
        <w:t xml:space="preserve">mmol/ L]). Urinalysis revealed a urine specific gravity of 1.018, glucosuria, proteinuria, pigmenturia and the presence of vacuolized tubular epithelial cells. A presumptive diagnosis of mannitol intoxication was made based on the high dose of mannitol, severe hyponatremia, neurological abnormalities suggestive of intracranial disease, AKI, and urine cytology. Initial calculated plasma osmolality was 263.4</w:t>
      </w:r>
      <w:r>
        <w:rPr>
          <w:color w:val="323232"/>
        </w:rPr>
        <w:t xml:space="preserve"> </w:t>
      </w:r>
      <w:r>
        <w:rPr>
          <w:color w:val="323232"/>
        </w:rPr>
        <w:t xml:space="preserve">mOsm/ kg and measured plasma osmolality was 332</w:t>
      </w:r>
      <w:r>
        <w:rPr>
          <w:color w:val="323232"/>
        </w:rPr>
        <w:t xml:space="preserve"> </w:t>
      </w:r>
      <w:r>
        <w:rPr>
          <w:color w:val="323232"/>
        </w:rPr>
        <w:t xml:space="preserve">mOsm/ kg with an osmolal gap of 68.6</w:t>
      </w:r>
      <w:r>
        <w:rPr>
          <w:color w:val="323232"/>
        </w:rPr>
        <w:t xml:space="preserve"> </w:t>
      </w:r>
      <w:r>
        <w:rPr>
          <w:color w:val="323232"/>
        </w:rPr>
        <w:t xml:space="preserve">mOsm/ kg, confirming the presence of an unmeasured solute attributed to mannitol. Treatment consisted of fluid therapy and supportive care. On day</w:t>
      </w:r>
      <w:r>
        <w:rPr>
          <w:color w:val="323232"/>
        </w:rPr>
        <w:t xml:space="preserve"> </w:t>
      </w:r>
      <w:r>
        <w:rPr>
          <w:color w:val="323232"/>
        </w:rPr>
        <w:t xml:space="preserve">3, osmolal gap had resolved and serum creatinine concentration returned to normal within 12</w:t>
      </w:r>
      <w:r>
        <w:rPr>
          <w:color w:val="323232"/>
        </w:rPr>
        <w:t xml:space="preserve"> </w:t>
      </w:r>
      <w:r>
        <w:rPr>
          <w:color w:val="323232"/>
        </w:rPr>
        <w:t xml:space="preserve">days.</w:t>
      </w:r>
    </w:p>
    <w:p/>
    <w:p>
      <w:pPr>
        <w:pStyle w:val="Normal"/>
      </w:pPr>
      <w:r>
        <w:rPr>
          <w:color w:val="323232"/>
        </w:rPr>
        <w:t xml:space="preserve">NEW OR UNIQUE INFORMATION PROVIDED:Mannitol intoxication has been reported in human medicine. This case report is, to our knowledge, the first to describe AKI, hypertonic hyponatremia, and neurological abnormalities secondary to mannitol overdose in a dog.</w:t>
      </w:r>
    </w:p>
    <w:p/>
    <w:p>
      <w:pPr>
        <w:pStyle w:val="Normal"/>
      </w:pPr>
      <w:r>
        <w:rPr>
          <w:color w:val="323232"/>
        </w:rPr>
        <w:t xml:space="preserve">J Vet Emerg Crit Care (San Antonio), 2019 vol. 29 (6) pp. 680-685.</w:t>
      </w:r>
    </w:p>
    <w:p>
      <w:r>
        <w:rPr>
          <w:rStyle w:val="Hyperlink"/>
        </w:rPr>
        <w:fldChar w:fldCharType="begin"/>
      </w:r>
      <w:r>
        <w:rPr>
          <w:rStyle w:val="Hyperlink"/>
        </w:rPr>
        <w:instrText xml:space="preserve"> HYPERLINK "http://eutils.ncbi.nlm.nih.gov/entrez/eutils/elink.fcgi?dbfrom=pubmed&amp;id=31637833&amp;retmode=ref&amp;cmd=prlinks"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http://eutils.ncbi.nlm.nih.gov/entrez/eutils/elink.fcgi?dbfrom=pubmed&amp;id=31637833&amp;retmode=ref&amp;cmd=prlinks</w:t>
      </w:r>
      <w:r>
        <w:rPr>
          <w:rStyle w:val="Hyperlink"/>
        </w:rPr>
        <w:fldChar w:fldCharType="end"/>
      </w:r>
    </w:p>
    <w:p>
      <w:pPr>
        <w:pStyle w:val="Normal"/>
      </w:pPr>
      <w:r>
        <w:rPr>
          <w:color w:val="323232"/>
        </w:rPr>
        <w:t xml:space="preserve">————————</w:t>
      </w:r>
    </w:p>
    <w:p>
      <w:pPr>
        <w:pStyle w:val="Heading4"/>
      </w:pPr>
      <w:r>
        <w:t xml:space="preserve">Acute mesenteric ischemia-like syndrome associated with suspected Spirocerca lupi aberrant migration in dogs.</w:t>
      </w:r>
    </w:p>
    <w:p/>
    <w:p>
      <w:pPr>
        <w:pStyle w:val="Normal"/>
      </w:pPr>
      <w:r>
        <w:rPr>
          <w:color w:val="323232"/>
        </w:rPr>
        <w:t xml:space="preserve">Omer Lerman, Inbar Israeli, Tomer Weingram, Hadas Benzioni-Bar, Josh Milgram, and Anna Shipov.</w:t>
      </w:r>
    </w:p>
    <w:p/>
    <w:p>
      <w:pPr>
        <w:pStyle w:val="Normal"/>
      </w:pPr>
      <w:r>
        <w:rPr>
          <w:color w:val="323232"/>
        </w:rPr>
        <w:t xml:space="preserve">OBJECTIVE:To describe acute mesenteric infarction due to suspected Spirocerca lupi aberrant migration in 5 dogs.</w:t>
      </w:r>
    </w:p>
    <w:p/>
    <w:p>
      <w:pPr>
        <w:pStyle w:val="Normal"/>
      </w:pPr>
      <w:r>
        <w:rPr>
          <w:color w:val="323232"/>
        </w:rPr>
        <w:t xml:space="preserve">CASE SERIES SUMMARY:All dogs were large breed, none of which exhibited typical clinical signs associated with spirocercosis. All dogs were eventually diagnosed with septic peritonitis. On exploratory laparotomy, thickening of the jejunal arteries, surrounding mesojejunum, and segmental necrosis were identified. Similar thickening and hematoma formation were found in other regions of the mesentery. In 4 of the cases, the necrotic segment was located in the distal jejunum. Histology revealed thrombotic mesenteric vessels with intralesional S. lupi nematode larvae. Resection and anastomosis of the necrosed section was performed and all but 1 dog survived and were discharged within 1-6 days.</w:t>
      </w:r>
    </w:p>
    <w:p/>
    <w:p>
      <w:pPr>
        <w:pStyle w:val="Normal"/>
      </w:pPr>
      <w:r>
        <w:rPr>
          <w:color w:val="323232"/>
        </w:rPr>
        <w:t xml:space="preserve">NEW OR UNIQUE INFORMATION PROVIDED:Spirocerca lupi</w:t>
      </w:r>
      <w:r>
        <w:rPr>
          <w:color w:val="323232"/>
        </w:rPr>
        <w:t xml:space="preserve"> </w:t>
      </w:r>
      <w:r>
        <w:rPr>
          <w:color w:val="323232"/>
        </w:rPr>
        <w:t xml:space="preserve">is a potential cause of mesenteric infarction in endemic areas when no other obvious etiology is identified.</w:t>
      </w:r>
    </w:p>
    <w:p/>
    <w:p>
      <w:pPr>
        <w:pStyle w:val="Normal"/>
      </w:pPr>
      <w:r>
        <w:rPr>
          <w:color w:val="323232"/>
        </w:rPr>
        <w:t xml:space="preserve">J Vet Emerg Crit Care (San Antonio), 2019 vol. 29 (6) pp. 668-673.</w:t>
      </w:r>
    </w:p>
    <w:p>
      <w:r>
        <w:rPr>
          <w:rStyle w:val="Hyperlink"/>
        </w:rPr>
        <w:fldChar w:fldCharType="begin"/>
      </w:r>
      <w:r>
        <w:rPr>
          <w:rStyle w:val="Hyperlink"/>
        </w:rPr>
        <w:instrText xml:space="preserve"> HYPERLINK "http://eutils.ncbi.nlm.nih.gov/entrez/eutils/elink.fcgi?dbfrom=pubmed&amp;id=31701668&amp;retmode=ref&amp;cmd=prlinks"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http://eutils.ncbi.nlm.nih.gov/entrez/eutils/elink.fcgi?dbfrom=pubmed&amp;id=31701668&amp;retmode=ref&amp;cmd=prlinks</w:t>
      </w:r>
      <w:r>
        <w:rPr>
          <w:rStyle w:val="Hyperlink"/>
        </w:rPr>
        <w:fldChar w:fldCharType="end"/>
      </w:r>
    </w:p>
    <w:p>
      <w:pPr>
        <w:pStyle w:val="Normal"/>
      </w:pPr>
      <w:r>
        <w:rPr>
          <w:color w:val="323232"/>
        </w:rPr>
        <w:t xml:space="preserve">————————</w:t>
      </w:r>
    </w:p>
    <w:p>
      <w:pPr>
        <w:pStyle w:val="Heading4"/>
      </w:pPr>
      <w:r>
        <w:t xml:space="preserve">Caval-aortic ratio and caudal vena cava diameter in dogs before and after blood donation.</w:t>
      </w:r>
    </w:p>
    <w:p/>
    <w:p>
      <w:pPr>
        <w:pStyle w:val="Normal"/>
      </w:pPr>
      <w:r>
        <w:rPr>
          <w:color w:val="323232"/>
        </w:rPr>
        <w:t xml:space="preserve">Vicente J Herreria-Bustillo, Ella Fitzgerald, and Karen R Humm.</w:t>
      </w:r>
    </w:p>
    <w:p/>
    <w:p>
      <w:pPr>
        <w:pStyle w:val="Normal"/>
      </w:pPr>
      <w:r>
        <w:rPr>
          <w:color w:val="323232"/>
        </w:rPr>
        <w:t xml:space="preserve">OBJECTIVE:To investigate whether the donation of 1 unit of blood results in a significant decrease in the caudal vena cava diameter (CVCd) and the caudal vena cava diameter to aortic diameter (CVCd:Aod) ratio measured at the iliac location.</w:t>
      </w:r>
    </w:p>
    <w:p/>
    <w:p>
      <w:pPr>
        <w:pStyle w:val="Normal"/>
      </w:pPr>
      <w:r>
        <w:rPr>
          <w:color w:val="323232"/>
        </w:rPr>
        <w:t xml:space="preserve">INTERVENTIONS:Eight healthy client-owned Greyhounds underwent ultrasound of their caudal vena cava and aorta before and after blood donation. The principal investigator obtained M-mode images of the blood vessels from all dogs and a secondary investigator measured the CVCd and aortic diameter in a blinded manner from stored images. The ratio of CVCd:Aod was then calculated. After assessing for normality, paired-sample t-tests were performed to compare mean values before and after donation.</w:t>
      </w:r>
    </w:p>
    <w:p/>
    <w:p>
      <w:pPr>
        <w:pStyle w:val="Normal"/>
      </w:pPr>
      <w:r>
        <w:rPr>
          <w:color w:val="323232"/>
        </w:rPr>
        <w:t xml:space="preserve">MAIN RESULTS:The mean (±SD) CVCd before and after blood donation were 15.84 mm (±5.06 mm) and 15.82 mm (±5.42 mm) and the CVCd:Aod ratios were 0.93 (±0.23) and 1.00 (±0.27), respectively. There was no statistical difference between pre- and postdonation values for CVCd (P</w:t>
      </w:r>
      <w:r>
        <w:rPr>
          <w:color w:val="323232"/>
        </w:rPr>
        <w:t xml:space="preserve"> </w:t>
      </w:r>
      <w:r>
        <w:rPr>
          <w:color w:val="323232"/>
        </w:rPr>
        <w:t xml:space="preserve">=</w:t>
      </w:r>
      <w:r>
        <w:rPr>
          <w:color w:val="323232"/>
        </w:rPr>
        <w:t xml:space="preserve"> </w:t>
      </w:r>
      <w:r>
        <w:rPr>
          <w:color w:val="323232"/>
        </w:rPr>
        <w:t xml:space="preserve">0.99) or CVCd:Aod (P</w:t>
      </w:r>
      <w:r>
        <w:rPr>
          <w:color w:val="323232"/>
        </w:rPr>
        <w:t xml:space="preserve"> </w:t>
      </w:r>
      <w:r>
        <w:rPr>
          <w:color w:val="323232"/>
        </w:rPr>
        <w:t xml:space="preserve">=</w:t>
      </w:r>
      <w:r>
        <w:rPr>
          <w:color w:val="323232"/>
        </w:rPr>
        <w:t xml:space="preserve"> </w:t>
      </w:r>
      <w:r>
        <w:rPr>
          <w:color w:val="323232"/>
        </w:rPr>
        <w:t xml:space="preserve">0.34).</w:t>
      </w:r>
    </w:p>
    <w:p/>
    <w:p>
      <w:pPr>
        <w:pStyle w:val="Normal"/>
      </w:pPr>
      <w:r>
        <w:rPr>
          <w:color w:val="323232"/>
        </w:rPr>
        <w:t xml:space="preserve">CONCLUSION:The measurement of CVCd and CVCd:Aod ratio with ultrasound at the iliac location failed to detect mild-to-moderate blood loss produced by the donation of 1 unit of blood in Greyhounds.</w:t>
      </w:r>
    </w:p>
    <w:p/>
    <w:p>
      <w:pPr>
        <w:pStyle w:val="Normal"/>
      </w:pPr>
      <w:r>
        <w:rPr>
          <w:color w:val="323232"/>
        </w:rPr>
        <w:t xml:space="preserve">J Vet Emerg Crit Care (San Antonio), 2019 vol. 29 (6) pp. 643-646.</w:t>
      </w:r>
    </w:p>
    <w:p>
      <w:r>
        <w:rPr>
          <w:rStyle w:val="Hyperlink"/>
        </w:rPr>
        <w:fldChar w:fldCharType="begin"/>
      </w:r>
      <w:r>
        <w:rPr>
          <w:rStyle w:val="Hyperlink"/>
        </w:rPr>
        <w:instrText xml:space="preserve"> HYPERLINK "http://eutils.ncbi.nlm.nih.gov/entrez/eutils/elink.fcgi?dbfrom=pubmed&amp;id=31625668&amp;retmode=ref&amp;cmd=prlinks"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http://eutils.ncbi.nlm.nih.gov/entrez/eutils/elink.fcgi?dbfrom=pubmed&amp;id=31625668&amp;retmode=ref&amp;cmd=prlinks</w:t>
      </w:r>
      <w:r>
        <w:rPr>
          <w:rStyle w:val="Hyperlink"/>
        </w:rPr>
        <w:fldChar w:fldCharType="end"/>
      </w:r>
    </w:p>
    <w:p>
      <w:pPr>
        <w:pStyle w:val="Normal"/>
      </w:pPr>
      <w:r>
        <w:rPr>
          <w:color w:val="323232"/>
        </w:rPr>
        <w:t xml:space="preserve">————————</w:t>
      </w:r>
    </w:p>
    <w:p>
      <w:pPr>
        <w:pStyle w:val="Heading4"/>
      </w:pPr>
      <w:r>
        <w:t xml:space="preserve">Effect of peritoneal lavage on bacterial isolates in 40 dogs with confirmed septic peritonitis.</w:t>
      </w:r>
    </w:p>
    <w:p/>
    <w:p>
      <w:pPr>
        <w:pStyle w:val="Normal"/>
      </w:pPr>
      <w:r>
        <w:rPr>
          <w:color w:val="323232"/>
        </w:rPr>
        <w:t xml:space="preserve">Hannah Marshall, Virginia Sinnott-Stutzman, Patty Ewing, Kiko Bracker, Russell Kalis, and Roxanna Khorzad.</w:t>
      </w:r>
    </w:p>
    <w:p/>
    <w:p>
      <w:pPr>
        <w:pStyle w:val="Normal"/>
      </w:pPr>
      <w:r>
        <w:rPr>
          <w:color w:val="323232"/>
        </w:rPr>
        <w:t xml:space="preserve">OBJECTIVE:To evaluate bacterial isolates, antimicrobial drug susceptibility, and change in resistance among pre- and post-lavage culture samples in dogs with septic peritonitis.</w:t>
      </w:r>
    </w:p>
    <w:p/>
    <w:p>
      <w:pPr>
        <w:pStyle w:val="Normal"/>
      </w:pPr>
      <w:r>
        <w:rPr>
          <w:color w:val="323232"/>
        </w:rPr>
        <w:t xml:space="preserve">DESIGN:Prospective observational study.</w:t>
      </w:r>
    </w:p>
    <w:p/>
    <w:p>
      <w:pPr>
        <w:pStyle w:val="Normal"/>
      </w:pPr>
      <w:r>
        <w:rPr>
          <w:color w:val="323232"/>
        </w:rPr>
        <w:t xml:space="preserve">SETTING:Private practice referral hospital.</w:t>
      </w:r>
    </w:p>
    <w:p/>
    <w:p>
      <w:pPr>
        <w:pStyle w:val="Normal"/>
      </w:pPr>
      <w:r>
        <w:rPr>
          <w:color w:val="323232"/>
        </w:rPr>
        <w:t xml:space="preserve">ANIMALS:Forty client-owned dogs with confirmed septic peritonitis requiring surgical intervention.</w:t>
      </w:r>
    </w:p>
    <w:p/>
    <w:p>
      <w:pPr>
        <w:pStyle w:val="Normal"/>
      </w:pPr>
      <w:r>
        <w:rPr>
          <w:color w:val="323232"/>
        </w:rPr>
        <w:t xml:space="preserve">INTERVENTIONS:All dogs had perioperative abdominal lavage following source control with 200 to 300 mL/kg 0.9% sterile saline. Pre- and post-lavage aerobic and anaerobic culture samples were evaluated.</w:t>
      </w:r>
    </w:p>
    <w:p/>
    <w:p>
      <w:pPr>
        <w:pStyle w:val="Normal"/>
      </w:pPr>
      <w:r>
        <w:rPr>
          <w:color w:val="323232"/>
        </w:rPr>
        <w:t xml:space="preserve">MEASUREMENTS AND MAIN RESULTS:Thirty-five of 40 dogs (87.5%) survived to hospital discharge. The likelihood of an aerobic organism to have multidrug resistance (resistance to 3 or more antimicrobial classes) post-lavage was a third of that pre-lavage (odds ratio [OR] 0.34, 95% CI [0.17-0.68], P</w:t>
      </w:r>
      <w:r>
        <w:rPr>
          <w:color w:val="323232"/>
        </w:rPr>
        <w:t xml:space="preserve"> </w:t>
      </w:r>
      <w:r>
        <w:rPr>
          <w:color w:val="323232"/>
        </w:rPr>
        <w:t xml:space="preserve">=</w:t>
      </w:r>
      <w:r>
        <w:rPr>
          <w:color w:val="323232"/>
        </w:rPr>
        <w:t xml:space="preserve"> </w:t>
      </w:r>
      <w:r>
        <w:rPr>
          <w:color w:val="323232"/>
        </w:rPr>
        <w:t xml:space="preserve">0.01). Thirty-nine of 40 dogs (97.5%) received appropriate empiric antimicrobial therapy based on pre- and post-lavage culture results, of which 5 (12.8%) did not survive to discharge. The single dog with inappropriate antimicrobial therapy survived to discharge. The most frequent isolates detected included Escherichia coli, Clostridium perfringens, and Enterococcus faecalis. The same organism based on species was isolated in pre- and post-lavage cultures in 32 dogs, accounting for 59 anaerobic and aerobic isolates. There was a new bacterial isolate detected in 20 dogs, accounting for 46 isolates and an overall total decrease of 14 isolates between pre- and post-lavage culture (P</w:t>
      </w:r>
      <w:r>
        <w:rPr>
          <w:color w:val="323232"/>
        </w:rPr>
        <w:t xml:space="preserve"> </w:t>
      </w:r>
      <w:r>
        <w:rPr>
          <w:color w:val="323232"/>
        </w:rPr>
        <w:t xml:space="preserve">=</w:t>
      </w:r>
      <w:r>
        <w:rPr>
          <w:color w:val="323232"/>
        </w:rPr>
        <w:t xml:space="preserve"> </w:t>
      </w:r>
      <w:r>
        <w:rPr>
          <w:color w:val="323232"/>
        </w:rPr>
        <w:t xml:space="preserve">0.09).</w:t>
      </w:r>
    </w:p>
    <w:p/>
    <w:p>
      <w:pPr>
        <w:pStyle w:val="Normal"/>
      </w:pPr>
      <w:r>
        <w:rPr>
          <w:color w:val="323232"/>
        </w:rPr>
        <w:t xml:space="preserve">CONCLUSIONS:This study suggests that there is a significant decrease in the likelihood of isolating a multidrug resistant organism following peritoneal lavage, and aerobic and anaerobic culture results have the potential to change following peritoneal lavage, although this cannot be confirmed without further studies. Overall survival rates were higher than previously reported in the literature for septic peritonitis.</w:t>
      </w:r>
    </w:p>
    <w:p/>
    <w:p>
      <w:pPr>
        <w:pStyle w:val="Normal"/>
      </w:pPr>
      <w:r>
        <w:rPr>
          <w:color w:val="323232"/>
        </w:rPr>
        <w:t xml:space="preserve">J Vet Emerg Crit Care (San Antonio), 2019 vol. 29 (6) pp. 635-642.</w:t>
      </w:r>
    </w:p>
    <w:p>
      <w:r>
        <w:rPr>
          <w:rStyle w:val="Hyperlink"/>
        </w:rPr>
        <w:fldChar w:fldCharType="begin"/>
      </w:r>
      <w:r>
        <w:rPr>
          <w:rStyle w:val="Hyperlink"/>
        </w:rPr>
        <w:instrText xml:space="preserve"> HYPERLINK "http://eutils.ncbi.nlm.nih.gov/entrez/eutils/elink.fcgi?dbfrom=pubmed&amp;id=31637851&amp;retmode=ref&amp;cmd=prlinks"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http://eutils.ncbi.nlm.nih.gov/entrez/eutils/elink.fcgi?dbfrom=pubmed&amp;id=31637851&amp;retmode=ref&amp;cmd=prlinks</w:t>
      </w:r>
      <w:r>
        <w:rPr>
          <w:rStyle w:val="Hyperlink"/>
        </w:rPr>
        <w:fldChar w:fldCharType="end"/>
      </w:r>
    </w:p>
    <w:p>
      <w:pPr>
        <w:pStyle w:val="Normal"/>
      </w:pPr>
      <w:r>
        <w:rPr>
          <w:color w:val="323232"/>
        </w:rPr>
        <w:t xml:space="preserve">————————</w:t>
      </w:r>
    </w:p>
    <w:p>
      <w:pPr>
        <w:pStyle w:val="Heading4"/>
      </w:pPr>
      <w:r>
        <w:t xml:space="preserve">Effect of single dose administration activated charcoal containing sorbitol on serum sodium concentration and hydration status in dogs.</w:t>
      </w:r>
    </w:p>
    <w:p/>
    <w:p>
      <w:pPr>
        <w:pStyle w:val="Normal"/>
      </w:pPr>
      <w:r>
        <w:rPr>
          <w:color w:val="323232"/>
        </w:rPr>
        <w:t xml:space="preserve">Katherine A Mix, Jennifer Stafford, and Erik Hofmeister.</w:t>
      </w:r>
    </w:p>
    <w:p/>
    <w:p>
      <w:pPr>
        <w:pStyle w:val="Normal"/>
      </w:pPr>
      <w:r>
        <w:rPr>
          <w:color w:val="323232"/>
        </w:rPr>
        <w:t xml:space="preserve">OBJECTIVE:To assess the administration of a commercially available activated charcoal suspension with sorbitol (ACS) on serum sodium concentrations and hydration status in healthy dogs.</w:t>
      </w:r>
    </w:p>
    <w:p/>
    <w:p>
      <w:pPr>
        <w:pStyle w:val="Normal"/>
      </w:pPr>
      <w:r>
        <w:rPr>
          <w:color w:val="323232"/>
        </w:rPr>
        <w:t xml:space="preserve">DESIGN:Prospective study.</w:t>
      </w:r>
    </w:p>
    <w:p/>
    <w:p>
      <w:pPr>
        <w:pStyle w:val="Normal"/>
      </w:pPr>
      <w:r>
        <w:rPr>
          <w:color w:val="323232"/>
        </w:rPr>
        <w:t xml:space="preserve">SETTING:Private referral hospital.</w:t>
      </w:r>
    </w:p>
    <w:p/>
    <w:p>
      <w:pPr>
        <w:pStyle w:val="Normal"/>
      </w:pPr>
      <w:r>
        <w:rPr>
          <w:color w:val="323232"/>
        </w:rPr>
        <w:t xml:space="preserve">ANIMALS:Nine healthy adult dogs.</w:t>
      </w:r>
    </w:p>
    <w:p/>
    <w:p>
      <w:pPr>
        <w:pStyle w:val="Normal"/>
      </w:pPr>
      <w:r>
        <w:rPr>
          <w:color w:val="323232"/>
        </w:rPr>
        <w:t xml:space="preserve">INTERVENTIONS:Dogs were administered 1 mg/ kg maropitant (Cerenia; Pfizer Animal Health, New York, NY) intravenously 1 hour prior to charcoal administration. Dogs were administered a single dose of 2</w:t>
      </w:r>
      <w:r>
        <w:rPr>
          <w:color w:val="323232"/>
        </w:rPr>
        <w:t xml:space="preserve"> </w:t>
      </w:r>
      <w:r>
        <w:rPr>
          <w:color w:val="323232"/>
        </w:rPr>
        <w:t xml:space="preserve">g/ kg ACS.</w:t>
      </w:r>
    </w:p>
    <w:p/>
    <w:p>
      <w:pPr>
        <w:pStyle w:val="Normal"/>
      </w:pPr>
      <w:r>
        <w:rPr>
          <w:color w:val="323232"/>
        </w:rPr>
        <w:t xml:space="preserve">MEASUREMENTS AND MAIN RESULTS:Blood samples and body weights were obtained prior to charcoal administration and 2, 4, 6, 8, 10, and 12 hours post ACS administration. Venous sodium, potassium, chloride, blood urea nitrogen, creatinine, lactate, packed cell volume, and total plasma protein were measured at each time interval. All dogs returned 2-4 weeks after ACS administration for a 12 hour period of water restriction and to serve as their own control group. The same measurements were repeated during water restriction period as following ACS administration. The increase in serum sodium concentration was significantly higher following ACS administration when compared to control period (P = 0.0002). All dogs administered ACS experienced a significant degree of weight loss (P = 0.0371) when compared to the control period. Following administration of ACS, the hematocrit of the dogs administered ACS was found to be significantly increased (P = 0.0001), when compared to the control period.</w:t>
      </w:r>
    </w:p>
    <w:p/>
    <w:p>
      <w:pPr>
        <w:pStyle w:val="Normal"/>
      </w:pPr>
      <w:r>
        <w:rPr>
          <w:color w:val="323232"/>
        </w:rPr>
        <w:t xml:space="preserve">CONCLUSION:Patients that are administered a single dose of ACS are at risk of developing dehydration and secondary hypernatremia as observed in the dogs during the study period. Patients receiving ACS should have electrolytes monitored and would benefit from fluid therapy as previously recommended.</w:t>
      </w:r>
    </w:p>
    <w:p/>
    <w:p>
      <w:pPr>
        <w:pStyle w:val="Normal"/>
      </w:pPr>
      <w:r>
        <w:rPr>
          <w:color w:val="323232"/>
        </w:rPr>
        <w:t xml:space="preserve">J Vet Emerg Crit Care (San Antonio), 2019 vol. 29 (6) pp. 616-621.</w:t>
      </w:r>
    </w:p>
    <w:p>
      <w:r>
        <w:rPr>
          <w:rStyle w:val="Hyperlink"/>
        </w:rPr>
        <w:fldChar w:fldCharType="begin"/>
      </w:r>
      <w:r>
        <w:rPr>
          <w:rStyle w:val="Hyperlink"/>
        </w:rPr>
        <w:instrText xml:space="preserve"> HYPERLINK "http://eutils.ncbi.nlm.nih.gov/entrez/eutils/elink.fcgi?dbfrom=pubmed&amp;id=31468696&amp;retmode=ref&amp;cmd=prlinks"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http://eutils.ncbi.nlm.nih.gov/entrez/eutils/elink.fcgi?dbfrom=pubmed&amp;id=31468696&amp;retmode=ref&amp;cmd=prlinks</w:t>
      </w:r>
      <w:r>
        <w:rPr>
          <w:rStyle w:val="Hyperlink"/>
        </w:rPr>
        <w:fldChar w:fldCharType="end"/>
      </w:r>
    </w:p>
    <w:p>
      <w:pPr>
        <w:pStyle w:val="Normal"/>
      </w:pPr>
      <w:r>
        <w:rPr>
          <w:color w:val="323232"/>
        </w:rPr>
        <w:t xml:space="preserve">————————</w:t>
      </w:r>
    </w:p>
    <w:p>
      <w:pPr>
        <w:pStyle w:val="Heading4"/>
      </w:pPr>
      <w:r>
        <w:t xml:space="preserve">Evaluation of pulse oximetry as a surrogate for PaO2 in awake dogs breathing room air and anesthetized dogs on mechanical ventilation.</w:t>
      </w:r>
    </w:p>
    <w:p/>
    <w:p>
      <w:pPr>
        <w:pStyle w:val="Normal"/>
      </w:pPr>
      <w:r>
        <w:rPr>
          <w:color w:val="323232"/>
        </w:rPr>
        <w:t xml:space="preserve">Kate S Farrell, Kate Hopper, Laura A Cagle, and Steven E Epstein.</w:t>
      </w:r>
    </w:p>
    <w:p/>
    <w:p>
      <w:pPr>
        <w:pStyle w:val="Normal"/>
      </w:pPr>
      <w:r>
        <w:rPr>
          <w:color w:val="323232"/>
        </w:rPr>
        <w:t xml:space="preserve">OBJECTIVE:To evaluate the ability of arterial hemoglobin oxygen saturation measurement via pulse oximetry (SpO2 ) to serve as a surrogate for PaO2 in dogs.</w:t>
      </w:r>
    </w:p>
    <w:p/>
    <w:p>
      <w:pPr>
        <w:pStyle w:val="Normal"/>
      </w:pPr>
      <w:r>
        <w:rPr>
          <w:color w:val="323232"/>
        </w:rPr>
        <w:t xml:space="preserve">DESIGN:Two-part study: prospective observational and retrospective components.</w:t>
      </w:r>
    </w:p>
    <w:p/>
    <w:p>
      <w:pPr>
        <w:pStyle w:val="Normal"/>
      </w:pPr>
      <w:r>
        <w:rPr>
          <w:color w:val="323232"/>
        </w:rPr>
        <w:t xml:space="preserve">SETTING:University teaching hospital.</w:t>
      </w:r>
    </w:p>
    <w:p/>
    <w:p>
      <w:pPr>
        <w:pStyle w:val="Normal"/>
      </w:pPr>
      <w:r>
        <w:rPr>
          <w:color w:val="323232"/>
        </w:rPr>
        <w:t xml:space="preserve">ANIMALS:Ninety-two dogs breathing room air prospectively enrolled on a convenience basis. Retrospective evaluation of 1,033 paired SpO2 and PaO2 measurements from 62 dogs on mechanical ventilation.</w:t>
      </w:r>
    </w:p>
    <w:p/>
    <w:p>
      <w:pPr>
        <w:pStyle w:val="Normal"/>
      </w:pPr>
      <w:r>
        <w:rPr>
          <w:color w:val="323232"/>
        </w:rPr>
        <w:t xml:space="preserve">INTERVENTIONS:Dogs with concurrent SpO2 and PaO2 measured on room air had a data sheet completed with blood gas analysis. SpO2 , PaO2 , and FiO2 values were collected from medical records of dogs on mechanical ventilation.</w:t>
      </w:r>
    </w:p>
    <w:p/>
    <w:p>
      <w:pPr>
        <w:pStyle w:val="Normal"/>
      </w:pPr>
      <w:r>
        <w:rPr>
          <w:color w:val="323232"/>
        </w:rPr>
        <w:t xml:space="preserve">MEASUREMENTS AND MAIN RESULTS:Predicted PaO2 was calculated from SpO2 using the dog oxyhemoglobin dissociation curve. The correlation coefficient between measured and predicted PaO2 was 0.49 (P</w:t>
      </w:r>
      <w:r>
        <w:rPr>
          <w:color w:val="323232"/>
        </w:rPr>
        <w:t xml:space="preserve"> </w:t>
      </w:r>
      <w:r>
        <w:rPr>
          <w:color w:val="323232"/>
        </w:rPr>
        <w:t xml:space="preserve">&lt;</w:t>
      </w:r>
      <w:r>
        <w:rPr>
          <w:color w:val="323232"/>
        </w:rPr>
        <w:t xml:space="preserve"> </w:t>
      </w:r>
      <w:r>
        <w:rPr>
          <w:color w:val="323232"/>
        </w:rPr>
        <w:t xml:space="preserve">0.0001) in room air dogs and 0.74 (P</w:t>
      </w:r>
      <w:r>
        <w:rPr>
          <w:color w:val="323232"/>
        </w:rPr>
        <w:t xml:space="preserve"> </w:t>
      </w:r>
      <w:r>
        <w:rPr>
          <w:color w:val="323232"/>
        </w:rPr>
        <w:t xml:space="preserve">&lt;</w:t>
      </w:r>
      <w:r>
        <w:rPr>
          <w:color w:val="323232"/>
        </w:rPr>
        <w:t xml:space="preserve"> </w:t>
      </w:r>
      <w:r>
        <w:rPr>
          <w:color w:val="323232"/>
        </w:rPr>
        <w:t xml:space="preserve">0.0001) in ventilated dogs. In room air dogs, Bland-Altman analysis between measured minus predicted PaO2 versus the average showed a mean bias of -6.0 mm Hg (95% limit of agreement, -35 to 23 mm Hg). The correlation coefficient between PaO2 /FiO2 and SpO2 /FiO2 ratios was 0.76 (P</w:t>
      </w:r>
      <w:r>
        <w:rPr>
          <w:color w:val="323232"/>
        </w:rPr>
        <w:t xml:space="preserve"> </w:t>
      </w:r>
      <w:r>
        <w:rPr>
          <w:color w:val="323232"/>
        </w:rPr>
        <w:t xml:space="preserve">&lt;</w:t>
      </w:r>
      <w:r>
        <w:rPr>
          <w:color w:val="323232"/>
        </w:rPr>
        <w:t xml:space="preserve"> </w:t>
      </w:r>
      <w:r>
        <w:rPr>
          <w:color w:val="323232"/>
        </w:rPr>
        <w:t xml:space="preserve">0.0001). After combining data sets, receiver operating characteristic curve analysis showed the optimal cutoff value for detecting hypoxemia (PaO2 </w:t>
      </w:r>
      <w:r>
        <w:rPr>
          <w:color w:val="323232"/>
        </w:rPr>
        <w:t xml:space="preserve"> </w:t>
      </w:r>
      <w:r>
        <w:rPr>
          <w:color w:val="323232"/>
        </w:rPr>
        <w:t xml:space="preserve">&lt;</w:t>
      </w:r>
      <w:r>
        <w:rPr>
          <w:color w:val="323232"/>
        </w:rPr>
        <w:t xml:space="preserve"> </w:t>
      </w:r>
      <w:r>
        <w:rPr>
          <w:color w:val="323232"/>
        </w:rPr>
        <w:t xml:space="preserve">80 mm Hg) was an SpO2 of 95%, with sensitivity and specificity of 77.8% and 89.5%, respectively. Using this cutoff, 6.9% of SpO2 readings failed to detect hypoxemia, whereas 7.2% predicted hypoxemia that was not present.</w:t>
      </w:r>
    </w:p>
    <w:p/>
    <w:p>
      <w:pPr>
        <w:pStyle w:val="Normal"/>
      </w:pPr>
      <w:r>
        <w:rPr>
          <w:color w:val="323232"/>
        </w:rPr>
        <w:t xml:space="preserve">CONCLUSIONS:The SpO2 was not clinically suitable as a surrogate for PaO2 , though it performed better in mechanically ventilated dogs. As sensitivity for the detection of hypoxemia was poor, pulse oximetry does not appear to be an acceptable screening test. The SpO2 /FiO2 ratio may have value for evaluation of anesthetized dogs on supplemental oxygen. Arterial blood gas analysis remains ideal for assessment of oxygenation.</w:t>
      </w:r>
    </w:p>
    <w:p/>
    <w:p>
      <w:pPr>
        <w:pStyle w:val="Normal"/>
      </w:pPr>
      <w:r>
        <w:rPr>
          <w:color w:val="323232"/>
        </w:rPr>
        <w:t xml:space="preserve">J Vet Emerg Crit Care (San Antonio), 2019 vol. 29 (6) pp. 622-629.</w:t>
      </w:r>
    </w:p>
    <w:p>
      <w:r>
        <w:rPr>
          <w:rStyle w:val="Hyperlink"/>
        </w:rPr>
        <w:fldChar w:fldCharType="begin"/>
      </w:r>
      <w:r>
        <w:rPr>
          <w:rStyle w:val="Hyperlink"/>
        </w:rPr>
        <w:instrText xml:space="preserve"> HYPERLINK "http://eutils.ncbi.nlm.nih.gov/entrez/eutils/elink.fcgi?dbfrom=pubmed&amp;id=31625687&amp;retmode=ref&amp;cmd=prlinks"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http://eutils.ncbi.nlm.nih.gov/entrez/eutils/elink.fcgi?dbfrom=pubmed&amp;id=31625687&amp;retmode=ref&amp;cmd=prlinks</w:t>
      </w:r>
      <w:r>
        <w:rPr>
          <w:rStyle w:val="Hyperlink"/>
        </w:rPr>
        <w:fldChar w:fldCharType="end"/>
      </w:r>
    </w:p>
    <w:p>
      <w:pPr>
        <w:pStyle w:val="Normal"/>
      </w:pPr>
      <w:r>
        <w:rPr>
          <w:color w:val="323232"/>
        </w:rPr>
        <w:t xml:space="preserve">————————</w:t>
      </w:r>
    </w:p>
    <w:p>
      <w:pPr>
        <w:pStyle w:val="Heading4"/>
      </w:pPr>
      <w:r>
        <w:t xml:space="preserve">Evaluation of serum 25-hydroxyvitamin D concentrations in a heterogeneous canine ICU population.</w:t>
      </w:r>
    </w:p>
    <w:p/>
    <w:p>
      <w:pPr>
        <w:pStyle w:val="Normal"/>
      </w:pPr>
      <w:r>
        <w:rPr>
          <w:color w:val="323232"/>
        </w:rPr>
        <w:t xml:space="preserve">Dava M Cazzolli, Jennifer E Prittie, Philip R Fox, and Ken Lamb.</w:t>
      </w:r>
    </w:p>
    <w:p/>
    <w:p>
      <w:pPr>
        <w:pStyle w:val="Normal"/>
      </w:pPr>
      <w:r>
        <w:rPr>
          <w:color w:val="323232"/>
        </w:rPr>
        <w:t xml:space="preserve">OBJECTIVE:To identify the prevalence of low serum 25-hydroxyvitamin D (25-OH-D) concentrations in critically ill dogs and determine whether vitamin D concentration measured at admission correlates with illness severity and patient outcome.</w:t>
      </w:r>
    </w:p>
    <w:p/>
    <w:p>
      <w:pPr>
        <w:pStyle w:val="Normal"/>
      </w:pPr>
      <w:r>
        <w:rPr>
          <w:color w:val="323232"/>
        </w:rPr>
        <w:t xml:space="preserve">DESIGN:Prospective observational study from December 2013 to July 2014.</w:t>
      </w:r>
    </w:p>
    <w:p/>
    <w:p>
      <w:pPr>
        <w:pStyle w:val="Normal"/>
      </w:pPr>
      <w:r>
        <w:rPr>
          <w:color w:val="323232"/>
        </w:rPr>
        <w:t xml:space="preserve">SETTING:Private referral teaching hospital ICU.</w:t>
      </w:r>
    </w:p>
    <w:p/>
    <w:p>
      <w:pPr>
        <w:pStyle w:val="Normal"/>
      </w:pPr>
      <w:r>
        <w:rPr>
          <w:color w:val="323232"/>
        </w:rPr>
        <w:t xml:space="preserve">ANIMALS:One hundred eleven critically ill dogs admitted to the ICU, and 28 apparently healthy control dogs.</w:t>
      </w:r>
    </w:p>
    <w:p/>
    <w:p>
      <w:pPr>
        <w:pStyle w:val="Normal"/>
      </w:pPr>
      <w:r>
        <w:rPr>
          <w:color w:val="323232"/>
        </w:rPr>
        <w:t xml:space="preserve">INTERVENTIONS:Measurement of 25-OH-D concentration and assessment of physiological parameters required to calculate illness severity scores.</w:t>
      </w:r>
    </w:p>
    <w:p/>
    <w:p>
      <w:pPr>
        <w:pStyle w:val="Normal"/>
      </w:pPr>
      <w:r>
        <w:rPr>
          <w:color w:val="323232"/>
        </w:rPr>
        <w:t xml:space="preserve">MEASUREMENTS AND MAIN RESULTS:Blood was sampled to measure serum 25-OH-D concentration, point-of-care laboratory data (packed cell volume, total plasma protein, venous blood gas, electrolytes, plasma lactate, and blood glucose concentration), platelet count, and serum albumin within 12 hours of admission. Primary disease etiologies were determined. Mentation score, Acute Patient Physiologic and Laboratory Evaluation (APPLE) fast score, length of ICU hospitalization, and survival to discharge were recorded. Low serum 25-OH-D concentrations were detected in 25% (28/111) of the ICU cohort; 25-OH-D concentrations (median; IQR) (89.2; 26.3 ng/ mL [222; 140.0 nmol/ L]) were significantly lower in hospitalized dogs compared with the healthy cohort (127.5; 44.5 ng/ mL [318; 111.0 nmol/ L]) (P &lt; 0.0001). Serum 25-OH-D concentrations had a weak positive correlation with albumin (r = 0.34, P = 0.0003), but not with any other blood analyte evaluated. Serum concentration of 25-OH-D was also weakly correlated with APPLEfast score (r = 0.31, P = 0.001). 25-OH-D concentrations (median; IQR) were significantly higher in ICU dogs that survived to discharge (95.5; 55 ng/ mL [238; 137 nmol/ L]) compared with nonsurvivors (60.0; 54 ng/ mL [149; 135 nmol/ L]; P &lt; 0.001).</w:t>
      </w:r>
    </w:p>
    <w:p/>
    <w:p>
      <w:pPr>
        <w:pStyle w:val="Normal"/>
      </w:pPr>
      <w:r>
        <w:rPr>
          <w:color w:val="323232"/>
        </w:rPr>
        <w:t xml:space="preserve">CONCLUSIONS:Low serum 25-OH-D was recorded in one-quarter of critically ill dogs, and was significantly lower in nonsurvivors in comparison to survivors. There was weak correlation between serum 25-OH-D and illness severity. Further studies are required to clarify relationships between vitamin D status and outcome.</w:t>
      </w:r>
    </w:p>
    <w:p/>
    <w:p>
      <w:pPr>
        <w:pStyle w:val="Normal"/>
      </w:pPr>
      <w:r>
        <w:rPr>
          <w:color w:val="323232"/>
        </w:rPr>
        <w:t xml:space="preserve">J Vet Emerg Crit Care (San Antonio), 2019 vol. 29 (6) pp. 605-610.</w:t>
      </w:r>
    </w:p>
    <w:p>
      <w:r>
        <w:rPr>
          <w:rStyle w:val="Hyperlink"/>
        </w:rPr>
        <w:fldChar w:fldCharType="begin"/>
      </w:r>
      <w:r>
        <w:rPr>
          <w:rStyle w:val="Hyperlink"/>
        </w:rPr>
        <w:instrText xml:space="preserve"> HYPERLINK "http://eutils.ncbi.nlm.nih.gov/entrez/eutils/elink.fcgi?dbfrom=pubmed&amp;id=31637855&amp;retmode=ref&amp;cmd=prlinks"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http://eutils.ncbi.nlm.nih.gov/entrez/eutils/elink.fcgi?dbfrom=pubmed&amp;id=31637855&amp;retmode=ref&amp;cmd=prlinks</w:t>
      </w:r>
      <w:r>
        <w:rPr>
          <w:rStyle w:val="Hyperlink"/>
        </w:rPr>
        <w:fldChar w:fldCharType="end"/>
      </w:r>
    </w:p>
    <w:p>
      <w:pPr>
        <w:pStyle w:val="Normal"/>
      </w:pPr>
      <w:r>
        <w:rPr>
          <w:color w:val="323232"/>
        </w:rPr>
        <w:t xml:space="preserve">————————</w:t>
      </w:r>
    </w:p>
    <w:p>
      <w:pPr>
        <w:pStyle w:val="Heading4"/>
      </w:pPr>
      <w:r>
        <w:t xml:space="preserve">Evaluation of the host cytokine response in dogs with sepsis and noninfectious systemic inflammatory response syndrome.</w:t>
      </w:r>
    </w:p>
    <w:p/>
    <w:p>
      <w:pPr>
        <w:pStyle w:val="Normal"/>
      </w:pPr>
      <w:r>
        <w:rPr>
          <w:color w:val="323232"/>
        </w:rPr>
        <w:t xml:space="preserve">Robert Goggs and Jo-Annie Letendre.</w:t>
      </w:r>
    </w:p>
    <w:p/>
    <w:p>
      <w:pPr>
        <w:pStyle w:val="Normal"/>
      </w:pPr>
      <w:r>
        <w:rPr>
          <w:color w:val="323232"/>
        </w:rPr>
        <w:t xml:space="preserve">OBJECTIVE:To quantify plasma cytokine concentrations in dogs with sepsis and noninfectious systemic inflammation and to evaluate the association between plasma cytokines and outcome in dogs with sepsis.</w:t>
      </w:r>
    </w:p>
    <w:p/>
    <w:p>
      <w:pPr>
        <w:pStyle w:val="Normal"/>
      </w:pPr>
      <w:r>
        <w:rPr>
          <w:color w:val="323232"/>
        </w:rPr>
        <w:t xml:space="preserve">DESIGN:Prospective, observational cohort study.</w:t>
      </w:r>
    </w:p>
    <w:p/>
    <w:p>
      <w:pPr>
        <w:pStyle w:val="Normal"/>
      </w:pPr>
      <w:r>
        <w:rPr>
          <w:color w:val="323232"/>
        </w:rPr>
        <w:t xml:space="preserve">SETTING:University teaching hospital.</w:t>
      </w:r>
    </w:p>
    <w:p/>
    <w:p>
      <w:pPr>
        <w:pStyle w:val="Normal"/>
      </w:pPr>
      <w:r>
        <w:rPr>
          <w:color w:val="323232"/>
        </w:rPr>
        <w:t xml:space="preserve">ANIMALS:Forty-five dogs with sepsis, 10 dogs with noninfectious systemic inflammation (nSIRS), and 15 healthy controls were consecutively enrolled from June 2015 to February 2016 and followed to hospital discharge. Dogs with sepsis satisfied ≥2 SIRS criteria and had a documented or highly suspected bacterial infection. Dogs with nSIRS satisfied ≥2 SIRS criteria but had no evidence of infection. Dogs</w:t>
      </w:r>
      <w:r>
        <w:rPr>
          <w:color w:val="323232"/>
        </w:rPr>
        <w:t xml:space="preserve"> </w:t>
      </w:r>
      <w:r>
        <w:rPr>
          <w:color w:val="323232"/>
        </w:rPr>
        <w:t xml:space="preserve">&lt;3</w:t>
      </w:r>
      <w:r>
        <w:rPr>
          <w:color w:val="323232"/>
        </w:rPr>
        <w:t xml:space="preserve"> </w:t>
      </w:r>
      <w:r>
        <w:rPr>
          <w:color w:val="323232"/>
        </w:rPr>
        <w:t xml:space="preserve">kg and those with documented coagulopathy were excluded.</w:t>
      </w:r>
    </w:p>
    <w:p/>
    <w:p>
      <w:pPr>
        <w:pStyle w:val="Normal"/>
      </w:pPr>
      <w:r>
        <w:rPr>
          <w:color w:val="323232"/>
        </w:rPr>
        <w:t xml:space="preserve">INTERVENTIONS:Measurement of inflammatory cytokines and high-mobility group box-1 (HMGB-1) was performed on each group.</w:t>
      </w:r>
    </w:p>
    <w:p/>
    <w:p>
      <w:pPr>
        <w:pStyle w:val="Normal"/>
      </w:pPr>
      <w:r>
        <w:rPr>
          <w:color w:val="323232"/>
        </w:rPr>
        <w:t xml:space="preserve">MEASUREMENTS AND MAIN RESULTS:High-mobility group box-1 concentrations were analyzed by ELISA. Plasma concentrations of 13 cytokines were measured in singlet using multiplex magnetic bead assays. Kruskal-Wallis with Dunn's multiple comparison tests were used to compare biomarker concentrations between groups. Mann-Whitney U-tests were used to compare biomarker concentrations between survivors and nonsurvivors. Associations between biomarkers were evaluated using Spearman's correlation coefficients. Independent outcome predictors were identified using multivariable logistic regression. Alpha was set at 0.05. Concentrations of interleukin (IL)-6, C-X-C motif chemokine (CXCL)-8, keratinocyte-derived chemokine (KC)-like, C-C motif chemokine ligand 2 (CCL2), and HMGB-1 were significantly greater in dogs with sepsis versus healthy controls (all P</w:t>
      </w:r>
      <w:r>
        <w:rPr>
          <w:color w:val="323232"/>
        </w:rPr>
        <w:t xml:space="preserve"> </w:t>
      </w:r>
      <w:r>
        <w:rPr>
          <w:color w:val="323232"/>
        </w:rPr>
        <w:t xml:space="preserve">≤</w:t>
      </w:r>
      <w:r>
        <w:rPr>
          <w:color w:val="323232"/>
        </w:rPr>
        <w:t xml:space="preserve"> </w:t>
      </w:r>
      <w:r>
        <w:rPr>
          <w:color w:val="323232"/>
        </w:rPr>
        <w:t xml:space="preserve">0.034). In dogs with sepsis, only CCL2 was independently associated with survival (odds ratio [OR] 0.996, 95% CI 0.993-0.999, P</w:t>
      </w:r>
      <w:r>
        <w:rPr>
          <w:color w:val="323232"/>
        </w:rPr>
        <w:t xml:space="preserve"> </w:t>
      </w:r>
      <w:r>
        <w:rPr>
          <w:color w:val="323232"/>
        </w:rPr>
        <w:t xml:space="preserve">=</w:t>
      </w:r>
      <w:r>
        <w:rPr>
          <w:color w:val="323232"/>
        </w:rPr>
        <w:t xml:space="preserve"> </w:t>
      </w:r>
      <w:r>
        <w:rPr>
          <w:color w:val="323232"/>
        </w:rPr>
        <w:t xml:space="preserve">0.004). A cut-off of 385 pg/mL for CCL2 was 80% sensitive and 91.4% specific for nonsurvival (area under the ROC curve [AUROC] 0.866).</w:t>
      </w:r>
    </w:p>
    <w:p/>
    <w:p>
      <w:pPr>
        <w:pStyle w:val="Normal"/>
      </w:pPr>
      <w:r>
        <w:rPr>
          <w:color w:val="323232"/>
        </w:rPr>
        <w:t xml:space="preserve">CONCLUSIONS:Dogs with sepsis have significantly increased concentrations of HMGB-1 and inflammatory cytokines, including IL-6, CXCL8, and KC-like. Increased CCL2 concentration is a negative prognostic indicator in dogs with sepsis. These findings should be confirmed using duplicate analyses in larger, distinct populations of dogs with sepsis before applying them to clinical patients.</w:t>
      </w:r>
    </w:p>
    <w:p/>
    <w:p>
      <w:pPr>
        <w:pStyle w:val="Normal"/>
      </w:pPr>
      <w:r>
        <w:rPr>
          <w:color w:val="323232"/>
        </w:rPr>
        <w:t xml:space="preserve">J Vet Emerg Crit Care (San Antonio), 2019 vol. 29 (6) pp. 593-603.</w:t>
      </w:r>
    </w:p>
    <w:p>
      <w:r>
        <w:rPr>
          <w:rStyle w:val="Hyperlink"/>
        </w:rPr>
        <w:fldChar w:fldCharType="begin"/>
      </w:r>
      <w:r>
        <w:rPr>
          <w:rStyle w:val="Hyperlink"/>
        </w:rPr>
        <w:instrText xml:space="preserve"> HYPERLINK "http://eutils.ncbi.nlm.nih.gov/entrez/eutils/elink.fcgi?dbfrom=pubmed&amp;id=31637812&amp;retmode=ref&amp;cmd=prlinks"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http://eutils.ncbi.nlm.nih.gov/entrez/eutils/elink.fcgi?dbfrom=pubmed&amp;id=31637812&amp;retmode=ref&amp;cmd=prlinks</w:t>
      </w:r>
      <w:r>
        <w:rPr>
          <w:rStyle w:val="Hyperlink"/>
        </w:rPr>
        <w:fldChar w:fldCharType="end"/>
      </w:r>
    </w:p>
    <w:p>
      <w:pPr>
        <w:pStyle w:val="Normal"/>
      </w:pPr>
      <w:r>
        <w:rPr>
          <w:color w:val="323232"/>
        </w:rPr>
        <w:t xml:space="preserve">————————</w:t>
      </w:r>
    </w:p>
    <w:p>
      <w:pPr>
        <w:pStyle w:val="Heading4"/>
      </w:pPr>
      <w:r>
        <w:t xml:space="preserve">Immediate effect of transmucosal application of corn syrup or 50% dextrose solution on blood glucose concentrations in healthy dogs.</w:t>
      </w:r>
    </w:p>
    <w:p/>
    <w:p>
      <w:pPr>
        <w:pStyle w:val="Normal"/>
      </w:pPr>
      <w:r>
        <w:rPr>
          <w:color w:val="323232"/>
        </w:rPr>
        <w:t xml:space="preserve">Rhonda L Holt, Jana M Gordon, and Craig Ruaux.</w:t>
      </w:r>
    </w:p>
    <w:p/>
    <w:p>
      <w:pPr>
        <w:pStyle w:val="Normal"/>
      </w:pPr>
      <w:r>
        <w:rPr>
          <w:color w:val="323232"/>
        </w:rPr>
        <w:t xml:space="preserve">OBJECTIVE:Evaluate and quantify the effects of mucosal corn syrup and 50% dextrose application on blood glucose concentrations in healthy dogs, to assess the effectiveness of a widely used practice for treatment of hypoglycemia.</w:t>
      </w:r>
    </w:p>
    <w:p/>
    <w:p>
      <w:pPr>
        <w:pStyle w:val="Normal"/>
      </w:pPr>
      <w:r>
        <w:rPr>
          <w:color w:val="323232"/>
        </w:rPr>
        <w:t xml:space="preserve">DESIGN:Randomized controlled trial.</w:t>
      </w:r>
    </w:p>
    <w:p/>
    <w:p>
      <w:pPr>
        <w:pStyle w:val="Normal"/>
      </w:pPr>
      <w:r>
        <w:rPr>
          <w:color w:val="323232"/>
        </w:rPr>
        <w:t xml:space="preserve">SETTING:University teaching hospital.</w:t>
      </w:r>
    </w:p>
    <w:p/>
    <w:p>
      <w:pPr>
        <w:pStyle w:val="Normal"/>
      </w:pPr>
      <w:r>
        <w:rPr>
          <w:color w:val="323232"/>
        </w:rPr>
        <w:t xml:space="preserve">ANIMALS:Twelve client-owned dogs that were healthy, &gt;1 year of age, weighing &gt;5 kg, and had normal physical exam and biochemical profiles.</w:t>
      </w:r>
    </w:p>
    <w:p/>
    <w:p>
      <w:pPr>
        <w:pStyle w:val="Normal"/>
      </w:pPr>
      <w:r>
        <w:rPr>
          <w:color w:val="323232"/>
        </w:rPr>
        <w:t xml:space="preserve">INTERVENTIONS:Dogs were fasted overnight for a minimum of 12 hours. Once normal physical exam and biochemical profile were confirmed, an IV catheter was placed in a peripheral vein for serial blood sampling. Each dog served as their own control and received each of 3 treatments, the orders of which were randomized for each dog. Treatments included mucosal application of commercially available corn syrup (Karo light syrup), water (control), and 50% dextrose solution, each at a dose of 1 mL/kg of body weight. Blood glucose was measured using a point-of-care glucometer. Samples were taken immediately prior to each treatment and at 5-, 10-, 15-, 20-, 30-, and 60-minute intervals.</w:t>
      </w:r>
    </w:p>
    <w:p/>
    <w:p>
      <w:pPr>
        <w:pStyle w:val="Normal"/>
      </w:pPr>
      <w:r>
        <w:rPr>
          <w:color w:val="323232"/>
        </w:rPr>
        <w:t xml:space="preserve">RESULTS:All treatments were well tolerated and no adverse events were observed. A statistically significant increase in blood glucose was observed at the 15-, 20-, 30-, and 60-minute time points in the corn syrup and 50% dextrose groups as compared with the control.</w:t>
      </w:r>
    </w:p>
    <w:p/>
    <w:p>
      <w:pPr>
        <w:pStyle w:val="Normal"/>
      </w:pPr>
      <w:r>
        <w:rPr>
          <w:color w:val="323232"/>
        </w:rPr>
        <w:t xml:space="preserve">CONCLUSIONS:A significant effect on the blood glucose concentrations of the treated animals was not observed until 15 minutes after application of concentrated glucose solutions. These findings suggest that, in more severely hypoglycemic patients, parenteral glucose administration may be necessary.</w:t>
      </w:r>
    </w:p>
    <w:p/>
    <w:p>
      <w:pPr>
        <w:pStyle w:val="Normal"/>
      </w:pPr>
      <w:r>
        <w:rPr>
          <w:color w:val="323232"/>
        </w:rPr>
        <w:t xml:space="preserve">J Vet Emerg Crit Care (San Antonio), 2019 vol. 29 (6) pp. 630-634.</w:t>
      </w:r>
    </w:p>
    <w:p>
      <w:r>
        <w:rPr>
          <w:rStyle w:val="Hyperlink"/>
        </w:rPr>
        <w:fldChar w:fldCharType="begin"/>
      </w:r>
      <w:r>
        <w:rPr>
          <w:rStyle w:val="Hyperlink"/>
        </w:rPr>
        <w:instrText xml:space="preserve"> HYPERLINK "http://eutils.ncbi.nlm.nih.gov/entrez/eutils/elink.fcgi?dbfrom=pubmed&amp;id=31625689&amp;retmode=ref&amp;cmd=prlinks"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http://eutils.ncbi.nlm.nih.gov/entrez/eutils/elink.fcgi?dbfrom=pubmed&amp;id=31625689&amp;retmode=ref&amp;cmd=prlinks</w:t>
      </w:r>
      <w:r>
        <w:rPr>
          <w:rStyle w:val="Hyperlink"/>
        </w:rPr>
        <w:fldChar w:fldCharType="end"/>
      </w:r>
    </w:p>
    <w:p>
      <w:pPr>
        <w:pStyle w:val="Normal"/>
      </w:pPr>
      <w:r>
        <w:rPr>
          <w:color w:val="323232"/>
        </w:rPr>
        <w:t xml:space="preserve">————————</w:t>
      </w:r>
    </w:p>
    <w:p>
      <w:pPr>
        <w:pStyle w:val="Heading4"/>
      </w:pPr>
      <w:r>
        <w:t xml:space="preserve">Prognostic indicators in cats with septic peritonitis (2002-2015): 83 cases.</w:t>
      </w:r>
    </w:p>
    <w:p/>
    <w:p>
      <w:pPr>
        <w:pStyle w:val="Normal"/>
      </w:pPr>
      <w:r>
        <w:rPr>
          <w:color w:val="323232"/>
        </w:rPr>
        <w:t xml:space="preserve">Katherine Maria Scotti, Amy Koenigshof, Loren S H Sri-Jayantha, Michael Kato, Micah Bishop, James W Barr, and Medora B Pashmakova.</w:t>
      </w:r>
    </w:p>
    <w:p/>
    <w:p>
      <w:pPr>
        <w:pStyle w:val="Normal"/>
      </w:pPr>
      <w:r>
        <w:rPr>
          <w:color w:val="323232"/>
        </w:rPr>
        <w:t xml:space="preserve">OBJECTIVE:To identify physical exam findings, clinicopathological parameters, time to surgery, empirical antimicrobial use, and culture results that could be associated with outcome in cats with septic peritonitis (SP).</w:t>
      </w:r>
    </w:p>
    <w:p/>
    <w:p>
      <w:pPr>
        <w:pStyle w:val="Normal"/>
      </w:pPr>
      <w:r>
        <w:rPr>
          <w:color w:val="323232"/>
        </w:rPr>
        <w:t xml:space="preserve">DESIGN:Retrospective cohort study of cats from 2002 to 2015.</w:t>
      </w:r>
    </w:p>
    <w:p/>
    <w:p>
      <w:pPr>
        <w:pStyle w:val="Normal"/>
      </w:pPr>
      <w:r>
        <w:rPr>
          <w:color w:val="323232"/>
        </w:rPr>
        <w:t xml:space="preserve">SETTING:Four university teaching hospitals.</w:t>
      </w:r>
    </w:p>
    <w:p/>
    <w:p>
      <w:pPr>
        <w:pStyle w:val="Normal"/>
      </w:pPr>
      <w:r>
        <w:rPr>
          <w:color w:val="323232"/>
        </w:rPr>
        <w:t xml:space="preserve">ANIMALS:Eighty-three cats diagnosed with SP by cytology or culture.</w:t>
      </w:r>
    </w:p>
    <w:p/>
    <w:p>
      <w:pPr>
        <w:pStyle w:val="Normal"/>
      </w:pPr>
      <w:r>
        <w:rPr>
          <w:color w:val="323232"/>
        </w:rPr>
        <w:t xml:space="preserve">INTERVENTIONS:None MEASUREMENTS AND MAIN RESULTS: Fifty-eight cats survived to discharge (69.9%); 1 cat was euthanized in surgery; 20 were euthanized postoperatively; 4 cats suffered cardiac arrest after surgery. The most common etiology of SP was secondary SP due to gastrointestinal perforation (49.4%), followed by primary SP (22.3%). Mean blood glucose concentration was significantly different between survivors and nonsurvivors (P</w:t>
      </w:r>
      <w:r>
        <w:rPr>
          <w:color w:val="323232"/>
        </w:rPr>
        <w:t xml:space="preserve"> </w:t>
      </w:r>
      <w:r>
        <w:rPr>
          <w:color w:val="323232"/>
        </w:rPr>
        <w:t xml:space="preserve">=</w:t>
      </w:r>
      <w:r>
        <w:rPr>
          <w:color w:val="323232"/>
        </w:rPr>
        <w:t xml:space="preserve"> </w:t>
      </w:r>
      <w:r>
        <w:rPr>
          <w:color w:val="323232"/>
        </w:rPr>
        <w:t xml:space="preserve">0.006). Cats that received appropriate empirical antibiotic therapy were 4.4 times more likely to survive than cats that did not receive appropriate antibiotics (P</w:t>
      </w:r>
      <w:r>
        <w:rPr>
          <w:color w:val="323232"/>
        </w:rPr>
        <w:t xml:space="preserve"> </w:t>
      </w:r>
      <w:r>
        <w:rPr>
          <w:color w:val="323232"/>
        </w:rPr>
        <w:t xml:space="preserve">=</w:t>
      </w:r>
      <w:r>
        <w:rPr>
          <w:color w:val="323232"/>
        </w:rPr>
        <w:t xml:space="preserve"> </w:t>
      </w:r>
      <w:r>
        <w:rPr>
          <w:color w:val="323232"/>
        </w:rPr>
        <w:t xml:space="preserve">0.018).</w:t>
      </w:r>
    </w:p>
    <w:p/>
    <w:p>
      <w:pPr>
        <w:pStyle w:val="Normal"/>
      </w:pPr>
      <w:r>
        <w:rPr>
          <w:color w:val="323232"/>
        </w:rPr>
        <w:t xml:space="preserve">CONCLUSIONS:As previously documented, SP secondary to gastrointestinal leakage was the most common etiology. In this population, cats with a higher blood glucose concentration on presentation had a worse prognosis. Cats that received appropriate empirical antimicrobial therapy were more likely to survive.</w:t>
      </w:r>
    </w:p>
    <w:p/>
    <w:p>
      <w:pPr>
        <w:pStyle w:val="Normal"/>
      </w:pPr>
      <w:r>
        <w:rPr>
          <w:color w:val="323232"/>
        </w:rPr>
        <w:t xml:space="preserve">J Vet Emerg Crit Care (San Antonio), 2019 vol. 29 (6) pp. 647-652.</w:t>
      </w:r>
    </w:p>
    <w:p>
      <w:r>
        <w:rPr>
          <w:rStyle w:val="Hyperlink"/>
        </w:rPr>
        <w:fldChar w:fldCharType="begin"/>
      </w:r>
      <w:r>
        <w:rPr>
          <w:rStyle w:val="Hyperlink"/>
        </w:rPr>
        <w:instrText xml:space="preserve"> HYPERLINK "http://eutils.ncbi.nlm.nih.gov/entrez/eutils/elink.fcgi?dbfrom=pubmed&amp;id=31654546&amp;retmode=ref&amp;cmd=prlinks"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http://eutils.ncbi.nlm.nih.gov/entrez/eutils/elink.fcgi?dbfrom=pubmed&amp;id=31654546&amp;retmode=ref&amp;cmd=prlinks</w:t>
      </w:r>
      <w:r>
        <w:rPr>
          <w:rStyle w:val="Hyperlink"/>
        </w:rPr>
        <w:fldChar w:fldCharType="end"/>
      </w:r>
    </w:p>
    <w:p>
      <w:pPr>
        <w:pStyle w:val="Normal"/>
      </w:pPr>
      <w:r>
        <w:rPr>
          <w:color w:val="323232"/>
        </w:rPr>
        <w:t xml:space="preserve">————————</w:t>
      </w:r>
    </w:p>
    <w:p>
      <w:pPr>
        <w:pStyle w:val="Heading4"/>
      </w:pPr>
      <w:r>
        <w:t xml:space="preserve">Retrospective evaluation of Micrurus fulvius (Eastern coral snake) envenomation and the use of mechanical ventilation in dogs and a cat (2011-2016): 8 cases.</w:t>
      </w:r>
    </w:p>
    <w:p/>
    <w:p>
      <w:pPr>
        <w:pStyle w:val="Normal"/>
      </w:pPr>
      <w:r>
        <w:rPr>
          <w:color w:val="323232"/>
        </w:rPr>
        <w:t xml:space="preserve">Samantha Campos, Ashley E Allen-Durrance, Michael Schaer, and Alex Lynch.</w:t>
      </w:r>
    </w:p>
    <w:p/>
    <w:p>
      <w:pPr>
        <w:pStyle w:val="Normal"/>
      </w:pPr>
      <w:r>
        <w:rPr>
          <w:color w:val="323232"/>
        </w:rPr>
        <w:t xml:space="preserve">OBJECTIVE:To describe the use of mechanical ventilation (MV) in the management of Eastern coral snake envenomation in 7 dogs and a cat.</w:t>
      </w:r>
    </w:p>
    <w:p/>
    <w:p>
      <w:pPr>
        <w:pStyle w:val="Normal"/>
      </w:pPr>
      <w:r>
        <w:rPr>
          <w:color w:val="323232"/>
        </w:rPr>
        <w:t xml:space="preserve">DESIGN:Retrospective study (2011-2016).</w:t>
      </w:r>
    </w:p>
    <w:p/>
    <w:p>
      <w:pPr>
        <w:pStyle w:val="Normal"/>
      </w:pPr>
      <w:r>
        <w:rPr>
          <w:color w:val="323232"/>
        </w:rPr>
        <w:t xml:space="preserve">SETTING:University teaching hospital.</w:t>
      </w:r>
    </w:p>
    <w:p/>
    <w:p>
      <w:pPr>
        <w:pStyle w:val="Normal"/>
      </w:pPr>
      <w:r>
        <w:rPr>
          <w:color w:val="323232"/>
        </w:rPr>
        <w:t xml:space="preserve">ANIMALS:Seven dogs and 1 cat receiving MV for ventilatory failure secondary to Eastern coral snake envenomation.</w:t>
      </w:r>
    </w:p>
    <w:p/>
    <w:p>
      <w:pPr>
        <w:pStyle w:val="Normal"/>
      </w:pPr>
      <w:r>
        <w:rPr>
          <w:color w:val="323232"/>
        </w:rPr>
        <w:t xml:space="preserve">INTERVENTIONS:None.</w:t>
      </w:r>
    </w:p>
    <w:p/>
    <w:p>
      <w:pPr>
        <w:pStyle w:val="Normal"/>
      </w:pPr>
      <w:r>
        <w:rPr>
          <w:color w:val="323232"/>
        </w:rPr>
        <w:t xml:space="preserve">MEASUREMENT AND MAIN RESULTS:The medical records of 8 animals that received MV following Eastern coral snake envenomation were reviewed. Data collected included signalment, time to veterinary assessment, physical and laboratory characteristics at arrival, clinical course during hospitalization, management including antivenom administration, MV settings, duration of ventilation, length of hospitalization, cost of care, and survival to discharge. The mean ± SD age was 4 ± 3.2 years. Median (range) time to onset of clinical signs was 30 (5-240) minutes. Coral snake antivenom was administered to 7 of the 8 animals following arrival at a median (range) of 30 (5-90) minutes. All animals had progressive hypoventilation and received MV, specifically volume controlled, synchronized intermittent mandatory ventilation with pressure support. The median (range) duration of MV was 58 (25-84) hours and the median (range) duration of hospitalization was 8.2 (6-11) days. Ventilator associated complications occurred in all animals, but overall outcome was excellent with 7 of 8 surviving to discharge. No dog, but the 1 cat, had an adverse reaction to antivenom.</w:t>
      </w:r>
    </w:p>
    <w:p/>
    <w:p>
      <w:pPr>
        <w:pStyle w:val="Normal"/>
      </w:pPr>
      <w:r>
        <w:rPr>
          <w:color w:val="323232"/>
        </w:rPr>
        <w:t xml:space="preserve">CONCLUSIONS:Ventilatory failure secondary to Eastern coral snake envenomation necessitating MV carries an excellent prognosis and is better than reported for other causes of lower motor neuron disease. Successful response to ventilation was achieved even with associated complications being common in this cohort of animals.</w:t>
      </w:r>
    </w:p>
    <w:p/>
    <w:p>
      <w:pPr>
        <w:pStyle w:val="Normal"/>
      </w:pPr>
      <w:r>
        <w:rPr>
          <w:color w:val="323232"/>
        </w:rPr>
        <w:t xml:space="preserve">J Vet Emerg Crit Care (San Antonio), 2019 vol. 29 (6) pp. 662-667.</w:t>
      </w:r>
    </w:p>
    <w:p>
      <w:r>
        <w:rPr>
          <w:rStyle w:val="Hyperlink"/>
        </w:rPr>
        <w:fldChar w:fldCharType="begin"/>
      </w:r>
      <w:r>
        <w:rPr>
          <w:rStyle w:val="Hyperlink"/>
        </w:rPr>
        <w:instrText xml:space="preserve"> HYPERLINK "http://eutils.ncbi.nlm.nih.gov/entrez/eutils/elink.fcgi?dbfrom=pubmed&amp;id=31625672&amp;retmode=ref&amp;cmd=prlinks"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http://eutils.ncbi.nlm.nih.gov/entrez/eutils/elink.fcgi?dbfrom=pubmed&amp;id=31625672&amp;retmode=ref&amp;cmd=prlinks</w:t>
      </w:r>
      <w:r>
        <w:rPr>
          <w:rStyle w:val="Hyperlink"/>
        </w:rPr>
        <w:fldChar w:fldCharType="end"/>
      </w:r>
    </w:p>
    <w:p>
      <w:pPr>
        <w:pStyle w:val="Normal"/>
      </w:pPr>
      <w:r>
        <w:rPr>
          <w:color w:val="323232"/>
        </w:rPr>
        <w:t xml:space="preserve">————————</w:t>
      </w:r>
    </w:p>
    <w:p>
      <w:pPr>
        <w:pStyle w:val="Heading4"/>
      </w:pPr>
      <w:r>
        <w:t xml:space="preserve">Retrospective evaluation of the severity of and prognosis associated with potassium abnormalities in dogs and cats presenting to an emergency room (January 2014-August 2015): 2441 cases.</w:t>
      </w:r>
    </w:p>
    <w:p/>
    <w:p>
      <w:pPr>
        <w:pStyle w:val="Normal"/>
      </w:pPr>
      <w:r>
        <w:rPr>
          <w:color w:val="323232"/>
        </w:rPr>
        <w:t xml:space="preserve">Sabrina N Hoehne, Kate Hopper, and Steven E Epstein.</w:t>
      </w:r>
    </w:p>
    <w:p/>
    <w:p>
      <w:pPr>
        <w:pStyle w:val="Normal"/>
      </w:pPr>
      <w:r>
        <w:rPr>
          <w:color w:val="323232"/>
        </w:rPr>
        <w:t xml:space="preserve">OBJECTIVE:To determine the severity, concurrent clinical signs, and disease processes associated with potassium abnormalities in dogs and cats presenting to a veterinary emergency department and associated mortality.</w:t>
      </w:r>
    </w:p>
    <w:p/>
    <w:p>
      <w:pPr>
        <w:pStyle w:val="Normal"/>
      </w:pPr>
      <w:r>
        <w:rPr>
          <w:color w:val="323232"/>
        </w:rPr>
        <w:t xml:space="preserve">DESIGN:Retrospective and descriptive study over 20 months.</w:t>
      </w:r>
    </w:p>
    <w:p/>
    <w:p>
      <w:pPr>
        <w:pStyle w:val="Normal"/>
      </w:pPr>
      <w:r>
        <w:rPr>
          <w:color w:val="323232"/>
        </w:rPr>
        <w:t xml:space="preserve">SETTING:University teaching hospital.</w:t>
      </w:r>
    </w:p>
    <w:p/>
    <w:p>
      <w:pPr>
        <w:pStyle w:val="Normal"/>
      </w:pPr>
      <w:r>
        <w:rPr>
          <w:color w:val="323232"/>
        </w:rPr>
        <w:t xml:space="preserve">ANIMALS:1916 dog and 525 cat visits.</w:t>
      </w:r>
    </w:p>
    <w:p/>
    <w:p>
      <w:pPr>
        <w:pStyle w:val="Normal"/>
      </w:pPr>
      <w:r>
        <w:rPr>
          <w:color w:val="323232"/>
        </w:rPr>
        <w:t xml:space="preserve">INTERVENTIONS:None.</w:t>
      </w:r>
    </w:p>
    <w:p/>
    <w:p>
      <w:pPr>
        <w:pStyle w:val="Normal"/>
      </w:pPr>
      <w:r>
        <w:rPr>
          <w:color w:val="323232"/>
        </w:rPr>
        <w:t xml:space="preserve">MEASUREMENTS AND MAIN RESULTS:Medical records from patients with a potassium concentration measured within 24 hours of admission were identified. Hypokalemia and hyperkalemia were defined as a potassium concentration &lt;3.5 mmol/ L [3.5 mEq/ L] and &gt;5 mmol/ L [5 mEq/ L], respectively. Associated disease processes and pathophysiologic risk factors for potassium abnormalities were reviewed for moderate to severe potassium abnormalities (&lt;3 mmol/ L or ≥6 mmol/ L) [&lt;3 mEq/ L or ≥6 mEq/ L]. Mortality associated with normokalemia, mild, and moderate to severe dyskalemia were evaluated. Overall prevalence of abnormal potassium concentration was 27% in dogs and 40% in cats. Moderate to severe hypokalemia and hyperkalemia were present in 3% of dogs and 8% of cats, and 2% of dogs and 7% of cats, respectively. Moderate to severe hypokalemia was most commonly associated with gastrointestinal disease (48% of dogs and 44% of cats) while moderate to severe hyperkalemia was most commonly associated with urinary tract disease (60% of dogs and 97% of cats). Dogs with hypokalemia and dogs and cats with hyperkalemia (P</w:t>
      </w:r>
      <w:r>
        <w:rPr>
          <w:color w:val="323232"/>
        </w:rPr>
        <w:t xml:space="preserve"> </w:t>
      </w:r>
      <w:r>
        <w:rPr>
          <w:color w:val="323232"/>
        </w:rPr>
        <w:t xml:space="preserve">&lt;</w:t>
      </w:r>
      <w:r>
        <w:rPr>
          <w:color w:val="323232"/>
        </w:rPr>
        <w:t xml:space="preserve"> </w:t>
      </w:r>
      <w:r>
        <w:rPr>
          <w:color w:val="323232"/>
        </w:rPr>
        <w:t xml:space="preserve">0.001) had significantly greater mortality than those with normokalemia. Dogs with mild hypokalemia and mild hyperkalemia (P</w:t>
      </w:r>
      <w:r>
        <w:rPr>
          <w:color w:val="323232"/>
        </w:rPr>
        <w:t xml:space="preserve"> </w:t>
      </w:r>
      <w:r>
        <w:rPr>
          <w:color w:val="323232"/>
        </w:rPr>
        <w:t xml:space="preserve">&lt;</w:t>
      </w:r>
      <w:r>
        <w:rPr>
          <w:color w:val="323232"/>
        </w:rPr>
        <w:t xml:space="preserve"> </w:t>
      </w:r>
      <w:r>
        <w:rPr>
          <w:color w:val="323232"/>
        </w:rPr>
        <w:t xml:space="preserve">0.0001) had higher mortality than dogs with normokalemia, but this was not found in cats.</w:t>
      </w:r>
    </w:p>
    <w:p/>
    <w:p>
      <w:pPr>
        <w:pStyle w:val="Normal"/>
      </w:pPr>
      <w:r>
        <w:rPr>
          <w:color w:val="323232"/>
        </w:rPr>
        <w:t xml:space="preserve">CONCLUSIONS:Dyskalemia was common in this population and was associated with greater mortality. Moderate to severe potassium abnormalities were uncommon in this population and occurred most frequently in animals with gastrointestinal and urinary tract disease.</w:t>
      </w:r>
    </w:p>
    <w:p/>
    <w:p>
      <w:pPr>
        <w:pStyle w:val="Normal"/>
      </w:pPr>
      <w:r>
        <w:rPr>
          <w:color w:val="323232"/>
        </w:rPr>
        <w:t xml:space="preserve">J Vet Emerg Crit Care (San Antonio), 2019 vol. 29 (6) pp. 653-661.</w:t>
      </w:r>
    </w:p>
    <w:p>
      <w:r>
        <w:rPr>
          <w:rStyle w:val="Hyperlink"/>
        </w:rPr>
        <w:fldChar w:fldCharType="begin"/>
      </w:r>
      <w:r>
        <w:rPr>
          <w:rStyle w:val="Hyperlink"/>
        </w:rPr>
        <w:instrText xml:space="preserve"> HYPERLINK "http://eutils.ncbi.nlm.nih.gov/entrez/eutils/elink.fcgi?dbfrom=pubmed&amp;id=31482659&amp;retmode=ref&amp;cmd=prlinks"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http://eutils.ncbi.nlm.nih.gov/entrez/eutils/elink.fcgi?dbfrom=pubmed&amp;id=31482659&amp;retmode=ref&amp;cmd=prlinks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