
<file path=[Content_Types].xml><?xml version="1.0" encoding="utf-8"?>
<Types xmlns="http://schemas.openxmlformats.org/package/2006/content-types">
  <Override PartName="/word/fontTable.xml" ContentType="application/vnd.openxmlformats-officedocument.wordprocessingml.fontTable+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webSettings.xml" ContentType="application/vnd.openxmlformats-officedocument.wordprocessingml.webSettings+xml"/>
  <Override PartName="/word/theme/theme1.xml" ContentType="application/vnd.openxmlformats-officedocument.theme+xml"/>
  <Override PartName="/docProps/core.xml" ContentType="application/vnd.openxmlformats-package.core-properties+xml"/>
  <Override PartName="/word/settings.xml" ContentType="application/vnd.openxmlformats-officedocument.wordprocessingml.settings+xml"/>
  <Override PartName="/docProps/app.xml" ContentType="application/vnd.openxmlformats-officedocument.extended-properties+xml"/>
  <Default Extension="xml" ContentType="application/xml"/>
  <Default Extension="jpg" ContentType="image/jpeg"/>
  <Default Extension="jpeg" ContentType="image/jpeg"/>
  <Default Extension="png" ContentType="image/png"/>
  <Default Extension="gif" ContentType="image/gif"/>
  <Default Extension="bmp" ContentType="image/bmp"/>
  <Default Extension="rels" ContentType="application/vnd.openxmlformats-package.relationship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10="urn:schemas-microsoft-com:office:word" xmlns:o="urn:schemas-microsoft-com:office:office" xmlns:r="http://schemas.openxmlformats.org/officeDocument/2006/relationships" xmlns:v="urn:schemas-microsoft-com:vml" xmlns:wp="http://schemas.openxmlformats.org/drawingml/2006/wordprocessingDrawing" xmlns:w="http://schemas.openxmlformats.org/wordprocessingml/2006/main">
  <w:body>
    <w:p>
      <w:pPr>
        <w:pStyle w:val="Heading2"/>
      </w:pPr>
      <w:r>
        <w:t xml:space="preserve">Journal of Veterinary Emergency &amp; Critical Care 2018</w:t>
      </w:r>
    </w:p>
    <w:p>
      <w:pPr>
        <w:pStyle w:val="Heading2"/>
      </w:pPr>
      <w:r>
        <w:t xml:space="preserve">JVECC 2018; Vol 28; Issue 1-6</w:t>
      </w:r>
    </w:p>
    <w:p/>
    <w:p>
      <w:pPr>
        <w:pStyle w:val="Normal"/>
      </w:pPr>
      <w:r>
        <w:rPr>
          <w:color w:val="323232"/>
        </w:rPr>
        <w:t xml:space="preserve">#</w:t>
      </w:r>
      <w:r>
        <w:rPr>
          <w:color w:val="323232"/>
        </w:rPr>
        <w:t xml:space="preserve">litreview</w:t>
      </w:r>
    </w:p>
    <w:p>
      <w:pPr>
        <w:pStyle w:val="Normal"/>
      </w:pPr>
      <w:r>
        <w:rPr>
          <w:color w:val="323232"/>
        </w:rPr>
        <w:t xml:space="preserve">————————</w:t>
      </w:r>
    </w:p>
    <w:p>
      <w:pPr>
        <w:pStyle w:val="Heading4"/>
      </w:pPr>
      <w:r>
        <w:t xml:space="preserve">Inflammatory cytokine and C-reactive protein concentrations in dogs with systemic inflammatory response syndrome.</w:t>
      </w:r>
    </w:p>
    <w:p/>
    <w:p>
      <w:pPr>
        <w:pStyle w:val="Normal"/>
      </w:pPr>
      <w:r>
        <w:rPr>
          <w:color w:val="323232"/>
        </w:rPr>
        <w:t xml:space="preserve">Kris Gommeren, Isabelle Desmas, Alexandra Garcia, Natalie Bauer, Andreas Moritz, Joachim Roth, and Dominique Peeters.</w:t>
      </w:r>
    </w:p>
    <w:p/>
    <w:p>
      <w:pPr>
        <w:pStyle w:val="Normal"/>
      </w:pPr>
      <w:r>
        <w:rPr>
          <w:color w:val="323232"/>
        </w:rPr>
        <w:t xml:space="preserve">OBJECTIVE:To evaluate C-reactive protein (CRP), interleukin 6 (IL-6), and tumor necrosis factor alpha (TNF-α) kinetics in dogs with a systemic inflammatory response syndrome (SIRS) presented to an emergency service. We hypothesized serum CRP concentrations would increase and vary during hospitalization, and would correlate with plasma IL-6 and TNF-α concentrations, vary in magnitude according to the underlying disease, and predict survival.</w:t>
      </w:r>
    </w:p>
    <w:p/>
    <w:p>
      <w:pPr>
        <w:pStyle w:val="Normal"/>
      </w:pPr>
      <w:r>
        <w:rPr>
          <w:color w:val="323232"/>
        </w:rPr>
        <w:t xml:space="preserve">DESIGN:Prospective, observational, clinical study.</w:t>
      </w:r>
    </w:p>
    <w:p/>
    <w:p>
      <w:pPr>
        <w:pStyle w:val="Normal"/>
      </w:pPr>
      <w:r>
        <w:rPr>
          <w:color w:val="323232"/>
        </w:rPr>
        <w:t xml:space="preserve">SETTING:University emergency department.</w:t>
      </w:r>
    </w:p>
    <w:p/>
    <w:p>
      <w:pPr>
        <w:pStyle w:val="Normal"/>
      </w:pPr>
      <w:r>
        <w:rPr>
          <w:color w:val="323232"/>
        </w:rPr>
        <w:t xml:space="preserve">ANIMALS:Sixty-nine dogs with SIRS weighing over 5 kg who could tolerate the blood sampling.</w:t>
      </w:r>
    </w:p>
    <w:p/>
    <w:p>
      <w:pPr>
        <w:pStyle w:val="Normal"/>
      </w:pPr>
      <w:r>
        <w:rPr>
          <w:color w:val="323232"/>
        </w:rPr>
        <w:t xml:space="preserve">INTERVENTIONS:Serum and plasma were collected (and stored at -80°C) at presentation (T0), after 6 (T6), 12 (T12), 24 (T24), and 72 (T72) hours, and at a follow-up visit at least 1 month after discharge (T1m). Underlying diseases were categorized as infection (I), neoplasia (N), trauma (T), gastric-dilation and volvulus (GDV), other gastrointestinal (GI), renal (R), and miscellaneous (M) disease.</w:t>
      </w:r>
    </w:p>
    <w:p/>
    <w:p>
      <w:pPr>
        <w:pStyle w:val="Normal"/>
      </w:pPr>
      <w:r>
        <w:rPr>
          <w:color w:val="323232"/>
        </w:rPr>
        <w:t xml:space="preserve">MEASUREMENTS AND MAIN RESULTS:Serum CRP concentration was measured using a canine-specific immunoturbidimetric assay. Biologically active plasma IL-6 and TNF-α concentrations were assessed using bioassays. Forty-four dogs survived, 8 died, and 17 were euthanized. Nineteen dogs had follow-up visits. At T0, serum CRP concentration was above the reference interval in 73.1% (49/67), and was within the reference interval (0-141.9 nmol</w:t>
      </w:r>
      <w:r>
        <w:rPr>
          <w:i w:val="1"/>
          <w:color w:val="323232"/>
        </w:rPr>
        <w:t xml:space="preserve">L) throughout hospitalization in only 6% (4/67). Serum CRP concentrations were significantly higher (P &lt; 0.0001) at T0 (882.9 ± 1082.9 nmol</w:t>
      </w:r>
      <w:r>
        <w:rPr>
          <w:color w:val="323232"/>
        </w:rPr>
        <w:t xml:space="preserve">L) and at all time points during hospitalization (P &lt; 0.0001) compared to T1m, with highest concentrations observed at T24 (906. 7 ± 859.0 nmol</w:t>
      </w:r>
      <w:r>
        <w:rPr>
          <w:i w:val="1"/>
          <w:color w:val="323232"/>
        </w:rPr>
        <w:t xml:space="preserve">L). At T1m, serum CRP concentrations were within the reference interval (22.9 ± 42.9 nmol</w:t>
      </w:r>
      <w:r>
        <w:rPr>
          <w:color w:val="323232"/>
        </w:rPr>
        <w:t xml:space="preserve">L) in 95% (18/19) of dogs. Logarithmic concentrations of serum CRP and plasma IL-6 were significantly correlated (P &lt; 0.001, r = 0.479). None of the measured cytokines were associated with disease category or outcome.</w:t>
      </w:r>
    </w:p>
    <w:p/>
    <w:p>
      <w:pPr>
        <w:pStyle w:val="Normal"/>
      </w:pPr>
      <w:r>
        <w:rPr>
          <w:color w:val="323232"/>
        </w:rPr>
        <w:t xml:space="preserve">CONCLUSIONS:Serum CRP concentration is increased in dogs with SIRS, and decreases during treatment and hospitalization. Serum CRP, plasma IL-6, and plasma TNF-α concentrations cannot predict outcome in dogs with SIRS.</w:t>
      </w:r>
    </w:p>
    <w:p/>
    <w:p>
      <w:pPr>
        <w:pStyle w:val="Normal"/>
      </w:pPr>
      <w:r>
        <w:rPr>
          <w:color w:val="323232"/>
        </w:rPr>
        <w:t xml:space="preserve">J Vet Emerg Crit Care (San Antonio), 2018 vol. 28 (1) pp. 9-19.</w:t>
      </w:r>
    </w:p>
    <w:p>
      <w:r>
        <w:rPr>
          <w:rStyle w:val="Hyperlink"/>
        </w:rPr>
        <w:fldChar w:fldCharType="begin"/>
      </w:r>
      <w:r>
        <w:rPr>
          <w:rStyle w:val="Hyperlink"/>
        </w:rPr>
        <w:instrText xml:space="preserve"> HYPERLINK "http://eutils.ncbi.nlm.nih.gov/entrez/eutils/elink.fcgi?dbfrom=pubmed&amp;id=29236338&amp;retmode=ref&amp;cmd=prlinks"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http://eutils.ncbi.nlm.nih.gov/entrez/eutils/elink.fcgi?dbfrom=pubmed&amp;id=29236338&amp;retmode=ref&amp;cmd=prlinks</w:t>
      </w:r>
      <w:r>
        <w:rPr>
          <w:rStyle w:val="Hyperlink"/>
        </w:rPr>
        <w:fldChar w:fldCharType="end"/>
      </w:r>
    </w:p>
    <w:p>
      <w:pPr>
        <w:pStyle w:val="Normal"/>
      </w:pPr>
      <w:r>
        <w:rPr>
          <w:color w:val="323232"/>
        </w:rPr>
        <w:t xml:space="preserve">————————</w:t>
      </w:r>
    </w:p>
    <w:p>
      <w:pPr>
        <w:pStyle w:val="Heading4"/>
      </w:pPr>
      <w:r>
        <w:t xml:space="preserve">The influence of inflammation and hematocrit on clot strength in canine thromboelastographic hypercoagulability.</w:t>
      </w:r>
    </w:p>
    <w:p/>
    <w:p>
      <w:pPr>
        <w:pStyle w:val="Normal"/>
      </w:pPr>
      <w:r>
        <w:rPr>
          <w:color w:val="323232"/>
        </w:rPr>
        <w:t xml:space="preserve">Hemostatic causes of canine hypercoagulability.</w:t>
      </w:r>
    </w:p>
    <w:p>
      <w:pPr>
        <w:pStyle w:val="Normal"/>
      </w:pPr>
      <w:r>
        <w:rPr>
          <w:color w:val="323232"/>
        </w:rPr>
        <w:t xml:space="preserve">Clara B Marschner, Bo Wiinberg, Inge Tarnow, Bo Markussen, Line Kühnel, Louise Bochsen, and Annemarie T Kristensen.</w:t>
      </w:r>
    </w:p>
    <w:p/>
    <w:p>
      <w:pPr>
        <w:pStyle w:val="Normal"/>
      </w:pPr>
      <w:r>
        <w:rPr>
          <w:color w:val="323232"/>
        </w:rPr>
        <w:t xml:space="preserve">OBJECTIVE:To investigate parameters causing canine thromboelastographic hypercoagulability and to investigate whether thromboelastography (TEG) with Cytochalasin D (Cyt D) added is related to parameters of platelet activity.</w:t>
      </w:r>
    </w:p>
    <w:p/>
    <w:p>
      <w:pPr>
        <w:pStyle w:val="Normal"/>
      </w:pPr>
      <w:r>
        <w:rPr>
          <w:color w:val="323232"/>
        </w:rPr>
        <w:t xml:space="preserve">DESIGN:Prospective observational study on hemostatic and inflammatory parameters. Data were collected between November 2012 and July 2013.</w:t>
      </w:r>
    </w:p>
    <w:p/>
    <w:p>
      <w:pPr>
        <w:pStyle w:val="Normal"/>
      </w:pPr>
      <w:r>
        <w:rPr>
          <w:color w:val="323232"/>
        </w:rPr>
        <w:t xml:space="preserve">SETTING:University teaching hospital.</w:t>
      </w:r>
    </w:p>
    <w:p/>
    <w:p>
      <w:pPr>
        <w:pStyle w:val="Normal"/>
      </w:pPr>
      <w:r>
        <w:rPr>
          <w:color w:val="323232"/>
        </w:rPr>
        <w:t xml:space="preserve">ANIMALS:Twenty-eight dogs suffering from diseases predisposing to thrombosis and 19 clinically healthy dogs. Diseased dogs were enrolled if they fulfilled inclusion criteria regarding age, size, informed client consent, and obtained a diagnosis of a disease that has been associated with thrombosis or hypercoagulability.</w:t>
      </w:r>
    </w:p>
    <w:p/>
    <w:p>
      <w:pPr>
        <w:pStyle w:val="Normal"/>
      </w:pPr>
      <w:r>
        <w:rPr>
          <w:color w:val="323232"/>
        </w:rPr>
        <w:t xml:space="preserve">INTERVENTIONS:None.</w:t>
      </w:r>
    </w:p>
    <w:p/>
    <w:p>
      <w:pPr>
        <w:pStyle w:val="Normal"/>
      </w:pPr>
      <w:r>
        <w:rPr>
          <w:color w:val="323232"/>
        </w:rPr>
        <w:t xml:space="preserve">MEASUREMENTS AND MAIN RESULTS:Parameters of coagulation and anticoagulation, fibrinolysis, and antifibrinolysis, platelet activity, inflammation, platelet count, and hematocrit were measured using CBC, TEG, platelet aggregation on multiplate, platelet activity on flow cytometry, and hemostatic and inflammatory markers on plasma and serum analyses. ANOVA and multilinear regression analyses indicated that especially hematocrit and the inflammatory parameters C-reactive protein and interleukin-8 showed best association with overall clot strength in diseased dogs with hypercoagulable TEG tracings. Ratios presumed to reflect platelet contribution to the TEG tracing obtained in TEG analyses with Cyt D were related especially with hematocrit and P-selectin expression of platelets measured after γ-Thrombin activation on flow cytometry.</w:t>
      </w:r>
    </w:p>
    <w:p/>
    <w:p>
      <w:pPr>
        <w:pStyle w:val="Normal"/>
      </w:pPr>
      <w:r>
        <w:rPr>
          <w:color w:val="323232"/>
        </w:rPr>
        <w:t xml:space="preserve">CONCLUSION:Overall clot strength in TEG analyses of the hypercoagulable dogs included in the present study appears to be primarily associated with inflammation as well as hematocrit. Furthermore, the ratio between standard TEG analyses and TEG analyses with Cyt D may reflect some degree of platelet activity.</w:t>
      </w:r>
    </w:p>
    <w:p/>
    <w:p>
      <w:pPr>
        <w:pStyle w:val="Normal"/>
      </w:pPr>
      <w:r>
        <w:rPr>
          <w:color w:val="323232"/>
        </w:rPr>
        <w:t xml:space="preserve">J Vet Emerg Crit Care (San Antonio), 2018 vol. 28 (1) pp. 20-30.</w:t>
      </w:r>
    </w:p>
    <w:p>
      <w:r>
        <w:rPr>
          <w:rStyle w:val="Hyperlink"/>
        </w:rPr>
        <w:fldChar w:fldCharType="begin"/>
      </w:r>
      <w:r>
        <w:rPr>
          <w:rStyle w:val="Hyperlink"/>
        </w:rPr>
        <w:instrText xml:space="preserve"> HYPERLINK "http://doi.wiley.com/10.1111/vec.12675" </w:instrText>
      </w:r>
      <w:r>
        <w:rPr>
          <w:rStyle w:val="Hyperlink"/>
        </w:rPr>
      </w:r>
      <w:r>
        <w:rPr>
          <w:rStyle w:val="Hyperlink"/>
        </w:rPr>
        <w:fldChar w:fldCharType="separate"/>
      </w:r>
      <w:pPr>
        <w:pStyle w:val="Normal"/>
      </w:pPr>
      <w:r>
        <w:rPr>
          <w:rStyle w:val="Hyperlink"/>
        </w:rPr>
        <w:t xml:space="preserve">http://doi.wiley.com/10.1111/vec.12675</w:t>
      </w:r>
      <w:r>
        <w:rPr>
          <w:rStyle w:val="Hyperlink"/>
        </w:rPr>
        <w:fldChar w:fldCharType="end"/>
      </w:r>
    </w:p>
    <w:p>
      <w:pPr>
        <w:pStyle w:val="Normal"/>
      </w:pPr>
      <w:r>
        <w:rPr>
          <w:color w:val="323232"/>
        </w:rPr>
        <w:t xml:space="preserve">————————</w:t>
      </w:r>
    </w:p>
    <w:p>
      <w:pPr>
        <w:pStyle w:val="Heading4"/>
      </w:pPr>
      <w:r>
        <w:t xml:space="preserve">Transpalpebral ultrasonographic measurement of the optic nerve sheath diameter in healthy dogs.</w:t>
      </w:r>
    </w:p>
    <w:p/>
    <w:p>
      <w:pPr>
        <w:pStyle w:val="Normal"/>
      </w:pPr>
      <w:r>
        <w:rPr>
          <w:color w:val="323232"/>
        </w:rPr>
        <w:t xml:space="preserve">Joshua J Smith, Daniel J Fletcher, Stacy D Cooley, and Margret S Thompson.</w:t>
      </w:r>
    </w:p>
    <w:p/>
    <w:p>
      <w:pPr>
        <w:pStyle w:val="Normal"/>
      </w:pPr>
      <w:r>
        <w:rPr>
          <w:color w:val="323232"/>
        </w:rPr>
        <w:t xml:space="preserve">OBJECTIVE:To develop a reference range for ultrasonographically measured optic nerve sheath diameter (ONSD-US) in dogs. We hypothesized that ONSD-US can be measured reliably and is associated with weight but not age, sex, or body condition score (BCS), and that the relationship between weight and ONSD-US in dogs is allometric due to canine size variations.</w:t>
      </w:r>
    </w:p>
    <w:p/>
    <w:p>
      <w:pPr>
        <w:pStyle w:val="Normal"/>
      </w:pPr>
      <w:r>
        <w:rPr>
          <w:color w:val="323232"/>
        </w:rPr>
        <w:t xml:space="preserve">DESIGN:Prospective, observational study.</w:t>
      </w:r>
    </w:p>
    <w:p/>
    <w:p>
      <w:pPr>
        <w:pStyle w:val="Normal"/>
      </w:pPr>
      <w:r>
        <w:rPr>
          <w:color w:val="323232"/>
        </w:rPr>
        <w:t xml:space="preserve">SETTING:University teaching hospital.</w:t>
      </w:r>
    </w:p>
    <w:p/>
    <w:p>
      <w:pPr>
        <w:pStyle w:val="Normal"/>
      </w:pPr>
      <w:r>
        <w:rPr>
          <w:color w:val="323232"/>
        </w:rPr>
        <w:t xml:space="preserve">ANIMALS:Seventy-eight healthy adult dogs.</w:t>
      </w:r>
    </w:p>
    <w:p/>
    <w:p>
      <w:pPr>
        <w:pStyle w:val="Normal"/>
      </w:pPr>
      <w:r>
        <w:rPr>
          <w:color w:val="323232"/>
        </w:rPr>
        <w:t xml:space="preserve">INTERVENTIONS:The ONSD was measured by a standardized transpalpebral approach.</w:t>
      </w:r>
    </w:p>
    <w:p/>
    <w:p>
      <w:pPr>
        <w:pStyle w:val="Normal"/>
      </w:pPr>
      <w:r>
        <w:rPr>
          <w:color w:val="323232"/>
        </w:rPr>
        <w:t xml:space="preserve">MEASUREMENTS AND MAIN RESULTS:Regression analysis showed the relationship between weight and ONSD was better fit with a linear model (R2 = 0.8510) than an allometric model (R2 = 0.7917). Multiple regression analysis showed ONSD is associated with weight (P &lt; 0.0001), age (P = 0.0021), and BCS (P = 0.0007), but not with sex. Dominance analysis showed 94.6% of the variance explained by the model was due to weight. Intraclass correlation coefficient (ICC) analysis showed excellent interobserver (ICC = 0.9338-0.9608) and intraobserver (ICC = 0.9893) reliability.</w:t>
      </w:r>
    </w:p>
    <w:p/>
    <w:p>
      <w:pPr>
        <w:pStyle w:val="Normal"/>
      </w:pPr>
      <w:r>
        <w:rPr>
          <w:color w:val="323232"/>
        </w:rPr>
        <w:t xml:space="preserve">CONCLUSIONS:These results suggest that ONSD-US may be reliably measured in dogs using our described transpalpebral approach, and we have calculated prediction intervals based on body weight. Future studies are needed to determine if ONSD-US measurements are associated with intracranial hypertension as shown in human medicine.</w:t>
      </w:r>
    </w:p>
    <w:p/>
    <w:p>
      <w:pPr>
        <w:pStyle w:val="Normal"/>
      </w:pPr>
      <w:r>
        <w:rPr>
          <w:color w:val="323232"/>
        </w:rPr>
        <w:t xml:space="preserve">J Vet Emerg Crit Care (San Antonio), 2018 vol. 28 (1) pp. 31-38.</w:t>
      </w:r>
    </w:p>
    <w:p>
      <w:r>
        <w:rPr>
          <w:rStyle w:val="Hyperlink"/>
        </w:rPr>
        <w:fldChar w:fldCharType="begin"/>
      </w:r>
      <w:r>
        <w:rPr>
          <w:rStyle w:val="Hyperlink"/>
        </w:rPr>
        <w:instrText xml:space="preserve"> HYPERLINK "http://eutils.ncbi.nlm.nih.gov/entrez/eutils/elink.fcgi?dbfrom=pubmed&amp;id=29171933&amp;retmode=ref&amp;cmd=prlinks"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http://eutils.ncbi.nlm.nih.gov/entrez/eutils/elink.fcgi?dbfrom=pubmed&amp;id=29171933&amp;retmode=ref&amp;cmd=prlinks</w:t>
      </w:r>
      <w:r>
        <w:rPr>
          <w:rStyle w:val="Hyperlink"/>
        </w:rPr>
        <w:fldChar w:fldCharType="end"/>
      </w:r>
    </w:p>
    <w:p>
      <w:pPr>
        <w:pStyle w:val="Normal"/>
      </w:pPr>
      <w:r>
        <w:rPr>
          <w:color w:val="323232"/>
        </w:rPr>
        <w:t xml:space="preserve">————————</w:t>
      </w:r>
    </w:p>
    <w:p>
      <w:pPr>
        <w:pStyle w:val="Heading4"/>
      </w:pPr>
      <w:r>
        <w:t xml:space="preserve">Retrospective evaluation of the prognostic utility of plasma lactate concentration, base deficit, pH, and anion gap in canine and feline emergency patients.</w:t>
      </w:r>
    </w:p>
    <w:p/>
    <w:p>
      <w:pPr>
        <w:pStyle w:val="Normal"/>
      </w:pPr>
      <w:r>
        <w:rPr>
          <w:color w:val="323232"/>
        </w:rPr>
        <w:t xml:space="preserve">Casey J Kohen, Kate Hopper, PHILIP H KASS, and Steven E Epstein.</w:t>
      </w:r>
    </w:p>
    <w:p/>
    <w:p>
      <w:pPr>
        <w:pStyle w:val="Normal"/>
      </w:pPr>
      <w:r>
        <w:rPr>
          <w:color w:val="323232"/>
        </w:rPr>
        <w:t xml:space="preserve">OBJECTIVE:To determine the association of plasma lactate concentration, pH, base deficit (BD), and anion gap (AG) in dogs and cats on presentation to an emergency room with outcome, and to compare the prognostic significance of hyperlactatemia with a concurrent metabolic acidosis with that of hyperlactatemia and a normal metabolic acid-base balance.</w:t>
      </w:r>
    </w:p>
    <w:p/>
    <w:p>
      <w:pPr>
        <w:pStyle w:val="Normal"/>
      </w:pPr>
      <w:r>
        <w:rPr>
          <w:color w:val="323232"/>
        </w:rPr>
        <w:t xml:space="preserve">DESIGN:Retrospective study.</w:t>
      </w:r>
    </w:p>
    <w:p/>
    <w:p>
      <w:pPr>
        <w:pStyle w:val="Normal"/>
      </w:pPr>
      <w:r>
        <w:rPr>
          <w:color w:val="323232"/>
        </w:rPr>
        <w:t xml:space="preserve">SETTING:University teaching hospital.</w:t>
      </w:r>
    </w:p>
    <w:p/>
    <w:p>
      <w:pPr>
        <w:pStyle w:val="Normal"/>
      </w:pPr>
      <w:r>
        <w:rPr>
          <w:color w:val="323232"/>
        </w:rPr>
        <w:t xml:space="preserve">ANIMALS:Five hundred sixty-six dogs and 185 cats that had venous blood gas analysis performed.</w:t>
      </w:r>
    </w:p>
    <w:p/>
    <w:p>
      <w:pPr>
        <w:pStyle w:val="Normal"/>
      </w:pPr>
      <w:r>
        <w:rPr>
          <w:color w:val="323232"/>
        </w:rPr>
        <w:t xml:space="preserve">INTERVENTIONS:None.</w:t>
      </w:r>
    </w:p>
    <w:p/>
    <w:p>
      <w:pPr>
        <w:pStyle w:val="Normal"/>
      </w:pPr>
      <w:r>
        <w:rPr>
          <w:color w:val="323232"/>
        </w:rPr>
        <w:t xml:space="preserve">MEASUREMENTS AND MAIN RESULTS:Medical records were reviewed for plasma lactate concentrations, electrolyte concentrations, and acid-base parameters obtained on emergency room admission, clinical diagnosis, and in-hospital mortality. The primary outcome measure was all-cause mortality for the hospitalized visit. Median plasma lactate concentration and AG were higher, BD was more negative, and pH was lower, in non-survivor dogs and cats. The prevalence of hyperlactatemia was 53% in dogs and 30% in cats. Lactic acidosis was present in 42% and 80% of hyperlactatemic dogs and cats, respectively. Multivariate regression analyses revealed that plasma lactate concentration, BD, and pH, but not AG, were independent predictors of mortality in dogs, and that only plasma lactate concentration was an independent predictor of mortality in cats. Mortality was highest for animals with lactic acidosis, at 59.8% in dogs and 49% in cats. Mortality in dogs with lactic acidosis was significantly higher than dogs with hyperlactatemia and a normal acid-base status (P &lt; 0.0001).</w:t>
      </w:r>
    </w:p>
    <w:p/>
    <w:p>
      <w:pPr>
        <w:pStyle w:val="Normal"/>
      </w:pPr>
      <w:r>
        <w:rPr>
          <w:color w:val="323232"/>
        </w:rPr>
        <w:t xml:space="preserve">CONCLUSIONS:The presence and magnitude of hyperlactatemia on presentation to the emergency room may help identify dogs and cats with high likelihood of in-hospital mortality, and the presence of lactic acidosis specifically may help identify dogs with yet higher risk of in-hospital mortality.</w:t>
      </w:r>
    </w:p>
    <w:p/>
    <w:p>
      <w:pPr>
        <w:pStyle w:val="Normal"/>
      </w:pPr>
      <w:r>
        <w:rPr>
          <w:color w:val="323232"/>
        </w:rPr>
        <w:t xml:space="preserve">J Vet Emerg Crit Care (San Antonio), 2018 vol. 28 (1) pp. 54-61.</w:t>
      </w:r>
    </w:p>
    <w:p>
      <w:r>
        <w:rPr>
          <w:rStyle w:val="Hyperlink"/>
        </w:rPr>
        <w:fldChar w:fldCharType="begin"/>
      </w:r>
      <w:r>
        <w:rPr>
          <w:rStyle w:val="Hyperlink"/>
        </w:rPr>
        <w:instrText xml:space="preserve"> HYPERLINK "http://eutils.ncbi.nlm.nih.gov/entrez/eutils/elink.fcgi?dbfrom=pubmed&amp;id=29165910&amp;retmode=ref&amp;cmd=prlinks"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http://eutils.ncbi.nlm.nih.gov/entrez/eutils/elink.fcgi?dbfrom=pubmed&amp;id=29165910&amp;retmode=ref&amp;cmd=prlinks</w:t>
      </w:r>
      <w:r>
        <w:rPr>
          <w:rStyle w:val="Hyperlink"/>
        </w:rPr>
        <w:fldChar w:fldCharType="end"/>
      </w:r>
    </w:p>
    <w:p>
      <w:pPr>
        <w:pStyle w:val="Normal"/>
      </w:pPr>
      <w:r>
        <w:rPr>
          <w:color w:val="323232"/>
        </w:rPr>
        <w:t xml:space="preserve">————————</w:t>
      </w:r>
    </w:p>
    <w:p>
      <w:pPr>
        <w:pStyle w:val="Heading4"/>
      </w:pPr>
      <w:r>
        <w:t xml:space="preserve">Acute polyneuromyopathy with respiratory failure secondary to monensin intoxication in a dog.</w:t>
      </w:r>
    </w:p>
    <w:p/>
    <w:p>
      <w:pPr>
        <w:pStyle w:val="Normal"/>
      </w:pPr>
      <w:r>
        <w:rPr>
          <w:color w:val="323232"/>
        </w:rPr>
        <w:t xml:space="preserve">Luis Bosch, Alexa M Bersenas, and Shane Bateman.</w:t>
      </w:r>
    </w:p>
    <w:p/>
    <w:p>
      <w:pPr>
        <w:pStyle w:val="Normal"/>
      </w:pPr>
      <w:r>
        <w:rPr>
          <w:color w:val="323232"/>
        </w:rPr>
        <w:t xml:space="preserve">OBJECTIVE:To describe a successfully managed case of polyneuropathy and respiratory failure secondary to presumed monensin intoxication.</w:t>
      </w:r>
    </w:p>
    <w:p/>
    <w:p>
      <w:pPr>
        <w:pStyle w:val="Normal"/>
      </w:pPr>
      <w:r>
        <w:rPr>
          <w:color w:val="323232"/>
        </w:rPr>
        <w:t xml:space="preserve">CASE SUMMARY:A 9-month-old Australian Shepherd was evaluated for progressive generalized weakness and respiratory distress. Several days preceding presentation, the dog was seen playing with a monensin capsule, and had free access to a barn where the product was stored and where chewed capsules were subsequently found. The dog was presented with flaccid tetraparesis, hyperthermia, and severe respiratory distress. Bloodwork and urinalysis revealed marked increase in serum creatine kinase concentration and presumed myoglobinuria. Cardiac troponin I level was markedly increased. Management included mechanical ventilation for 5 days, fluid-therapy, active cooling, antimicrobial therapy, analgesia, gastroprotectants, antiemetics, enteral feedings, continuous nursing care, and physiotherapy. Intravenous lipid rescue therapy was administered with lack of improvement in respiratory function and muscle strength. The patient completely recovered and was discharged after 12 days of hospitalization.</w:t>
      </w:r>
    </w:p>
    <w:p/>
    <w:p>
      <w:pPr>
        <w:pStyle w:val="Normal"/>
      </w:pPr>
      <w:r>
        <w:rPr>
          <w:color w:val="323232"/>
        </w:rPr>
        <w:t xml:space="preserve">NEW OR UNIQUE INFORMATION PROVIDED:Monensin intoxication should be considered in the differential diagnosis of acute polyneuromyopathy and respiratory failure in dogs with access to this compound. Respiratory failure secondary to monensin intoxication does not necessarily carry a poor prognosis if mechanical ventilation can be provided as a bridge until return of respiratory function is achieved.</w:t>
      </w:r>
    </w:p>
    <w:p/>
    <w:p>
      <w:pPr>
        <w:pStyle w:val="Normal"/>
      </w:pPr>
      <w:r>
        <w:rPr>
          <w:color w:val="323232"/>
        </w:rPr>
        <w:t xml:space="preserve">J Vet Emerg Crit Care (San Antonio), 2018 vol. 28 (1) pp. 62-68.</w:t>
      </w:r>
    </w:p>
    <w:p>
      <w:r>
        <w:rPr>
          <w:rStyle w:val="Hyperlink"/>
        </w:rPr>
        <w:fldChar w:fldCharType="begin"/>
      </w:r>
      <w:r>
        <w:rPr>
          <w:rStyle w:val="Hyperlink"/>
        </w:rPr>
        <w:instrText xml:space="preserve"> HYPERLINK "http://eutils.ncbi.nlm.nih.gov/entrez/eutils/elink.fcgi?dbfrom=pubmed&amp;id=29210488&amp;retmode=ref&amp;cmd=prlinks"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http://eutils.ncbi.nlm.nih.gov/entrez/eutils/elink.fcgi?dbfrom=pubmed&amp;id=29210488&amp;retmode=ref&amp;cmd=prlinks</w:t>
      </w:r>
      <w:r>
        <w:rPr>
          <w:rStyle w:val="Hyperlink"/>
        </w:rPr>
        <w:fldChar w:fldCharType="end"/>
      </w:r>
    </w:p>
    <w:p>
      <w:pPr>
        <w:pStyle w:val="Normal"/>
      </w:pPr>
      <w:r>
        <w:rPr>
          <w:color w:val="323232"/>
        </w:rPr>
        <w:t xml:space="preserve">————————</w:t>
      </w:r>
    </w:p>
    <w:p>
      <w:pPr>
        <w:pStyle w:val="Heading4"/>
      </w:pPr>
      <w:r>
        <w:t xml:space="preserve">Evaluation of nafamostat mesilate as an alternative anticoagulant during intermittent hemodialysis in healthy Beagle dogs.</w:t>
      </w:r>
    </w:p>
    <w:p/>
    <w:p>
      <w:pPr>
        <w:pStyle w:val="Normal"/>
      </w:pPr>
      <w:r>
        <w:rPr>
          <w:color w:val="323232"/>
        </w:rPr>
        <w:t xml:space="preserve">Joon-hyuk Choi, Seok-yeong Byun, Aryung Nam, Sei-myoung Han, Kyu-pil Lee, Kun-ho Song, Hwa-young Youn, and Kyoung-won Seo.</w:t>
      </w:r>
    </w:p>
    <w:p/>
    <w:p>
      <w:pPr>
        <w:pStyle w:val="Normal"/>
      </w:pPr>
      <w:r>
        <w:rPr>
          <w:color w:val="323232"/>
        </w:rPr>
        <w:t xml:space="preserve">OBJECTIVE:To evaluate nafamostat mesilate (NM) as an alternative anticoagulant agent for intermittent hemodialysis (IHD).</w:t>
      </w:r>
    </w:p>
    <w:p/>
    <w:p>
      <w:pPr>
        <w:pStyle w:val="Normal"/>
      </w:pPr>
      <w:r>
        <w:rPr>
          <w:color w:val="323232"/>
        </w:rPr>
        <w:t xml:space="preserve">DESIGN:Prospective randomized study.</w:t>
      </w:r>
    </w:p>
    <w:p/>
    <w:p>
      <w:pPr>
        <w:pStyle w:val="Normal"/>
      </w:pPr>
      <w:r>
        <w:rPr>
          <w:color w:val="323232"/>
        </w:rPr>
        <w:t xml:space="preserve">SETTING:University teaching hospital.</w:t>
      </w:r>
    </w:p>
    <w:p/>
    <w:p>
      <w:pPr>
        <w:pStyle w:val="Normal"/>
      </w:pPr>
      <w:r>
        <w:rPr>
          <w:color w:val="323232"/>
        </w:rPr>
        <w:t xml:space="preserve">ANIMALS:Eighteen healthy Beagle dogs.</w:t>
      </w:r>
    </w:p>
    <w:p/>
    <w:p>
      <w:pPr>
        <w:pStyle w:val="Normal"/>
      </w:pPr>
      <w:r>
        <w:rPr>
          <w:color w:val="323232"/>
        </w:rPr>
        <w:t xml:space="preserve">INTERVENTIONS:In group 1 (n = 6), NM was administered at a dose of 0.5 mg</w:t>
      </w:r>
      <w:r>
        <w:rPr>
          <w:i w:val="1"/>
          <w:color w:val="323232"/>
        </w:rPr>
        <w:t xml:space="preserve">kg</w:t>
      </w:r>
      <w:r>
        <w:rPr>
          <w:color w:val="323232"/>
        </w:rPr>
        <w:t xml:space="preserve">h during IHD for 5 hours. In group 2 (n = 6), NM was administered at a low dose of 0.25 mg</w:t>
      </w:r>
      <w:r>
        <w:rPr>
          <w:i w:val="1"/>
          <w:color w:val="323232"/>
        </w:rPr>
        <w:t xml:space="preserve">kg</w:t>
      </w:r>
      <w:r>
        <w:rPr>
          <w:color w:val="323232"/>
        </w:rPr>
        <w:t xml:space="preserve">h during IHD. In group 3 (n = 6), which was the control group, unfractionated heparin (UFH) was administered during IHD. The evaluated parameters included: the amount of residual blood clots in the blood chamber and arterial side of the dialyzer; the levels of hemoglobin, hematocrit, and platelets; and the prothrombin time (PT), activated partial thromboplastin time (aPTT), and activated clotting time (ACT).</w:t>
      </w:r>
    </w:p>
    <w:p/>
    <w:p>
      <w:pPr>
        <w:pStyle w:val="Normal"/>
      </w:pPr>
      <w:r>
        <w:rPr>
          <w:color w:val="323232"/>
        </w:rPr>
        <w:t xml:space="preserve">MEASUREMENTS AND MAIN RESULTS:Groups 1 and 2 successfully completed IHD without serious coagulation in the extracorporeal circulation. The residual blood clotting in the blood chamber and arterial side of the dialyzer did not significantly differ in groups 1 and 2 compared to group 3 (group 1 vs group 3, P = 1.000; and group 2 vs group 3, P = 1.000). No significant differences were observed between pre- and posttreatment PTs in groups 1 (P = 0.476) and 2 (P = 0.597), between pre- and posttreatment aPTTs in groups 1 (P = 0.983) and 2 (P = 0.977), and between pre- and posttreatment ACT in groups 1 (P = 0.282) and 2 (P = 0.401). In group 3, a significant elevation of ACT was observed at the posttest (P &lt; 0.001).</w:t>
      </w:r>
    </w:p>
    <w:p/>
    <w:p>
      <w:pPr>
        <w:pStyle w:val="Normal"/>
      </w:pPr>
      <w:r>
        <w:rPr>
          <w:color w:val="323232"/>
        </w:rPr>
        <w:t xml:space="preserve">CONCLUSIONS:The results of this study in healthy Beagle dogs suggest that NM at 0.25 mg</w:t>
      </w:r>
      <w:r>
        <w:rPr>
          <w:i w:val="1"/>
          <w:color w:val="323232"/>
        </w:rPr>
        <w:t xml:space="preserve">kg</w:t>
      </w:r>
      <w:r>
        <w:rPr>
          <w:color w:val="323232"/>
        </w:rPr>
        <w:t xml:space="preserve">h may be a valid alternative to UFH for IHD. Further studies are needed in patients at high risk of bleeding.</w:t>
      </w:r>
    </w:p>
    <w:p/>
    <w:p>
      <w:pPr>
        <w:pStyle w:val="Normal"/>
      </w:pPr>
      <w:r>
        <w:rPr>
          <w:color w:val="323232"/>
        </w:rPr>
        <w:t xml:space="preserve">J Vet Emerg Crit Care (San Antonio), 2018 vol. 28 (2) pp. 122-129.</w:t>
      </w:r>
    </w:p>
    <w:p>
      <w:r>
        <w:rPr>
          <w:rStyle w:val="Hyperlink"/>
        </w:rPr>
        <w:fldChar w:fldCharType="begin"/>
      </w:r>
      <w:r>
        <w:rPr>
          <w:rStyle w:val="Hyperlink"/>
        </w:rPr>
        <w:instrText xml:space="preserve"> HYPERLINK "http://eutils.ncbi.nlm.nih.gov/entrez/eutils/elink.fcgi?dbfrom=pubmed&amp;id=29419934&amp;retmode=ref&amp;cmd=prlinks"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http://eutils.ncbi.nlm.nih.gov/entrez/eutils/elink.fcgi?dbfrom=pubmed&amp;id=29419934&amp;retmode=ref&amp;cmd=prlinks</w:t>
      </w:r>
      <w:r>
        <w:rPr>
          <w:rStyle w:val="Hyperlink"/>
        </w:rPr>
        <w:fldChar w:fldCharType="end"/>
      </w:r>
    </w:p>
    <w:p>
      <w:pPr>
        <w:pStyle w:val="Normal"/>
      </w:pPr>
      <w:r>
        <w:rPr>
          <w:color w:val="323232"/>
        </w:rPr>
        <w:t xml:space="preserve">————————</w:t>
      </w:r>
    </w:p>
    <w:p>
      <w:pPr>
        <w:pStyle w:val="Heading4"/>
      </w:pPr>
      <w:r>
        <w:t xml:space="preserve">Plasma ammonia concentration after L-asparaginase therapy in 27 dogs with high-grade lymphoma or leukemia.</w:t>
      </w:r>
    </w:p>
    <w:p/>
    <w:p>
      <w:pPr>
        <w:pStyle w:val="Normal"/>
      </w:pPr>
      <w:r>
        <w:rPr>
          <w:color w:val="323232"/>
        </w:rPr>
        <w:t xml:space="preserve">Abbie L Speas, Sarah E Lyles, Kimberly A Wirth, Christine E Fahey, Kelvin Kow, Amandine T Lejeune, and Rowan J Milner.</w:t>
      </w:r>
    </w:p>
    <w:p/>
    <w:p>
      <w:pPr>
        <w:pStyle w:val="Normal"/>
      </w:pPr>
      <w:r>
        <w:rPr>
          <w:color w:val="323232"/>
        </w:rPr>
        <w:t xml:space="preserve">OBJECTIVES:To establish the occurrence of increased plasma ammonia concentration after L-asparaginase (L-asp) administration in dogs with high-grade lymphoma or leukemia; to identify risk factors for the development of hyperammonemia after L-asp administration; and to determine occurrence of adverse events related to hyperammonemia.</w:t>
      </w:r>
    </w:p>
    <w:p/>
    <w:p>
      <w:pPr>
        <w:pStyle w:val="Normal"/>
      </w:pPr>
      <w:r>
        <w:rPr>
          <w:color w:val="323232"/>
        </w:rPr>
        <w:t xml:space="preserve">DESIGN:Prospective case controlled study of sequentially enrolled dogs between May 2011 and March 2012.</w:t>
      </w:r>
    </w:p>
    <w:p/>
    <w:p>
      <w:pPr>
        <w:pStyle w:val="Normal"/>
      </w:pPr>
      <w:r>
        <w:rPr>
          <w:color w:val="323232"/>
        </w:rPr>
        <w:t xml:space="preserve">SETTING:A university veterinary teaching hospital.</w:t>
      </w:r>
    </w:p>
    <w:p/>
    <w:p>
      <w:pPr>
        <w:pStyle w:val="Normal"/>
      </w:pPr>
      <w:r>
        <w:rPr>
          <w:color w:val="323232"/>
        </w:rPr>
        <w:t xml:space="preserve">ANIMALS:Twenty-seven dogs with high-grade lymphoma or leukemia.</w:t>
      </w:r>
    </w:p>
    <w:p/>
    <w:p>
      <w:pPr>
        <w:pStyle w:val="Normal"/>
      </w:pPr>
      <w:r>
        <w:rPr>
          <w:color w:val="323232"/>
        </w:rPr>
        <w:t xml:space="preserve">INTERVENTIONS:All dogs received L-asp intramuscularly at a median dose of 400</w:t>
      </w:r>
      <w:r>
        <w:rPr>
          <w:color w:val="323232"/>
        </w:rPr>
        <w:t xml:space="preserve"> </w:t>
      </w:r>
      <w:r>
        <w:rPr>
          <w:color w:val="323232"/>
        </w:rPr>
        <w:t xml:space="preserve">IU/kg.</w:t>
      </w:r>
    </w:p>
    <w:p/>
    <w:p>
      <w:pPr>
        <w:pStyle w:val="Normal"/>
      </w:pPr>
      <w:r>
        <w:rPr>
          <w:color w:val="323232"/>
        </w:rPr>
        <w:t xml:space="preserve">MEASUREMENTS AND MAIN RESULTS:Plasma ammonia concentrations were measured at baseline, 16 hours, and 48 hours after L-asp therapy. Clinicopathological abnormalities were assessed to determine risk factors for the development of hyperammonemia. Adverse events following L-asp were recorded. Median plasma ammonia concentrations at baseline, 16 hours, and 48 hours were 26 μmol</w:t>
      </w:r>
      <w:r>
        <w:rPr>
          <w:i w:val="1"/>
          <w:color w:val="323232"/>
        </w:rPr>
        <w:t xml:space="preserve">L (44</w:t>
      </w:r>
      <w:r>
        <w:rPr>
          <w:color w:val="323232"/>
        </w:rPr>
        <w:t xml:space="preserve"> </w:t>
      </w:r>
      <w:r>
        <w:rPr>
          <w:i w:val="1"/>
          <w:color w:val="323232"/>
        </w:rPr>
        <w:t xml:space="preserve">μg</w:t>
      </w:r>
      <w:r>
        <w:rPr>
          <w:color w:val="323232"/>
        </w:rPr>
        <w:t xml:space="preserve">dL), 98 μmol</w:t>
      </w:r>
      <w:r>
        <w:rPr>
          <w:i w:val="1"/>
          <w:color w:val="323232"/>
        </w:rPr>
        <w:t xml:space="preserve">L (166.9</w:t>
      </w:r>
      <w:r>
        <w:rPr>
          <w:color w:val="323232"/>
        </w:rPr>
        <w:t xml:space="preserve"> </w:t>
      </w:r>
      <w:r>
        <w:rPr>
          <w:i w:val="1"/>
          <w:color w:val="323232"/>
        </w:rPr>
        <w:t xml:space="preserve">μg</w:t>
      </w:r>
      <w:r>
        <w:rPr>
          <w:color w:val="323232"/>
        </w:rPr>
        <w:t xml:space="preserve">dL), and 67 μmol</w:t>
      </w:r>
      <w:r>
        <w:rPr>
          <w:i w:val="1"/>
          <w:color w:val="323232"/>
        </w:rPr>
        <w:t xml:space="preserve">L (114</w:t>
      </w:r>
      <w:r>
        <w:rPr>
          <w:color w:val="323232"/>
        </w:rPr>
        <w:t xml:space="preserve"> </w:t>
      </w:r>
      <w:r>
        <w:rPr>
          <w:i w:val="1"/>
          <w:color w:val="323232"/>
        </w:rPr>
        <w:t xml:space="preserve">μg</w:t>
      </w:r>
      <w:r>
        <w:rPr>
          <w:color w:val="323232"/>
        </w:rPr>
        <w:t xml:space="preserve">dL), respectively. Median plasma ammonia concentrations at 16 and 48 hours after administration were significantly increased compared to baseline. Six dogs had adverse events following L-asp administration. No significant clinical signs were noted that could clearly be attributed to hyperammonemia. No risk factors for developing hyperammonemia were identified; however, there was a positive correlation between the development of hyperammonemia at 16- and 48-hour time points.</w:t>
      </w:r>
    </w:p>
    <w:p/>
    <w:p>
      <w:pPr>
        <w:pStyle w:val="Normal"/>
      </w:pPr>
      <w:r>
        <w:rPr>
          <w:color w:val="323232"/>
        </w:rPr>
        <w:t xml:space="preserve">CONCLUSIONS:Subclinical hyperammonemia in dogs with lymphoma or leukemia after L-asp administration appears to be common. No risk factors were identified for the development of hyperammonemia after L-asp treatment, and severe adverse events were rare.</w:t>
      </w:r>
    </w:p>
    <w:p/>
    <w:p>
      <w:pPr>
        <w:pStyle w:val="Normal"/>
      </w:pPr>
      <w:r>
        <w:rPr>
          <w:color w:val="323232"/>
        </w:rPr>
        <w:t xml:space="preserve">J Vet Emerg Crit Care (San Antonio), 2018 vol. 28 (2) pp. 130-139.</w:t>
      </w:r>
    </w:p>
    <w:p>
      <w:r>
        <w:rPr>
          <w:rStyle w:val="Hyperlink"/>
        </w:rPr>
        <w:fldChar w:fldCharType="begin"/>
      </w:r>
      <w:r>
        <w:rPr>
          <w:rStyle w:val="Hyperlink"/>
        </w:rPr>
        <w:instrText xml:space="preserve"> HYPERLINK "http://eutils.ncbi.nlm.nih.gov/entrez/eutils/elink.fcgi?dbfrom=pubmed&amp;id=29469204&amp;retmode=ref&amp;cmd=prlinks"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http://eutils.ncbi.nlm.nih.gov/entrez/eutils/elink.fcgi?dbfrom=pubmed&amp;id=29469204&amp;retmode=ref&amp;cmd=prlinks</w:t>
      </w:r>
      <w:r>
        <w:rPr>
          <w:rStyle w:val="Hyperlink"/>
        </w:rPr>
        <w:fldChar w:fldCharType="end"/>
      </w:r>
    </w:p>
    <w:p>
      <w:pPr>
        <w:pStyle w:val="Normal"/>
      </w:pPr>
      <w:r>
        <w:rPr>
          <w:color w:val="323232"/>
        </w:rPr>
        <w:t xml:space="preserve">————————</w:t>
      </w:r>
    </w:p>
    <w:p>
      <w:pPr>
        <w:pStyle w:val="Heading4"/>
      </w:pPr>
      <w:r>
        <w:t xml:space="preserve">Epidemiology, clinical management, and outcomes of dogs involved in road traffic accidents in the United Kingdom (2009-2014).</w:t>
      </w:r>
    </w:p>
    <w:p/>
    <w:p>
      <w:pPr>
        <w:pStyle w:val="Normal"/>
      </w:pPr>
      <w:r>
        <w:rPr>
          <w:color w:val="323232"/>
        </w:rPr>
        <w:t xml:space="preserve">Georgina L Harris, David Brodbelt, David Church, Karen Humm, Paul D McGreevy, Peter C Thomson, and Dan O'Neill.</w:t>
      </w:r>
    </w:p>
    <w:p/>
    <w:p>
      <w:pPr>
        <w:pStyle w:val="Normal"/>
      </w:pPr>
      <w:r>
        <w:rPr>
          <w:color w:val="323232"/>
        </w:rPr>
        <w:t xml:space="preserve">OBJECTIVE:To estimate the prevalence and risk factors for road traffic accidents (RTA) in dogs and describe the management and outcome of these dogs attending primary-care veterinary practices in the United Kingdom.</w:t>
      </w:r>
    </w:p>
    <w:p/>
    <w:p>
      <w:pPr>
        <w:pStyle w:val="Normal"/>
      </w:pPr>
      <w:r>
        <w:rPr>
          <w:color w:val="323232"/>
        </w:rPr>
        <w:t xml:space="preserve">DESIGN:Retrospective cross-sectional study.</w:t>
      </w:r>
    </w:p>
    <w:p/>
    <w:p>
      <w:pPr>
        <w:pStyle w:val="Normal"/>
      </w:pPr>
      <w:r>
        <w:rPr>
          <w:color w:val="323232"/>
        </w:rPr>
        <w:t xml:space="preserve">SETTING:Primary-care veterinary practices in the United Kingdom.</w:t>
      </w:r>
    </w:p>
    <w:p/>
    <w:p>
      <w:pPr>
        <w:pStyle w:val="Normal"/>
      </w:pPr>
      <w:r>
        <w:rPr>
          <w:color w:val="323232"/>
        </w:rPr>
        <w:t xml:space="preserve">ANIMALS:The study population included 199,464 dogs attending 115 primary-care clinics across the United Kingdom.</w:t>
      </w:r>
    </w:p>
    <w:p/>
    <w:p>
      <w:pPr>
        <w:pStyle w:val="Normal"/>
      </w:pPr>
      <w:r>
        <w:rPr>
          <w:color w:val="323232"/>
        </w:rPr>
        <w:t xml:space="preserve">MEASUREMENTS AND MAIN RESULTS:Electronic patient records of dogs attending practices participating in the</w:t>
      </w:r>
      <w:r>
        <w:rPr>
          <w:color w:val="323232"/>
        </w:rPr>
        <w:t xml:space="preserve"> </w:t>
      </w:r>
      <w:r>
        <w:rPr>
          <w:color w:val="323232"/>
        </w:rPr>
        <w:t xml:space="preserve">VetCompass</w:t>
      </w:r>
      <w:r>
        <w:rPr>
          <w:color w:val="323232"/>
        </w:rPr>
        <w:t xml:space="preserve"> </w:t>
      </w:r>
      <w:r>
        <w:rPr>
          <w:color w:val="323232"/>
        </w:rPr>
        <w:t xml:space="preserve">Programme were assessed against selection criteria used to define RTA cases. Cases identified as RTAs were identified and manually verified to calculate prevalence.</w:t>
      </w:r>
      <w:r>
        <w:rPr>
          <w:color w:val="323232"/>
        </w:rPr>
        <w:t xml:space="preserve"> </w:t>
      </w:r>
      <w:r>
        <w:rPr>
          <w:color w:val="323232"/>
        </w:rPr>
        <w:t xml:space="preserve">Univariable</w:t>
      </w:r>
      <w:r>
        <w:rPr>
          <w:color w:val="323232"/>
        </w:rPr>
        <w:t xml:space="preserve"> </w:t>
      </w:r>
      <w:r>
        <w:rPr>
          <w:color w:val="323232"/>
        </w:rPr>
        <w:t xml:space="preserve">and multivariable logistic regression methods were used to evaluate associations between risk factors and RTA. The prevalence of RTA was 0.41%. Of the RTA cases, 615 (74.9%) were purebred, 322 (39.2%) were female, and 285 (54.8%) were insured. The median age at RTA was 2.5 years. After accounting for the effects of other factors, younger dogs had increased odds of an RTA event: dogs aged under 3 years showed 2.9 times the odds and dogs aged between 6-9 years showed 1.8 times the odds of an RTA event compared with dogs aged over 14 years. Males had 1.4 times the odds of an RTA event compared with females. Overall, 22.9% of cases died from a cause associated with RTA. Of dogs with information available, 34.0% underwent diagnostic imaging, 29.4% received intravenous fluid-therapy, 71.1% received pain relief, 46.0% were hospitalized, and 15.6% had surgery performed under general anesthetic.</w:t>
      </w:r>
    </w:p>
    <w:p/>
    <w:p>
      <w:pPr>
        <w:pStyle w:val="Normal"/>
      </w:pPr>
      <w:r>
        <w:rPr>
          <w:color w:val="323232"/>
        </w:rPr>
        <w:t xml:space="preserve">CONCLUSIONS:This study identified important demographic factors associated with RTA in dogs, notably being young and male.</w:t>
      </w:r>
    </w:p>
    <w:p/>
    <w:p>
      <w:pPr>
        <w:pStyle w:val="Normal"/>
      </w:pPr>
      <w:r>
        <w:rPr>
          <w:color w:val="323232"/>
        </w:rPr>
        <w:t xml:space="preserve">J Vet Emerg Crit Care (San Antonio), 2018 vol. 28 (2) pp. 140-148.</w:t>
      </w:r>
    </w:p>
    <w:p>
      <w:r>
        <w:rPr>
          <w:rStyle w:val="Hyperlink"/>
        </w:rPr>
        <w:fldChar w:fldCharType="begin"/>
      </w:r>
      <w:r>
        <w:rPr>
          <w:rStyle w:val="Hyperlink"/>
        </w:rPr>
        <w:instrText xml:space="preserve"> HYPERLINK "http://eutils.ncbi.nlm.nih.gov/entrez/eutils/elink.fcgi?dbfrom=pubmed&amp;id=29509322&amp;retmode=ref&amp;cmd=prlinks"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http://eutils.ncbi.nlm.nih.gov/entrez/eutils/elink.fcgi?dbfrom=pubmed&amp;id=29509322&amp;retmode=ref&amp;cmd=prlinks</w:t>
      </w:r>
      <w:r>
        <w:rPr>
          <w:rStyle w:val="Hyperlink"/>
        </w:rPr>
        <w:fldChar w:fldCharType="end"/>
      </w:r>
    </w:p>
    <w:p>
      <w:pPr>
        <w:pStyle w:val="Normal"/>
      </w:pPr>
      <w:r>
        <w:rPr>
          <w:color w:val="323232"/>
        </w:rPr>
        <w:t xml:space="preserve">————————</w:t>
      </w:r>
    </w:p>
    <w:p>
      <w:pPr>
        <w:pStyle w:val="Heading4"/>
      </w:pPr>
      <w:r>
        <w:t xml:space="preserve">Retrospective evaluation of plasma cholesterol concentration in septic dogs and its association with morbidity and mortality: 51 cases (2005-2015).</w:t>
      </w:r>
    </w:p>
    <w:p/>
    <w:p>
      <w:pPr>
        <w:pStyle w:val="Normal"/>
      </w:pPr>
      <w:r>
        <w:rPr>
          <w:color w:val="323232"/>
        </w:rPr>
        <w:t xml:space="preserve">Plasma cholesterol as a biomarker in sepsis.</w:t>
      </w:r>
    </w:p>
    <w:p>
      <w:pPr>
        <w:pStyle w:val="Normal"/>
      </w:pPr>
      <w:r>
        <w:rPr>
          <w:color w:val="323232"/>
        </w:rPr>
        <w:t xml:space="preserve">Jack P Hardy, Elizabeth M Streeter, and Rhonda R DeCook.</w:t>
      </w:r>
    </w:p>
    <w:p/>
    <w:p>
      <w:pPr>
        <w:pStyle w:val="Normal"/>
      </w:pPr>
      <w:r>
        <w:rPr>
          <w:color w:val="323232"/>
        </w:rPr>
        <w:t xml:space="preserve">OBJECTIVE:To determine whether plasma cholesterol concentrations in dogs with sepsis is associated with morbidity or in-hospital mortality.</w:t>
      </w:r>
    </w:p>
    <w:p/>
    <w:p>
      <w:pPr>
        <w:pStyle w:val="Normal"/>
      </w:pPr>
      <w:r>
        <w:rPr>
          <w:color w:val="323232"/>
        </w:rPr>
        <w:t xml:space="preserve">DESIGN:Retrospective cohort study from 2005-2015.</w:t>
      </w:r>
    </w:p>
    <w:p/>
    <w:p>
      <w:pPr>
        <w:pStyle w:val="Normal"/>
      </w:pPr>
      <w:r>
        <w:rPr>
          <w:color w:val="323232"/>
        </w:rPr>
        <w:t xml:space="preserve">SETTING:Two private referral centers.</w:t>
      </w:r>
    </w:p>
    <w:p/>
    <w:p>
      <w:pPr>
        <w:pStyle w:val="Normal"/>
      </w:pPr>
      <w:r>
        <w:rPr>
          <w:color w:val="323232"/>
        </w:rPr>
        <w:t xml:space="preserve">ANIMALS:Fifty-one dogs diagnosed with sepsis.</w:t>
      </w:r>
    </w:p>
    <w:p/>
    <w:p>
      <w:pPr>
        <w:pStyle w:val="Normal"/>
      </w:pPr>
      <w:r>
        <w:rPr>
          <w:color w:val="323232"/>
        </w:rPr>
        <w:t xml:space="preserve">INTERVENTIONS:None.</w:t>
      </w:r>
    </w:p>
    <w:p/>
    <w:p>
      <w:pPr>
        <w:pStyle w:val="Normal"/>
      </w:pPr>
      <w:r>
        <w:rPr>
          <w:color w:val="323232"/>
        </w:rPr>
        <w:t xml:space="preserve">MEASUREMENTS AND MAIN RESULTS:Dogs were classified as septic if they displayed ≥2 criteria of the systemic inflammatory response syndrome in conjunction with a documented underlying infectious cause. Dogs were excluded if they had been diagnosed previously with any concurrent illness reported to alter plasma cholesterol concentrations. Plasma cholesterol concentrations at the time of sepsis diagnosis were statistically analyzed for association with morbidity, as measured by the presence of organ dysfunction, the number of dysfunctional organs, duration of hospitalization, cost of hospitalization, and in-hospital mortality. Twenty-eight (55%) dogs survived to discharge, 15 (29%) were euthanized during hospitalization, and 8 (16%) died despite treatment. While median cholesterol concentrations were significantly different when comparing survivors to discharge versus nonsurvivors who died naturally despite treatment (P = 0.0245), they were not significantly different when comparing survivors to all nonsurvivors (P = 0.1821). Receiver operating characteristic curve analysis showed a cholesterol cutoff of 4.5 mmol</w:t>
      </w:r>
      <w:r>
        <w:rPr>
          <w:i w:val="1"/>
          <w:color w:val="323232"/>
        </w:rPr>
        <w:t xml:space="preserve">L (174 mg</w:t>
      </w:r>
      <w:r>
        <w:rPr>
          <w:color w:val="323232"/>
        </w:rPr>
        <w:t xml:space="preserve">dL) with a sensitivity of 75% and a specificity of 50% for predicting in-hospital mortality. For surviving dogs, plasma cholesterol concentrations were not associated with increased length of hospital stay. Number of dysfunctional organs and plasma cholesterol concentration were the 2 most significant individual predictors for survival, and when incorporated into a multivariate logistic regression model used for prediction, the model yielded a sensitivity of 94% and specificity of 63%.</w:t>
      </w:r>
    </w:p>
    <w:p/>
    <w:p>
      <w:pPr>
        <w:pStyle w:val="Normal"/>
      </w:pPr>
      <w:r>
        <w:rPr>
          <w:color w:val="323232"/>
        </w:rPr>
        <w:t xml:space="preserve">CONCLUSION:Plasma cholesterol concentration can provide prognostic information in dogs with sepsis. Further prospective studies investigating the role of cholesterol in sepsis are needed.</w:t>
      </w:r>
    </w:p>
    <w:p/>
    <w:p>
      <w:pPr>
        <w:pStyle w:val="Normal"/>
      </w:pPr>
      <w:r>
        <w:rPr>
          <w:color w:val="323232"/>
        </w:rPr>
        <w:t xml:space="preserve">J Vet Emerg Crit Care (San Antonio), 2018 vol. 28 (2) pp. 149-156.</w:t>
      </w:r>
    </w:p>
    <w:p>
      <w:r>
        <w:rPr>
          <w:rStyle w:val="Hyperlink"/>
        </w:rPr>
        <w:fldChar w:fldCharType="begin"/>
      </w:r>
      <w:r>
        <w:rPr>
          <w:rStyle w:val="Hyperlink"/>
        </w:rPr>
        <w:instrText xml:space="preserve"> HYPERLINK "http://doi.wiley.com/10.1111/vec.12705" </w:instrText>
      </w:r>
      <w:r>
        <w:rPr>
          <w:rStyle w:val="Hyperlink"/>
        </w:rPr>
      </w:r>
      <w:r>
        <w:rPr>
          <w:rStyle w:val="Hyperlink"/>
        </w:rPr>
        <w:fldChar w:fldCharType="separate"/>
      </w:r>
      <w:pPr>
        <w:pStyle w:val="Normal"/>
      </w:pPr>
      <w:r>
        <w:rPr>
          <w:rStyle w:val="Hyperlink"/>
        </w:rPr>
        <w:t xml:space="preserve">http://doi.wiley.com/10.1111/vec.12705</w:t>
      </w:r>
      <w:r>
        <w:rPr>
          <w:rStyle w:val="Hyperlink"/>
        </w:rPr>
        <w:fldChar w:fldCharType="end"/>
      </w:r>
    </w:p>
    <w:p>
      <w:pPr>
        <w:pStyle w:val="Normal"/>
      </w:pPr>
      <w:r>
        <w:rPr>
          <w:color w:val="323232"/>
        </w:rPr>
        <w:t xml:space="preserve">————————</w:t>
      </w:r>
    </w:p>
    <w:p>
      <w:pPr>
        <w:pStyle w:val="Heading4"/>
      </w:pPr>
      <w:r>
        <w:t xml:space="preserve">A serious adverse event secondary to rapid intravenous levetiracetam injection in a dog.</w:t>
      </w:r>
    </w:p>
    <w:p/>
    <w:p>
      <w:pPr>
        <w:pStyle w:val="Normal"/>
      </w:pPr>
      <w:r>
        <w:rPr>
          <w:color w:val="323232"/>
        </w:rPr>
        <w:t xml:space="preserve">Allison A Biddick, Lenore M Bacek, and Amanda R Taylor.</w:t>
      </w:r>
    </w:p>
    <w:p/>
    <w:p>
      <w:pPr>
        <w:pStyle w:val="Normal"/>
      </w:pPr>
      <w:r>
        <w:rPr>
          <w:color w:val="323232"/>
        </w:rPr>
        <w:t xml:space="preserve">OBJECTIVE:To describe a serious adverse event as a result of rapid intravenous injection of undiluted levetiracetam in a dog.</w:t>
      </w:r>
    </w:p>
    <w:p/>
    <w:p>
      <w:pPr>
        <w:pStyle w:val="Normal"/>
      </w:pPr>
      <w:r>
        <w:rPr>
          <w:color w:val="323232"/>
        </w:rPr>
        <w:t xml:space="preserve">CASE SUMMARY:An 8-year-old female spayed Chihuahua was evaluated for cluster seizures and tachypnea. The patient was administered an intravenous dose of undiluted levetiracetam (60 mg/kg) and immediately developed tachycardia, hyperglycemia, hypotension, and a dull mentation. The patient's blood pressure and mentation did not respond to intravenous fluid boluses but improved immediately after administration of epinephrine intravenously. The patient subsequently developed respiratory failure necessitating mechanical ventilation, prior to cardiac arrest. Necropsy examination noted a pulmonary inflammatory cell infiltrate, pulmonary edema, and interstitial pneumonia.</w:t>
      </w:r>
    </w:p>
    <w:p/>
    <w:p>
      <w:pPr>
        <w:pStyle w:val="Normal"/>
      </w:pPr>
      <w:r>
        <w:rPr>
          <w:color w:val="323232"/>
        </w:rPr>
        <w:t xml:space="preserve">NEW OR UNIQUE INFORMATION PROVIDED:This report documents a serious adverse event associated with intravenous levetiracetam administration to a dog.</w:t>
      </w:r>
    </w:p>
    <w:p/>
    <w:p>
      <w:pPr>
        <w:pStyle w:val="Normal"/>
      </w:pPr>
      <w:r>
        <w:rPr>
          <w:color w:val="323232"/>
        </w:rPr>
        <w:t xml:space="preserve">J Vet Emerg Crit Care (San Antonio), 2018 vol. 28 (2) pp. 157-162.</w:t>
      </w:r>
    </w:p>
    <w:p>
      <w:r>
        <w:rPr>
          <w:rStyle w:val="Hyperlink"/>
        </w:rPr>
        <w:fldChar w:fldCharType="begin"/>
      </w:r>
      <w:r>
        <w:rPr>
          <w:rStyle w:val="Hyperlink"/>
        </w:rPr>
        <w:instrText xml:space="preserve"> HYPERLINK "http://eutils.ncbi.nlm.nih.gov/entrez/eutils/elink.fcgi?dbfrom=pubmed&amp;id=29419933&amp;retmode=ref&amp;cmd=prlinks"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http://eutils.ncbi.nlm.nih.gov/entrez/eutils/elink.fcgi?dbfrom=pubmed&amp;id=29419933&amp;retmode=ref&amp;cmd=prlinks</w:t>
      </w:r>
      <w:r>
        <w:rPr>
          <w:rStyle w:val="Hyperlink"/>
        </w:rPr>
        <w:fldChar w:fldCharType="end"/>
      </w:r>
    </w:p>
    <w:p>
      <w:pPr>
        <w:pStyle w:val="Normal"/>
      </w:pPr>
      <w:r>
        <w:rPr>
          <w:color w:val="323232"/>
        </w:rPr>
        <w:t xml:space="preserve">————————</w:t>
      </w:r>
    </w:p>
    <w:p>
      <w:pPr>
        <w:pStyle w:val="Heading4"/>
      </w:pPr>
      <w:r>
        <w:t xml:space="preserve">Treatment of acute kidney injury associated with cyclosporine overdose in a dog using hemodialysis and charcoal hemoperfusion.</w:t>
      </w:r>
    </w:p>
    <w:p/>
    <w:p>
      <w:pPr>
        <w:pStyle w:val="Normal"/>
      </w:pPr>
      <w:r>
        <w:rPr>
          <w:color w:val="323232"/>
        </w:rPr>
        <w:t xml:space="preserve">Gilad Segev and Larry D Cowgill.</w:t>
      </w:r>
    </w:p>
    <w:p/>
    <w:p>
      <w:pPr>
        <w:pStyle w:val="Normal"/>
      </w:pPr>
      <w:r>
        <w:rPr>
          <w:color w:val="323232"/>
        </w:rPr>
        <w:t xml:space="preserve">OBJECTIVE:To describe the management of cyclosporine overdose using hemodialysis and hemoperfusion in a dog.</w:t>
      </w:r>
    </w:p>
    <w:p/>
    <w:p>
      <w:pPr>
        <w:pStyle w:val="Normal"/>
      </w:pPr>
      <w:r>
        <w:rPr>
          <w:color w:val="323232"/>
        </w:rPr>
        <w:t xml:space="preserve">CASE SUMMARY:A 6-year-old, spayed female Australian Shepherd was presented for treatment of cyclosporine overdose and acute kidney injury. Five days prior to presentation, the dog had been diagnosed by its referring veterinarian with immune-mediated thrombocytopenia. Treatment was initiated with prednisone, but since no response was noted, azathioprine (50</w:t>
      </w:r>
      <w:r>
        <w:rPr>
          <w:color w:val="323232"/>
        </w:rPr>
        <w:t xml:space="preserve"> </w:t>
      </w:r>
      <w:r>
        <w:rPr>
          <w:color w:val="323232"/>
        </w:rPr>
        <w:t xml:space="preserve">mg PO q 24</w:t>
      </w:r>
      <w:r>
        <w:rPr>
          <w:color w:val="323232"/>
        </w:rPr>
        <w:t xml:space="preserve"> </w:t>
      </w:r>
      <w:r>
        <w:rPr>
          <w:color w:val="323232"/>
        </w:rPr>
        <w:t xml:space="preserve">h) and cyclosporine (6</w:t>
      </w:r>
      <w:r>
        <w:rPr>
          <w:color w:val="323232"/>
        </w:rPr>
        <w:t xml:space="preserve"> </w:t>
      </w:r>
      <w:r>
        <w:rPr>
          <w:color w:val="323232"/>
        </w:rPr>
        <w:t xml:space="preserve">mg/ kg IV q 24</w:t>
      </w:r>
      <w:r>
        <w:rPr>
          <w:color w:val="323232"/>
        </w:rPr>
        <w:t xml:space="preserve"> </w:t>
      </w:r>
      <w:r>
        <w:rPr>
          <w:color w:val="323232"/>
        </w:rPr>
        <w:t xml:space="preserve">h) were added. On day 4, an overdose of cyclosporine (33</w:t>
      </w:r>
      <w:r>
        <w:rPr>
          <w:color w:val="323232"/>
        </w:rPr>
        <w:t xml:space="preserve"> </w:t>
      </w:r>
      <w:r>
        <w:rPr>
          <w:color w:val="323232"/>
        </w:rPr>
        <w:t xml:space="preserve">mg/ kg IV) was administered accidentally. Upon presentation, serum biochemistry panel revealed azotemia [creatinine, 521.6</w:t>
      </w:r>
      <w:r>
        <w:rPr>
          <w:color w:val="323232"/>
        </w:rPr>
        <w:t xml:space="preserve"> </w:t>
      </w:r>
      <w:r>
        <w:rPr>
          <w:color w:val="323232"/>
        </w:rPr>
        <w:t xml:space="preserve">μmol/ L (5.9</w:t>
      </w:r>
      <w:r>
        <w:rPr>
          <w:color w:val="323232"/>
        </w:rPr>
        <w:t xml:space="preserve"> </w:t>
      </w:r>
      <w:r>
        <w:rPr>
          <w:color w:val="323232"/>
        </w:rPr>
        <w:t xml:space="preserve">mg</w:t>
      </w:r>
      <w:r>
        <w:rPr>
          <w:i w:val="1"/>
          <w:color w:val="323232"/>
        </w:rPr>
        <w:t xml:space="preserve">dL); BUN, 59.3</w:t>
      </w:r>
      <w:r>
        <w:rPr>
          <w:color w:val="323232"/>
        </w:rPr>
        <w:t xml:space="preserve"> </w:t>
      </w:r>
      <w:r>
        <w:rPr>
          <w:i w:val="1"/>
          <w:color w:val="323232"/>
        </w:rPr>
        <w:t xml:space="preserve">mmol</w:t>
      </w:r>
      <w:r>
        <w:rPr>
          <w:color w:val="323232"/>
        </w:rPr>
        <w:t xml:space="preserve"> L (166</w:t>
      </w:r>
      <w:r>
        <w:rPr>
          <w:color w:val="323232"/>
        </w:rPr>
        <w:t xml:space="preserve"> </w:t>
      </w:r>
      <w:r>
        <w:rPr>
          <w:color w:val="323232"/>
        </w:rPr>
        <w:t xml:space="preserve">mg/ dL)], increased activities of liver enzymes, and hyperbilirubinemia. Due to the presumed diagnosis cyclosporine overdose and acute kidney injury, a combined hemodialysis and charcoal hemoperfusion treatment was planned. Hemosorba CH-350 charcoal hemoperfusion cartridge was placed in series upstream in the extracorporeal circuit from the hemodialyzer. A 3-hour treatment was performed and a total of 0.74</w:t>
      </w:r>
      <w:r>
        <w:rPr>
          <w:color w:val="323232"/>
        </w:rPr>
        <w:t xml:space="preserve"> </w:t>
      </w:r>
      <w:r>
        <w:rPr>
          <w:color w:val="323232"/>
        </w:rPr>
        <w:t xml:space="preserve">L/ kg of blood was processed. Pretreatment blood cyclosporine concentration was 960</w:t>
      </w:r>
      <w:r>
        <w:rPr>
          <w:color w:val="323232"/>
        </w:rPr>
        <w:t xml:space="preserve"> </w:t>
      </w:r>
      <w:r>
        <w:rPr>
          <w:color w:val="323232"/>
        </w:rPr>
        <w:t xml:space="preserve">nmol/ L (1154</w:t>
      </w:r>
      <w:r>
        <w:rPr>
          <w:color w:val="323232"/>
        </w:rPr>
        <w:t xml:space="preserve"> </w:t>
      </w:r>
      <w:r>
        <w:rPr>
          <w:color w:val="323232"/>
        </w:rPr>
        <w:t xml:space="preserve">ng/ mL) and decreased to 440</w:t>
      </w:r>
      <w:r>
        <w:rPr>
          <w:color w:val="323232"/>
        </w:rPr>
        <w:t xml:space="preserve"> </w:t>
      </w:r>
      <w:r>
        <w:rPr>
          <w:color w:val="323232"/>
        </w:rPr>
        <w:t xml:space="preserve">nmol/ L (529</w:t>
      </w:r>
      <w:r>
        <w:rPr>
          <w:color w:val="323232"/>
        </w:rPr>
        <w:t xml:space="preserve"> </w:t>
      </w:r>
      <w:r>
        <w:rPr>
          <w:color w:val="323232"/>
        </w:rPr>
        <w:t xml:space="preserve">ng/ mL) posttreatment (54% fractional reduction, 18% per hour). Thirty-one hours following treatment, blood cyclosporine concentration was 220</w:t>
      </w:r>
      <w:r>
        <w:rPr>
          <w:color w:val="323232"/>
        </w:rPr>
        <w:t xml:space="preserve"> </w:t>
      </w:r>
      <w:r>
        <w:rPr>
          <w:color w:val="323232"/>
        </w:rPr>
        <w:t xml:space="preserve">nmol/ L (265</w:t>
      </w:r>
      <w:r>
        <w:rPr>
          <w:color w:val="323232"/>
        </w:rPr>
        <w:t xml:space="preserve"> </w:t>
      </w:r>
      <w:r>
        <w:rPr>
          <w:color w:val="323232"/>
        </w:rPr>
        <w:t xml:space="preserve">ng/mL; 1.5% decrease per hour). Twelve days following presentation to our hospital, the dog was euthanized due to lack of response to medical management.</w:t>
      </w:r>
    </w:p>
    <w:p/>
    <w:p>
      <w:pPr>
        <w:pStyle w:val="Normal"/>
      </w:pPr>
      <w:r>
        <w:rPr>
          <w:color w:val="323232"/>
        </w:rPr>
        <w:t xml:space="preserve">NEW OR UNIQUE INFORMATION PROVIDED:Combined hemodialysis and charcoal hemoperfusion treatment can significantly reduce blood cyclosporine concentrations following acute intoxication or overdosage, and should be considered as an option for decontamination in such cases.</w:t>
      </w:r>
    </w:p>
    <w:p/>
    <w:p>
      <w:pPr>
        <w:pStyle w:val="Normal"/>
      </w:pPr>
      <w:r>
        <w:rPr>
          <w:color w:val="323232"/>
        </w:rPr>
        <w:t xml:space="preserve">J Vet Emerg Crit Care (San Antonio), 2018 vol. 28 (2) pp. 163-167.</w:t>
      </w:r>
    </w:p>
    <w:p>
      <w:r>
        <w:rPr>
          <w:rStyle w:val="Hyperlink"/>
        </w:rPr>
        <w:fldChar w:fldCharType="begin"/>
      </w:r>
      <w:r>
        <w:rPr>
          <w:rStyle w:val="Hyperlink"/>
        </w:rPr>
        <w:instrText xml:space="preserve"> HYPERLINK "http://eutils.ncbi.nlm.nih.gov/entrez/eutils/elink.fcgi?dbfrom=pubmed&amp;id=29419935&amp;retmode=ref&amp;cmd=prlinks"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http://eutils.ncbi.nlm.nih.gov/entrez/eutils/elink.fcgi?dbfrom=pubmed&amp;id=29419935&amp;retmode=ref&amp;cmd=prlinks</w:t>
      </w:r>
      <w:r>
        <w:rPr>
          <w:rStyle w:val="Hyperlink"/>
        </w:rPr>
        <w:fldChar w:fldCharType="end"/>
      </w:r>
    </w:p>
    <w:p>
      <w:pPr>
        <w:pStyle w:val="Normal"/>
      </w:pPr>
      <w:r>
        <w:rPr>
          <w:color w:val="323232"/>
        </w:rPr>
        <w:t xml:space="preserve">————————</w:t>
      </w:r>
    </w:p>
    <w:p>
      <w:pPr>
        <w:pStyle w:val="Heading4"/>
      </w:pPr>
      <w:r>
        <w:t xml:space="preserve">Performance evaluation and validation of the animal trauma triage score and modified Glasgow Coma Scale with suggested category adjustment in dogs: A VetCOT registry study.</w:t>
      </w:r>
    </w:p>
    <w:p/>
    <w:p>
      <w:pPr>
        <w:pStyle w:val="Normal"/>
      </w:pPr>
      <w:r>
        <w:rPr>
          <w:color w:val="323232"/>
        </w:rPr>
        <w:t xml:space="preserve">Kristian Ash, Galina M Hayes, Robert Goggs, and Julia P Sumner.</w:t>
      </w:r>
    </w:p>
    <w:p/>
    <w:p>
      <w:pPr>
        <w:pStyle w:val="Normal"/>
      </w:pPr>
      <w:r>
        <w:rPr>
          <w:color w:val="323232"/>
        </w:rPr>
        <w:t xml:space="preserve">OBJECTIVE:To examine the animal trauma triage (ATT) and modified Glasgow Coma Scale (mGCS) scores as predictors of mortality outcome (death or euthanasia) in injured dogs.</w:t>
      </w:r>
    </w:p>
    <w:p/>
    <w:p>
      <w:pPr>
        <w:pStyle w:val="Normal"/>
      </w:pPr>
      <w:r>
        <w:rPr>
          <w:color w:val="323232"/>
        </w:rPr>
        <w:t xml:space="preserve">DESIGN:Observational cohort study conducted from September 2013 to March 2015 with follow-up until death or hospital discharge.</w:t>
      </w:r>
    </w:p>
    <w:p/>
    <w:p>
      <w:pPr>
        <w:pStyle w:val="Normal"/>
      </w:pPr>
      <w:r>
        <w:rPr>
          <w:color w:val="323232"/>
        </w:rPr>
        <w:t xml:space="preserve">SETTING:Nine veterinary hospitals including private referral and veterinary teaching hospitals.</w:t>
      </w:r>
    </w:p>
    <w:p/>
    <w:p>
      <w:pPr>
        <w:pStyle w:val="Normal"/>
      </w:pPr>
      <w:r>
        <w:rPr>
          <w:color w:val="323232"/>
        </w:rPr>
        <w:t xml:space="preserve">ANIMALS:Consecutive sample of 3,599 dogs with complete data entries recruited into the Veterinary Committee on Trauma patient registry.</w:t>
      </w:r>
    </w:p>
    <w:p/>
    <w:p>
      <w:pPr>
        <w:pStyle w:val="Normal"/>
      </w:pPr>
      <w:r>
        <w:rPr>
          <w:color w:val="323232"/>
        </w:rPr>
        <w:t xml:space="preserve">INTERVENTIONS:None.</w:t>
      </w:r>
    </w:p>
    <w:p/>
    <w:p>
      <w:pPr>
        <w:pStyle w:val="Normal"/>
      </w:pPr>
      <w:r>
        <w:rPr>
          <w:color w:val="323232"/>
        </w:rPr>
        <w:t xml:space="preserve">MEASUREMENTS AND MAIN RESULTS:We compared the predictive power (area under receiver operating characteristic [AUROC]) and calibration of the ATT and mGCS scores to their components. Overall mortality risk was 7.3% (n = 264). Incidence of head trauma was 9.5% (n = 341). The ATT score showed a linear relationship with mortality risk. Discriminatory performance of the ATT score was excellent with AUROC = 0.92 (95% confidence interval [CI] 0.91 to 0.94) and pseudo R2 = 0.42. Each ATT score increase of 1 point was associated with an increase in mortality odds of 2.07 (95% CI = 1.94-2.21, P</w:t>
      </w:r>
      <w:r>
        <w:rPr>
          <w:color w:val="323232"/>
        </w:rPr>
        <w:t xml:space="preserve"> </w:t>
      </w:r>
      <w:r>
        <w:rPr>
          <w:color w:val="323232"/>
        </w:rPr>
        <w:t xml:space="preserve">&lt;</w:t>
      </w:r>
      <w:r>
        <w:rPr>
          <w:color w:val="323232"/>
        </w:rPr>
        <w:t xml:space="preserve"> </w:t>
      </w:r>
      <w:r>
        <w:rPr>
          <w:color w:val="323232"/>
        </w:rPr>
        <w:t xml:space="preserve">0.001). The "eye</w:t>
      </w:r>
      <w:r>
        <w:rPr>
          <w:i w:val="1"/>
          <w:color w:val="323232"/>
        </w:rPr>
        <w:t xml:space="preserve">muscle</w:t>
      </w:r>
      <w:r>
        <w:rPr>
          <w:color w:val="323232"/>
        </w:rPr>
        <w:t xml:space="preserve">integument" category of the ATT showed poor discrimination (AUROC = 0.55). When this component together with the skeletal and cardiac components were omitted from calculation of the overall score, there was no loss in discriminatory capacity (AUROC = 0.92 vs 0.91, P = 0.09) compared with the full score. The mGCS showed good performance overall, but performance improved when restricted to head trauma patients (AUROC = 0.84, 95% CI = 0.79-0.90, n = 341 vs 0.82, 95% CI = 0.79-0.85, n = 3599). The motor component of the mGCS showed the best predictive performance (AUROC = 0.79 vs 0.66/0.69); however, the full score performed better than the motor component alone (P = 0.002). When assessment was restricted to patients with head injury (n = 341), the ATT score still performed better than the mGCS (AUROC = 0.90 vs 0.84, P = 0.04).</w:t>
      </w:r>
    </w:p>
    <w:p/>
    <w:p>
      <w:pPr>
        <w:pStyle w:val="Normal"/>
      </w:pPr>
      <w:r>
        <w:rPr>
          <w:color w:val="323232"/>
        </w:rPr>
        <w:t xml:space="preserve">CONCLUSIONS:In external validation on a large, multicenter dataset, the ATT score showed excellent discrimination and calibration; however, a more parsimonious score calculated on only the perfusion, respiratory, and neurological categories showed equivalent performance.</w:t>
      </w:r>
    </w:p>
    <w:p/>
    <w:p>
      <w:pPr>
        <w:pStyle w:val="Normal"/>
      </w:pPr>
      <w:r>
        <w:rPr>
          <w:color w:val="323232"/>
        </w:rPr>
        <w:t xml:space="preserve">J Vet Emerg Crit Care (San Antonio), 2018 vol. 28 (3) pp. 192-200.</w:t>
      </w:r>
    </w:p>
    <w:p>
      <w:r>
        <w:rPr>
          <w:rStyle w:val="Hyperlink"/>
        </w:rPr>
        <w:fldChar w:fldCharType="begin"/>
      </w:r>
      <w:r>
        <w:rPr>
          <w:rStyle w:val="Hyperlink"/>
        </w:rPr>
        <w:instrText xml:space="preserve"> HYPERLINK "http://eutils.ncbi.nlm.nih.gov/entrez/eutils/elink.fcgi?dbfrom=pubmed&amp;id=29687940&amp;retmode=ref&amp;cmd=prlinks"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http://eutils.ncbi.nlm.nih.gov/entrez/eutils/elink.fcgi?dbfrom=pubmed&amp;id=29687940&amp;retmode=ref&amp;cmd=prlinks</w:t>
      </w:r>
      <w:r>
        <w:rPr>
          <w:rStyle w:val="Hyperlink"/>
        </w:rPr>
        <w:fldChar w:fldCharType="end"/>
      </w:r>
    </w:p>
    <w:p>
      <w:pPr>
        <w:pStyle w:val="Normal"/>
      </w:pPr>
      <w:r>
        <w:rPr>
          <w:color w:val="323232"/>
        </w:rPr>
        <w:t xml:space="preserve">————————</w:t>
      </w:r>
    </w:p>
    <w:p>
      <w:pPr>
        <w:pStyle w:val="Heading4"/>
      </w:pPr>
      <w:r>
        <w:t xml:space="preserve">Multicenter in vitro thromboelastography and thromboelastometry standardization.</w:t>
      </w:r>
    </w:p>
    <w:p/>
    <w:p>
      <w:pPr>
        <w:pStyle w:val="Normal"/>
      </w:pPr>
      <w:r>
        <w:rPr>
          <w:color w:val="323232"/>
        </w:rPr>
        <w:t xml:space="preserve">Robert Goggs, Antonio Borrelli, Benjamin M Brainard, Daniel L Chan, Armelle de Laforcade, Isabelle Goy-Thollot, Karl E Jandrey, Annemarie T Kristensen, Annette Kutter, Clara B Marschner, Benoît Rannou, Nadja Sigrist, and Catherine Wagg.</w:t>
      </w:r>
    </w:p>
    <w:p/>
    <w:p>
      <w:pPr>
        <w:pStyle w:val="Normal"/>
      </w:pPr>
      <w:r>
        <w:rPr>
          <w:color w:val="323232"/>
        </w:rPr>
        <w:t xml:space="preserve">OBJECTIVE:To establish and compare the repeatability and reproducibility of activated thromboelastography (TEG) and thromboelastometry (ROTEM) assays.</w:t>
      </w:r>
    </w:p>
    <w:p/>
    <w:p>
      <w:pPr>
        <w:pStyle w:val="Normal"/>
      </w:pPr>
      <w:r>
        <w:rPr>
          <w:color w:val="323232"/>
        </w:rPr>
        <w:t xml:space="preserve">DESIGN:Multicenter in vitro test standardization.</w:t>
      </w:r>
    </w:p>
    <w:p/>
    <w:p>
      <w:pPr>
        <w:pStyle w:val="Normal"/>
      </w:pPr>
      <w:r>
        <w:rPr>
          <w:color w:val="323232"/>
        </w:rPr>
        <w:t xml:space="preserve">SETTING:Veterinary academic centers.</w:t>
      </w:r>
    </w:p>
    <w:p/>
    <w:p>
      <w:pPr>
        <w:pStyle w:val="Normal"/>
      </w:pPr>
      <w:r>
        <w:rPr>
          <w:color w:val="323232"/>
        </w:rPr>
        <w:t xml:space="preserve">ANIMALS:Test samples were obtained from normal, healthy dogs. Sixty identical 5</w:t>
      </w:r>
      <w:r>
        <w:rPr>
          <w:color w:val="323232"/>
        </w:rPr>
        <w:t xml:space="preserve"> </w:t>
      </w:r>
      <w:r>
        <w:rPr>
          <w:color w:val="323232"/>
        </w:rPr>
        <w:t xml:space="preserve">mL aliquots of canine platelet-rich plasma collected by apheresis, frozen in 6% dimethyl sulfoxide, were tested initially. Sixty identical 6</w:t>
      </w:r>
      <w:r>
        <w:rPr>
          <w:color w:val="323232"/>
        </w:rPr>
        <w:t xml:space="preserve"> </w:t>
      </w:r>
      <w:r>
        <w:rPr>
          <w:color w:val="323232"/>
        </w:rPr>
        <w:t xml:space="preserve">mL aliquots of canine fresh frozen plasma with admixed cryoprecipitate were subsequently evaluated.</w:t>
      </w:r>
    </w:p>
    <w:p/>
    <w:p>
      <w:pPr>
        <w:pStyle w:val="Normal"/>
      </w:pPr>
      <w:r>
        <w:rPr>
          <w:color w:val="323232"/>
        </w:rPr>
        <w:t xml:space="preserve">INTERVENTIONS:None.</w:t>
      </w:r>
    </w:p>
    <w:p/>
    <w:p>
      <w:pPr>
        <w:pStyle w:val="Normal"/>
      </w:pPr>
      <w:r>
        <w:rPr>
          <w:color w:val="323232"/>
        </w:rPr>
        <w:t xml:space="preserve">MEASUREMENTS AND MAIN RESULTS:Frozen study samples, quality controls, reagents, and consumables were distributed to participating centers (7 TEG and 3 ROTEM). TEG centers analyzed study samples with kaolin and tissue factor activated assays; ROTEM centers ran proprietary ellagic acid activated and tissue factor activated assays. All machines underwent quality control prior to sample analysis. Within- and between-center coefficients of variation (CVs) were calculated and compared using Mann-Whitney tests and calculation of intraclass correlation coefficients. Within and between centers, individual parameters for both TEG and ROTEM assays were comparable. Both within-center and between-center CVs varied markedly (0.7-120.5% and 1.4-116.5%, respectively) with assay type, instrument, and parameter. CVs for equivalent parameters were not significantly different between the 2 platforms. Intraclass correlation coefficients suggested moderate agreement between centers. In general, individual parameter CVs for platelet-rich plasma samples were lower in TEG centers, while CVs for canine fresh frozen plasma with admixed cryoprecipitate samples were lower in ROTEM centers.</w:t>
      </w:r>
    </w:p>
    <w:p/>
    <w:p>
      <w:pPr>
        <w:pStyle w:val="Normal"/>
      </w:pPr>
      <w:r>
        <w:rPr>
          <w:color w:val="323232"/>
        </w:rPr>
        <w:t xml:space="preserve">CONCLUSIONS:More variation within and between centers was identified than anticipated, but some parameters such as alpha angle were repeatable and reproducible. Sample types for future multicenter standardization efforts will require further optimization and may need to be adapted separately to each platform. Individual centers using viscoelastic tests for evaluation and management of clinical patients should take steps to minimize preanalytical and analytical sources of variation.</w:t>
      </w:r>
    </w:p>
    <w:p/>
    <w:p>
      <w:pPr>
        <w:pStyle w:val="Normal"/>
      </w:pPr>
      <w:r>
        <w:rPr>
          <w:color w:val="323232"/>
        </w:rPr>
        <w:t xml:space="preserve">J Vet Emerg Crit Care (San Antonio), 2018 vol. 28 (3) pp. 201-212.</w:t>
      </w:r>
    </w:p>
    <w:p>
      <w:r>
        <w:rPr>
          <w:rStyle w:val="Hyperlink"/>
        </w:rPr>
        <w:fldChar w:fldCharType="begin"/>
      </w:r>
      <w:r>
        <w:rPr>
          <w:rStyle w:val="Hyperlink"/>
        </w:rPr>
        <w:instrText xml:space="preserve"> HYPERLINK "http://eutils.ncbi.nlm.nih.gov/entrez/eutils/elink.fcgi?dbfrom=pubmed&amp;id=29604163&amp;retmode=ref&amp;cmd=prlinks"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http://eutils.ncbi.nlm.nih.gov/entrez/eutils/elink.fcgi?dbfrom=pubmed&amp;id=29604163&amp;retmode=ref&amp;cmd=prlinks</w:t>
      </w:r>
      <w:r>
        <w:rPr>
          <w:rStyle w:val="Hyperlink"/>
        </w:rPr>
        <w:fldChar w:fldCharType="end"/>
      </w:r>
    </w:p>
    <w:p>
      <w:pPr>
        <w:pStyle w:val="Normal"/>
      </w:pPr>
      <w:r>
        <w:rPr>
          <w:color w:val="323232"/>
        </w:rPr>
        <w:t xml:space="preserve">————————</w:t>
      </w:r>
    </w:p>
    <w:p>
      <w:pPr>
        <w:pStyle w:val="Heading4"/>
      </w:pPr>
      <w:r>
        <w:t xml:space="preserve">Evaluation of a new chest physiotherapy technique in dogs with airway fluid accumulation hospitalized in an intensive care unit.</w:t>
      </w:r>
    </w:p>
    <w:p/>
    <w:p>
      <w:pPr>
        <w:pStyle w:val="Normal"/>
      </w:pPr>
      <w:r>
        <w:rPr>
          <w:color w:val="323232"/>
        </w:rPr>
        <w:t xml:space="preserve">Céline Pouzot-Nevoret, Isabelle Goy-Thollot, Didier Billet, Anthony Barthélemy, Maïlys Blesch, Aurélie Pin, and Kate Hopper.</w:t>
      </w:r>
    </w:p>
    <w:p/>
    <w:p>
      <w:pPr>
        <w:pStyle w:val="Normal"/>
      </w:pPr>
      <w:r>
        <w:rPr>
          <w:color w:val="323232"/>
        </w:rPr>
        <w:t xml:space="preserve">OBJECTIVE:To evaluate the feasibility, benefits, and adverse effects of prolonged slow expiration (PSE) and assisted cough (AC) as chest physiotherapy (CP) techniques in dogs with airway fluid accumulation.</w:t>
      </w:r>
    </w:p>
    <w:p/>
    <w:p>
      <w:pPr>
        <w:pStyle w:val="Normal"/>
      </w:pPr>
      <w:r>
        <w:rPr>
          <w:color w:val="323232"/>
        </w:rPr>
        <w:t xml:space="preserve">DESIGN:Prospective interventional study.</w:t>
      </w:r>
    </w:p>
    <w:p/>
    <w:p>
      <w:pPr>
        <w:pStyle w:val="Normal"/>
      </w:pPr>
      <w:r>
        <w:rPr>
          <w:color w:val="323232"/>
        </w:rPr>
        <w:t xml:space="preserve">SETTINGS:University teaching hospital.</w:t>
      </w:r>
    </w:p>
    <w:p/>
    <w:p>
      <w:pPr>
        <w:pStyle w:val="Normal"/>
      </w:pPr>
      <w:r>
        <w:rPr>
          <w:color w:val="323232"/>
        </w:rPr>
        <w:t xml:space="preserve">ANIMALS:Intervention group of 30 client-owned dogs and retrospective control group of 71 client-owned dogs.</w:t>
      </w:r>
    </w:p>
    <w:p/>
    <w:p>
      <w:pPr>
        <w:pStyle w:val="Normal"/>
      </w:pPr>
      <w:r>
        <w:rPr>
          <w:color w:val="323232"/>
        </w:rPr>
        <w:t xml:space="preserve">INTERVENTIONS:PSE was performed on dogs with evidence of airway fluid accumulation, identified based on physical examination and thoracic radiographs. AC was performed if spontaneous cough or swallowing were not evident. The PSE treatment was performed every 6 hours until normalization of respiratory status or hospital discharge. Animals were monitored for respiratory distress, discomfort, and SpO2 during the procedure. A retrospective control group was identified by computer search.</w:t>
      </w:r>
    </w:p>
    <w:p/>
    <w:p>
      <w:pPr>
        <w:pStyle w:val="Normal"/>
      </w:pPr>
      <w:r>
        <w:rPr>
          <w:color w:val="323232"/>
        </w:rPr>
        <w:t xml:space="preserve">MEASUREMENTS AND MAIN RESULTS:One hundred thirty-three sessions of CP were performed on 30 dogs. Discomfort frequency during physiotherapy was low (9%). The most commonly used position for CP was in lateral recumbency (95%) and this was well tolerated in most cases. There was no significant difference in the median SpO2 before and after CP sessions (P = 0.24). Sixty percent of sessions had a spontaneous cough or swallowing evident, 21% had successful AC performed, and no cough or swallowing occurred in the remaining (19%) sessions despite attempts of AC being made. The length of hospitalization was significantly longer in the intervention group (6 days vs 4) (P = 0.02). There was no difference in survival between the intervention (76.7%) and the control (57.7%) group (P = 0.055).</w:t>
      </w:r>
    </w:p>
    <w:p/>
    <w:p>
      <w:pPr>
        <w:pStyle w:val="Normal"/>
      </w:pPr>
      <w:r>
        <w:rPr>
          <w:color w:val="323232"/>
        </w:rPr>
        <w:t xml:space="preserve">CONCLUSIONS:PSE associated with AC are easily adaptable, well-tolerated techniques in dogs. The benefit of CP in dogs with airway fluid accumulation remains to be determined and it is hoped that future randomized controlled prospective studies may help answer this line of inquiry.</w:t>
      </w:r>
    </w:p>
    <w:p/>
    <w:p>
      <w:pPr>
        <w:pStyle w:val="Normal"/>
      </w:pPr>
      <w:r>
        <w:rPr>
          <w:color w:val="323232"/>
        </w:rPr>
        <w:t xml:space="preserve">J Vet Emerg Crit Care (San Antonio), 2018 vol. 28 (3) pp. 213-220.</w:t>
      </w:r>
    </w:p>
    <w:p>
      <w:r>
        <w:rPr>
          <w:rStyle w:val="Hyperlink"/>
        </w:rPr>
        <w:fldChar w:fldCharType="begin"/>
      </w:r>
      <w:r>
        <w:rPr>
          <w:rStyle w:val="Hyperlink"/>
        </w:rPr>
        <w:instrText xml:space="preserve"> HYPERLINK "http://eutils.ncbi.nlm.nih.gov/entrez/eutils/elink.fcgi?dbfrom=pubmed&amp;id=29645400&amp;retmode=ref&amp;cmd=prlinks"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http://eutils.ncbi.nlm.nih.gov/entrez/eutils/elink.fcgi?dbfrom=pubmed&amp;id=29645400&amp;retmode=ref&amp;cmd=prlinks</w:t>
      </w:r>
      <w:r>
        <w:rPr>
          <w:rStyle w:val="Hyperlink"/>
        </w:rPr>
        <w:fldChar w:fldCharType="end"/>
      </w:r>
    </w:p>
    <w:p>
      <w:pPr>
        <w:pStyle w:val="Normal"/>
      </w:pPr>
      <w:r>
        <w:rPr>
          <w:color w:val="323232"/>
        </w:rPr>
        <w:t xml:space="preserve">————————</w:t>
      </w:r>
    </w:p>
    <w:p>
      <w:pPr>
        <w:pStyle w:val="Heading4"/>
      </w:pPr>
      <w:r>
        <w:t xml:space="preserve">A prospective evaluation of oral Yunnan Baiyao therapy on thromboleastographic parameters in apparently healthy dogs.</w:t>
      </w:r>
    </w:p>
    <w:p/>
    <w:p>
      <w:pPr>
        <w:pStyle w:val="Normal"/>
      </w:pPr>
      <w:r>
        <w:rPr>
          <w:color w:val="323232"/>
        </w:rPr>
        <w:t xml:space="preserve">Colleen Tansey, Melissa L Wiebe, Gabrielle C Hybki, Jeffrey E Patlogar, Lisa A Murphy, Domenico Bianco, and Reid K Nakamura.</w:t>
      </w:r>
    </w:p>
    <w:p/>
    <w:p>
      <w:pPr>
        <w:pStyle w:val="Normal"/>
      </w:pPr>
      <w:r>
        <w:rPr>
          <w:color w:val="323232"/>
        </w:rPr>
        <w:t xml:space="preserve">OBJECTIVE:To determine the effect of Yunnan Baiyao (YB) on hemostatic parameters measured by thromboelastography (TEG) in healthy dogs administered 1 capsule of YB orally twice daily for 1 week.</w:t>
      </w:r>
    </w:p>
    <w:p/>
    <w:p>
      <w:pPr>
        <w:pStyle w:val="Normal"/>
      </w:pPr>
      <w:r>
        <w:rPr>
          <w:color w:val="323232"/>
        </w:rPr>
        <w:t xml:space="preserve">DESIGN:Prospective study of client-owned dogs at a small animal specialty hospital.</w:t>
      </w:r>
    </w:p>
    <w:p/>
    <w:p>
      <w:pPr>
        <w:pStyle w:val="Normal"/>
      </w:pPr>
      <w:r>
        <w:rPr>
          <w:color w:val="323232"/>
        </w:rPr>
        <w:t xml:space="preserve">SETTING:Private referral center.</w:t>
      </w:r>
    </w:p>
    <w:p/>
    <w:p>
      <w:pPr>
        <w:pStyle w:val="Normal"/>
      </w:pPr>
      <w:r>
        <w:rPr>
          <w:color w:val="323232"/>
        </w:rPr>
        <w:t xml:space="preserve">ANIMALS:Eighteen client-owned adult dogs weighing at least 15 kg.</w:t>
      </w:r>
    </w:p>
    <w:p/>
    <w:p>
      <w:pPr>
        <w:pStyle w:val="Normal"/>
      </w:pPr>
      <w:r>
        <w:rPr>
          <w:color w:val="323232"/>
        </w:rPr>
        <w:t xml:space="preserve">INTERVENTIONS:Dogs had a baseline TEG performed and then each dog was administered 1 capsule of YB twice daily by mouth for 1 week and the TEG was reevaluated. Any side effects attributed to YB were noted at this time.</w:t>
      </w:r>
    </w:p>
    <w:p/>
    <w:p>
      <w:pPr>
        <w:pStyle w:val="Normal"/>
      </w:pPr>
      <w:r>
        <w:rPr>
          <w:color w:val="323232"/>
        </w:rPr>
        <w:t xml:space="preserve">MEASUREMENTS AND MAIN RESULTS:All 18 enrolled dogs completed the study. Dogs that received 1 capsule (250 mg/capsule) of YB orally twice daily had significantly increased G as well as A30 and A60 values. There was also a significantly decreased LY30 and LY60 values after 1 week. The YB appeared well tolerated as only one dog developed mild diarrhea.</w:t>
      </w:r>
    </w:p>
    <w:p/>
    <w:p>
      <w:pPr>
        <w:pStyle w:val="Normal"/>
      </w:pPr>
      <w:r>
        <w:rPr>
          <w:color w:val="323232"/>
        </w:rPr>
        <w:t xml:space="preserve">CONCLUSIONS:The results of this study suggest that YB at 1 capsule orally twice daily in healthy medium to large breed dogs increases the strength of the clot as measured by TEG and that YB was apparently well tolerated in the study population reported here. Larger prospective studies in different disease states are warranted to further evaluate these preliminary findings.</w:t>
      </w:r>
    </w:p>
    <w:p/>
    <w:p>
      <w:pPr>
        <w:pStyle w:val="Normal"/>
      </w:pPr>
      <w:r>
        <w:rPr>
          <w:color w:val="323232"/>
        </w:rPr>
        <w:t xml:space="preserve">J Vet Emerg Crit Care (San Antonio), 2018 vol. 28 (3) pp. 221-225.</w:t>
      </w:r>
    </w:p>
    <w:p>
      <w:r>
        <w:rPr>
          <w:rStyle w:val="Hyperlink"/>
        </w:rPr>
        <w:fldChar w:fldCharType="begin"/>
      </w:r>
      <w:r>
        <w:rPr>
          <w:rStyle w:val="Hyperlink"/>
        </w:rPr>
        <w:instrText xml:space="preserve"> HYPERLINK "http://eutils.ncbi.nlm.nih.gov/entrez/eutils/elink.fcgi?dbfrom=pubmed&amp;id=29727528&amp;retmode=ref&amp;cmd=prlinks"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http://eutils.ncbi.nlm.nih.gov/entrez/eutils/elink.fcgi?dbfrom=pubmed&amp;id=29727528&amp;retmode=ref&amp;cmd=prlinks</w:t>
      </w:r>
      <w:r>
        <w:rPr>
          <w:rStyle w:val="Hyperlink"/>
        </w:rPr>
        <w:fldChar w:fldCharType="end"/>
      </w:r>
    </w:p>
    <w:p>
      <w:pPr>
        <w:pStyle w:val="Normal"/>
      </w:pPr>
      <w:r>
        <w:rPr>
          <w:color w:val="323232"/>
        </w:rPr>
        <w:t xml:space="preserve">————————</w:t>
      </w:r>
    </w:p>
    <w:p>
      <w:pPr>
        <w:pStyle w:val="Heading4"/>
      </w:pPr>
      <w:r>
        <w:t xml:space="preserve">Evaluation of the relationship between peripheral pulse palpation and Doppler systolic blood pressure in dogs presenting to an emergency service.</w:t>
      </w:r>
    </w:p>
    <w:p/>
    <w:p>
      <w:pPr>
        <w:pStyle w:val="Normal"/>
      </w:pPr>
      <w:r>
        <w:rPr>
          <w:color w:val="323232"/>
        </w:rPr>
        <w:t xml:space="preserve">Laura B Ateca, Erica L Reineke, and Kenneth J Drobatz.</w:t>
      </w:r>
    </w:p>
    <w:p/>
    <w:p>
      <w:pPr>
        <w:pStyle w:val="Normal"/>
      </w:pPr>
      <w:r>
        <w:rPr>
          <w:color w:val="323232"/>
        </w:rPr>
        <w:t xml:space="preserve">OBJECTIVE:To assess the association between peripheral pulse palpation and Doppler-derived systolic blood pressure (SBP) measurement in dogs presenting to an emergency service.</w:t>
      </w:r>
    </w:p>
    <w:p/>
    <w:p>
      <w:pPr>
        <w:pStyle w:val="Normal"/>
      </w:pPr>
      <w:r>
        <w:rPr>
          <w:color w:val="323232"/>
        </w:rPr>
        <w:t xml:space="preserve">DESIGN:Prospective observational study.</w:t>
      </w:r>
    </w:p>
    <w:p/>
    <w:p>
      <w:pPr>
        <w:pStyle w:val="Normal"/>
      </w:pPr>
      <w:r>
        <w:rPr>
          <w:color w:val="323232"/>
        </w:rPr>
        <w:t xml:space="preserve">SETTING:University veterinary teaching hospital.</w:t>
      </w:r>
    </w:p>
    <w:p/>
    <w:p>
      <w:pPr>
        <w:pStyle w:val="Normal"/>
      </w:pPr>
      <w:r>
        <w:rPr>
          <w:color w:val="323232"/>
        </w:rPr>
        <w:t xml:space="preserve">ANIMALS:Ninety-three dogs that were presented to the emergency service. Dogs were eligible for inclusion in the study if a physical examination and a SBP measurement were performed prior to any interventions.</w:t>
      </w:r>
    </w:p>
    <w:p/>
    <w:p>
      <w:pPr>
        <w:pStyle w:val="Normal"/>
      </w:pPr>
      <w:r>
        <w:rPr>
          <w:color w:val="323232"/>
        </w:rPr>
        <w:t xml:space="preserve">INTERVENTIONS:None.</w:t>
      </w:r>
    </w:p>
    <w:p/>
    <w:p>
      <w:pPr>
        <w:pStyle w:val="Normal"/>
      </w:pPr>
      <w:r>
        <w:rPr>
          <w:color w:val="323232"/>
        </w:rPr>
        <w:t xml:space="preserve">MEASUREMENTS AND MAIN RESULTS:Both the femoral pulse quality and dorsal metatarsal pulse quality were digitally palpated and assessed as either strong, weak, or absent. The mean SBP in all dogs was 139 mm Hg (± 39 mm Hg). Seventeen (17/93; 18%) dogs were hypotensive with a SBP &lt; 90 mm Hg (range, 40-88 mm Hg). The median SBP was not significantly different between dogs in the absent and present femoral pulse groups (P</w:t>
      </w:r>
      <w:r>
        <w:rPr>
          <w:color w:val="323232"/>
        </w:rPr>
        <w:t xml:space="preserve"> </w:t>
      </w:r>
      <w:r>
        <w:rPr>
          <w:color w:val="323232"/>
        </w:rPr>
        <w:t xml:space="preserve">=</w:t>
      </w:r>
      <w:r>
        <w:rPr>
          <w:color w:val="323232"/>
        </w:rPr>
        <w:t xml:space="preserve"> </w:t>
      </w:r>
      <w:r>
        <w:rPr>
          <w:color w:val="323232"/>
        </w:rPr>
        <w:t xml:space="preserve">0.120) but the median SBP was significantly different between absent and present metatarsal pulse groups (P</w:t>
      </w:r>
      <w:r>
        <w:rPr>
          <w:color w:val="323232"/>
        </w:rPr>
        <w:t xml:space="preserve"> </w:t>
      </w:r>
      <w:r>
        <w:rPr>
          <w:color w:val="323232"/>
        </w:rPr>
        <w:t xml:space="preserve">=</w:t>
      </w:r>
      <w:r>
        <w:rPr>
          <w:color w:val="323232"/>
        </w:rPr>
        <w:t xml:space="preserve"> </w:t>
      </w:r>
      <w:r>
        <w:rPr>
          <w:color w:val="323232"/>
        </w:rPr>
        <w:t xml:space="preserve">0.002). Dogs with absent metatarsal pulses were 7.6 times more likely to be hypotensive with a SBP &lt; 90 mm Hg (OR, 7.6; 95% CI, 1.8-32) as compared to dogs with palpable metatarsal pulses. The sensitivity of absent metatarsal pulses to diagnose hypotension (SBP &lt; 90 mm Hg) was 33% (95% CI, 10-65%) and the specificity was 94% (95% CI, 86-98%).</w:t>
      </w:r>
    </w:p>
    <w:p/>
    <w:p>
      <w:pPr>
        <w:pStyle w:val="Normal"/>
      </w:pPr>
      <w:r>
        <w:rPr>
          <w:color w:val="323232"/>
        </w:rPr>
        <w:t xml:space="preserve">CONCLUSIONS:Absent metatarsal pulses are highly specific in the diagnosis of hypotension. However, dogs with palpable metatarsal pulses can still be hypotensive. Dorsal metatarsal pulse palpation is useful during triage assessment of dogs presenting to an emergency service, though it should not be used as the only indicator of a dog's cardiovascular stability and should not replace an actual blood pressure measurement.</w:t>
      </w:r>
    </w:p>
    <w:p/>
    <w:p>
      <w:pPr>
        <w:pStyle w:val="Normal"/>
      </w:pPr>
      <w:r>
        <w:rPr>
          <w:color w:val="323232"/>
        </w:rPr>
        <w:t xml:space="preserve">J Vet Emerg Crit Care (San Antonio), 2018 vol. 28 (3) pp. 226-231.</w:t>
      </w:r>
    </w:p>
    <w:p>
      <w:r>
        <w:rPr>
          <w:rStyle w:val="Hyperlink"/>
        </w:rPr>
        <w:fldChar w:fldCharType="begin"/>
      </w:r>
      <w:r>
        <w:rPr>
          <w:rStyle w:val="Hyperlink"/>
        </w:rPr>
        <w:instrText xml:space="preserve"> HYPERLINK "http://eutils.ncbi.nlm.nih.gov/entrez/eutils/elink.fcgi?dbfrom=pubmed&amp;id=29659117&amp;retmode=ref&amp;cmd=prlinks"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http://eutils.ncbi.nlm.nih.gov/entrez/eutils/elink.fcgi?dbfrom=pubmed&amp;id=29659117&amp;retmode=ref&amp;cmd=prlinks</w:t>
      </w:r>
      <w:r>
        <w:rPr>
          <w:rStyle w:val="Hyperlink"/>
        </w:rPr>
        <w:fldChar w:fldCharType="end"/>
      </w:r>
    </w:p>
    <w:p>
      <w:pPr>
        <w:pStyle w:val="Normal"/>
      </w:pPr>
      <w:r>
        <w:rPr>
          <w:color w:val="323232"/>
        </w:rPr>
        <w:t xml:space="preserve">————————</w:t>
      </w:r>
    </w:p>
    <w:p>
      <w:pPr>
        <w:pStyle w:val="Heading4"/>
      </w:pPr>
      <w:r>
        <w:t xml:space="preserve">Evaluation of the placement and maintenance of central venous jugular catheters in critically ill dogs and cats.</w:t>
      </w:r>
    </w:p>
    <w:p/>
    <w:p>
      <w:pPr>
        <w:pStyle w:val="Normal"/>
      </w:pPr>
      <w:r>
        <w:rPr>
          <w:color w:val="323232"/>
        </w:rPr>
        <w:t xml:space="preserve">Christin L Reminga, Deborah C Silverstein, Kenneth J Drobatz, and Dana L Clarke.</w:t>
      </w:r>
    </w:p>
    <w:p/>
    <w:p>
      <w:pPr>
        <w:pStyle w:val="Normal"/>
      </w:pPr>
      <w:r>
        <w:rPr>
          <w:color w:val="323232"/>
        </w:rPr>
        <w:t xml:space="preserve">OBJECTIVE:To describe problems noted during central venous jugular catheter (CVJC) placement, conditions associated with unsuccessful catheterization, and CVJC maintenance complications.</w:t>
      </w:r>
    </w:p>
    <w:p/>
    <w:p>
      <w:pPr>
        <w:pStyle w:val="Normal"/>
      </w:pPr>
      <w:r>
        <w:rPr>
          <w:color w:val="323232"/>
        </w:rPr>
        <w:t xml:space="preserve">DESIGN:Prospective observational study from September 2014 to September 2015.</w:t>
      </w:r>
    </w:p>
    <w:p/>
    <w:p>
      <w:pPr>
        <w:pStyle w:val="Normal"/>
      </w:pPr>
      <w:r>
        <w:rPr>
          <w:color w:val="323232"/>
        </w:rPr>
        <w:t xml:space="preserve">SETTING:University veterinary teaching hospital.</w:t>
      </w:r>
    </w:p>
    <w:p/>
    <w:p>
      <w:pPr>
        <w:pStyle w:val="Normal"/>
      </w:pPr>
      <w:r>
        <w:rPr>
          <w:color w:val="323232"/>
        </w:rPr>
        <w:t xml:space="preserve">ANIMALS:Twenty-seven dogs and 20 cats hospitalized in a veterinary ICU. Patients were excluded if previously hospitalized with a CVJC or lacked sufficient data.</w:t>
      </w:r>
    </w:p>
    <w:p/>
    <w:p>
      <w:pPr>
        <w:pStyle w:val="Normal"/>
      </w:pPr>
      <w:r>
        <w:rPr>
          <w:color w:val="323232"/>
        </w:rPr>
        <w:t xml:space="preserve">INTERVENTIONS:None.</w:t>
      </w:r>
    </w:p>
    <w:p/>
    <w:p>
      <w:pPr>
        <w:pStyle w:val="Normal"/>
      </w:pPr>
      <w:r>
        <w:rPr>
          <w:color w:val="323232"/>
        </w:rPr>
        <w:t xml:space="preserve">MEASUREMENTS AND MAIN RESULTS:Ninety-one percent of indwelling CVJCs were placed successfully (43/47, 95% CI: 80%, 98%). Procedural-related difficulties that resulted in the inability to place a CVJC totaled 18/63 (28.6%, 95% CI: 18%, 41%) and included the inability to puncture the vessel (10), hematoma (6), malposition (1), and dislodgement (1). Procedural complications occurred in 24/47 patients (51%, 95% CI: 36%, 66%) and included cardiac dysrhythmias (13), hematoma (6), CVJC placement failure (4), and malposition (1). Risk factors associated with multiple catheterization attempts included increased age (7.5 years [± 4.2] vs 10.6 years [± 4.1], P</w:t>
      </w:r>
      <w:r>
        <w:rPr>
          <w:color w:val="323232"/>
        </w:rPr>
        <w:t xml:space="preserve"> </w:t>
      </w:r>
      <w:r>
        <w:rPr>
          <w:color w:val="323232"/>
        </w:rPr>
        <w:t xml:space="preserve">=</w:t>
      </w:r>
      <w:r>
        <w:rPr>
          <w:color w:val="323232"/>
        </w:rPr>
        <w:t xml:space="preserve"> </w:t>
      </w:r>
      <w:r>
        <w:rPr>
          <w:color w:val="323232"/>
        </w:rPr>
        <w:t xml:space="preserve">0.04), smaller size (8.0 kg [0.6-51.9 kg] vs 4.4 kg [2.6-6.8 kg], P</w:t>
      </w:r>
      <w:r>
        <w:rPr>
          <w:color w:val="323232"/>
        </w:rPr>
        <w:t xml:space="preserve"> </w:t>
      </w:r>
      <w:r>
        <w:rPr>
          <w:color w:val="323232"/>
        </w:rPr>
        <w:t xml:space="preserve">&lt;</w:t>
      </w:r>
      <w:r>
        <w:rPr>
          <w:color w:val="323232"/>
        </w:rPr>
        <w:t xml:space="preserve"> </w:t>
      </w:r>
      <w:r>
        <w:rPr>
          <w:color w:val="323232"/>
        </w:rPr>
        <w:t xml:space="preserve">0.01) and thinner body condition score (median 5/9 [2/9-9/9] vs 4/9 [2/9-7/9], P</w:t>
      </w:r>
      <w:r>
        <w:rPr>
          <w:color w:val="323232"/>
        </w:rPr>
        <w:t xml:space="preserve"> </w:t>
      </w:r>
      <w:r>
        <w:rPr>
          <w:color w:val="323232"/>
        </w:rPr>
        <w:t xml:space="preserve">=</w:t>
      </w:r>
      <w:r>
        <w:rPr>
          <w:color w:val="323232"/>
        </w:rPr>
        <w:t xml:space="preserve"> </w:t>
      </w:r>
      <w:r>
        <w:rPr>
          <w:color w:val="323232"/>
        </w:rPr>
        <w:t xml:space="preserve">0.04). The risk factor associated with dysrhythmias was smaller patient size (6.8 kg [2.6-51.9 kg] vs 4.8 kg [0.6-29.5 kg], P</w:t>
      </w:r>
      <w:r>
        <w:rPr>
          <w:color w:val="323232"/>
        </w:rPr>
        <w:t xml:space="preserve"> </w:t>
      </w:r>
      <w:r>
        <w:rPr>
          <w:color w:val="323232"/>
        </w:rPr>
        <w:t xml:space="preserve">=</w:t>
      </w:r>
      <w:r>
        <w:rPr>
          <w:color w:val="323232"/>
        </w:rPr>
        <w:t xml:space="preserve"> </w:t>
      </w:r>
      <w:r>
        <w:rPr>
          <w:color w:val="323232"/>
        </w:rPr>
        <w:t xml:space="preserve">0.04). Eighteen indwelling complications occurred in 14 patients and included mechanical obstruction (7), skin irritation (6), malposition (4), and inflammation (1). Risk factors for indwelling complications included longer dwell time (5 days [2-30] vs 3 days [1-10], P</w:t>
      </w:r>
      <w:r>
        <w:rPr>
          <w:color w:val="323232"/>
        </w:rPr>
        <w:t xml:space="preserve"> </w:t>
      </w:r>
      <w:r>
        <w:rPr>
          <w:color w:val="323232"/>
        </w:rPr>
        <w:t xml:space="preserve">&lt;</w:t>
      </w:r>
      <w:r>
        <w:rPr>
          <w:color w:val="323232"/>
        </w:rPr>
        <w:t xml:space="preserve"> </w:t>
      </w:r>
      <w:r>
        <w:rPr>
          <w:color w:val="323232"/>
        </w:rPr>
        <w:t xml:space="preserve">0.01) and the administration of an irritant medication (P</w:t>
      </w:r>
      <w:r>
        <w:rPr>
          <w:color w:val="323232"/>
        </w:rPr>
        <w:t xml:space="preserve"> </w:t>
      </w:r>
      <w:r>
        <w:rPr>
          <w:color w:val="323232"/>
        </w:rPr>
        <w:t xml:space="preserve">=</w:t>
      </w:r>
      <w:r>
        <w:rPr>
          <w:color w:val="323232"/>
        </w:rPr>
        <w:t xml:space="preserve"> </w:t>
      </w:r>
      <w:r>
        <w:rPr>
          <w:color w:val="323232"/>
        </w:rPr>
        <w:t xml:space="preserve">0.02).</w:t>
      </w:r>
    </w:p>
    <w:p/>
    <w:p>
      <w:pPr>
        <w:pStyle w:val="Normal"/>
      </w:pPr>
      <w:r>
        <w:rPr>
          <w:color w:val="323232"/>
        </w:rPr>
        <w:t xml:space="preserve">CONCLUSIONS:Complications were documented in the placement and maintenance of CVJCs in critically ill patients with a low incidence of life-threatening sequelae. Risk factors associated with both unsuccessful CVJC placement and indwelling CVJC complications were identified.</w:t>
      </w:r>
    </w:p>
    <w:p/>
    <w:p>
      <w:pPr>
        <w:pStyle w:val="Normal"/>
      </w:pPr>
      <w:r>
        <w:rPr>
          <w:color w:val="323232"/>
        </w:rPr>
        <w:t xml:space="preserve">J Vet Emerg Crit Care (San Antonio), 2018 vol. 28 (3) pp. 232-243.</w:t>
      </w:r>
    </w:p>
    <w:p>
      <w:r>
        <w:rPr>
          <w:rStyle w:val="Hyperlink"/>
        </w:rPr>
        <w:fldChar w:fldCharType="begin"/>
      </w:r>
      <w:r>
        <w:rPr>
          <w:rStyle w:val="Hyperlink"/>
        </w:rPr>
        <w:instrText xml:space="preserve"> HYPERLINK "http://eutils.ncbi.nlm.nih.gov/entrez/eutils/elink.fcgi?dbfrom=pubmed&amp;id=29687942&amp;retmode=ref&amp;cmd=prlinks"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http://eutils.ncbi.nlm.nih.gov/entrez/eutils/elink.fcgi?dbfrom=pubmed&amp;id=29687942&amp;retmode=ref&amp;cmd=prlinks</w:t>
      </w:r>
      <w:r>
        <w:rPr>
          <w:rStyle w:val="Hyperlink"/>
        </w:rPr>
        <w:fldChar w:fldCharType="end"/>
      </w:r>
    </w:p>
    <w:p>
      <w:pPr>
        <w:pStyle w:val="Normal"/>
      </w:pPr>
      <w:r>
        <w:rPr>
          <w:color w:val="323232"/>
        </w:rPr>
        <w:t xml:space="preserve">————————</w:t>
      </w:r>
    </w:p>
    <w:p>
      <w:pPr>
        <w:pStyle w:val="Heading4"/>
      </w:pPr>
      <w:r>
        <w:t xml:space="preserve">Incidence of hypochloremic metabolic alkalosis in dogs and cats with and without nasogastric tubes over a period of up to 36 hours in the intensive care unit.</w:t>
      </w:r>
    </w:p>
    <w:p/>
    <w:p>
      <w:pPr>
        <w:pStyle w:val="Normal"/>
      </w:pPr>
      <w:r>
        <w:rPr>
          <w:color w:val="323232"/>
        </w:rPr>
        <w:t xml:space="preserve">Hypochloremic metabolic alkalosis in dogs and cats with nasogastric tubes.</w:t>
      </w:r>
    </w:p>
    <w:p>
      <w:pPr>
        <w:pStyle w:val="Normal"/>
      </w:pPr>
      <w:r>
        <w:rPr>
          <w:color w:val="323232"/>
        </w:rPr>
        <w:t xml:space="preserve">Annie Chih, Elke Rudloff, Cheryl Waldner, and Andrew K J Linklater.</w:t>
      </w:r>
    </w:p>
    <w:p/>
    <w:p>
      <w:pPr>
        <w:pStyle w:val="Normal"/>
      </w:pPr>
      <w:r>
        <w:rPr>
          <w:color w:val="323232"/>
        </w:rPr>
        <w:t xml:space="preserve">OBJECTIVE:To evaluate the incidence of hypochloremic metabolic alkalosis (HCMA) in dogs and cats in the ICU that had intermittent nasogastric tube (NGT) aspiration for up to 36 hours.</w:t>
      </w:r>
    </w:p>
    <w:p/>
    <w:p>
      <w:pPr>
        <w:pStyle w:val="Normal"/>
      </w:pPr>
      <w:r>
        <w:rPr>
          <w:color w:val="323232"/>
        </w:rPr>
        <w:t xml:space="preserve">DESIGN:Prospective cohort study (December 2013 to October 2014).</w:t>
      </w:r>
    </w:p>
    <w:p/>
    <w:p>
      <w:pPr>
        <w:pStyle w:val="Normal"/>
      </w:pPr>
      <w:r>
        <w:rPr>
          <w:color w:val="323232"/>
        </w:rPr>
        <w:t xml:space="preserve">SETTING:Privately owned emergency and referral teaching hospital.</w:t>
      </w:r>
    </w:p>
    <w:p/>
    <w:p>
      <w:pPr>
        <w:pStyle w:val="Normal"/>
      </w:pPr>
      <w:r>
        <w:rPr>
          <w:color w:val="323232"/>
        </w:rPr>
        <w:t xml:space="preserve">ANIMALS:Forty-nine client-owned dogs and 16 client-owned cats.</w:t>
      </w:r>
    </w:p>
    <w:p/>
    <w:p>
      <w:pPr>
        <w:pStyle w:val="Normal"/>
      </w:pPr>
      <w:r>
        <w:rPr>
          <w:color w:val="323232"/>
        </w:rPr>
        <w:t xml:space="preserve">INTERVENTIONS:Patients wherein NGT placement was recommended and client consent was obtained were included in the interventional group. Those with an NGT placed (NGT group) had the NGT aspirated every 4 hours. Patients for whom placement of a NGT was declined by the owner served as a reference group (NoNGT). Venous blood gas and electrolyte values were obtained every 12 hours.</w:t>
      </w:r>
    </w:p>
    <w:p/>
    <w:p>
      <w:pPr>
        <w:pStyle w:val="Normal"/>
      </w:pPr>
      <w:r>
        <w:rPr>
          <w:color w:val="323232"/>
        </w:rPr>
        <w:t xml:space="preserve">MEASUREMENTS AND MAIN RESULTS:Thirty-five dogs and cats had an NGT placed. Thirty dogs and cats did not have an NGT placed. The serum venous blood gas and electrolyte changes were compared over time within the NGT group and between the NGT and NoNGT groups. No cases developed HCMA. In the NGT group, blood pH increased over time. There was no significant difference between the NGT and the NoNGT group in the average value of pH, HCO3- , base excess, chloride, or corrected chloride. Serum venous blood gas, chloride, and corrected chloride changes were not associated with the volumes of gastric fluid aspirated over time.</w:t>
      </w:r>
    </w:p>
    <w:p/>
    <w:p>
      <w:pPr>
        <w:pStyle w:val="Normal"/>
      </w:pPr>
      <w:r>
        <w:rPr>
          <w:color w:val="323232"/>
        </w:rPr>
        <w:t xml:space="preserve">CONCLUSIONS:In this small population of dogs and cats, intermittent NGT aspiration was not associated with the development of HCMA over a period of up to 36 hours after NGT placement.</w:t>
      </w:r>
    </w:p>
    <w:p/>
    <w:p>
      <w:pPr>
        <w:pStyle w:val="Normal"/>
      </w:pPr>
      <w:r>
        <w:rPr>
          <w:color w:val="323232"/>
        </w:rPr>
        <w:t xml:space="preserve">J Vet Emerg Crit Care (San Antonio), 2018 vol. 28 (3) pp. 244-251.</w:t>
      </w:r>
    </w:p>
    <w:p>
      <w:r>
        <w:rPr>
          <w:rStyle w:val="Hyperlink"/>
        </w:rPr>
        <w:fldChar w:fldCharType="begin"/>
      </w:r>
      <w:r>
        <w:rPr>
          <w:rStyle w:val="Hyperlink"/>
        </w:rPr>
        <w:instrText xml:space="preserve"> HYPERLINK "http://doi.wiley.com/10.1111/vec.12720" </w:instrText>
      </w:r>
      <w:r>
        <w:rPr>
          <w:rStyle w:val="Hyperlink"/>
        </w:rPr>
      </w:r>
      <w:r>
        <w:rPr>
          <w:rStyle w:val="Hyperlink"/>
        </w:rPr>
        <w:fldChar w:fldCharType="separate"/>
      </w:r>
      <w:pPr>
        <w:pStyle w:val="Normal"/>
      </w:pPr>
      <w:r>
        <w:rPr>
          <w:rStyle w:val="Hyperlink"/>
        </w:rPr>
        <w:t xml:space="preserve">http://doi.wiley.com/10.1111/vec.12720</w:t>
      </w:r>
      <w:r>
        <w:rPr>
          <w:rStyle w:val="Hyperlink"/>
        </w:rPr>
        <w:fldChar w:fldCharType="end"/>
      </w:r>
    </w:p>
    <w:p>
      <w:pPr>
        <w:pStyle w:val="Normal"/>
      </w:pPr>
      <w:r>
        <w:rPr>
          <w:color w:val="323232"/>
        </w:rPr>
        <w:t xml:space="preserve">————————</w:t>
      </w:r>
    </w:p>
    <w:p>
      <w:pPr>
        <w:pStyle w:val="Heading4"/>
      </w:pPr>
      <w:r>
        <w:t xml:space="preserve">A commercial soy-based phospholipid emulsion accelerates clot formation in normal canine whole blood and induces hemolysis in whole blood from normal and dogs with inflammatory leukograms.</w:t>
      </w:r>
    </w:p>
    <w:p/>
    <w:p>
      <w:pPr>
        <w:pStyle w:val="Normal"/>
      </w:pPr>
      <w:r>
        <w:rPr>
          <w:color w:val="323232"/>
        </w:rPr>
        <w:t xml:space="preserve">Erica L Behling-Kelly and Joseph Wakshlag.</w:t>
      </w:r>
    </w:p>
    <w:p/>
    <w:p>
      <w:pPr>
        <w:pStyle w:val="Normal"/>
      </w:pPr>
      <w:r>
        <w:rPr>
          <w:color w:val="323232"/>
        </w:rPr>
        <w:t xml:space="preserve">OBJECTIVE:To compare lipid emulsion-induced hemolysis in blood from dogs with inflammatory leukograms to blood from healthy dogs, and determine the impact of a prototypical soy-based phospholipid emulsion on coagulation in whole blood from healthy dogs.</w:t>
      </w:r>
    </w:p>
    <w:p/>
    <w:p>
      <w:pPr>
        <w:pStyle w:val="Normal"/>
      </w:pPr>
      <w:r>
        <w:rPr>
          <w:color w:val="323232"/>
        </w:rPr>
        <w:t xml:space="preserve">DESIGN:Ex vivo study using EDTA and citrated whole blood from healthy dogs and EDTA anticoagulated whole blood from dogs with inflammatory leukograms.</w:t>
      </w:r>
    </w:p>
    <w:p/>
    <w:p>
      <w:pPr>
        <w:pStyle w:val="Normal"/>
      </w:pPr>
      <w:r>
        <w:rPr>
          <w:color w:val="323232"/>
        </w:rPr>
        <w:t xml:space="preserve">SETTING:University research laboratory.</w:t>
      </w:r>
    </w:p>
    <w:p/>
    <w:p>
      <w:pPr>
        <w:pStyle w:val="Normal"/>
      </w:pPr>
      <w:r>
        <w:rPr>
          <w:color w:val="323232"/>
        </w:rPr>
        <w:t xml:space="preserve">ANIMALS:Healthy dogs (total of 16, 9 for hemolysis assays and 6 for thromboelastography) included student- and staff-owned animals. Blood samples from dogs with inflammatory leukograms (8) were obtained from the clinical pathology laboratory after the complete blood count was performed as part of patient care. For the purposes of this study, an inflammatory leukogram was defined as a neutrophilia with a left-shift (minimum of 3% band neutrophils) and evidence of toxic change.</w:t>
      </w:r>
    </w:p>
    <w:p/>
    <w:p>
      <w:pPr>
        <w:pStyle w:val="Normal"/>
      </w:pPr>
      <w:r>
        <w:rPr>
          <w:color w:val="323232"/>
        </w:rPr>
        <w:t xml:space="preserve">INTERVENTIONS:None.</w:t>
      </w:r>
    </w:p>
    <w:p/>
    <w:p>
      <w:pPr>
        <w:pStyle w:val="Normal"/>
      </w:pPr>
      <w:r>
        <w:rPr>
          <w:color w:val="323232"/>
        </w:rPr>
        <w:t xml:space="preserve">MEASUREMENTS AND MAIN RESULTS:Hemolysis was measured via spectrophotometric quantification of released hemoglobin and expressed as a percent of a water-lysed control. The soy emulsion caused hemolysis in blood from healthy dogs, ranging from 3.6% to 16.4% as the dose increased, and 4.1% to 25.0% in blood from dogs with inflammatory leukograms. Hemolysis between these patient groups was significantly different at the highest dose. Coagulation was assessed by native thromboelastography. Treatment of whole blood with the lipid emulsion caused a significant decrease in the time to clot formation (R) and a shorter time to reach a clot amplitude of 20 mm (K).</w:t>
      </w:r>
    </w:p>
    <w:p/>
    <w:p>
      <w:pPr>
        <w:pStyle w:val="Normal"/>
      </w:pPr>
      <w:r>
        <w:rPr>
          <w:color w:val="323232"/>
        </w:rPr>
        <w:t xml:space="preserve">CONCLUSIONS:Soy-based lipid emulsions cause hemolysis that is more severe in blood from dogs with inflammatory leukograms and accelerate clot formation in canine blood. The in vivo significance of these findings is not clear at this time, but warrants additional investigation given the use of these emulsions in clinical practice.</w:t>
      </w:r>
    </w:p>
    <w:p/>
    <w:p>
      <w:pPr>
        <w:pStyle w:val="Normal"/>
      </w:pPr>
      <w:r>
        <w:rPr>
          <w:color w:val="323232"/>
        </w:rPr>
        <w:t xml:space="preserve">J Vet Emerg Crit Care (San Antonio), 2018 vol. 28 (3) pp. 252-260.</w:t>
      </w:r>
    </w:p>
    <w:p>
      <w:r>
        <w:rPr>
          <w:rStyle w:val="Hyperlink"/>
        </w:rPr>
        <w:fldChar w:fldCharType="begin"/>
      </w:r>
      <w:r>
        <w:rPr>
          <w:rStyle w:val="Hyperlink"/>
        </w:rPr>
        <w:instrText xml:space="preserve"> HYPERLINK "http://eutils.ncbi.nlm.nih.gov/entrez/eutils/elink.fcgi?dbfrom=pubmed&amp;id=29631333&amp;retmode=ref&amp;cmd=prlinks"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http://eutils.ncbi.nlm.nih.gov/entrez/eutils/elink.fcgi?dbfrom=pubmed&amp;id=29631333&amp;retmode=ref&amp;cmd=prlinks</w:t>
      </w:r>
      <w:r>
        <w:rPr>
          <w:rStyle w:val="Hyperlink"/>
        </w:rPr>
        <w:fldChar w:fldCharType="end"/>
      </w:r>
    </w:p>
    <w:p>
      <w:pPr>
        <w:pStyle w:val="Normal"/>
      </w:pPr>
      <w:r>
        <w:rPr>
          <w:color w:val="323232"/>
        </w:rPr>
        <w:t xml:space="preserve">————————</w:t>
      </w:r>
    </w:p>
    <w:p>
      <w:pPr>
        <w:pStyle w:val="Heading4"/>
      </w:pPr>
      <w:r>
        <w:t xml:space="preserve">Use of charcoal hemoperfusion and hemodialysis in the treatment of methotrexate toxicosis in a dog.</w:t>
      </w:r>
    </w:p>
    <w:p/>
    <w:p>
      <w:pPr>
        <w:pStyle w:val="Normal"/>
      </w:pPr>
      <w:r>
        <w:rPr>
          <w:color w:val="323232"/>
        </w:rPr>
        <w:t xml:space="preserve">Mariana Pardo, Travis Lanaux, Rachel Davy, and Carsten Bandt.</w:t>
      </w:r>
    </w:p>
    <w:p/>
    <w:p>
      <w:pPr>
        <w:pStyle w:val="Normal"/>
      </w:pPr>
      <w:r>
        <w:rPr>
          <w:color w:val="323232"/>
        </w:rPr>
        <w:t xml:space="preserve">OBJECTIVE:To describe the successful use of charcoal hemoperfusion (HP) and hemodialysis (HD) in a dog in the treatment of methotrexate (MTX) toxicosis.</w:t>
      </w:r>
    </w:p>
    <w:p/>
    <w:p>
      <w:pPr>
        <w:pStyle w:val="Normal"/>
      </w:pPr>
      <w:r>
        <w:rPr>
          <w:color w:val="323232"/>
        </w:rPr>
        <w:t xml:space="preserve">CASE SUMMARY:An American Pit Bull Terrier accidentally ingested 56.8</w:t>
      </w:r>
      <w:r>
        <w:rPr>
          <w:color w:val="323232"/>
        </w:rPr>
        <w:t xml:space="preserve"> </w:t>
      </w:r>
      <w:r>
        <w:rPr>
          <w:color w:val="323232"/>
        </w:rPr>
        <w:t xml:space="preserve">mg / m2 of MTX. The patient's initial serum MTX concentration was 0.11</w:t>
      </w:r>
      <w:r>
        <w:rPr>
          <w:color w:val="323232"/>
        </w:rPr>
        <w:t xml:space="preserve"> </w:t>
      </w:r>
      <w:r>
        <w:rPr>
          <w:color w:val="323232"/>
        </w:rPr>
        <w:t xml:space="preserve">μmol/ L. At this dosage, myelosuppression and gastrointestinal epithelial necrosis have been reported. Charcoal HP and HD in series were used to enhance elimination of MTX. Serial serum samples were obtained during the session at 0, 30, 60, 90, 120, 150, and 180</w:t>
      </w:r>
      <w:r>
        <w:rPr>
          <w:color w:val="323232"/>
        </w:rPr>
        <w:t xml:space="preserve"> </w:t>
      </w:r>
      <w:r>
        <w:rPr>
          <w:color w:val="323232"/>
        </w:rPr>
        <w:t xml:space="preserve">minutes and 12</w:t>
      </w:r>
      <w:r>
        <w:rPr>
          <w:color w:val="323232"/>
        </w:rPr>
        <w:t xml:space="preserve"> </w:t>
      </w:r>
      <w:r>
        <w:rPr>
          <w:color w:val="323232"/>
        </w:rPr>
        <w:t xml:space="preserve">hours after the session. These were later analyzed for MTX concentrations. Clearance of MTX was 73% and extraction ratio was 63% within the first 30</w:t>
      </w:r>
      <w:r>
        <w:rPr>
          <w:color w:val="323232"/>
        </w:rPr>
        <w:t xml:space="preserve"> </w:t>
      </w:r>
      <w:r>
        <w:rPr>
          <w:color w:val="323232"/>
        </w:rPr>
        <w:t xml:space="preserve">minutes of HP/HD. A 3-hour session eliminated all detectable traces of MTX. The dog tolerated the session well and did not develop any clinical signs of MTX toxicosis.</w:t>
      </w:r>
    </w:p>
    <w:p/>
    <w:p>
      <w:pPr>
        <w:pStyle w:val="Normal"/>
      </w:pPr>
      <w:r>
        <w:rPr>
          <w:color w:val="323232"/>
        </w:rPr>
        <w:t xml:space="preserve">NEW OR UNIQUE INFORMATION PROVIDED:HP and HD together were highly effective in enhancing elimination of MTX from this patient. The prompt use of extracorporeal techniques decreased toxic concentrations of MTX to safer values, which prevented myelosuppression and gastrointestinal injury. HP and HD in conjunction or in place of traditional therapy may be a viable option for the treatment of acute toxic exposures to MTX.</w:t>
      </w:r>
    </w:p>
    <w:p/>
    <w:p>
      <w:pPr>
        <w:pStyle w:val="Normal"/>
      </w:pPr>
      <w:r>
        <w:rPr>
          <w:color w:val="323232"/>
        </w:rPr>
        <w:t xml:space="preserve">J Vet Emerg Crit Care (San Antonio), 2018 vol. 28 (3) pp. 269-273.</w:t>
      </w:r>
    </w:p>
    <w:p>
      <w:r>
        <w:rPr>
          <w:rStyle w:val="Hyperlink"/>
        </w:rPr>
        <w:fldChar w:fldCharType="begin"/>
      </w:r>
      <w:r>
        <w:rPr>
          <w:rStyle w:val="Hyperlink"/>
        </w:rPr>
        <w:instrText xml:space="preserve"> HYPERLINK "http://eutils.ncbi.nlm.nih.gov/entrez/eutils/elink.fcgi?dbfrom=pubmed&amp;id=29727524&amp;retmode=ref&amp;cmd=prlinks"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http://eutils.ncbi.nlm.nih.gov/entrez/eutils/elink.fcgi?dbfrom=pubmed&amp;id=29727524&amp;retmode=ref&amp;cmd=prlinks</w:t>
      </w:r>
      <w:r>
        <w:rPr>
          <w:rStyle w:val="Hyperlink"/>
        </w:rPr>
        <w:fldChar w:fldCharType="end"/>
      </w:r>
    </w:p>
    <w:p>
      <w:pPr>
        <w:pStyle w:val="Normal"/>
      </w:pPr>
      <w:r>
        <w:rPr>
          <w:color w:val="323232"/>
        </w:rPr>
        <w:t xml:space="preserve">————————</w:t>
      </w:r>
    </w:p>
    <w:p>
      <w:pPr>
        <w:pStyle w:val="Heading4"/>
      </w:pPr>
      <w:r>
        <w:t xml:space="preserve">Severe lactic acidosis and hypoglycemia due to acute metformin intoxication in a dog.</w:t>
      </w:r>
    </w:p>
    <w:p/>
    <w:p>
      <w:pPr>
        <w:pStyle w:val="Normal"/>
      </w:pPr>
      <w:r>
        <w:rPr>
          <w:color w:val="323232"/>
        </w:rPr>
        <w:t xml:space="preserve">Yu Ueda, Christine Wong, and Angela Borchers.</w:t>
      </w:r>
    </w:p>
    <w:p/>
    <w:p>
      <w:pPr>
        <w:pStyle w:val="Normal"/>
      </w:pPr>
      <w:r>
        <w:rPr>
          <w:color w:val="323232"/>
        </w:rPr>
        <w:t xml:space="preserve">OBJECTIVE:To report a case of severe lactic acidosis and hypoglycemia due to acute metformin intoxication in a dog.</w:t>
      </w:r>
    </w:p>
    <w:p/>
    <w:p>
      <w:pPr>
        <w:pStyle w:val="Normal"/>
      </w:pPr>
      <w:r>
        <w:rPr>
          <w:color w:val="323232"/>
        </w:rPr>
        <w:t xml:space="preserve">CASE SUMMARY:A female neutered Rat Terrier was presented for an acute onset of seizure-like episodes, weakness, and vomiting approximately 14 hours after ingestion of 198 mg/ kg of metformin. The dog was found to be laterally recumbent, paddling, and unresponsive shortly before presentation. On physical exam, the dog was in hypovolemic shock and hypothermic. Blood work revealed severe lactic acidosis and hypoglycemia. The dog was volume resuscitated with intravenous crystalloids and dextrose, followed by a continuous infusion of intravenous fluids and dextrose, as well as administration of isotonic sodium bicarbonate. Repeat blood work showed minimal improvement of the hyperlactatemia for 3 hours despite resolution of hypovolemia and hypoglycemia followed by gradual improvement over the next 9 hours of hospitalization. High performance liquid chromatography/ tandem mass spectrometry analysis showed markedly increased plasma metformin concentrations at 3.9 μg/ mL. The dog was discharged from the hospital within 24 hours and showed no recurrence of clinical signs one year following discharge.</w:t>
      </w:r>
    </w:p>
    <w:p/>
    <w:p>
      <w:pPr>
        <w:pStyle w:val="Normal"/>
      </w:pPr>
      <w:r>
        <w:rPr>
          <w:color w:val="323232"/>
        </w:rPr>
        <w:t xml:space="preserve">NEW OR UNIQUE INFORMATION PROVIDED:Metformin-associated lactic acidosis and hypoglycemia is a severe complication in human patients, but has not been reported in veterinary medicine. Aggressive treatment with supportive care including IV fluids and dextrose administration resulted in resolution of the clinical signs in this patient. Metformin toxicosis should be considered in dogs with severe hyperlactatemia and hypoglycemia of unknown etiology.</w:t>
      </w:r>
    </w:p>
    <w:p/>
    <w:p>
      <w:pPr>
        <w:pStyle w:val="Normal"/>
      </w:pPr>
      <w:r>
        <w:rPr>
          <w:color w:val="323232"/>
        </w:rPr>
        <w:t xml:space="preserve">J Vet Emerg Crit Care (San Antonio), 2018 vol. 28 (3) pp. 274-278.</w:t>
      </w:r>
    </w:p>
    <w:p>
      <w:r>
        <w:rPr>
          <w:rStyle w:val="Hyperlink"/>
        </w:rPr>
        <w:fldChar w:fldCharType="begin"/>
      </w:r>
      <w:r>
        <w:rPr>
          <w:rStyle w:val="Hyperlink"/>
        </w:rPr>
        <w:instrText xml:space="preserve"> HYPERLINK "http://eutils.ncbi.nlm.nih.gov/entrez/eutils/elink.fcgi?dbfrom=pubmed&amp;id=29687945&amp;retmode=ref&amp;cmd=prlinks"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http://eutils.ncbi.nlm.nih.gov/entrez/eutils/elink.fcgi?dbfrom=pubmed&amp;id=29687945&amp;retmode=ref&amp;cmd=prlinks</w:t>
      </w:r>
      <w:r>
        <w:rPr>
          <w:rStyle w:val="Hyperlink"/>
        </w:rPr>
        <w:fldChar w:fldCharType="end"/>
      </w:r>
    </w:p>
    <w:p>
      <w:pPr>
        <w:pStyle w:val="Normal"/>
      </w:pPr>
      <w:r>
        <w:rPr>
          <w:color w:val="323232"/>
        </w:rPr>
        <w:t xml:space="preserve">————————</w:t>
      </w:r>
    </w:p>
    <w:p>
      <w:pPr>
        <w:pStyle w:val="Heading4"/>
      </w:pPr>
      <w:r>
        <w:t xml:space="preserve">Evaluation of pulse pressure variation and pleth variability index to predict fluid responsiveness in mechanically ventilated isoflurane-anesthetized dogs.</w:t>
      </w:r>
    </w:p>
    <w:p/>
    <w:p>
      <w:pPr>
        <w:pStyle w:val="Normal"/>
      </w:pPr>
      <w:r>
        <w:rPr>
          <w:color w:val="323232"/>
        </w:rPr>
        <w:t xml:space="preserve">Hiroki Sano, Joonbum Seo, Paul Wightman, Nick J Cave, Mike A Gieseg, Craig B Johnson, and Paul Chambers.</w:t>
      </w:r>
    </w:p>
    <w:p/>
    <w:p>
      <w:pPr>
        <w:pStyle w:val="Normal"/>
      </w:pPr>
      <w:r>
        <w:rPr>
          <w:color w:val="323232"/>
        </w:rPr>
        <w:t xml:space="preserve">OBJECTIVE:To evaluate whether pulse pressure variation (PPV) and pleth variability index (PVI) are more accurate than central venous pressure (CVP) for predicting fluid responsiveness in mechanically ventilated isoflurane-anesthetized dogs after premedication with acepromazine.</w:t>
      </w:r>
    </w:p>
    <w:p/>
    <w:p>
      <w:pPr>
        <w:pStyle w:val="Normal"/>
      </w:pPr>
      <w:r>
        <w:rPr>
          <w:color w:val="323232"/>
        </w:rPr>
        <w:t xml:space="preserve">DESIGN:Prospective experimental trial.</w:t>
      </w:r>
    </w:p>
    <w:p/>
    <w:p>
      <w:pPr>
        <w:pStyle w:val="Normal"/>
      </w:pPr>
      <w:r>
        <w:rPr>
          <w:color w:val="323232"/>
        </w:rPr>
        <w:t xml:space="preserve">SETTING:University teaching hospital.</w:t>
      </w:r>
    </w:p>
    <w:p/>
    <w:p>
      <w:pPr>
        <w:pStyle w:val="Normal"/>
      </w:pPr>
      <w:r>
        <w:rPr>
          <w:color w:val="323232"/>
        </w:rPr>
        <w:t xml:space="preserve">ANIMALS:Twelve Harrier hound dogs.</w:t>
      </w:r>
    </w:p>
    <w:p/>
    <w:p>
      <w:pPr>
        <w:pStyle w:val="Normal"/>
      </w:pPr>
      <w:r>
        <w:rPr>
          <w:color w:val="323232"/>
        </w:rPr>
        <w:t xml:space="preserve">INTERVENTIONS:Each dog was anesthetized and had a fluid challenge performed. This was repeated 4 weeks later for a total of 24 fluid challenges. After premedication with intramuscular acepromazine, anesthesia was induced with propofol and maintained with isoflurane. The dogs were mechanically ventilated with constant settings. The fluid challenge consisted of 10 mL/kg of 6% hydroxyethyl starch intravenously over 13 minutes.</w:t>
      </w:r>
    </w:p>
    <w:p/>
    <w:p>
      <w:pPr>
        <w:pStyle w:val="Normal"/>
      </w:pPr>
      <w:r>
        <w:rPr>
          <w:color w:val="323232"/>
        </w:rPr>
        <w:t xml:space="preserve">MEASUREMENTS AND MAIN RESULTS:Before and after the fluid challenge, PPV, PVI, CVP, and other hemodynamics were recorded. Change in velocity time integral of pulmonary arterial blood flow by echocardiography was calculated as an indication of change in stroke volume. A fluid responder was defined as an increase in velocity time integral ≥ 15%. Receiver operator characteristic (ROC) curves were used to determine cutoff values. Areas under ROC curve were calculated and compared. Dogs responded on 14 fluid challenges and did not on 10. Cutoff values for PPV and PVI were 11% (sensitivity 79%; specificity 80%) and 9.3% (sensitivity 86%; specificity 70%), respectively. The areas under the ROC curve of PPV [0.85, 95% confidence interval (CI): 0.70-1.00, P = 0.038] and PVI (0.84, 95% CI: 0.68-1.00, P = 0.043) were significantly higher than CVP (0.56, 95% CI: 0.32-0.81).</w:t>
      </w:r>
    </w:p>
    <w:p/>
    <w:p>
      <w:pPr>
        <w:pStyle w:val="Normal"/>
      </w:pPr>
      <w:r>
        <w:rPr>
          <w:color w:val="323232"/>
        </w:rPr>
        <w:t xml:space="preserve">CONCLUSIONS:PPV and PVI predicted fluid responsiveness more accurately than CVP and may be useful to guide fluid administration in mechanically ventilated isoflurane-anesthetized dogs after premedication with acepromazine.</w:t>
      </w:r>
    </w:p>
    <w:p/>
    <w:p>
      <w:pPr>
        <w:pStyle w:val="Normal"/>
      </w:pPr>
      <w:r>
        <w:rPr>
          <w:color w:val="323232"/>
        </w:rPr>
        <w:t xml:space="preserve">J Vet Emerg Crit Care (San Antonio), 2018 vol. 28 (4) pp. 301-309.</w:t>
      </w:r>
    </w:p>
    <w:p>
      <w:r>
        <w:rPr>
          <w:rStyle w:val="Hyperlink"/>
        </w:rPr>
        <w:fldChar w:fldCharType="begin"/>
      </w:r>
      <w:r>
        <w:rPr>
          <w:rStyle w:val="Hyperlink"/>
        </w:rPr>
        <w:instrText xml:space="preserve"> HYPERLINK "http://eutils.ncbi.nlm.nih.gov/entrez/eutils/elink.fcgi?dbfrom=pubmed&amp;id=29898246&amp;retmode=ref&amp;cmd=prlinks"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http://eutils.ncbi.nlm.nih.gov/entrez/eutils/elink.fcgi?dbfrom=pubmed&amp;id=29898246&amp;retmode=ref&amp;cmd=prlinks</w:t>
      </w:r>
      <w:r>
        <w:rPr>
          <w:rStyle w:val="Hyperlink"/>
        </w:rPr>
        <w:fldChar w:fldCharType="end"/>
      </w:r>
    </w:p>
    <w:p>
      <w:pPr>
        <w:pStyle w:val="Normal"/>
      </w:pPr>
      <w:r>
        <w:rPr>
          <w:color w:val="323232"/>
        </w:rPr>
        <w:t xml:space="preserve">————————</w:t>
      </w:r>
    </w:p>
    <w:p>
      <w:pPr>
        <w:pStyle w:val="Heading4"/>
      </w:pPr>
      <w:r>
        <w:t xml:space="preserve">Serum myoglobin, creatine kinase, and cell-free DNA in endurance sled dogs and sled dogs with clinical rhabdomyolysis.</w:t>
      </w:r>
    </w:p>
    <w:p/>
    <w:p>
      <w:pPr>
        <w:pStyle w:val="Normal"/>
      </w:pPr>
      <w:r>
        <w:rPr>
          <w:color w:val="323232"/>
        </w:rPr>
        <w:t xml:space="preserve">Veronica C Devall, Robert Goggs, Christina Hansen, Christopher W Frye, Jo-Annie Letendre, and Joseph J Wakshlag.</w:t>
      </w:r>
    </w:p>
    <w:p/>
    <w:p>
      <w:pPr>
        <w:pStyle w:val="Normal"/>
      </w:pPr>
      <w:r>
        <w:rPr>
          <w:color w:val="323232"/>
        </w:rPr>
        <w:t xml:space="preserve">OBJECTIVE:To evaluate whether cell-free DNA (cfDNA) concentrations are increased in dogs with exertional rhabdomyolysis and whether concentrations are correlated with serum myoglobin concentration and creatine kinase activity.</w:t>
      </w:r>
    </w:p>
    <w:p/>
    <w:p>
      <w:pPr>
        <w:pStyle w:val="Normal"/>
      </w:pPr>
      <w:r>
        <w:rPr>
          <w:color w:val="323232"/>
        </w:rPr>
        <w:t xml:space="preserve">DESIGN:Observational cohort study.</w:t>
      </w:r>
    </w:p>
    <w:p/>
    <w:p>
      <w:pPr>
        <w:pStyle w:val="Normal"/>
      </w:pPr>
      <w:r>
        <w:rPr>
          <w:color w:val="323232"/>
        </w:rPr>
        <w:t xml:space="preserve">SETTING:Yukon Quest 1,000-mile International Sled Dog Race 2015.</w:t>
      </w:r>
    </w:p>
    <w:p/>
    <w:p>
      <w:pPr>
        <w:pStyle w:val="Normal"/>
      </w:pPr>
      <w:r>
        <w:rPr>
          <w:color w:val="323232"/>
        </w:rPr>
        <w:t xml:space="preserve">ANIMALS:Twelve normal competitive sled dogs; 5 dogs with rhabdomyolysis.</w:t>
      </w:r>
    </w:p>
    <w:p/>
    <w:p>
      <w:pPr>
        <w:pStyle w:val="Normal"/>
      </w:pPr>
      <w:r>
        <w:rPr>
          <w:color w:val="323232"/>
        </w:rPr>
        <w:t xml:space="preserve">INTERVENTIONS:None.</w:t>
      </w:r>
    </w:p>
    <w:p/>
    <w:p>
      <w:pPr>
        <w:pStyle w:val="Normal"/>
      </w:pPr>
      <w:r>
        <w:rPr>
          <w:color w:val="323232"/>
        </w:rPr>
        <w:t xml:space="preserve">MEASUREMENTS AND MAIN RESULTS:Blood was collected from all confirmed cases of exertional rhabdomyolysis and compared to the winning team at the midrace point. Results indicate that median cfDNA did not increase, but decreased by the race finish (prerace</w:t>
      </w:r>
      <w:r>
        <w:rPr>
          <w:color w:val="323232"/>
        </w:rPr>
        <w:t xml:space="preserve"> </w:t>
      </w:r>
      <w:r>
        <w:rPr>
          <w:color w:val="323232"/>
        </w:rPr>
        <w:t xml:space="preserve">=</w:t>
      </w:r>
      <w:r>
        <w:rPr>
          <w:color w:val="323232"/>
        </w:rPr>
        <w:t xml:space="preserve"> </w:t>
      </w:r>
      <w:r>
        <w:rPr>
          <w:color w:val="323232"/>
        </w:rPr>
        <w:t xml:space="preserve">314.2</w:t>
      </w:r>
      <w:r>
        <w:rPr>
          <w:color w:val="323232"/>
        </w:rPr>
        <w:t xml:space="preserve"> </w:t>
      </w:r>
      <w:r>
        <w:rPr>
          <w:color w:val="323232"/>
        </w:rPr>
        <w:t xml:space="preserve">ng</w:t>
      </w:r>
      <w:r>
        <w:rPr>
          <w:i w:val="1"/>
          <w:color w:val="323232"/>
        </w:rPr>
        <w:t xml:space="preserve">mL versus midrace</w:t>
      </w:r>
      <w:r>
        <w:rPr>
          <w:color w:val="323232"/>
        </w:rPr>
        <w:t xml:space="preserve"> </w:t>
      </w:r>
      <w:r>
        <w:rPr>
          <w:i w:val="1"/>
          <w:color w:val="323232"/>
        </w:rPr>
        <w:t xml:space="preserve">=</w:t>
      </w:r>
      <w:r>
        <w:rPr>
          <w:color w:val="323232"/>
        </w:rPr>
        <w:t xml:space="preserve"> </w:t>
      </w:r>
      <w:r>
        <w:rPr>
          <w:i w:val="1"/>
          <w:color w:val="323232"/>
        </w:rPr>
        <w:t xml:space="preserve">283.7</w:t>
      </w:r>
      <w:r>
        <w:rPr>
          <w:color w:val="323232"/>
        </w:rPr>
        <w:t xml:space="preserve"> </w:t>
      </w:r>
      <w:r>
        <w:rPr>
          <w:i w:val="1"/>
          <w:color w:val="323232"/>
        </w:rPr>
        <w:t xml:space="preserve">ng</w:t>
      </w:r>
      <w:r>
        <w:rPr>
          <w:color w:val="323232"/>
        </w:rPr>
        <w:t xml:space="preserve"> mL versus postrace</w:t>
      </w:r>
      <w:r>
        <w:rPr>
          <w:color w:val="323232"/>
        </w:rPr>
        <w:t xml:space="preserve"> </w:t>
      </w:r>
      <w:r>
        <w:rPr>
          <w:color w:val="323232"/>
        </w:rPr>
        <w:t xml:space="preserve">=</w:t>
      </w:r>
      <w:r>
        <w:rPr>
          <w:color w:val="323232"/>
        </w:rPr>
        <w:t xml:space="preserve"> </w:t>
      </w:r>
      <w:r>
        <w:rPr>
          <w:color w:val="323232"/>
        </w:rPr>
        <w:t xml:space="preserve">249.5</w:t>
      </w:r>
      <w:r>
        <w:rPr>
          <w:color w:val="323232"/>
        </w:rPr>
        <w:t xml:space="preserve"> </w:t>
      </w:r>
      <w:r>
        <w:rPr>
          <w:color w:val="323232"/>
        </w:rPr>
        <w:t xml:space="preserve">ng/ mL). There were no rises in median cfDNA in dogs with rhabdomyolysis (255</w:t>
      </w:r>
      <w:r>
        <w:rPr>
          <w:color w:val="323232"/>
        </w:rPr>
        <w:t xml:space="preserve"> </w:t>
      </w:r>
      <w:r>
        <w:rPr>
          <w:color w:val="323232"/>
        </w:rPr>
        <w:t xml:space="preserve">ng/ mL) negating its potential utility as a measure of acute skeletal muscle compromise. In contrast, myoglobin concentration and creatine kinase activity at the midrace point for normal dogs were significantly lower than dogs with rhabdomyolysis. Values for myoglobin and creatine kinase were strongly positively correlated (R</w:t>
      </w:r>
      <w:r>
        <w:rPr>
          <w:color w:val="323232"/>
        </w:rPr>
        <w:t xml:space="preserve"> </w:t>
      </w:r>
      <w:r>
        <w:rPr>
          <w:color w:val="323232"/>
        </w:rPr>
        <w:t xml:space="preserve">=</w:t>
      </w:r>
      <w:r>
        <w:rPr>
          <w:color w:val="323232"/>
        </w:rPr>
        <w:t xml:space="preserve"> </w:t>
      </w:r>
      <w:r>
        <w:rPr>
          <w:color w:val="323232"/>
        </w:rPr>
        <w:t xml:space="preserve">0.91).</w:t>
      </w:r>
    </w:p>
    <w:p/>
    <w:p>
      <w:pPr>
        <w:pStyle w:val="Normal"/>
      </w:pPr>
      <w:r>
        <w:rPr>
          <w:color w:val="323232"/>
        </w:rPr>
        <w:t xml:space="preserve">CONCLUSIONS:cfDNA is not a useful biomarker for exertional rhabdomyolysis in contrast to myoglobin and creatine kinase. Further evaluation of timing and clinical signs suggests that exertional rhabdomyolysis occurs early in endurance activities. Among the dogs with rhabdomyolysis, the dog that demonstrated clinical signs had the highest serum creatine kinase activity and myoglobin concentration.</w:t>
      </w:r>
    </w:p>
    <w:p/>
    <w:p>
      <w:pPr>
        <w:pStyle w:val="Normal"/>
      </w:pPr>
      <w:r>
        <w:rPr>
          <w:color w:val="323232"/>
        </w:rPr>
        <w:t xml:space="preserve">J Vet Emerg Crit Care (San Antonio), 2018 vol. 28 (4) pp. 310-316.</w:t>
      </w:r>
    </w:p>
    <w:p>
      <w:r>
        <w:rPr>
          <w:rStyle w:val="Hyperlink"/>
        </w:rPr>
        <w:fldChar w:fldCharType="begin"/>
      </w:r>
      <w:r>
        <w:rPr>
          <w:rStyle w:val="Hyperlink"/>
        </w:rPr>
        <w:instrText xml:space="preserve"> HYPERLINK "http://eutils.ncbi.nlm.nih.gov/entrez/eutils/elink.fcgi?dbfrom=pubmed&amp;id=29898248&amp;retmode=ref&amp;cmd=prlinks"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http://eutils.ncbi.nlm.nih.gov/entrez/eutils/elink.fcgi?dbfrom=pubmed&amp;id=29898248&amp;retmode=ref&amp;cmd=prlinks</w:t>
      </w:r>
      <w:r>
        <w:rPr>
          <w:rStyle w:val="Hyperlink"/>
        </w:rPr>
        <w:fldChar w:fldCharType="end"/>
      </w:r>
    </w:p>
    <w:p>
      <w:pPr>
        <w:pStyle w:val="Normal"/>
      </w:pPr>
      <w:r>
        <w:rPr>
          <w:color w:val="323232"/>
        </w:rPr>
        <w:t xml:space="preserve">————————</w:t>
      </w:r>
    </w:p>
    <w:p>
      <w:pPr>
        <w:pStyle w:val="Heading4"/>
      </w:pPr>
      <w:r>
        <w:t xml:space="preserve">Performance characteristics of the turbidimetric ACL-TOP CTS 300 coagulation analyzer in dogs and cats.</w:t>
      </w:r>
    </w:p>
    <w:p/>
    <w:p>
      <w:pPr>
        <w:pStyle w:val="Normal"/>
      </w:pPr>
      <w:r>
        <w:rPr>
          <w:color w:val="323232"/>
        </w:rPr>
        <w:t xml:space="preserve">Leslie C Sharkey, Kim J Little, Kevin D Williams, Jeffrey M Todd, Rae Richardson, Angela D Gwynn, and Aaron Rendahl.</w:t>
      </w:r>
    </w:p>
    <w:p/>
    <w:p>
      <w:pPr>
        <w:pStyle w:val="Normal"/>
      </w:pPr>
      <w:r>
        <w:rPr>
          <w:color w:val="323232"/>
        </w:rPr>
        <w:t xml:space="preserve">OBJECTIVE:To evaluate the technical performance of the turbidimetric ACL-TOP CTS 300 coagulation analyzer (IL) in dogs and cats and to create reference intervals for standard and novel parameters.</w:t>
      </w:r>
    </w:p>
    <w:p/>
    <w:p>
      <w:pPr>
        <w:pStyle w:val="Normal"/>
      </w:pPr>
      <w:r>
        <w:rPr>
          <w:color w:val="323232"/>
        </w:rPr>
        <w:t xml:space="preserve">DESIGN:Coagulation testing results from dogs and cats generated by the IL were prospectively compared with another mechanical clot detection system. Precision was documented and reference intervals were created for prothrombin time, activated partial thromboplastin time, and Clauss fibrinogen and D-dimer values, as well as for the quantitative clot curve parameters (high and low amplitude, delta, and first and second derivative curves). Clot curve signatures containing common artifacts due to lipemia, hemolysis, or preactivation were demonstrated.</w:t>
      </w:r>
    </w:p>
    <w:p/>
    <w:p>
      <w:pPr>
        <w:pStyle w:val="Normal"/>
      </w:pPr>
      <w:r>
        <w:rPr>
          <w:color w:val="323232"/>
        </w:rPr>
        <w:t xml:space="preserve">ANIMALS:Residual frozen plasma from 20 dogs and 10 cats was used for method comparison; prospectively recruited healthy dogs (n = 48) and cats (n = 45) were used for reference interval and precision studies.</w:t>
      </w:r>
    </w:p>
    <w:p/>
    <w:p>
      <w:pPr>
        <w:pStyle w:val="Normal"/>
      </w:pPr>
      <w:r>
        <w:rPr>
          <w:color w:val="323232"/>
        </w:rPr>
        <w:t xml:space="preserve">MEASUREMENTS AND MAIN RESULTS:Bland-Altman analysis showed a proportional positive bias in the IL compared with mechanical clot detection in dogs and a suggestion of a similar pattern in cats. Precision was good and met manufacturer's recommendations for all assays. Reference intervals are reported. Clot curve artifacts were similar in animals to those reported in people.</w:t>
      </w:r>
    </w:p>
    <w:p/>
    <w:p>
      <w:pPr>
        <w:pStyle w:val="Normal"/>
      </w:pPr>
      <w:r>
        <w:rPr>
          <w:color w:val="323232"/>
        </w:rPr>
        <w:t xml:space="preserve">CONCLUSIONS:The turbidimetric system had a slight high proportional positive bias compared with mechanical clot detection. Thus, new reference intervals were generated including for novel parameters generated by clot curve analysis. Some preanalytical errors can be identified by inspection of clot curves. This robust novel technology compares favorably with mechanical endpoint detection methods and can be used in dogs and cats.</w:t>
      </w:r>
    </w:p>
    <w:p/>
    <w:p>
      <w:pPr>
        <w:pStyle w:val="Normal"/>
      </w:pPr>
      <w:r>
        <w:rPr>
          <w:color w:val="323232"/>
        </w:rPr>
        <w:t xml:space="preserve">J Vet Emerg Crit Care (San Antonio), 2018 vol. 28 (4) pp. 317-325.</w:t>
      </w:r>
    </w:p>
    <w:p>
      <w:r>
        <w:rPr>
          <w:rStyle w:val="Hyperlink"/>
        </w:rPr>
        <w:fldChar w:fldCharType="begin"/>
      </w:r>
      <w:r>
        <w:rPr>
          <w:rStyle w:val="Hyperlink"/>
        </w:rPr>
        <w:instrText xml:space="preserve"> HYPERLINK "http://eutils.ncbi.nlm.nih.gov/entrez/eutils/elink.fcgi?dbfrom=pubmed&amp;id=29901847&amp;retmode=ref&amp;cmd=prlinks"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http://eutils.ncbi.nlm.nih.gov/entrez/eutils/elink.fcgi?dbfrom=pubmed&amp;id=29901847&amp;retmode=ref&amp;cmd=prlinks</w:t>
      </w:r>
      <w:r>
        <w:rPr>
          <w:rStyle w:val="Hyperlink"/>
        </w:rPr>
        <w:fldChar w:fldCharType="end"/>
      </w:r>
    </w:p>
    <w:p>
      <w:pPr>
        <w:pStyle w:val="Normal"/>
      </w:pPr>
      <w:r>
        <w:rPr>
          <w:color w:val="323232"/>
        </w:rPr>
        <w:t xml:space="preserve">————————</w:t>
      </w:r>
    </w:p>
    <w:p>
      <w:pPr>
        <w:pStyle w:val="Heading4"/>
      </w:pPr>
      <w:r>
        <w:t xml:space="preserve">A novel balloon technique to induce intra-abdominal hypertension and its effects on cardiovascular parameters in a conscious dog model.</w:t>
      </w:r>
    </w:p>
    <w:p/>
    <w:p>
      <w:pPr>
        <w:pStyle w:val="Normal"/>
      </w:pPr>
      <w:r>
        <w:rPr>
          <w:color w:val="323232"/>
        </w:rPr>
        <w:t xml:space="preserve">Min Jang, Won-gyun Son, Sang-min Jo, Hyunseok Kim, Chi Won Shin, and Inhyung Lee.</w:t>
      </w:r>
    </w:p>
    <w:p/>
    <w:p>
      <w:pPr>
        <w:pStyle w:val="Normal"/>
      </w:pPr>
      <w:r>
        <w:rPr>
          <w:color w:val="323232"/>
        </w:rPr>
        <w:t xml:space="preserve">OBJECTIVE:To evaluate a new balloon technique to induce intra-abdominal hypertension (IAH) and abdominal compartment syndrome in a conscious dog model, and to evaluate the effect of intra-abdominal pressure (IAP) on cardiovascular, respiratory, and arterial blood gas values in conscious dogs with IAH.</w:t>
      </w:r>
    </w:p>
    <w:p/>
    <w:p>
      <w:pPr>
        <w:pStyle w:val="Normal"/>
      </w:pPr>
      <w:r>
        <w:rPr>
          <w:color w:val="323232"/>
        </w:rPr>
        <w:t xml:space="preserve">DESIGN:Prospective, experimental study.</w:t>
      </w:r>
    </w:p>
    <w:p/>
    <w:p>
      <w:pPr>
        <w:pStyle w:val="Normal"/>
      </w:pPr>
      <w:r>
        <w:rPr>
          <w:color w:val="323232"/>
        </w:rPr>
        <w:t xml:space="preserve">SETTING:University-based small animal research facility.</w:t>
      </w:r>
    </w:p>
    <w:p/>
    <w:p>
      <w:pPr>
        <w:pStyle w:val="Normal"/>
      </w:pPr>
      <w:r>
        <w:rPr>
          <w:color w:val="323232"/>
        </w:rPr>
        <w:t xml:space="preserve">ANIMALS:Six healthy Beagle dogs, 4 males, and 2 females.</w:t>
      </w:r>
    </w:p>
    <w:p/>
    <w:p>
      <w:pPr>
        <w:pStyle w:val="Normal"/>
      </w:pPr>
      <w:r>
        <w:rPr>
          <w:color w:val="323232"/>
        </w:rPr>
        <w:t xml:space="preserve">INTERVENTIONS:A new balloon device designed for this study using a Foley urethral catheter and latex balloon was placed in the abdominal cavity. Consecutive measurements of IAP were made by measuring the intravesicular pressure. The abdomen was inflated with air to IAPs of 10, 15, 20, and 25</w:t>
      </w:r>
      <w:r>
        <w:rPr>
          <w:color w:val="323232"/>
        </w:rPr>
        <w:t xml:space="preserve"> </w:t>
      </w:r>
      <w:r>
        <w:rPr>
          <w:color w:val="323232"/>
        </w:rPr>
        <w:t xml:space="preserve">mm</w:t>
      </w:r>
      <w:r>
        <w:rPr>
          <w:color w:val="323232"/>
        </w:rPr>
        <w:t xml:space="preserve"> </w:t>
      </w:r>
      <w:r>
        <w:rPr>
          <w:color w:val="323232"/>
        </w:rPr>
        <w:t xml:space="preserve">Hg. Heart rate, respiratory rate, systolic arterial blood pressure, and arterial blood gases were evaluated at baseline and at 15, 30, 45, 60, 120, 240, and 300 minutes after IAP increase.</w:t>
      </w:r>
    </w:p>
    <w:p/>
    <w:p>
      <w:pPr>
        <w:pStyle w:val="Normal"/>
      </w:pPr>
      <w:r>
        <w:rPr>
          <w:color w:val="323232"/>
        </w:rPr>
        <w:t xml:space="preserve">MEASUREMENTS AND MAIN RESULTS:The air insufflated into the intra-abdominal balloon device significantly increased the IAP and led to sustained IAH. The respiratory rate increased significantly (P &lt; 0.05) when IAP was increased to 15, 20, and 25</w:t>
      </w:r>
      <w:r>
        <w:rPr>
          <w:color w:val="323232"/>
        </w:rPr>
        <w:t xml:space="preserve"> </w:t>
      </w:r>
      <w:r>
        <w:rPr>
          <w:color w:val="323232"/>
        </w:rPr>
        <w:t xml:space="preserve">mm</w:t>
      </w:r>
      <w:r>
        <w:rPr>
          <w:color w:val="323232"/>
        </w:rPr>
        <w:t xml:space="preserve"> </w:t>
      </w:r>
      <w:r>
        <w:rPr>
          <w:color w:val="323232"/>
        </w:rPr>
        <w:t xml:space="preserve">Hg. Although heart rate, systolic arterial blood pressure, PaO2 , and PaCO2 did not show statistically significant differences between baseline and posttreatment values over time, the dogs with increased IAP showed a distended abdomen and apparent discomfort, and 4/6 (67%) vomited. After measurement of IAP, air was removed. There were no adverse effects noted after removal of the balloon device.</w:t>
      </w:r>
    </w:p>
    <w:p/>
    <w:p>
      <w:pPr>
        <w:pStyle w:val="Normal"/>
      </w:pPr>
      <w:r>
        <w:rPr>
          <w:color w:val="323232"/>
        </w:rPr>
        <w:t xml:space="preserve">CONCLUSION:The balloon device was successfully insufflated and led to sustained IAH in conscious dogs. This balloon technique does not require general anesthesia for instillation or removal of gas after installment. An acute IAP increase in normal conscious dogs induced discomfort, vomiting, and increased respiratory effort.</w:t>
      </w:r>
    </w:p>
    <w:p/>
    <w:p>
      <w:pPr>
        <w:pStyle w:val="Normal"/>
      </w:pPr>
      <w:r>
        <w:rPr>
          <w:color w:val="323232"/>
        </w:rPr>
        <w:t xml:space="preserve">J Vet Emerg Crit Care (San Antonio), 2018 vol. 28 (4) pp. 326-333.</w:t>
      </w:r>
    </w:p>
    <w:p>
      <w:r>
        <w:rPr>
          <w:rStyle w:val="Hyperlink"/>
        </w:rPr>
        <w:fldChar w:fldCharType="begin"/>
      </w:r>
      <w:r>
        <w:rPr>
          <w:rStyle w:val="Hyperlink"/>
        </w:rPr>
        <w:instrText xml:space="preserve"> HYPERLINK "http://eutils.ncbi.nlm.nih.gov/entrez/eutils/elink.fcgi?dbfrom=pubmed&amp;id=29898239&amp;retmode=ref&amp;cmd=prlinks"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http://eutils.ncbi.nlm.nih.gov/entrez/eutils/elink.fcgi?dbfrom=pubmed&amp;id=29898239&amp;retmode=ref&amp;cmd=prlinks</w:t>
      </w:r>
      <w:r>
        <w:rPr>
          <w:rStyle w:val="Hyperlink"/>
        </w:rPr>
        <w:fldChar w:fldCharType="end"/>
      </w:r>
    </w:p>
    <w:p>
      <w:pPr>
        <w:pStyle w:val="Normal"/>
      </w:pPr>
      <w:r>
        <w:rPr>
          <w:color w:val="323232"/>
        </w:rPr>
        <w:t xml:space="preserve">————————</w:t>
      </w:r>
    </w:p>
    <w:p>
      <w:pPr>
        <w:pStyle w:val="Heading4"/>
      </w:pPr>
      <w:r>
        <w:t xml:space="preserve">Variability of tissue factor-activated thromboelastography and whole blood impedance platelet aggregometry in healthy dogs.</w:t>
      </w:r>
    </w:p>
    <w:p/>
    <w:p>
      <w:pPr>
        <w:pStyle w:val="Normal"/>
      </w:pPr>
      <w:r>
        <w:rPr>
          <w:color w:val="323232"/>
        </w:rPr>
        <w:t xml:space="preserve">Sarah B Shropshire, Christine S Olver, and Michael R Lappin.</w:t>
      </w:r>
    </w:p>
    <w:p/>
    <w:p>
      <w:pPr>
        <w:pStyle w:val="Normal"/>
      </w:pPr>
      <w:r>
        <w:rPr>
          <w:color w:val="323232"/>
        </w:rPr>
        <w:t xml:space="preserve">OBJECTIVE:To assess interindividual (CVG ) and intraindividual (CVI ) variability over time for results of thromboelastography (TEG) and whole-blood impedance platelet aggregometry in healthy dogs.</w:t>
      </w:r>
    </w:p>
    <w:p/>
    <w:p>
      <w:pPr>
        <w:pStyle w:val="Normal"/>
      </w:pPr>
      <w:r>
        <w:rPr>
          <w:color w:val="323232"/>
        </w:rPr>
        <w:t xml:space="preserve">ANIMALS:Six healthy Beagle dogs.</w:t>
      </w:r>
    </w:p>
    <w:p/>
    <w:p>
      <w:pPr>
        <w:pStyle w:val="Normal"/>
      </w:pPr>
      <w:r>
        <w:rPr>
          <w:color w:val="323232"/>
        </w:rPr>
        <w:t xml:space="preserve">MEASUREMENTS AND MAIN RESULTS:Tissue factor (TF)-activated TEG and adenosine diphosphate (ADP) and arachidonic acid (AA)-induced whole blood impedance platelet aggregometry were performed at 3 different time points (days 1, 4, and 6). In addition, platelet count, hematocrit, and plasma fibrinogen concentrations were recorded each study day. Activated partial thromboplastin time, one-stage prothrombin time, antithrombin activity, and D-dimer concentrations were measured on the first day of the study. For TEG, the variables reaction time (R), clotting time (K), rate of clot formation (α), and maximum amplitude (MA) were recorded. For platelet aggregometry, the areas under the curve for ADP (AUCADP )- and AA (AUCAA )-induced aggregation were measured. The CVI was lower than the CVG over time for MA, AUCADP , and AUCAA ; however, the CVI was higher than the CVG for the TEG variables R, K, and α. There were no statistical differences in the platelet count, hematocrit, and fibrinogen measurements over time.</w:t>
      </w:r>
    </w:p>
    <w:p/>
    <w:p>
      <w:pPr>
        <w:pStyle w:val="Normal"/>
      </w:pPr>
      <w:r>
        <w:rPr>
          <w:color w:val="323232"/>
        </w:rPr>
        <w:t xml:space="preserve">CONCLUSIONS:In healthy dogs, a subject-based reference interval for ADP- and AA-induced platelet aggregometry and the TEG variable MA provide a more sensitive method to detect changes. However, due to the high CVI , population-based reference intervals may be more appropriate for interpretation of the TEG variables R, K, and α.</w:t>
      </w:r>
    </w:p>
    <w:p/>
    <w:p>
      <w:pPr>
        <w:pStyle w:val="Normal"/>
      </w:pPr>
      <w:r>
        <w:rPr>
          <w:color w:val="323232"/>
        </w:rPr>
        <w:t xml:space="preserve">J Vet Emerg Crit Care (San Antonio), 2018 vol. 28 (4) pp. 334-339.</w:t>
      </w:r>
    </w:p>
    <w:p>
      <w:r>
        <w:rPr>
          <w:rStyle w:val="Hyperlink"/>
        </w:rPr>
        <w:fldChar w:fldCharType="begin"/>
      </w:r>
      <w:r>
        <w:rPr>
          <w:rStyle w:val="Hyperlink"/>
        </w:rPr>
        <w:instrText xml:space="preserve"> HYPERLINK "http://eutils.ncbi.nlm.nih.gov/entrez/eutils/elink.fcgi?dbfrom=pubmed&amp;id=29920913&amp;retmode=ref&amp;cmd=prlinks"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http://eutils.ncbi.nlm.nih.gov/entrez/eutils/elink.fcgi?dbfrom=pubmed&amp;id=29920913&amp;retmode=ref&amp;cmd=prlinks</w:t>
      </w:r>
      <w:r>
        <w:rPr>
          <w:rStyle w:val="Hyperlink"/>
        </w:rPr>
        <w:fldChar w:fldCharType="end"/>
      </w:r>
    </w:p>
    <w:p>
      <w:pPr>
        <w:pStyle w:val="Normal"/>
      </w:pPr>
      <w:r>
        <w:rPr>
          <w:color w:val="323232"/>
        </w:rPr>
        <w:t xml:space="preserve">————————</w:t>
      </w:r>
    </w:p>
    <w:p>
      <w:pPr>
        <w:pStyle w:val="Heading4"/>
      </w:pPr>
      <w:r>
        <w:t xml:space="preserve">Evaluation of a prognostic scoring system for dogs managed with hemodialysis.</w:t>
      </w:r>
    </w:p>
    <w:p/>
    <w:p>
      <w:pPr>
        <w:pStyle w:val="Normal"/>
      </w:pPr>
      <w:r>
        <w:rPr>
          <w:color w:val="323232"/>
        </w:rPr>
        <w:t xml:space="preserve">Francesca Perondi, Ilaria Lippi, Gianila Ceccherini, Veronica Marchetti, Lucrezia Bernicchi, and Grazia Guidi.</w:t>
      </w:r>
    </w:p>
    <w:p/>
    <w:p>
      <w:pPr>
        <w:pStyle w:val="Normal"/>
      </w:pPr>
      <w:r>
        <w:rPr>
          <w:color w:val="323232"/>
        </w:rPr>
        <w:t xml:space="preserve">OBJECTIVE:To investigate prognostic models in a cohort of dogs with acute kidney injury (AKI) and acute on chronic kidney disease (AKI/CKD) managed by hemodialysis.</w:t>
      </w:r>
    </w:p>
    <w:p/>
    <w:p>
      <w:pPr>
        <w:pStyle w:val="Normal"/>
      </w:pPr>
      <w:r>
        <w:rPr>
          <w:color w:val="323232"/>
        </w:rPr>
        <w:t xml:space="preserve">DESIGN:Retrospective study from July 2011 to November 2014.</w:t>
      </w:r>
    </w:p>
    <w:p/>
    <w:p>
      <w:pPr>
        <w:pStyle w:val="Normal"/>
      </w:pPr>
      <w:r>
        <w:rPr>
          <w:color w:val="323232"/>
        </w:rPr>
        <w:t xml:space="preserve">SETTING:University Veterinary Teaching Hospital.</w:t>
      </w:r>
    </w:p>
    <w:p/>
    <w:p>
      <w:pPr>
        <w:pStyle w:val="Normal"/>
      </w:pPr>
      <w:r>
        <w:rPr>
          <w:color w:val="323232"/>
        </w:rPr>
        <w:t xml:space="preserve">ANIMALS:Forty dogs with historical, clinical, imaging, and laboratory findings consistent with AKI or AKI/CKD managed with intermittent hemodialysis were included.</w:t>
      </w:r>
    </w:p>
    <w:p/>
    <w:p>
      <w:pPr>
        <w:pStyle w:val="Normal"/>
      </w:pPr>
      <w:r>
        <w:rPr>
          <w:color w:val="323232"/>
        </w:rPr>
        <w:t xml:space="preserve">INTERVENTIONS:Scoring system models previously established by Segev et</w:t>
      </w:r>
      <w:r>
        <w:rPr>
          <w:color w:val="323232"/>
        </w:rPr>
        <w:t xml:space="preserve"> </w:t>
      </w:r>
      <w:r>
        <w:rPr>
          <w:color w:val="323232"/>
        </w:rPr>
        <w:t xml:space="preserve">al for outcome prediction in dogs with AKI were applied to all dogs.</w:t>
      </w:r>
    </w:p>
    <w:p/>
    <w:p>
      <w:pPr>
        <w:pStyle w:val="Normal"/>
      </w:pPr>
      <w:r>
        <w:rPr>
          <w:color w:val="323232"/>
        </w:rPr>
        <w:t xml:space="preserve">RESULTS:Models A, B, and C correctly classified outcomes in 68%, 83%, and 85% of cases, respectively. In our cohort Model A showed sensitivity of 58% and specificity of 86%, Model B showed sensitivity of 79% and specificity of 87%, Model C showed sensitivity of 86% and specificity of 84%. The presence of anuria (P &lt; 0.0002), respiratory complications (P &lt; 0.0001), disseminated intravascular coagulation (DIC) (P = 0.0004), grade of AKI (P = 0.0023), pancreatitis (P = 0.0001), and systemic inflammatory response syndrome (SIRS) (P = 0.0001) was significantly higher in nonsurvivors compared with survivors.</w:t>
      </w:r>
    </w:p>
    <w:p/>
    <w:p>
      <w:pPr>
        <w:pStyle w:val="Normal"/>
      </w:pPr>
      <w:r>
        <w:rPr>
          <w:color w:val="323232"/>
        </w:rPr>
        <w:t xml:space="preserve">CONCLUSIONS:In our cohort of patients, Segev's model C showed the best sensitivity and specificity for predicting prognosis, while model A had lower sensitivity. In our cohort of dialysis patients, the presence of respiratory complications, DIC, SIRS, and pancreatitis at hospitalization, were correlated with a poor prognosis.</w:t>
      </w:r>
    </w:p>
    <w:p/>
    <w:p>
      <w:pPr>
        <w:pStyle w:val="Normal"/>
      </w:pPr>
      <w:r>
        <w:rPr>
          <w:color w:val="323232"/>
        </w:rPr>
        <w:t xml:space="preserve">J Vet Emerg Crit Care (San Antonio), 2018 vol. 28 (4) pp. 340-345.</w:t>
      </w:r>
    </w:p>
    <w:p>
      <w:r>
        <w:rPr>
          <w:rStyle w:val="Hyperlink"/>
        </w:rPr>
        <w:fldChar w:fldCharType="begin"/>
      </w:r>
      <w:r>
        <w:rPr>
          <w:rStyle w:val="Hyperlink"/>
        </w:rPr>
        <w:instrText xml:space="preserve"> HYPERLINK "http://eutils.ncbi.nlm.nih.gov/entrez/eutils/elink.fcgi?dbfrom=pubmed&amp;id=29936707&amp;retmode=ref&amp;cmd=prlinks"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http://eutils.ncbi.nlm.nih.gov/entrez/eutils/elink.fcgi?dbfrom=pubmed&amp;id=29936707&amp;retmode=ref&amp;cmd=prlinks</w:t>
      </w:r>
      <w:r>
        <w:rPr>
          <w:rStyle w:val="Hyperlink"/>
        </w:rPr>
        <w:fldChar w:fldCharType="end"/>
      </w:r>
    </w:p>
    <w:p>
      <w:pPr>
        <w:pStyle w:val="Normal"/>
      </w:pPr>
      <w:r>
        <w:rPr>
          <w:color w:val="323232"/>
        </w:rPr>
        <w:t xml:space="preserve">————————</w:t>
      </w:r>
    </w:p>
    <w:p>
      <w:pPr>
        <w:pStyle w:val="Heading4"/>
      </w:pPr>
      <w:r>
        <w:t xml:space="preserve">Spontaneous gastric dilatation-volvulus in two cats.</w:t>
      </w:r>
    </w:p>
    <w:p/>
    <w:p>
      <w:pPr>
        <w:pStyle w:val="Normal"/>
      </w:pPr>
      <w:r>
        <w:rPr>
          <w:color w:val="323232"/>
        </w:rPr>
        <w:t xml:space="preserve">Meredith L Leary and Virginia Sinnott-Stutzman.</w:t>
      </w:r>
    </w:p>
    <w:p/>
    <w:p>
      <w:pPr>
        <w:pStyle w:val="Normal"/>
      </w:pPr>
      <w:r>
        <w:rPr>
          <w:color w:val="323232"/>
        </w:rPr>
        <w:t xml:space="preserve">OBJECTIVES:To describe 2 cases of gastric dilatation-volvulus (GDV) in cats. To describe 2 unique clinical settings in which the disease occurs in cats, and to highlight the differences between GDV in cats and dogs.</w:t>
      </w:r>
    </w:p>
    <w:p/>
    <w:p>
      <w:pPr>
        <w:pStyle w:val="Normal"/>
      </w:pPr>
      <w:r>
        <w:rPr>
          <w:color w:val="323232"/>
        </w:rPr>
        <w:t xml:space="preserve">CASE SERIES SUMMARY:Two neutered female Persian cats were presented for evaluation of respiratory distress. Initial physical examination revealed tachypnea, dyspnea, and a markedly distended and painful abdomen in both cats. Radiographs revealed a gas-dilated stomach and gastrointestinal (GI) tract in both cats but were only diagnostic for GDV in 1 case. Gastric dilatation-volvulus was confirmed during exploratory laparotomy and gastropexy was performed in each case. Both cats were successfully discharged from the hospital.</w:t>
      </w:r>
    </w:p>
    <w:p/>
    <w:p>
      <w:pPr>
        <w:pStyle w:val="Normal"/>
      </w:pPr>
      <w:r>
        <w:rPr>
          <w:color w:val="323232"/>
        </w:rPr>
        <w:t xml:space="preserve">NEW AND UNIQUE INFORMATION PROVIDED:Gastric dilatation-volvulus in cats is a rare event and appears to occur in 2 clinical settings: in combination with traumatic diaphragmatic hernia (as previously reported) and without a history of trauma or diaphragmatic hernia, as in the 2 cases reported here. Clinicians should consider GDV in the list of differentials for cats with respiratory distress and abdominal distension, even if classic radiographic findings are not present.</w:t>
      </w:r>
    </w:p>
    <w:p/>
    <w:p>
      <w:pPr>
        <w:pStyle w:val="Normal"/>
      </w:pPr>
      <w:r>
        <w:rPr>
          <w:color w:val="323232"/>
        </w:rPr>
        <w:t xml:space="preserve">J Vet Emerg Crit Care (San Antonio), 2018 vol. 28 (4) pp. 346-355.</w:t>
      </w:r>
    </w:p>
    <w:p>
      <w:r>
        <w:rPr>
          <w:rStyle w:val="Hyperlink"/>
        </w:rPr>
        <w:fldChar w:fldCharType="begin"/>
      </w:r>
      <w:r>
        <w:rPr>
          <w:rStyle w:val="Hyperlink"/>
        </w:rPr>
        <w:instrText xml:space="preserve"> HYPERLINK "http://eutils.ncbi.nlm.nih.gov/entrez/eutils/elink.fcgi?dbfrom=pubmed&amp;id=29906334&amp;retmode=ref&amp;cmd=prlinks"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http://eutils.ncbi.nlm.nih.gov/entrez/eutils/elink.fcgi?dbfrom=pubmed&amp;id=29906334&amp;retmode=ref&amp;cmd=prlinks</w:t>
      </w:r>
      <w:r>
        <w:rPr>
          <w:rStyle w:val="Hyperlink"/>
        </w:rPr>
        <w:fldChar w:fldCharType="end"/>
      </w:r>
    </w:p>
    <w:p>
      <w:pPr>
        <w:pStyle w:val="Normal"/>
      </w:pPr>
      <w:r>
        <w:rPr>
          <w:color w:val="323232"/>
        </w:rPr>
        <w:t xml:space="preserve">————————</w:t>
      </w:r>
    </w:p>
    <w:p>
      <w:pPr>
        <w:pStyle w:val="Heading4"/>
      </w:pPr>
      <w:r>
        <w:t xml:space="preserve">Treatment of carprofen overdose with therapeutic plasma exchange in a dog.</w:t>
      </w:r>
    </w:p>
    <w:p/>
    <w:p>
      <w:pPr>
        <w:pStyle w:val="Normal"/>
      </w:pPr>
      <w:r>
        <w:rPr>
          <w:color w:val="323232"/>
        </w:rPr>
        <w:t xml:space="preserve">Astrid B Kjaergaard, Jennifer L Davis, and Mark J Acierno.</w:t>
      </w:r>
    </w:p>
    <w:p/>
    <w:p>
      <w:pPr>
        <w:pStyle w:val="Normal"/>
      </w:pPr>
      <w:r>
        <w:rPr>
          <w:color w:val="323232"/>
        </w:rPr>
        <w:t xml:space="preserve">OBJECTIVE:To report the use of therapeutic plasma exchange (TPE) in a dog with carprofen toxicosis.</w:t>
      </w:r>
    </w:p>
    <w:p/>
    <w:p>
      <w:pPr>
        <w:pStyle w:val="Normal"/>
      </w:pPr>
      <w:r>
        <w:rPr>
          <w:color w:val="323232"/>
        </w:rPr>
        <w:t xml:space="preserve">SUMMARY:A 6-year-old female neutered Bichon Frise weighing 6.9 kg was examined after it had ingested 72 mg/kg carprofen. Mild dehydration without azotemia and with a urine specific gravity of 1.050 was noted at presentation. Treatment consisted of induction of emesis, symptomatic medical therapy, and TPE. The TPE achieved 1.5 plasma volume exchanges over 3 hours. Blood samples and effluent samples were collected every 30 minutes during TPE and additional blood samples were collected 11 and 35 hours after treatment. Carprofen concentrations in these samples were determined by high-pressure liquid chromatography. A 51% reduction in serum carprofen concentration was achieved following TPE.</w:t>
      </w:r>
    </w:p>
    <w:p/>
    <w:p>
      <w:pPr>
        <w:pStyle w:val="Normal"/>
      </w:pPr>
      <w:r>
        <w:rPr>
          <w:color w:val="323232"/>
        </w:rPr>
        <w:t xml:space="preserve">NEW OR UNIQUE INFORMATION PROVIDED:This report describes the successful reduction of plasma carprofen concentration in a dog using TPE. Although recent studies suggest that this particular dog may not have received a toxic dose, a 51% reduction of plasma carprofen concentration was achieved over 180 minutes, and TPE may be beneficial for treatment of dogs that have ingested higher doses.</w:t>
      </w:r>
    </w:p>
    <w:p/>
    <w:p>
      <w:pPr>
        <w:pStyle w:val="Normal"/>
      </w:pPr>
      <w:r>
        <w:rPr>
          <w:color w:val="323232"/>
        </w:rPr>
        <w:t xml:space="preserve">J Vet Emerg Crit Care (San Antonio), 2018 vol. 28 (4) pp. 356-360.</w:t>
      </w:r>
    </w:p>
    <w:p>
      <w:r>
        <w:rPr>
          <w:rStyle w:val="Hyperlink"/>
        </w:rPr>
        <w:fldChar w:fldCharType="begin"/>
      </w:r>
      <w:r>
        <w:rPr>
          <w:rStyle w:val="Hyperlink"/>
        </w:rPr>
        <w:instrText xml:space="preserve"> HYPERLINK "http://eutils.ncbi.nlm.nih.gov/entrez/eutils/elink.fcgi?dbfrom=pubmed&amp;id=29898245&amp;retmode=ref&amp;cmd=prlinks"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http://eutils.ncbi.nlm.nih.gov/entrez/eutils/elink.fcgi?dbfrom=pubmed&amp;id=29898245&amp;retmode=ref&amp;cmd=prlinks</w:t>
      </w:r>
      <w:r>
        <w:rPr>
          <w:rStyle w:val="Hyperlink"/>
        </w:rPr>
        <w:fldChar w:fldCharType="end"/>
      </w:r>
    </w:p>
    <w:p>
      <w:pPr>
        <w:pStyle w:val="Normal"/>
      </w:pPr>
      <w:r>
        <w:rPr>
          <w:color w:val="323232"/>
        </w:rPr>
        <w:t xml:space="preserve">————————</w:t>
      </w:r>
    </w:p>
    <w:p>
      <w:pPr>
        <w:pStyle w:val="Heading4"/>
      </w:pPr>
      <w:r>
        <w:t xml:space="preserve">Hemodialysis catheter-associated fibrin sheath in a dog.</w:t>
      </w:r>
    </w:p>
    <w:p/>
    <w:p>
      <w:pPr>
        <w:pStyle w:val="Normal"/>
      </w:pPr>
      <w:r>
        <w:rPr>
          <w:color w:val="323232"/>
        </w:rPr>
        <w:t xml:space="preserve">Cathy E Langston and Adam E Eatroff.</w:t>
      </w:r>
    </w:p>
    <w:p/>
    <w:p>
      <w:pPr>
        <w:pStyle w:val="Normal"/>
      </w:pPr>
      <w:r>
        <w:rPr>
          <w:color w:val="323232"/>
        </w:rPr>
        <w:t xml:space="preserve">OBJECTIVE:To describe an intravascular fibrin sheath associated with a hemodialysis catheter in a dog.</w:t>
      </w:r>
    </w:p>
    <w:p/>
    <w:p>
      <w:pPr>
        <w:pStyle w:val="Normal"/>
      </w:pPr>
      <w:r>
        <w:rPr>
          <w:color w:val="323232"/>
        </w:rPr>
        <w:t xml:space="preserve">CASE SUMMARY:A 4-year-old dog presented for hemodialysis to treat acute kidney injury. Hemodialysis catheter dysfunction during the course of treatment was temporarily alleviated using a tissue plasminogen activator. A thrombus composed of fibrin and granulation tissue creating a sheath around the catheter and focally adherent to the vessel wall was identified on postmortem evaluation.</w:t>
      </w:r>
    </w:p>
    <w:p/>
    <w:p>
      <w:pPr>
        <w:pStyle w:val="Normal"/>
      </w:pPr>
      <w:r>
        <w:rPr>
          <w:color w:val="323232"/>
        </w:rPr>
        <w:t xml:space="preserve">NEW OR UNIQUE INFORMATION PROVIDED:Fibrin sheath formation is a commonly recognized problem of central venous catheters used for hemodialysis in people and is likely a common problem in veterinary patients undergoing dialysis as well. This report provides a description of the clinical features of the catheter dysfunction, response to treatment, postmortem radiographic and direct imaging, and histology of the fibrin sheath, and also provides a brief review of potential management techniques that have been described in people.</w:t>
      </w:r>
    </w:p>
    <w:p/>
    <w:p>
      <w:pPr>
        <w:pStyle w:val="Normal"/>
      </w:pPr>
      <w:r>
        <w:rPr>
          <w:color w:val="323232"/>
        </w:rPr>
        <w:t xml:space="preserve">J Vet Emerg Crit Care (San Antonio), 2018 vol. 28 (4) pp. 366-371.</w:t>
      </w:r>
    </w:p>
    <w:p>
      <w:r>
        <w:rPr>
          <w:rStyle w:val="Hyperlink"/>
        </w:rPr>
        <w:fldChar w:fldCharType="begin"/>
      </w:r>
      <w:r>
        <w:rPr>
          <w:rStyle w:val="Hyperlink"/>
        </w:rPr>
        <w:instrText xml:space="preserve"> HYPERLINK "http://eutils.ncbi.nlm.nih.gov/entrez/eutils/elink.fcgi?dbfrom=pubmed&amp;id=29763987&amp;retmode=ref&amp;cmd=prlinks"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http://eutils.ncbi.nlm.nih.gov/entrez/eutils/elink.fcgi?dbfrom=pubmed&amp;id=29763987&amp;retmode=ref&amp;cmd=prlinks</w:t>
      </w:r>
      <w:r>
        <w:rPr>
          <w:rStyle w:val="Hyperlink"/>
        </w:rPr>
        <w:fldChar w:fldCharType="end"/>
      </w:r>
    </w:p>
    <w:p>
      <w:pPr>
        <w:pStyle w:val="Normal"/>
      </w:pPr>
      <w:r>
        <w:rPr>
          <w:color w:val="323232"/>
        </w:rPr>
        <w:t xml:space="preserve">————————</w:t>
      </w:r>
    </w:p>
    <w:p>
      <w:pPr>
        <w:pStyle w:val="Heading4"/>
      </w:pPr>
      <w:r>
        <w:t xml:space="preserve">Evaluation of end-tidal carbon dioxide as a predictor of return of spontaneous circulation in dogs and cats undergoing cardiopulmonary resuscitation.</w:t>
      </w:r>
    </w:p>
    <w:p/>
    <w:p>
      <w:pPr>
        <w:pStyle w:val="Normal"/>
      </w:pPr>
      <w:r>
        <w:rPr>
          <w:color w:val="323232"/>
        </w:rPr>
        <w:t xml:space="preserve">Talli Hogen, Steven G Cole, and Kenneth J Drobatz.</w:t>
      </w:r>
    </w:p>
    <w:p/>
    <w:p>
      <w:pPr>
        <w:pStyle w:val="Normal"/>
      </w:pPr>
      <w:r>
        <w:rPr>
          <w:color w:val="323232"/>
        </w:rPr>
        <w:t xml:space="preserve">OBJECTIVE:To determine whether the partial pressure of end-tidal carbon dioxide (PetCO2 ) could predict return of spontaneous circulation (ROSC) in patients with cardiopulmonary arrest (CPA) undergoing CPR.</w:t>
      </w:r>
    </w:p>
    <w:p/>
    <w:p>
      <w:pPr>
        <w:pStyle w:val="Normal"/>
      </w:pPr>
      <w:r>
        <w:rPr>
          <w:color w:val="323232"/>
        </w:rPr>
        <w:t xml:space="preserve">DESIGN:Prospective observational study.</w:t>
      </w:r>
    </w:p>
    <w:p/>
    <w:p>
      <w:pPr>
        <w:pStyle w:val="Normal"/>
      </w:pPr>
      <w:r>
        <w:rPr>
          <w:color w:val="323232"/>
        </w:rPr>
        <w:t xml:space="preserve">SETTING:Two private specialty referral hospitals.</w:t>
      </w:r>
    </w:p>
    <w:p/>
    <w:p>
      <w:pPr>
        <w:pStyle w:val="Normal"/>
      </w:pPr>
      <w:r>
        <w:rPr>
          <w:color w:val="323232"/>
        </w:rPr>
        <w:t xml:space="preserve">ANIMALS:Thirty-five client-owned dogs and cats in CPA in which CPR was performed and pertinent data recorded on a purpose-made form.</w:t>
      </w:r>
    </w:p>
    <w:p/>
    <w:p>
      <w:pPr>
        <w:pStyle w:val="Normal"/>
      </w:pPr>
      <w:r>
        <w:rPr>
          <w:color w:val="323232"/>
        </w:rPr>
        <w:t xml:space="preserve">INTERVENTIONS:None.</w:t>
      </w:r>
    </w:p>
    <w:p/>
    <w:p>
      <w:pPr>
        <w:pStyle w:val="Normal"/>
      </w:pPr>
      <w:r>
        <w:rPr>
          <w:color w:val="323232"/>
        </w:rPr>
        <w:t xml:space="preserve">MEASUREMENTS AND MAIN RESULTS:PetCO2 was recorded at 1-minute intervals during CPR. Hospital, animal, arrest, and outcome variables were also reported in the Utstein style where possible. Twelve animals (7 dogs and 5 cats) achieved ROSC; 4 of these (2 dogs and 2 cats) had sustained ROSC, of which 1 dog was discharged alive. Patients that achieved ROSC had significantly higher initial PetCO2 (P = 0.0083), peak PetCO2 (P &lt; 0.0001), average PetCO2 (P &lt; 0.0001), and ΔPetCO2 (difference between last and first recorded PetCO2 ; P = 0.0004) than patients not resuscitated. The PetCO2 accurately discriminated between ROSC and failure to achieve ROSC at minutes 3, 4, 5, 6, 7, and 8 of CPR with area under the receiver operating characteristic curve of 0.926, 0.967, 0.938, 0.933, 0.956, and 1.00, respectively. The optimal cutoff PetCO2 was 18 mm Hg (2.4 kPa), with a sensitivity of ≥80% and a specificity of ≥95% at minutes 3, 4, 5, 6, and 8, correctly classifying 91-100% of cases.</w:t>
      </w:r>
    </w:p>
    <w:p/>
    <w:p>
      <w:pPr>
        <w:pStyle w:val="Normal"/>
      </w:pPr>
      <w:r>
        <w:rPr>
          <w:color w:val="323232"/>
        </w:rPr>
        <w:t xml:space="preserve">CONCLUSIONS:The results of this small study support previous recommendations to monitor PetCO2 during CPR and suggest that PetCO2 during CPR may be useful for determining the probability of ROSC. Absolute values and trends of PetCO2 may assist clinicians and owners in making decisions for pets with CPA.</w:t>
      </w:r>
    </w:p>
    <w:p/>
    <w:p>
      <w:pPr>
        <w:pStyle w:val="Normal"/>
      </w:pPr>
      <w:r>
        <w:rPr>
          <w:color w:val="323232"/>
        </w:rPr>
        <w:t xml:space="preserve">J Vet Emerg Crit Care (San Antonio), 2018 vol. 28 (5) pp. 398-407.</w:t>
      </w:r>
    </w:p>
    <w:p>
      <w:r>
        <w:rPr>
          <w:rStyle w:val="Hyperlink"/>
        </w:rPr>
        <w:fldChar w:fldCharType="begin"/>
      </w:r>
      <w:r>
        <w:rPr>
          <w:rStyle w:val="Hyperlink"/>
        </w:rPr>
        <w:instrText xml:space="preserve"> HYPERLINK "http://eutils.ncbi.nlm.nih.gov/entrez/eutils/elink.fcgi?dbfrom=pubmed&amp;id=30117723&amp;retmode=ref&amp;cmd=prlinks"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http://eutils.ncbi.nlm.nih.gov/entrez/eutils/elink.fcgi?dbfrom=pubmed&amp;id=30117723&amp;retmode=ref&amp;cmd=prlinks</w:t>
      </w:r>
      <w:r>
        <w:rPr>
          <w:rStyle w:val="Hyperlink"/>
        </w:rPr>
        <w:fldChar w:fldCharType="end"/>
      </w:r>
    </w:p>
    <w:p>
      <w:pPr>
        <w:pStyle w:val="Normal"/>
      </w:pPr>
      <w:r>
        <w:rPr>
          <w:color w:val="323232"/>
        </w:rPr>
        <w:t xml:space="preserve">————————</w:t>
      </w:r>
    </w:p>
    <w:p>
      <w:pPr>
        <w:pStyle w:val="Heading4"/>
      </w:pPr>
      <w:r>
        <w:t xml:space="preserve">Tissue oxygen saturation in dogs with acute hemorrhage.</w:t>
      </w:r>
    </w:p>
    <w:p/>
    <w:p>
      <w:pPr>
        <w:pStyle w:val="Normal"/>
      </w:pPr>
      <w:r>
        <w:rPr>
          <w:color w:val="323232"/>
        </w:rPr>
        <w:t xml:space="preserve">Sarah L Gray, Kelly E Hall, Lisa L Powell, Julie Schildt, Ann M Brearley, and Greg J Beilman.</w:t>
      </w:r>
    </w:p>
    <w:p/>
    <w:p>
      <w:pPr>
        <w:pStyle w:val="Normal"/>
      </w:pPr>
      <w:r>
        <w:rPr>
          <w:color w:val="323232"/>
        </w:rPr>
        <w:t xml:space="preserve">OBJECTIVE:To evaluate initial tissue hemoglobin oxygen saturation (StO2 ) in dogs presenting to an emergency room (ER) for acute hemorrhage.</w:t>
      </w:r>
    </w:p>
    <w:p/>
    <w:p>
      <w:pPr>
        <w:pStyle w:val="Normal"/>
      </w:pPr>
      <w:r>
        <w:rPr>
          <w:color w:val="323232"/>
        </w:rPr>
        <w:t xml:space="preserve">DESIGN:Prospective, observational study.</w:t>
      </w:r>
    </w:p>
    <w:p/>
    <w:p>
      <w:pPr>
        <w:pStyle w:val="Normal"/>
      </w:pPr>
      <w:r>
        <w:rPr>
          <w:color w:val="323232"/>
        </w:rPr>
        <w:t xml:space="preserve">SETTING:University veterinary teaching hospital.</w:t>
      </w:r>
    </w:p>
    <w:p/>
    <w:p>
      <w:pPr>
        <w:pStyle w:val="Normal"/>
      </w:pPr>
      <w:r>
        <w:rPr>
          <w:color w:val="323232"/>
        </w:rPr>
        <w:t xml:space="preserve">ANIMALS:Thirty-eight dogs with acute hemorrhage were enrolled between July 2009 and October 2010. Seventy-eight normal dogs from a previous observational study were included to represent healthy controls ("no shock").</w:t>
      </w:r>
    </w:p>
    <w:p/>
    <w:p>
      <w:pPr>
        <w:pStyle w:val="Normal"/>
      </w:pPr>
      <w:r>
        <w:rPr>
          <w:color w:val="323232"/>
        </w:rPr>
        <w:t xml:space="preserve">INTERVENTIONS:Tissue oxygen saturation measurement was obtained at enrollment on dogs presented to the ER for acute hemorrhage. Baseline clinicopathologic (CBC, serum biochemical profile, prothrombin time, and activated partial thromboplastin time) and physiologic (plasma lactate concentration, venous blood gas, blood pressure, and hemoglobin oxygen saturation by pulse oximetry) data were recorded from all patients with hemorrhage. An ER clinician blinded to the StO2 value guided patient management. Patient survival to discharge from the hospital in the study group was recorded. Once data collection was complete, 3 emergency and critical care clinicians blinded to the StO2 data retrospectively classified patients into 1 of 4 shock categories (no shock, mild, moderate, or severe shock).</w:t>
      </w:r>
    </w:p>
    <w:p/>
    <w:p>
      <w:pPr>
        <w:pStyle w:val="Normal"/>
      </w:pPr>
      <w:r>
        <w:rPr>
          <w:color w:val="323232"/>
        </w:rPr>
        <w:t xml:space="preserve">MEASUREMENTS AND MAIN RESULTS:The historical group of healthy dogs had higher StO2 concentrations compared to the dogs classified with shock at all 3 levels (mild, moderate, and severe, P = 0.0006, &lt;0.0001, and 0.0018, respectively); however, there was no statistical difference in StO2 between the levels of shock. A cut-off StO2 value of 87.6% identified a patient as having shock (area under the curve: 0.824, 95% confidence interval 0.749, 0.899).</w:t>
      </w:r>
    </w:p>
    <w:p/>
    <w:p>
      <w:pPr>
        <w:pStyle w:val="Normal"/>
      </w:pPr>
      <w:r>
        <w:rPr>
          <w:color w:val="323232"/>
        </w:rPr>
        <w:t xml:space="preserve">CONCLUSIONS:Dogs with hemorrhagic shock have lower StO2 than a population of healthy dogs.</w:t>
      </w:r>
    </w:p>
    <w:p/>
    <w:p>
      <w:pPr>
        <w:pStyle w:val="Normal"/>
      </w:pPr>
      <w:r>
        <w:rPr>
          <w:color w:val="323232"/>
        </w:rPr>
        <w:t xml:space="preserve">J Vet Emerg Crit Care (San Antonio), 2018 vol. 28 (5) pp. 408-414.</w:t>
      </w:r>
    </w:p>
    <w:p>
      <w:r>
        <w:rPr>
          <w:rStyle w:val="Hyperlink"/>
        </w:rPr>
        <w:fldChar w:fldCharType="begin"/>
      </w:r>
      <w:r>
        <w:rPr>
          <w:rStyle w:val="Hyperlink"/>
        </w:rPr>
        <w:instrText xml:space="preserve"> HYPERLINK "http://eutils.ncbi.nlm.nih.gov/entrez/eutils/elink.fcgi?dbfrom=pubmed&amp;id=30117666&amp;retmode=ref&amp;cmd=prlinks"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http://eutils.ncbi.nlm.nih.gov/entrez/eutils/elink.fcgi?dbfrom=pubmed&amp;id=30117666&amp;retmode=ref&amp;cmd=prlinks</w:t>
      </w:r>
      <w:r>
        <w:rPr>
          <w:rStyle w:val="Hyperlink"/>
        </w:rPr>
        <w:fldChar w:fldCharType="end"/>
      </w:r>
    </w:p>
    <w:p>
      <w:pPr>
        <w:pStyle w:val="Normal"/>
      </w:pPr>
      <w:r>
        <w:rPr>
          <w:color w:val="323232"/>
        </w:rPr>
        <w:t xml:space="preserve">————————</w:t>
      </w:r>
    </w:p>
    <w:p>
      <w:pPr>
        <w:pStyle w:val="Heading4"/>
      </w:pPr>
      <w:r>
        <w:t xml:space="preserve">Distribution of alveolar-interstitial syndrome in dogs and cats with respiratory distress as assessed by lung ultrasound versus thoracic radiographs.</w:t>
      </w:r>
    </w:p>
    <w:p/>
    <w:p>
      <w:pPr>
        <w:pStyle w:val="Normal"/>
      </w:pPr>
      <w:r>
        <w:rPr>
          <w:color w:val="323232"/>
        </w:rPr>
        <w:t xml:space="preserve">Jessica L Ward, Gregory R Lisciandro, and Teresa C DeFrancesco.</w:t>
      </w:r>
    </w:p>
    <w:p/>
    <w:p>
      <w:pPr>
        <w:pStyle w:val="Normal"/>
      </w:pPr>
      <w:r>
        <w:rPr>
          <w:color w:val="323232"/>
        </w:rPr>
        <w:t xml:space="preserve">OBJECTIVE:To assess distribution of alveolar-interstitial syndrome (AIS) detected by lung ultrasound (LUS) compared to thoracic radiographs (TXR).</w:t>
      </w:r>
    </w:p>
    <w:p/>
    <w:p>
      <w:pPr>
        <w:pStyle w:val="Normal"/>
      </w:pPr>
      <w:r>
        <w:rPr>
          <w:color w:val="323232"/>
        </w:rPr>
        <w:t xml:space="preserve">DESIGN:Prospective study.</w:t>
      </w:r>
    </w:p>
    <w:p/>
    <w:p>
      <w:pPr>
        <w:pStyle w:val="Normal"/>
      </w:pPr>
      <w:r>
        <w:rPr>
          <w:color w:val="323232"/>
        </w:rPr>
        <w:t xml:space="preserve">SETTING:University teaching hospital.</w:t>
      </w:r>
    </w:p>
    <w:p/>
    <w:p>
      <w:pPr>
        <w:pStyle w:val="Normal"/>
      </w:pPr>
      <w:r>
        <w:rPr>
          <w:color w:val="323232"/>
        </w:rPr>
        <w:t xml:space="preserve">ANIMALS:Seventy-six dogs and 24 cats with acute respiratory distress or tachypnea.</w:t>
      </w:r>
    </w:p>
    <w:p/>
    <w:p>
      <w:pPr>
        <w:pStyle w:val="Normal"/>
      </w:pPr>
      <w:r>
        <w:rPr>
          <w:color w:val="323232"/>
        </w:rPr>
        <w:t xml:space="preserve">INTERVENTIONS:Patients underwent LUS and TXR within 6 hours. Lung ultrasound images were scored for presence and quantity of B-lines in 4 lung quadrants (right cranial, right caudal, left cranial, left caudal). An individual LUS quadrant was scored positive if &gt; 3 B-lines were observed within a single intercostal space. Dorsoventral TXR were scored for presence of AIS in the same 4 quadrants. An individual TXR quadrant was scored positive if infiltrate was present in ≥ 25% of the quadrant. Medical records were evaluated for final diagnosis.</w:t>
      </w:r>
    </w:p>
    <w:p/>
    <w:p>
      <w:pPr>
        <w:pStyle w:val="Normal"/>
      </w:pPr>
      <w:r>
        <w:rPr>
          <w:color w:val="323232"/>
        </w:rPr>
        <w:t xml:space="preserve">MEASUREMENTS AND MAIN RESULTS:Quadrant-by-quadrant spatial agreement in assigning AIS using LUS versus TXR was fair (K</w:t>
      </w:r>
      <w:r>
        <w:rPr>
          <w:color w:val="323232"/>
        </w:rPr>
        <w:t xml:space="preserve"> </w:t>
      </w:r>
      <w:r>
        <w:rPr>
          <w:color w:val="323232"/>
        </w:rPr>
        <w:t xml:space="preserve">=</w:t>
      </w:r>
      <w:r>
        <w:rPr>
          <w:color w:val="323232"/>
        </w:rPr>
        <w:t xml:space="preserve"> </w:t>
      </w:r>
      <w:r>
        <w:rPr>
          <w:color w:val="323232"/>
        </w:rPr>
        <w:t xml:space="preserve">0.24 - 0.56). Lung ultrasound scored a higher number of quadrants positive per patient (2.65</w:t>
      </w:r>
      <w:r>
        <w:rPr>
          <w:color w:val="323232"/>
        </w:rPr>
        <w:t xml:space="preserve"> </w:t>
      </w:r>
      <w:r>
        <w:rPr>
          <w:color w:val="323232"/>
        </w:rPr>
        <w:t xml:space="preserve">±</w:t>
      </w:r>
      <w:r>
        <w:rPr>
          <w:color w:val="323232"/>
        </w:rPr>
        <w:t xml:space="preserve"> </w:t>
      </w:r>
      <w:r>
        <w:rPr>
          <w:color w:val="323232"/>
        </w:rPr>
        <w:t xml:space="preserve">1.59 vs. 2.13</w:t>
      </w:r>
      <w:r>
        <w:rPr>
          <w:color w:val="323232"/>
        </w:rPr>
        <w:t xml:space="preserve"> </w:t>
      </w:r>
      <w:r>
        <w:rPr>
          <w:color w:val="323232"/>
        </w:rPr>
        <w:t xml:space="preserve">±</w:t>
      </w:r>
      <w:r>
        <w:rPr>
          <w:color w:val="323232"/>
        </w:rPr>
        <w:t xml:space="preserve"> </w:t>
      </w:r>
      <w:r>
        <w:rPr>
          <w:color w:val="323232"/>
        </w:rPr>
        <w:t xml:space="preserve">1.48; P</w:t>
      </w:r>
      <w:r>
        <w:rPr>
          <w:color w:val="323232"/>
        </w:rPr>
        <w:t xml:space="preserve"> </w:t>
      </w:r>
      <w:r>
        <w:rPr>
          <w:color w:val="323232"/>
        </w:rPr>
        <w:t xml:space="preserve">=</w:t>
      </w:r>
      <w:r>
        <w:rPr>
          <w:color w:val="323232"/>
        </w:rPr>
        <w:t xml:space="preserve"> </w:t>
      </w:r>
      <w:r>
        <w:rPr>
          <w:color w:val="323232"/>
        </w:rPr>
        <w:t xml:space="preserve">0.012). Patterns of distribution of AIS differed significantly based on final diagnosis. Patients with left-sided congestive heart failure were more likely to have diffuse AIS on LUS (P</w:t>
      </w:r>
      <w:r>
        <w:rPr>
          <w:color w:val="323232"/>
        </w:rPr>
        <w:t xml:space="preserve"> </w:t>
      </w:r>
      <w:r>
        <w:rPr>
          <w:color w:val="323232"/>
        </w:rPr>
        <w:t xml:space="preserve">&lt;</w:t>
      </w:r>
      <w:r>
        <w:rPr>
          <w:color w:val="323232"/>
        </w:rPr>
        <w:t xml:space="preserve"> </w:t>
      </w:r>
      <w:r>
        <w:rPr>
          <w:color w:val="323232"/>
        </w:rPr>
        <w:t xml:space="preserve">0.001) or bilateral caudal AIS on TXR (P</w:t>
      </w:r>
      <w:r>
        <w:rPr>
          <w:color w:val="323232"/>
        </w:rPr>
        <w:t xml:space="preserve"> </w:t>
      </w:r>
      <w:r>
        <w:rPr>
          <w:color w:val="323232"/>
        </w:rPr>
        <w:t xml:space="preserve">=</w:t>
      </w:r>
      <w:r>
        <w:rPr>
          <w:color w:val="323232"/>
        </w:rPr>
        <w:t xml:space="preserve"> </w:t>
      </w:r>
      <w:r>
        <w:rPr>
          <w:color w:val="323232"/>
        </w:rPr>
        <w:t xml:space="preserve">0.04) while patients with noncardiac disease were more likely to have absence of AIS in all quadrants using either modality (P</w:t>
      </w:r>
      <w:r>
        <w:rPr>
          <w:color w:val="323232"/>
        </w:rPr>
        <w:t xml:space="preserve"> </w:t>
      </w:r>
      <w:r>
        <w:rPr>
          <w:color w:val="323232"/>
        </w:rPr>
        <w:t xml:space="preserve">&lt;</w:t>
      </w:r>
      <w:r>
        <w:rPr>
          <w:color w:val="323232"/>
        </w:rPr>
        <w:t xml:space="preserve"> </w:t>
      </w:r>
      <w:r>
        <w:rPr>
          <w:color w:val="323232"/>
        </w:rPr>
        <w:t xml:space="preserve">0.001). Differences in spatial distribution of AIS were also noted among disease subcategories.</w:t>
      </w:r>
    </w:p>
    <w:p/>
    <w:p>
      <w:pPr>
        <w:pStyle w:val="Normal"/>
      </w:pPr>
      <w:r>
        <w:rPr>
          <w:color w:val="323232"/>
        </w:rPr>
        <w:t xml:space="preserve">CONCLUSIONS:Lung ultrasound and TXR were both useful to detect and categorize distribution of alveolar or interstitial pulmonary pathology. Spatial agreement between modalities was only fair. Overall, LUS detected a higher incidence of AIS compared to TXR. Both modalities detected differences in distribution of AIS based on final diagnosis, suggesting that a regional pattern-based approach to thoracic imaging may prove diagnostically useful.</w:t>
      </w:r>
    </w:p>
    <w:p/>
    <w:p>
      <w:pPr>
        <w:pStyle w:val="Normal"/>
      </w:pPr>
      <w:r>
        <w:rPr>
          <w:color w:val="323232"/>
        </w:rPr>
        <w:t xml:space="preserve">J Vet Emerg Crit Care (San Antonio), 2018 vol. 28 (5) pp. 415-428.</w:t>
      </w:r>
    </w:p>
    <w:p>
      <w:r>
        <w:rPr>
          <w:rStyle w:val="Hyperlink"/>
        </w:rPr>
        <w:fldChar w:fldCharType="begin"/>
      </w:r>
      <w:r>
        <w:rPr>
          <w:rStyle w:val="Hyperlink"/>
        </w:rPr>
        <w:instrText xml:space="preserve"> HYPERLINK "http://eutils.ncbi.nlm.nih.gov/entrez/eutils/elink.fcgi?dbfrom=pubmed&amp;id=30075063&amp;retmode=ref&amp;cmd=prlinks"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http://eutils.ncbi.nlm.nih.gov/entrez/eutils/elink.fcgi?dbfrom=pubmed&amp;id=30075063&amp;retmode=ref&amp;cmd=prlinks</w:t>
      </w:r>
      <w:r>
        <w:rPr>
          <w:rStyle w:val="Hyperlink"/>
        </w:rPr>
        <w:fldChar w:fldCharType="end"/>
      </w:r>
    </w:p>
    <w:p>
      <w:pPr>
        <w:pStyle w:val="Normal"/>
      </w:pPr>
      <w:r>
        <w:rPr>
          <w:color w:val="323232"/>
        </w:rPr>
        <w:t xml:space="preserve">————————</w:t>
      </w:r>
    </w:p>
    <w:p>
      <w:pPr>
        <w:pStyle w:val="Heading4"/>
      </w:pPr>
      <w:r>
        <w:t xml:space="preserve">Evaluation of the agreement between focused assessment with sonography for trauma (AFAST/TFAST) and computed tomography in dogs and cats with recent trauma.</w:t>
      </w:r>
    </w:p>
    <w:p/>
    <w:p>
      <w:pPr>
        <w:pStyle w:val="Normal"/>
      </w:pPr>
      <w:r>
        <w:rPr>
          <w:color w:val="323232"/>
        </w:rPr>
        <w:t xml:space="preserve">Andrea M Walters, Mauria A O'Brien, Laura E Selmic, Sue Hartman, Maureen McMichael, and Robert T O'Brien.</w:t>
      </w:r>
    </w:p>
    <w:p/>
    <w:p>
      <w:pPr>
        <w:pStyle w:val="Normal"/>
      </w:pPr>
      <w:r>
        <w:rPr>
          <w:color w:val="323232"/>
        </w:rPr>
        <w:t xml:space="preserve">OBJECTIVE:To determine the agreement between focused assessment with sonography for trauma (FAST) exams and computed tomography (CT) for the detection of pleural and peritoneal fluid and pneumothorax in animals that have sustained recent trauma.</w:t>
      </w:r>
    </w:p>
    <w:p/>
    <w:p>
      <w:pPr>
        <w:pStyle w:val="Normal"/>
      </w:pPr>
      <w:r>
        <w:rPr>
          <w:color w:val="323232"/>
        </w:rPr>
        <w:t xml:space="preserve">DESIGN:Prospective study.</w:t>
      </w:r>
    </w:p>
    <w:p/>
    <w:p>
      <w:pPr>
        <w:pStyle w:val="Normal"/>
      </w:pPr>
      <w:r>
        <w:rPr>
          <w:color w:val="323232"/>
        </w:rPr>
        <w:t xml:space="preserve">SETTING:University Teaching Hospital.</w:t>
      </w:r>
    </w:p>
    <w:p/>
    <w:p>
      <w:pPr>
        <w:pStyle w:val="Normal"/>
      </w:pPr>
      <w:r>
        <w:rPr>
          <w:color w:val="323232"/>
        </w:rPr>
        <w:t xml:space="preserve">ANIMALS:Thirteen dogs and 2 cats were enrolled into the study, with 10 having sustained blunt force trauma and 5 penetrating trauma.</w:t>
      </w:r>
    </w:p>
    <w:p/>
    <w:p>
      <w:pPr>
        <w:pStyle w:val="Normal"/>
      </w:pPr>
      <w:r>
        <w:rPr>
          <w:color w:val="323232"/>
        </w:rPr>
        <w:t xml:space="preserve">INTERVENTIONS:Abdominal FAST (AFAST) and thoracic FAST (TFAST) exams were performed by emergency room (ER) clinician or house officers and radiology house officers (radiology). TFAST evaluated for the presence of pneumothorax and pleural effusion, and AFAST evaluated for the presence of peritoneal effusion. A minimally sedated, full-body CT exam was performed on each patient and interpreted by a board-certified radiologist. The exams were performed in the same order for all patients: ER FAST, followed by radiology FAST, followed by CT, and operators were blinded to the results of the other exams. A kappa statistic was calculated to assess for agreement between the FAST exams and CT.</w:t>
      </w:r>
    </w:p>
    <w:p/>
    <w:p>
      <w:pPr>
        <w:pStyle w:val="Normal"/>
      </w:pPr>
      <w:r>
        <w:rPr>
          <w:color w:val="323232"/>
        </w:rPr>
        <w:t xml:space="preserve">MEASUREMENTS AND MAIN RESULTS:The median time to perform all 3 exams was 55 minutes (range 30-150 min). There was moderate to excellent agreement between AFAST and CT for detection of free peritoneal fluid (ER K</w:t>
      </w:r>
      <w:r>
        <w:rPr>
          <w:color w:val="323232"/>
        </w:rPr>
        <w:t xml:space="preserve"> </w:t>
      </w:r>
      <w:r>
        <w:rPr>
          <w:color w:val="323232"/>
        </w:rPr>
        <w:t xml:space="preserve">=</w:t>
      </w:r>
      <w:r>
        <w:rPr>
          <w:color w:val="323232"/>
        </w:rPr>
        <w:t xml:space="preserve"> </w:t>
      </w:r>
      <w:r>
        <w:rPr>
          <w:color w:val="323232"/>
        </w:rPr>
        <w:t xml:space="preserve">0.82; radiology K</w:t>
      </w:r>
      <w:r>
        <w:rPr>
          <w:color w:val="323232"/>
        </w:rPr>
        <w:t xml:space="preserve"> </w:t>
      </w:r>
      <w:r>
        <w:rPr>
          <w:color w:val="323232"/>
        </w:rPr>
        <w:t xml:space="preserve">=</w:t>
      </w:r>
      <w:r>
        <w:rPr>
          <w:color w:val="323232"/>
        </w:rPr>
        <w:t xml:space="preserve"> </w:t>
      </w:r>
      <w:r>
        <w:rPr>
          <w:color w:val="323232"/>
        </w:rPr>
        <w:t xml:space="preserve">0.53), fair to moderate agreement between TFAST and CT for detection of pleural free fluid (ER K</w:t>
      </w:r>
      <w:r>
        <w:rPr>
          <w:color w:val="323232"/>
        </w:rPr>
        <w:t xml:space="preserve"> </w:t>
      </w:r>
      <w:r>
        <w:rPr>
          <w:color w:val="323232"/>
        </w:rPr>
        <w:t xml:space="preserve">=</w:t>
      </w:r>
      <w:r>
        <w:rPr>
          <w:color w:val="323232"/>
        </w:rPr>
        <w:t xml:space="preserve"> </w:t>
      </w:r>
      <w:r>
        <w:rPr>
          <w:color w:val="323232"/>
        </w:rPr>
        <w:t xml:space="preserve">0.53; radiology K</w:t>
      </w:r>
      <w:r>
        <w:rPr>
          <w:color w:val="323232"/>
        </w:rPr>
        <w:t xml:space="preserve"> </w:t>
      </w:r>
      <w:r>
        <w:rPr>
          <w:color w:val="323232"/>
        </w:rPr>
        <w:t xml:space="preserve">=</w:t>
      </w:r>
      <w:r>
        <w:rPr>
          <w:color w:val="323232"/>
        </w:rPr>
        <w:t xml:space="preserve"> </w:t>
      </w:r>
      <w:r>
        <w:rPr>
          <w:color w:val="323232"/>
        </w:rPr>
        <w:t xml:space="preserve">0.36), and poor agreement between TFAST and CT for detection of pneumothorax (ER K</w:t>
      </w:r>
      <w:r>
        <w:rPr>
          <w:color w:val="323232"/>
        </w:rPr>
        <w:t xml:space="preserve"> </w:t>
      </w:r>
      <w:r>
        <w:rPr>
          <w:color w:val="323232"/>
        </w:rPr>
        <w:t xml:space="preserve">=</w:t>
      </w:r>
      <w:r>
        <w:rPr>
          <w:color w:val="323232"/>
        </w:rPr>
        <w:t xml:space="preserve"> </w:t>
      </w:r>
      <w:r>
        <w:rPr>
          <w:color w:val="323232"/>
        </w:rPr>
        <w:t xml:space="preserve">-0.06; radiology K</w:t>
      </w:r>
      <w:r>
        <w:rPr>
          <w:color w:val="323232"/>
        </w:rPr>
        <w:t xml:space="preserve"> </w:t>
      </w:r>
      <w:r>
        <w:rPr>
          <w:color w:val="323232"/>
        </w:rPr>
        <w:t xml:space="preserve">=</w:t>
      </w:r>
      <w:r>
        <w:rPr>
          <w:color w:val="323232"/>
        </w:rPr>
        <w:t xml:space="preserve"> </w:t>
      </w:r>
      <w:r>
        <w:rPr>
          <w:color w:val="323232"/>
        </w:rPr>
        <w:t xml:space="preserve">-0.12).</w:t>
      </w:r>
    </w:p>
    <w:p/>
    <w:p>
      <w:pPr>
        <w:pStyle w:val="Normal"/>
      </w:pPr>
      <w:r>
        <w:rPr>
          <w:color w:val="323232"/>
        </w:rPr>
        <w:t xml:space="preserve">CONCLUSIONS:FAST exams reliably identify the presence of free fluid in the peritoneal and pleural cavities; however, TFAST is not a reliable method to diagnose pneumothorax in dogs and cats following trauma.</w:t>
      </w:r>
    </w:p>
    <w:p/>
    <w:p>
      <w:pPr>
        <w:pStyle w:val="Normal"/>
      </w:pPr>
      <w:r>
        <w:rPr>
          <w:color w:val="323232"/>
        </w:rPr>
        <w:t xml:space="preserve">J Vet Emerg Crit Care (San Antonio), 2018 vol. 28 (5) pp. 429-435.</w:t>
      </w:r>
    </w:p>
    <w:p>
      <w:r>
        <w:rPr>
          <w:rStyle w:val="Hyperlink"/>
        </w:rPr>
        <w:fldChar w:fldCharType="begin"/>
      </w:r>
      <w:r>
        <w:rPr>
          <w:rStyle w:val="Hyperlink"/>
        </w:rPr>
        <w:instrText xml:space="preserve"> HYPERLINK "http://eutils.ncbi.nlm.nih.gov/entrez/eutils/elink.fcgi?dbfrom=pubmed&amp;id=29901282&amp;retmode=ref&amp;cmd=prlinks"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http://eutils.ncbi.nlm.nih.gov/entrez/eutils/elink.fcgi?dbfrom=pubmed&amp;id=29901282&amp;retmode=ref&amp;cmd=prlinks</w:t>
      </w:r>
      <w:r>
        <w:rPr>
          <w:rStyle w:val="Hyperlink"/>
        </w:rPr>
        <w:fldChar w:fldCharType="end"/>
      </w:r>
    </w:p>
    <w:p>
      <w:pPr>
        <w:pStyle w:val="Normal"/>
      </w:pPr>
      <w:r>
        <w:rPr>
          <w:color w:val="323232"/>
        </w:rPr>
        <w:t xml:space="preserve">————————</w:t>
      </w:r>
    </w:p>
    <w:p>
      <w:pPr>
        <w:pStyle w:val="Heading4"/>
      </w:pPr>
      <w:r>
        <w:t xml:space="preserve">A pilot study evaluating adaptive closed-loop fluid resuscitation during states of absolute and relative hypovolemia in dogs.</w:t>
      </w:r>
    </w:p>
    <w:p/>
    <w:p>
      <w:pPr>
        <w:pStyle w:val="Normal"/>
      </w:pPr>
      <w:r>
        <w:rPr>
          <w:color w:val="323232"/>
        </w:rPr>
        <w:t xml:space="preserve">Behnood Gholami, Wassim M Haddad, James M Bailey, Beth Geist, Yukie Ueyama, and William W Muir.</w:t>
      </w:r>
    </w:p>
    <w:p/>
    <w:p>
      <w:pPr>
        <w:pStyle w:val="Normal"/>
      </w:pPr>
      <w:r>
        <w:rPr>
          <w:color w:val="323232"/>
        </w:rPr>
        <w:t xml:space="preserve">OBJECTIVE:To evaluate and determine the performance of a partially automated as well as a fully automated closed-loop fluid resuscitation system during states of absolute and relative hypovolemia.</w:t>
      </w:r>
    </w:p>
    <w:p/>
    <w:p>
      <w:pPr>
        <w:pStyle w:val="Normal"/>
      </w:pPr>
      <w:r>
        <w:rPr>
          <w:color w:val="323232"/>
        </w:rPr>
        <w:t xml:space="preserve">DESIGN:Prospective experimental trial.</w:t>
      </w:r>
    </w:p>
    <w:p/>
    <w:p>
      <w:pPr>
        <w:pStyle w:val="Normal"/>
      </w:pPr>
      <w:r>
        <w:rPr>
          <w:color w:val="323232"/>
        </w:rPr>
        <w:t xml:space="preserve">SETTING:Research laboratory.</w:t>
      </w:r>
    </w:p>
    <w:p/>
    <w:p>
      <w:pPr>
        <w:pStyle w:val="Normal"/>
      </w:pPr>
      <w:r>
        <w:rPr>
          <w:color w:val="323232"/>
        </w:rPr>
        <w:t xml:space="preserve">ANIMALS:Five adult Beagle dogs.</w:t>
      </w:r>
    </w:p>
    <w:p/>
    <w:p>
      <w:pPr>
        <w:pStyle w:val="Normal"/>
      </w:pPr>
      <w:r>
        <w:rPr>
          <w:color w:val="323232"/>
        </w:rPr>
        <w:t xml:space="preserve">METHODS:Isoflurane anesthetized mechanically ventilated dogs were subjected to absolute hypovolemia (controlled: 2 trials; uncontrolled: 3 trials), relative hypovolemia (2 trials), and the combination of relative and absolute controlled hypovolemia (2 trials). Controlled and uncontrolled hypovolemia were produced by withdrawing blood from the carotid or femoral artery. Relative hypovolemia was produced by increasing the isoflurane concentration (1 trial) or by infusion of intravenous sodium nitroprusside (1 trial). Relative hypovolemia combined with controlled absolute hypovolemia was produced by increasing the isoflurane concentration (1 trial) and infusion of IV sodium nitroprusside (1 trial). Hemodynamic parameters including stroke volume variation (SVV) were continuously monitored and recorded in all dogs. A proprietary closed-loop fluid administration system based on fluid distribution and compartmental dynamical systems administered a continuous infusion of lactated Ringers solution in order to restore and maintain SVV to a predetermined target value.</w:t>
      </w:r>
    </w:p>
    <w:p/>
    <w:p>
      <w:pPr>
        <w:pStyle w:val="Normal"/>
      </w:pPr>
      <w:r>
        <w:rPr>
          <w:color w:val="323232"/>
        </w:rPr>
        <w:t xml:space="preserve">MEASUREMENTS AND MAIN RESULTS:A total of 9 experiments were performed on 5 dogs. Hemodynamic parameters deteriorated and SVV increased during controlled or uncontrolled hypovolemia, relative hypovolemia, and during relative hypovolemia combined with controlled hypovolemia. Stroke volume variation was restored to baseline values during closed-loop fluid infusion.</w:t>
      </w:r>
    </w:p>
    <w:p/>
    <w:p>
      <w:pPr>
        <w:pStyle w:val="Normal"/>
      </w:pPr>
      <w:r>
        <w:rPr>
          <w:color w:val="323232"/>
        </w:rPr>
        <w:t xml:space="preserve">CONCLUSIONS:Closed-loop fluid administration based on IV fluid distribution and compartmental dynamical systems can be used to provide goal directed fluid therapy during absolute or relative hypovolemia in mechanically ventilated isoflurane anesthetized dogs.</w:t>
      </w:r>
    </w:p>
    <w:p/>
    <w:p>
      <w:pPr>
        <w:pStyle w:val="Normal"/>
      </w:pPr>
      <w:r>
        <w:rPr>
          <w:color w:val="323232"/>
        </w:rPr>
        <w:t xml:space="preserve">J Vet Emerg Crit Care (San Antonio), 2018 vol. 28 (5) pp. 436-446.</w:t>
      </w:r>
    </w:p>
    <w:p>
      <w:r>
        <w:rPr>
          <w:rStyle w:val="Hyperlink"/>
        </w:rPr>
        <w:fldChar w:fldCharType="begin"/>
      </w:r>
      <w:r>
        <w:rPr>
          <w:rStyle w:val="Hyperlink"/>
        </w:rPr>
        <w:instrText xml:space="preserve"> HYPERLINK "http://eutils.ncbi.nlm.nih.gov/entrez/eutils/elink.fcgi?dbfrom=pubmed&amp;id=30117659&amp;retmode=ref&amp;cmd=prlinks"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http://eutils.ncbi.nlm.nih.gov/entrez/eutils/elink.fcgi?dbfrom=pubmed&amp;id=30117659&amp;retmode=ref&amp;cmd=prlinks</w:t>
      </w:r>
      <w:r>
        <w:rPr>
          <w:rStyle w:val="Hyperlink"/>
        </w:rPr>
        <w:fldChar w:fldCharType="end"/>
      </w:r>
    </w:p>
    <w:p>
      <w:pPr>
        <w:pStyle w:val="Normal"/>
      </w:pPr>
      <w:r>
        <w:rPr>
          <w:color w:val="323232"/>
        </w:rPr>
        <w:t xml:space="preserve">————————</w:t>
      </w:r>
    </w:p>
    <w:p>
      <w:pPr>
        <w:pStyle w:val="Heading4"/>
      </w:pPr>
      <w:r>
        <w:t xml:space="preserve">Effects of esmolol on systemic hemodynamics and heart rate variability measured using the Analgesia/Nociception Index in resuscitated piglets with Pseudomonas aeruginosa septic shock.</w:t>
      </w:r>
    </w:p>
    <w:p/>
    <w:p>
      <w:pPr>
        <w:pStyle w:val="Normal"/>
      </w:pPr>
      <w:r>
        <w:rPr>
          <w:color w:val="323232"/>
        </w:rPr>
        <w:t xml:space="preserve">Emmanuel Boselli, Matthias Jacquet-Lagrèze, Jean-Yves Ayoub, Lionel Bouvet, Olivier Dauwalder, Christelle Mansour, Thomas Margez, Christian Paquet, Damien Restagno, Bernard Allaouchiche, Jeanne-Marie Bonnet-Garin, and Stéphane Junot.</w:t>
      </w:r>
    </w:p>
    <w:p/>
    <w:p>
      <w:pPr>
        <w:pStyle w:val="Normal"/>
      </w:pPr>
      <w:r>
        <w:rPr>
          <w:color w:val="323232"/>
        </w:rPr>
        <w:t xml:space="preserve">OBJECTIVE:To determine the effects of esmolol on hemodynamics and heart rate variability (HRV) in the early stage of sepsis.</w:t>
      </w:r>
    </w:p>
    <w:p/>
    <w:p>
      <w:pPr>
        <w:pStyle w:val="Normal"/>
      </w:pPr>
      <w:r>
        <w:rPr>
          <w:color w:val="323232"/>
        </w:rPr>
        <w:t xml:space="preserve">DESIGN:Prospective, randomized, controlled, parallel trial.</w:t>
      </w:r>
    </w:p>
    <w:p/>
    <w:p>
      <w:pPr>
        <w:pStyle w:val="Normal"/>
      </w:pPr>
      <w:r>
        <w:rPr>
          <w:color w:val="323232"/>
        </w:rPr>
        <w:t xml:space="preserve">SETTINGS:Veterinary research laboratory.</w:t>
      </w:r>
    </w:p>
    <w:p/>
    <w:p>
      <w:pPr>
        <w:pStyle w:val="Normal"/>
      </w:pPr>
      <w:r>
        <w:rPr>
          <w:color w:val="323232"/>
        </w:rPr>
        <w:t xml:space="preserve">ANIMALS:Ten anesthetized piglets.</w:t>
      </w:r>
    </w:p>
    <w:p/>
    <w:p>
      <w:pPr>
        <w:pStyle w:val="Normal"/>
      </w:pPr>
      <w:r>
        <w:rPr>
          <w:color w:val="323232"/>
        </w:rPr>
        <w:t xml:space="preserve">INTERVENTIONS:Septic shock was induced by infusing a suspension of live Pseudomonas aeruginosa IV in 10 anesthetized piglets. The piglets were resuscitated according to a standardized protocol using Ringer's lactate solution, norepinephrine, and milrinone. Once stabilized, the piglets were randomized to receive IV esmolol, titrated to a heart rate &lt;90/min, or control, receiving saline. A pulmonary artery catheter and an arterial catheter were inserted for hemodynamic measurements. The Analgesia</w:t>
      </w:r>
      <w:r>
        <w:rPr>
          <w:i w:val="1"/>
          <w:color w:val="323232"/>
        </w:rPr>
        <w:t xml:space="preserve">Nociception Index (ANI) and the normalized HRV frequency domain parameters - high-frequency (HF), low frequency (LF), LF</w:t>
      </w:r>
      <w:r>
        <w:rPr>
          <w:color w:val="323232"/>
        </w:rPr>
        <w:t xml:space="preserve">HF ratio - were recorded using a proprietary monitor.</w:t>
      </w:r>
    </w:p>
    <w:p/>
    <w:p>
      <w:pPr>
        <w:pStyle w:val="Normal"/>
      </w:pPr>
      <w:r>
        <w:rPr>
          <w:color w:val="323232"/>
        </w:rPr>
        <w:t xml:space="preserve">MEASUREMENTS AND MAIN RESULTS:A significant decrease in cardiac output and heart rate, and a significant increase in systemic vascular resistance were observed over time in the esmolol group in comparison to the control group. No other differences were observed in hemodynamic parameters. No significant differences were observed in ANI variations or HRV parameters over time between groups.</w:t>
      </w:r>
    </w:p>
    <w:p/>
    <w:p>
      <w:pPr>
        <w:pStyle w:val="Normal"/>
      </w:pPr>
      <w:r>
        <w:rPr>
          <w:color w:val="323232"/>
        </w:rPr>
        <w:t xml:space="preserve">CONCLUSIONS:The administration of esmolol produced significant changes in hemodynamics with no change in ANI values or HRV parameters. Further study is needed to understand the effect of esmolol during sepsis.</w:t>
      </w:r>
    </w:p>
    <w:p/>
    <w:p>
      <w:pPr>
        <w:pStyle w:val="Normal"/>
      </w:pPr>
      <w:r>
        <w:rPr>
          <w:color w:val="323232"/>
        </w:rPr>
        <w:t xml:space="preserve">J Vet Emerg Crit Care (San Antonio), 2018 vol. 28 (5) pp. 447-456.</w:t>
      </w:r>
    </w:p>
    <w:p>
      <w:r>
        <w:rPr>
          <w:rStyle w:val="Hyperlink"/>
        </w:rPr>
        <w:fldChar w:fldCharType="begin"/>
      </w:r>
      <w:r>
        <w:rPr>
          <w:rStyle w:val="Hyperlink"/>
        </w:rPr>
        <w:instrText xml:space="preserve"> HYPERLINK "http://eutils.ncbi.nlm.nih.gov/entrez/eutils/elink.fcgi?dbfrom=pubmed&amp;id=30074662&amp;retmode=ref&amp;cmd=prlinks"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http://eutils.ncbi.nlm.nih.gov/entrez/eutils/elink.fcgi?dbfrom=pubmed&amp;id=30074662&amp;retmode=ref&amp;cmd=prlinks</w:t>
      </w:r>
      <w:r>
        <w:rPr>
          <w:rStyle w:val="Hyperlink"/>
        </w:rPr>
        <w:fldChar w:fldCharType="end"/>
      </w:r>
    </w:p>
    <w:p>
      <w:pPr>
        <w:pStyle w:val="Normal"/>
      </w:pPr>
      <w:r>
        <w:rPr>
          <w:color w:val="323232"/>
        </w:rPr>
        <w:t xml:space="preserve">————————</w:t>
      </w:r>
    </w:p>
    <w:p>
      <w:pPr>
        <w:pStyle w:val="Heading4"/>
      </w:pPr>
      <w:r>
        <w:t xml:space="preserve">Retrospective evaluation of feline rodenticide exposure and gastrointestinal decontamination: 146 cases (2000-2010).</w:t>
      </w:r>
    </w:p>
    <w:p/>
    <w:p>
      <w:pPr>
        <w:pStyle w:val="Normal"/>
      </w:pPr>
      <w:r>
        <w:rPr>
          <w:color w:val="323232"/>
        </w:rPr>
        <w:t xml:space="preserve">Feline rodenticide exposure.</w:t>
      </w:r>
    </w:p>
    <w:p>
      <w:pPr>
        <w:pStyle w:val="Normal"/>
      </w:pPr>
      <w:r>
        <w:rPr>
          <w:color w:val="323232"/>
        </w:rPr>
        <w:t xml:space="preserve">Karie L Walton and Cynthia M Otto.</w:t>
      </w:r>
    </w:p>
    <w:p/>
    <w:p>
      <w:pPr>
        <w:pStyle w:val="Normal"/>
      </w:pPr>
      <w:r>
        <w:rPr>
          <w:color w:val="323232"/>
        </w:rPr>
        <w:t xml:space="preserve">OBJECTIVE:To determine the prevalence of rodenticide exposure in cats, describe the use of gastrointestinal decontamination (GID) after rodenticide exposure, and examine the efficacy of GID following exposure to anticoagulant rodenticides (ACR).</w:t>
      </w:r>
    </w:p>
    <w:p/>
    <w:p>
      <w:pPr>
        <w:pStyle w:val="Normal"/>
      </w:pPr>
      <w:r>
        <w:rPr>
          <w:color w:val="323232"/>
        </w:rPr>
        <w:t xml:space="preserve">DESIGN:Retrospective study from 2000-2010.</w:t>
      </w:r>
    </w:p>
    <w:p/>
    <w:p>
      <w:pPr>
        <w:pStyle w:val="Normal"/>
      </w:pPr>
      <w:r>
        <w:rPr>
          <w:color w:val="323232"/>
        </w:rPr>
        <w:t xml:space="preserve">SETTING:Emergency service of an urban university teaching hospital.</w:t>
      </w:r>
    </w:p>
    <w:p/>
    <w:p>
      <w:pPr>
        <w:pStyle w:val="Normal"/>
      </w:pPr>
      <w:r>
        <w:rPr>
          <w:color w:val="323232"/>
        </w:rPr>
        <w:t xml:space="preserve">ANIMALS:One hundred forty-six cats presented for rodenticide exposure.</w:t>
      </w:r>
    </w:p>
    <w:p/>
    <w:p>
      <w:pPr>
        <w:pStyle w:val="Normal"/>
      </w:pPr>
      <w:r>
        <w:rPr>
          <w:color w:val="323232"/>
        </w:rPr>
        <w:t xml:space="preserve">MAIN RESULTS:Annually, the number of cats that were presented for rodenticide exposure averaged 13 of 3,336 (0.39%) and totaled 146 cases over 11 years. Cats that had been exposed to rodenticide were significantly more likely to be young (P &lt; 0.001), sexually intact (P &lt; 0.001), and presented in the fall season (P = 0.002). The majority of cats lived indoors (67.6%). The type of rodenticide involved in the exposure was unknown in 50% (71/142) of cases. Of the known types, ACRs were most common (59/142, 41.5%) followed by cholecalciferol (7/142, 4.9%) and bromethalin (5/142, 3.5%). Gastrointestinal decontamination was attempted in 21/36 (58%) cats with exposure to a known ACR. Emesis was attempted in 17/21 (81%) and charcoal administered in 14/21 (67%) cats that underwent GID. This study did not detect an effect of GID efforts on prothrombin time (PT) prolongation 48 hours after exposure to a known ACR.</w:t>
      </w:r>
    </w:p>
    <w:p/>
    <w:p>
      <w:pPr>
        <w:pStyle w:val="Normal"/>
      </w:pPr>
      <w:r>
        <w:rPr>
          <w:color w:val="323232"/>
        </w:rPr>
        <w:t xml:space="preserve">CONCLUSIONS:Cats consume rodenticides. Due to the lack of evidence of altered outcome associated with GID in cats exposed to ACRs, a PT should be evaluated 48 hours after first exposure regardless of whether GID is performed. Treatment should be based on the results of the PT. Gastrointestinal decontamination should be performed at the clinician's discretion based on history, risks, calculated toxic dose, low prevalence of ACR toxicosis in cats, general resistance of cats to ACR toxicosis, and treatment options.</w:t>
      </w:r>
    </w:p>
    <w:p/>
    <w:p>
      <w:pPr>
        <w:pStyle w:val="Normal"/>
      </w:pPr>
      <w:r>
        <w:rPr>
          <w:color w:val="323232"/>
        </w:rPr>
        <w:t xml:space="preserve">J Vet Emerg Crit Care (San Antonio), 2018 vol. 28 (5) pp. 457-463.</w:t>
      </w:r>
    </w:p>
    <w:p>
      <w:r>
        <w:rPr>
          <w:rStyle w:val="Hyperlink"/>
        </w:rPr>
        <w:fldChar w:fldCharType="begin"/>
      </w:r>
      <w:r>
        <w:rPr>
          <w:rStyle w:val="Hyperlink"/>
        </w:rPr>
        <w:instrText xml:space="preserve"> HYPERLINK "http://doi.wiley.com/10.1111/vec.12748" </w:instrText>
      </w:r>
      <w:r>
        <w:rPr>
          <w:rStyle w:val="Hyperlink"/>
        </w:rPr>
      </w:r>
      <w:r>
        <w:rPr>
          <w:rStyle w:val="Hyperlink"/>
        </w:rPr>
        <w:fldChar w:fldCharType="separate"/>
      </w:r>
      <w:pPr>
        <w:pStyle w:val="Normal"/>
      </w:pPr>
      <w:r>
        <w:rPr>
          <w:rStyle w:val="Hyperlink"/>
        </w:rPr>
        <w:t xml:space="preserve">http://doi.wiley.com/10.1111/vec.12748</w:t>
      </w:r>
      <w:r>
        <w:rPr>
          <w:rStyle w:val="Hyperlink"/>
        </w:rPr>
        <w:fldChar w:fldCharType="end"/>
      </w:r>
    </w:p>
    <w:p>
      <w:pPr>
        <w:pStyle w:val="Normal"/>
      </w:pPr>
      <w:r>
        <w:rPr>
          <w:color w:val="323232"/>
        </w:rPr>
        <w:t xml:space="preserve">————————</w:t>
      </w:r>
    </w:p>
    <w:p>
      <w:pPr>
        <w:pStyle w:val="Heading4"/>
      </w:pPr>
      <w:r>
        <w:t xml:space="preserve">Medical management of esophageal perforation secondary to esophageal foreign bodies in 5 dogs.</w:t>
      </w:r>
    </w:p>
    <w:p/>
    <w:p>
      <w:pPr>
        <w:pStyle w:val="Normal"/>
      </w:pPr>
      <w:r>
        <w:rPr>
          <w:color w:val="323232"/>
        </w:rPr>
        <w:t xml:space="preserve">Helsa Teh, Lisa Winters, Fleur James, Peter Irwin, Catherine Beck, and Caroline Mansfield.</w:t>
      </w:r>
    </w:p>
    <w:p/>
    <w:p>
      <w:pPr>
        <w:pStyle w:val="Normal"/>
      </w:pPr>
      <w:r>
        <w:rPr>
          <w:color w:val="323232"/>
        </w:rPr>
        <w:t xml:space="preserve">OBJECTIVE:To describe 5 cases of conservative management of substantial esophageal perforation in dogs.</w:t>
      </w:r>
    </w:p>
    <w:p/>
    <w:p>
      <w:pPr>
        <w:pStyle w:val="Normal"/>
      </w:pPr>
      <w:r>
        <w:rPr>
          <w:color w:val="323232"/>
        </w:rPr>
        <w:t xml:space="preserve">SERIES SUMMARY:Five dogs presented with an esophageal foreign body (EFB) and resultant esophageal perforation. Clinical signs at presentation included tachycardia, tachypnea, and increased respiratory effort. Thoracic radiography was performed in all cases, and in each case, pleural and mediastinal effusion was present, suggesting esophageal perforation prior to endoscope-guided removal. A full thickness esophageal defect was visualized after foreign body removal in 4/5 cases. Treatment included IV crystalloid fluid therapy, IV antimicrobials, analgesia, and proton pump inhibitors in all cases. Two dogs had a percutaneous endoscopically placed gastrostomy feeding tube placed and 1 dog received prednisolone sodium succinate IV because of marked pharyngeal inflammation. Complications after EFB removal included pneumothorax (n = 2) and pneumomediastinum (n = 4). Four of the 5 dogs survived to discharge and did not have complications 2-4 weeks following discharge. One dog was euthanized as result of aspiration pneumonia following EFB removal.</w:t>
      </w:r>
    </w:p>
    <w:p/>
    <w:p>
      <w:pPr>
        <w:pStyle w:val="Normal"/>
      </w:pPr>
      <w:r>
        <w:rPr>
          <w:color w:val="323232"/>
        </w:rPr>
        <w:t xml:space="preserve">NEW OR UNIQUE INFORMATION PROVIDED:Traditionally, surgical management of esophageal perforations has been recommended. This can be a costly and invasive procedure and requires a high degree of surgical skill. In this report, conservative management of substantial esophageal perforation in 5 dogs is described; medical management may be a viable treatment option in dogs with perforation of the esophagus due to EFB.</w:t>
      </w:r>
    </w:p>
    <w:p/>
    <w:p>
      <w:pPr>
        <w:pStyle w:val="Normal"/>
      </w:pPr>
      <w:r>
        <w:rPr>
          <w:color w:val="323232"/>
        </w:rPr>
        <w:t xml:space="preserve">J Vet Emerg Crit Care (San Antonio), 2018 vol. 28 (5) pp. 464-468.</w:t>
      </w:r>
    </w:p>
    <w:p>
      <w:r>
        <w:rPr>
          <w:rStyle w:val="Hyperlink"/>
        </w:rPr>
        <w:fldChar w:fldCharType="begin"/>
      </w:r>
      <w:r>
        <w:rPr>
          <w:rStyle w:val="Hyperlink"/>
        </w:rPr>
        <w:instrText xml:space="preserve"> HYPERLINK "http://eutils.ncbi.nlm.nih.gov/entrez/eutils/elink.fcgi?dbfrom=pubmed&amp;id=30126065&amp;retmode=ref&amp;cmd=prlinks"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http://eutils.ncbi.nlm.nih.gov/entrez/eutils/elink.fcgi?dbfrom=pubmed&amp;id=30126065&amp;retmode=ref&amp;cmd=prlinks</w:t>
      </w:r>
      <w:r>
        <w:rPr>
          <w:rStyle w:val="Hyperlink"/>
        </w:rPr>
        <w:fldChar w:fldCharType="end"/>
      </w:r>
    </w:p>
    <w:p>
      <w:pPr>
        <w:pStyle w:val="Normal"/>
      </w:pPr>
      <w:r>
        <w:rPr>
          <w:color w:val="323232"/>
        </w:rPr>
        <w:t xml:space="preserve">————————</w:t>
      </w:r>
    </w:p>
    <w:p>
      <w:pPr>
        <w:pStyle w:val="Heading4"/>
      </w:pPr>
      <w:r>
        <w:t xml:space="preserve">Successful treatment of canine acute respiratory distress syndrome secondary to inhalant toxin exposure.</w:t>
      </w:r>
    </w:p>
    <w:p/>
    <w:p>
      <w:pPr>
        <w:pStyle w:val="Normal"/>
      </w:pPr>
      <w:r>
        <w:rPr>
          <w:color w:val="323232"/>
        </w:rPr>
        <w:t xml:space="preserve">Thomas D Greensmith and Stefano Cortellini.</w:t>
      </w:r>
    </w:p>
    <w:p/>
    <w:p>
      <w:pPr>
        <w:pStyle w:val="Normal"/>
      </w:pPr>
      <w:r>
        <w:rPr>
          <w:color w:val="323232"/>
        </w:rPr>
        <w:t xml:space="preserve">OBJECTIVE:To describe the successful management of a dog with acute respiratory distress syndrome secondary to inhalant toxin exposure.</w:t>
      </w:r>
    </w:p>
    <w:p/>
    <w:p>
      <w:pPr>
        <w:pStyle w:val="Normal"/>
      </w:pPr>
      <w:r>
        <w:rPr>
          <w:color w:val="323232"/>
        </w:rPr>
        <w:t xml:space="preserve">CASE SUMMARY:An 8-year-old male neutered Greyhound was referred with severe respiratory distress 56 hours after exposure to an aerosol toxicant. The patient developed respiratory difficulties requiring veterinary attention within 12 hours of initial exposure. Treatment at the referral hospital included mechanical ventilation and supportive care. The patient was discharged 5 days after admission to the referral hospital.</w:t>
      </w:r>
    </w:p>
    <w:p/>
    <w:p>
      <w:pPr>
        <w:pStyle w:val="Normal"/>
      </w:pPr>
      <w:r>
        <w:rPr>
          <w:color w:val="323232"/>
        </w:rPr>
        <w:t xml:space="preserve">NEW OR UNIQUE INFORMATION:This is the first report, to the authors' knowledge, of canine acute respiratory distress syndrome secondary to inhalant toxin exposure not associated with smoke inhalation. The report summarizes the provided care and subsequent successful outcome.</w:t>
      </w:r>
    </w:p>
    <w:p/>
    <w:p>
      <w:pPr>
        <w:pStyle w:val="Normal"/>
      </w:pPr>
      <w:r>
        <w:rPr>
          <w:color w:val="323232"/>
        </w:rPr>
        <w:t xml:space="preserve">J Vet Emerg Crit Care (San Antonio), 2018 vol. 28 (5) pp. 469-475.</w:t>
      </w:r>
    </w:p>
    <w:p>
      <w:r>
        <w:rPr>
          <w:rStyle w:val="Hyperlink"/>
        </w:rPr>
        <w:fldChar w:fldCharType="begin"/>
      </w:r>
      <w:r>
        <w:rPr>
          <w:rStyle w:val="Hyperlink"/>
        </w:rPr>
        <w:instrText xml:space="preserve"> HYPERLINK "http://eutils.ncbi.nlm.nih.gov/entrez/eutils/elink.fcgi?dbfrom=pubmed&amp;id=30088861&amp;retmode=ref&amp;cmd=prlinks"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http://eutils.ncbi.nlm.nih.gov/entrez/eutils/elink.fcgi?dbfrom=pubmed&amp;id=30088861&amp;retmode=ref&amp;cmd=prlinks</w:t>
      </w:r>
      <w:r>
        <w:rPr>
          <w:rStyle w:val="Hyperlink"/>
        </w:rPr>
        <w:fldChar w:fldCharType="end"/>
      </w:r>
    </w:p>
    <w:p>
      <w:pPr>
        <w:pStyle w:val="Normal"/>
      </w:pPr>
      <w:r>
        <w:rPr>
          <w:color w:val="323232"/>
        </w:rPr>
        <w:t xml:space="preserve">————————</w:t>
      </w:r>
    </w:p>
    <w:p>
      <w:pPr>
        <w:pStyle w:val="Heading4"/>
      </w:pPr>
      <w:r>
        <w:t xml:space="preserve">Spontaneous hemoperitoneum and anaphylactic shock associated with Hymenoptera envenomation in a dog.</w:t>
      </w:r>
    </w:p>
    <w:p/>
    <w:p>
      <w:pPr>
        <w:pStyle w:val="Normal"/>
      </w:pPr>
      <w:r>
        <w:rPr>
          <w:color w:val="323232"/>
        </w:rPr>
        <w:t xml:space="preserve">Dana J Caldwell, Kaelyn E Petras, Brandi L Mattison, Raegan J Wells, and Victoria L Heffelman.</w:t>
      </w:r>
    </w:p>
    <w:p/>
    <w:p>
      <w:pPr>
        <w:pStyle w:val="Normal"/>
      </w:pPr>
      <w:r>
        <w:rPr>
          <w:color w:val="323232"/>
        </w:rPr>
        <w:t xml:space="preserve">OBJECTIVE:To describe the clinical presentation of a dog with spontaneous hemoperitoneum associated with anaphylactic shock from Hymenoptera envenomation.</w:t>
      </w:r>
    </w:p>
    <w:p/>
    <w:p>
      <w:pPr>
        <w:pStyle w:val="Normal"/>
      </w:pPr>
      <w:r>
        <w:rPr>
          <w:color w:val="323232"/>
        </w:rPr>
        <w:t xml:space="preserve">CASE SUMMARY:An 8-year-old female neutered Beagle presented as an emergency for acute onset of collapse, hematemesis, and hematochezia. The dog was tachycardic, tachypneic, and hypotensive. Initial assessment revealed a hemoperitoneum with documentation of a nonclotting sanguineous peritoneal effusion with PCV 81% and total protein concentration 65</w:t>
      </w:r>
      <w:r>
        <w:rPr>
          <w:color w:val="323232"/>
        </w:rPr>
        <w:t xml:space="preserve"> </w:t>
      </w:r>
      <w:r>
        <w:rPr>
          <w:color w:val="323232"/>
        </w:rPr>
        <w:t xml:space="preserve">g</w:t>
      </w:r>
      <w:r>
        <w:rPr>
          <w:i w:val="1"/>
          <w:color w:val="323232"/>
        </w:rPr>
        <w:t xml:space="preserve">L (6.5</w:t>
      </w:r>
      <w:r>
        <w:rPr>
          <w:color w:val="323232"/>
        </w:rPr>
        <w:t xml:space="preserve"> </w:t>
      </w:r>
      <w:r>
        <w:rPr>
          <w:i w:val="1"/>
          <w:color w:val="323232"/>
        </w:rPr>
        <w:t xml:space="preserve">g</w:t>
      </w:r>
      <w:r>
        <w:rPr>
          <w:color w:val="323232"/>
        </w:rPr>
        <w:t xml:space="preserve">dL). No obvious masses were appreciated ultrasonographically during original presentation and cytology of the peritoneal effusion was unremarkable. Peripheral PCV was 67% and total plasma protein concentration was 72</w:t>
      </w:r>
      <w:r>
        <w:rPr>
          <w:color w:val="323232"/>
        </w:rPr>
        <w:t xml:space="preserve"> </w:t>
      </w:r>
      <w:r>
        <w:rPr>
          <w:color w:val="323232"/>
        </w:rPr>
        <w:t xml:space="preserve">g</w:t>
      </w:r>
      <w:r>
        <w:rPr>
          <w:i w:val="1"/>
          <w:color w:val="323232"/>
        </w:rPr>
        <w:t xml:space="preserve">L (7.2</w:t>
      </w:r>
      <w:r>
        <w:rPr>
          <w:color w:val="323232"/>
        </w:rPr>
        <w:t xml:space="preserve"> </w:t>
      </w:r>
      <w:r>
        <w:rPr>
          <w:i w:val="1"/>
          <w:color w:val="323232"/>
        </w:rPr>
        <w:t xml:space="preserve">g</w:t>
      </w:r>
      <w:r>
        <w:rPr>
          <w:color w:val="323232"/>
        </w:rPr>
        <w:t xml:space="preserve">dL). A bee stinger was located in the right upper lip after presentation and was postulated to be the inciting trigger for the abdominal hemorrhage and shock. The patient was medically stabilized and ultimately made an uneventful recovery. Abdominal ultrasound performed 3</w:t>
      </w:r>
      <w:r>
        <w:rPr>
          <w:color w:val="323232"/>
        </w:rPr>
        <w:t xml:space="preserve"> </w:t>
      </w:r>
      <w:r>
        <w:rPr>
          <w:color w:val="323232"/>
        </w:rPr>
        <w:t xml:space="preserve">days after discharge revealed a single 0.85</w:t>
      </w:r>
      <w:r>
        <w:rPr>
          <w:color w:val="323232"/>
        </w:rPr>
        <w:t xml:space="preserve"> </w:t>
      </w:r>
      <w:r>
        <w:rPr>
          <w:color w:val="323232"/>
        </w:rPr>
        <w:t xml:space="preserve">cm hyperechoic liver nodule. Follow-up evaluation at 6 and 18</w:t>
      </w:r>
      <w:r>
        <w:rPr>
          <w:color w:val="323232"/>
        </w:rPr>
        <w:t xml:space="preserve"> </w:t>
      </w:r>
      <w:r>
        <w:rPr>
          <w:color w:val="323232"/>
        </w:rPr>
        <w:t xml:space="preserve">months after presentation documented a normal physical examination, unremarkable thoracic radiographs, and no change in the original hyperechoic liver nodule.</w:t>
      </w:r>
    </w:p>
    <w:p/>
    <w:p>
      <w:pPr>
        <w:pStyle w:val="Normal"/>
      </w:pPr>
      <w:r>
        <w:rPr>
          <w:color w:val="323232"/>
        </w:rPr>
        <w:t xml:space="preserve">NEW OR UNIQUE INFORMATION PROVIDED:This report details an unusual clinical presentation of anaphylactic shock due to Hymenoptera envenomation in a dog. To the authors' knowledge, spontaneous hemoperitoneum associated with anaphylaxis and bee envenomation has not been documented in the veterinary literature.</w:t>
      </w:r>
    </w:p>
    <w:p/>
    <w:p>
      <w:pPr>
        <w:pStyle w:val="Normal"/>
      </w:pPr>
      <w:r>
        <w:rPr>
          <w:color w:val="323232"/>
        </w:rPr>
        <w:t xml:space="preserve">J Vet Emerg Crit Care (San Antonio), 2018 vol. 28 (5) pp. 476-482.</w:t>
      </w:r>
    </w:p>
    <w:p>
      <w:r>
        <w:rPr>
          <w:rStyle w:val="Hyperlink"/>
        </w:rPr>
        <w:fldChar w:fldCharType="begin"/>
      </w:r>
      <w:r>
        <w:rPr>
          <w:rStyle w:val="Hyperlink"/>
        </w:rPr>
        <w:instrText xml:space="preserve"> HYPERLINK "http://eutils.ncbi.nlm.nih.gov/entrez/eutils/elink.fcgi?dbfrom=pubmed&amp;id=30102015&amp;retmode=ref&amp;cmd=prlinks"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http://eutils.ncbi.nlm.nih.gov/entrez/eutils/elink.fcgi?dbfrom=pubmed&amp;id=30102015&amp;retmode=ref&amp;cmd=prlinks</w:t>
      </w:r>
      <w:r>
        <w:rPr>
          <w:rStyle w:val="Hyperlink"/>
        </w:rPr>
        <w:fldChar w:fldCharType="end"/>
      </w:r>
    </w:p>
    <w:p>
      <w:pPr>
        <w:pStyle w:val="Normal"/>
      </w:pPr>
      <w:r>
        <w:rPr>
          <w:color w:val="323232"/>
        </w:rPr>
        <w:t xml:space="preserve">————————</w:t>
      </w:r>
    </w:p>
    <w:p>
      <w:pPr>
        <w:pStyle w:val="Heading4"/>
      </w:pPr>
      <w:r>
        <w:t xml:space="preserve">Determining prognosis in canine sepsis by bedside measurement of cell-free DNA and nucleosomes.</w:t>
      </w:r>
    </w:p>
    <w:p/>
    <w:p>
      <w:pPr>
        <w:pStyle w:val="Normal"/>
      </w:pPr>
      <w:r>
        <w:rPr>
          <w:color w:val="323232"/>
        </w:rPr>
        <w:t xml:space="preserve">Jo-Annie Letendre and Robert Goggs.</w:t>
      </w:r>
    </w:p>
    <w:p/>
    <w:p>
      <w:pPr>
        <w:pStyle w:val="Normal"/>
      </w:pPr>
      <w:r>
        <w:rPr>
          <w:color w:val="323232"/>
        </w:rPr>
        <w:t xml:space="preserve">OBJECTIVE:To investigate the use of plasma cell-free DNA (cfDNA) and nucleosome concentrations as prognostic biomarkers in canine sepsis.</w:t>
      </w:r>
    </w:p>
    <w:p/>
    <w:p>
      <w:pPr>
        <w:pStyle w:val="Normal"/>
      </w:pPr>
      <w:r>
        <w:rPr>
          <w:color w:val="323232"/>
        </w:rPr>
        <w:t xml:space="preserve">DESIGN:Prospective, observational cohort study conducted from June 2015 to February 2016.</w:t>
      </w:r>
    </w:p>
    <w:p/>
    <w:p>
      <w:pPr>
        <w:pStyle w:val="Normal"/>
      </w:pPr>
      <w:r>
        <w:rPr>
          <w:color w:val="323232"/>
        </w:rPr>
        <w:t xml:space="preserve">SETTING:University teaching hospital.</w:t>
      </w:r>
    </w:p>
    <w:p/>
    <w:p>
      <w:pPr>
        <w:pStyle w:val="Normal"/>
      </w:pPr>
      <w:r>
        <w:rPr>
          <w:color w:val="323232"/>
        </w:rPr>
        <w:t xml:space="preserve">ANIMALS:Forty-five dogs with sepsis, 10 dogs with nonseptic systemic inflammatory response syndrome (nSIRS), and 15 healthy controls were consecutively enrolled and followed to hospital discharge. Patients were eligible for enrollment if they met ≥2 SIRS criteria and had a documented or highly suspected bacterial infection. Dogs &lt;3 kg or with a known coagulopathy were excluded.</w:t>
      </w:r>
    </w:p>
    <w:p/>
    <w:p>
      <w:pPr>
        <w:pStyle w:val="Normal"/>
      </w:pPr>
      <w:r>
        <w:rPr>
          <w:color w:val="323232"/>
        </w:rPr>
        <w:t xml:space="preserve">INTERVENTIONS:None.</w:t>
      </w:r>
    </w:p>
    <w:p/>
    <w:p>
      <w:pPr>
        <w:pStyle w:val="Normal"/>
      </w:pPr>
      <w:r>
        <w:rPr>
          <w:color w:val="323232"/>
        </w:rPr>
        <w:t xml:space="preserve">MEASUREMENTS AND MAIN RESULTS:Acute Patient Physiology and Laboratory Evaluation scores (APPLE) were calculated and outcomes recorded. Plasma cfDNA was measured using a benchtop fluorimeter. Plasma nucleosome concentrations were determined by ELISA. Plasma nucleosome and cfDNA concentrations in dogs with sepsis or nSIRS were compared to those of healthy controls and cfDNA concentrations in septic dogs with and without bacteremia were compared. Associations between cfDNA concentrations and nucleosomes, leukocyte count, neutrophil count, and APPLE scores were evaluated. For septic dogs, cfDNA concentrations relative to neutrophil count and nucleosome concentrations in survivors and nonsurvivors were compared. Alpha was set at 0.05. cfDNA concentrations were significantly higher in dogs with sepsis or nSIRS compared to healthy controls (P</w:t>
      </w:r>
      <w:r>
        <w:rPr>
          <w:color w:val="323232"/>
        </w:rPr>
        <w:t xml:space="preserve"> </w:t>
      </w:r>
      <w:r>
        <w:rPr>
          <w:color w:val="323232"/>
        </w:rPr>
        <w:t xml:space="preserve">&lt;</w:t>
      </w:r>
      <w:r>
        <w:rPr>
          <w:color w:val="323232"/>
        </w:rPr>
        <w:t xml:space="preserve"> </w:t>
      </w:r>
      <w:r>
        <w:rPr>
          <w:color w:val="323232"/>
        </w:rPr>
        <w:t xml:space="preserve">0.0001 and P</w:t>
      </w:r>
      <w:r>
        <w:rPr>
          <w:color w:val="323232"/>
        </w:rPr>
        <w:t xml:space="preserve"> </w:t>
      </w:r>
      <w:r>
        <w:rPr>
          <w:color w:val="323232"/>
        </w:rPr>
        <w:t xml:space="preserve">=</w:t>
      </w:r>
      <w:r>
        <w:rPr>
          <w:color w:val="323232"/>
        </w:rPr>
        <w:t xml:space="preserve"> </w:t>
      </w:r>
      <w:r>
        <w:rPr>
          <w:color w:val="323232"/>
        </w:rPr>
        <w:t xml:space="preserve">0.0034, respectively). Nucleosome concentrations were significantly higher in dogs with sepsis compared to healthy controls (P</w:t>
      </w:r>
      <w:r>
        <w:rPr>
          <w:color w:val="323232"/>
        </w:rPr>
        <w:t xml:space="preserve"> </w:t>
      </w:r>
      <w:r>
        <w:rPr>
          <w:color w:val="323232"/>
        </w:rPr>
        <w:t xml:space="preserve">=</w:t>
      </w:r>
      <w:r>
        <w:rPr>
          <w:color w:val="323232"/>
        </w:rPr>
        <w:t xml:space="preserve"> </w:t>
      </w:r>
      <w:r>
        <w:rPr>
          <w:color w:val="323232"/>
        </w:rPr>
        <w:t xml:space="preserve">0.007). There was limited association between cfDNA and nucleosome concentrations (rs </w:t>
      </w:r>
      <w:r>
        <w:rPr>
          <w:color w:val="323232"/>
        </w:rPr>
        <w:t xml:space="preserve"> </w:t>
      </w:r>
      <w:r>
        <w:rPr>
          <w:color w:val="323232"/>
        </w:rPr>
        <w:t xml:space="preserve">=</w:t>
      </w:r>
      <w:r>
        <w:rPr>
          <w:color w:val="323232"/>
        </w:rPr>
        <w:t xml:space="preserve"> </w:t>
      </w:r>
      <w:r>
        <w:rPr>
          <w:color w:val="323232"/>
        </w:rPr>
        <w:t xml:space="preserve">0.266), and no association between cfDNA concentration and leukocyte count, neutrophil count, and APPLEfull scores. Concentrations of cfDNA were positively correlated with APPLEfast score (rs </w:t>
      </w:r>
      <w:r>
        <w:rPr>
          <w:color w:val="323232"/>
        </w:rPr>
        <w:t xml:space="preserve"> </w:t>
      </w:r>
      <w:r>
        <w:rPr>
          <w:color w:val="323232"/>
        </w:rPr>
        <w:t xml:space="preserve">=</w:t>
      </w:r>
      <w:r>
        <w:rPr>
          <w:color w:val="323232"/>
        </w:rPr>
        <w:t xml:space="preserve"> </w:t>
      </w:r>
      <w:r>
        <w:rPr>
          <w:color w:val="323232"/>
        </w:rPr>
        <w:t xml:space="preserve">0.335, P</w:t>
      </w:r>
      <w:r>
        <w:rPr>
          <w:color w:val="323232"/>
        </w:rPr>
        <w:t xml:space="preserve"> </w:t>
      </w:r>
      <w:r>
        <w:rPr>
          <w:color w:val="323232"/>
        </w:rPr>
        <w:t xml:space="preserve">=</w:t>
      </w:r>
      <w:r>
        <w:rPr>
          <w:color w:val="323232"/>
        </w:rPr>
        <w:t xml:space="preserve"> </w:t>
      </w:r>
      <w:r>
        <w:rPr>
          <w:color w:val="323232"/>
        </w:rPr>
        <w:t xml:space="preserve">0.025); however, cfDNA concentrations were significantly higher in dogs with bacteremia (P</w:t>
      </w:r>
      <w:r>
        <w:rPr>
          <w:color w:val="323232"/>
        </w:rPr>
        <w:t xml:space="preserve"> </w:t>
      </w:r>
      <w:r>
        <w:rPr>
          <w:color w:val="323232"/>
        </w:rPr>
        <w:t xml:space="preserve">=</w:t>
      </w:r>
      <w:r>
        <w:rPr>
          <w:color w:val="323232"/>
        </w:rPr>
        <w:t xml:space="preserve"> </w:t>
      </w:r>
      <w:r>
        <w:rPr>
          <w:color w:val="323232"/>
        </w:rPr>
        <w:t xml:space="preserve">0.0299). In dogs with sepsis, cfDNA concentrations relative to neutrophil count were significantly higher in nonsurvivors than in survivors (P</w:t>
      </w:r>
      <w:r>
        <w:rPr>
          <w:color w:val="323232"/>
        </w:rPr>
        <w:t xml:space="preserve"> </w:t>
      </w:r>
      <w:r>
        <w:rPr>
          <w:color w:val="323232"/>
        </w:rPr>
        <w:t xml:space="preserve">=</w:t>
      </w:r>
      <w:r>
        <w:rPr>
          <w:color w:val="323232"/>
        </w:rPr>
        <w:t xml:space="preserve"> </w:t>
      </w:r>
      <w:r>
        <w:rPr>
          <w:color w:val="323232"/>
        </w:rPr>
        <w:t xml:space="preserve">0.008).</w:t>
      </w:r>
    </w:p>
    <w:p/>
    <w:p>
      <w:pPr>
        <w:pStyle w:val="Normal"/>
      </w:pPr>
      <w:r>
        <w:rPr>
          <w:color w:val="323232"/>
        </w:rPr>
        <w:t xml:space="preserve">CONCLUSIONS:In dogs with sepsis, high cfDNA concentrations relative to neutrophil count are associated with nonsurvival. Point-of-care cfDNA measurement may aid identification of bacteremia.</w:t>
      </w:r>
    </w:p>
    <w:p/>
    <w:p>
      <w:pPr>
        <w:pStyle w:val="Normal"/>
      </w:pPr>
      <w:r>
        <w:rPr>
          <w:color w:val="323232"/>
        </w:rPr>
        <w:t xml:space="preserve">J Vet Emerg Crit Care (San Antonio), 2018 vol. 28 (6) pp. 503-511.</w:t>
      </w:r>
    </w:p>
    <w:p>
      <w:r>
        <w:rPr>
          <w:rStyle w:val="Hyperlink"/>
        </w:rPr>
        <w:fldChar w:fldCharType="begin"/>
      </w:r>
      <w:r>
        <w:rPr>
          <w:rStyle w:val="Hyperlink"/>
        </w:rPr>
        <w:instrText xml:space="preserve"> HYPERLINK "http://eutils.ncbi.nlm.nih.gov/entrez/eutils/elink.fcgi?dbfrom=pubmed&amp;id=30299568&amp;retmode=ref&amp;cmd=prlinks"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http://eutils.ncbi.nlm.nih.gov/entrez/eutils/elink.fcgi?dbfrom=pubmed&amp;id=30299568&amp;retmode=ref&amp;cmd=prlinks</w:t>
      </w:r>
      <w:r>
        <w:rPr>
          <w:rStyle w:val="Hyperlink"/>
        </w:rPr>
        <w:fldChar w:fldCharType="end"/>
      </w:r>
    </w:p>
    <w:p>
      <w:pPr>
        <w:pStyle w:val="Normal"/>
      </w:pPr>
      <w:r>
        <w:rPr>
          <w:color w:val="323232"/>
        </w:rPr>
        <w:t xml:space="preserve">————————</w:t>
      </w:r>
    </w:p>
    <w:p>
      <w:pPr>
        <w:pStyle w:val="Heading4"/>
      </w:pPr>
      <w:r>
        <w:t xml:space="preserve">In vitro hemolysis of stored units of canine packed red blood cells.</w:t>
      </w:r>
    </w:p>
    <w:p/>
    <w:p>
      <w:pPr>
        <w:pStyle w:val="Normal"/>
      </w:pPr>
      <w:r>
        <w:rPr>
          <w:color w:val="323232"/>
        </w:rPr>
        <w:t xml:space="preserve">Rui R F Ferreira, Rita M C Graça, Inês M Cardoso, Rafael R Gopegui, and Augusto J F de Matos.</w:t>
      </w:r>
    </w:p>
    <w:p/>
    <w:p>
      <w:pPr>
        <w:pStyle w:val="Normal"/>
      </w:pPr>
      <w:r>
        <w:rPr>
          <w:color w:val="323232"/>
        </w:rPr>
        <w:t xml:space="preserve">BACKGROUND:Hemolysis is an important quality parameter of packed red blood cells (pRBCs) that is used to assess the cellular integrity of stored blood units. According to human standards, hemolysis at the end of storage must not exceed 1%, as otherwise it may be responsible for decreased transfusion effectiveness and acute life-threatening reactions.</w:t>
      </w:r>
    </w:p>
    <w:p/>
    <w:p>
      <w:pPr>
        <w:pStyle w:val="Normal"/>
      </w:pPr>
      <w:r>
        <w:rPr>
          <w:color w:val="323232"/>
        </w:rPr>
        <w:t xml:space="preserve">OBJECTIVES:This prospective study was designed to evaluate the hemolysis of canine pRBCs stored in an additive solution containing adenine, dextrose, mannitol, and sodium chloride, and to assess its associations with storage time, duration of the collection process, collection disturbances, and with the final volume and PCV of the pRBCs units.</w:t>
      </w:r>
    </w:p>
    <w:p/>
    <w:p>
      <w:pPr>
        <w:pStyle w:val="Normal"/>
      </w:pPr>
      <w:r>
        <w:rPr>
          <w:color w:val="323232"/>
        </w:rPr>
        <w:t xml:space="preserve">METHODS:One hundred eighty pRBCs units were collected from canine donors. Hemolysis of the pRBCs units was determined immediately after processing (t = 0). The units were then stored and retested (t = 1) either before administration (during weeks 2, 3, 4, 5, or 6 of storage) or at the end of the storage period (42 d) if not used.</w:t>
      </w:r>
    </w:p>
    <w:p/>
    <w:p>
      <w:pPr>
        <w:pStyle w:val="Normal"/>
      </w:pPr>
      <w:r>
        <w:rPr>
          <w:color w:val="323232"/>
        </w:rPr>
        <w:t xml:space="preserve">RESULTS:Mean hemolysis at t = 0 was 0.09% (SD 0.06) and increased during storage, at a more pronounced rate from the 5th (mean values of 0.52%, SD 0.29) to the 6th week (1.2%, SD 0.72). Almost 51% of the units with 36-42 days of shelf-life showed more than 1% hemolysis. Disturbances in the collection process, the volume of the whole blood units, and the volume of stored pRBCs units or their PCV were not related to pRBCs hemolysis.</w:t>
      </w:r>
    </w:p>
    <w:p/>
    <w:p>
      <w:pPr>
        <w:pStyle w:val="Normal"/>
      </w:pPr>
      <w:r>
        <w:rPr>
          <w:color w:val="323232"/>
        </w:rPr>
        <w:t xml:space="preserve">CONCLUSIONS:According to human blood bank recommendations regarding acceptable hemolysis, canine pRBCs stored for more than 35 days should be tested to ensure &lt;1% hemolysis prior to administration.</w:t>
      </w:r>
    </w:p>
    <w:p/>
    <w:p>
      <w:pPr>
        <w:pStyle w:val="Normal"/>
      </w:pPr>
      <w:r>
        <w:rPr>
          <w:color w:val="323232"/>
        </w:rPr>
        <w:t xml:space="preserve">J Vet Emerg Crit Care (San Antonio), 2018 vol. 28 (6) pp. 512-517.</w:t>
      </w:r>
    </w:p>
    <w:p>
      <w:r>
        <w:rPr>
          <w:rStyle w:val="Hyperlink"/>
        </w:rPr>
        <w:fldChar w:fldCharType="begin"/>
      </w:r>
      <w:r>
        <w:rPr>
          <w:rStyle w:val="Hyperlink"/>
        </w:rPr>
        <w:instrText xml:space="preserve"> HYPERLINK "http://eutils.ncbi.nlm.nih.gov/entrez/eutils/elink.fcgi?dbfrom=pubmed&amp;id=30299571&amp;retmode=ref&amp;cmd=prlinks"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http://eutils.ncbi.nlm.nih.gov/entrez/eutils/elink.fcgi?dbfrom=pubmed&amp;id=30299571&amp;retmode=ref&amp;cmd=prlinks</w:t>
      </w:r>
      <w:r>
        <w:rPr>
          <w:rStyle w:val="Hyperlink"/>
        </w:rPr>
        <w:fldChar w:fldCharType="end"/>
      </w:r>
    </w:p>
    <w:p>
      <w:pPr>
        <w:pStyle w:val="Normal"/>
      </w:pPr>
      <w:r>
        <w:rPr>
          <w:color w:val="323232"/>
        </w:rPr>
        <w:t xml:space="preserve">————————</w:t>
      </w:r>
    </w:p>
    <w:p>
      <w:pPr>
        <w:pStyle w:val="Heading4"/>
      </w:pPr>
      <w:r>
        <w:t xml:space="preserve">A pilot study documenting increased thrombin generation following abrupt withdrawal of heparin therapy in healthy dogs.</w:t>
      </w:r>
    </w:p>
    <w:p/>
    <w:p>
      <w:pPr>
        <w:pStyle w:val="Normal"/>
      </w:pPr>
      <w:r>
        <w:rPr>
          <w:color w:val="323232"/>
        </w:rPr>
        <w:t xml:space="preserve">Erin M Mays, David C Dorman, Colleen McKendry, and Rita M Hanel.</w:t>
      </w:r>
    </w:p>
    <w:p/>
    <w:p>
      <w:pPr>
        <w:pStyle w:val="Normal"/>
      </w:pPr>
      <w:r>
        <w:rPr>
          <w:color w:val="323232"/>
        </w:rPr>
        <w:t xml:space="preserve">OBJECTIVE:To document if a transient hypercoagulable state occurs in healthy dogs following abrupt cessation of unfractionated heparin (UFH) therapy.</w:t>
      </w:r>
    </w:p>
    <w:p/>
    <w:p>
      <w:pPr>
        <w:pStyle w:val="Normal"/>
      </w:pPr>
      <w:r>
        <w:rPr>
          <w:color w:val="323232"/>
        </w:rPr>
        <w:t xml:space="preserve">DESIGN:Prospective experimental pilot study.</w:t>
      </w:r>
    </w:p>
    <w:p/>
    <w:p>
      <w:pPr>
        <w:pStyle w:val="Normal"/>
      </w:pPr>
      <w:r>
        <w:rPr>
          <w:color w:val="323232"/>
        </w:rPr>
        <w:t xml:space="preserve">SETTING:University research facility.</w:t>
      </w:r>
    </w:p>
    <w:p/>
    <w:p>
      <w:pPr>
        <w:pStyle w:val="Normal"/>
      </w:pPr>
      <w:r>
        <w:rPr>
          <w:color w:val="323232"/>
        </w:rPr>
        <w:t xml:space="preserve">ANIMALS:Seven adult random-source male dogs.</w:t>
      </w:r>
    </w:p>
    <w:p/>
    <w:p>
      <w:pPr>
        <w:pStyle w:val="Normal"/>
      </w:pPr>
      <w:r>
        <w:rPr>
          <w:color w:val="323232"/>
        </w:rPr>
        <w:t xml:space="preserve">INTERVENTION:Thromboelastography (TEG) and thrombin-antithrombin (TAT) complex formation were used to assess coagulation status in healthy dogs. Seven adult research dogs received 200-300 IU/ kg subcutaneous UFH every 8 hours for 4 days. A final IV bolus of 100 IU/ kg was given on day 4 and the peak measured heparin concentration 1 hour later is defined as the start of heparin withdrawal (time 0). Citrated whole blood samples were collected at baseline (prior to heparin administration) and 3, 6, 12, 30, and 48 hours after UFH withdrawal. At all time points, a kaolin-activated TEG was performed and citrated plasma for measurement of TAT concentration was collected for batch analysis. Fibrinogen concentration, PCV, total plasma proteins, and platelet count were measured at baseline and 48 hours after heparin withdrawal.</w:t>
      </w:r>
    </w:p>
    <w:p/>
    <w:p>
      <w:pPr>
        <w:pStyle w:val="Normal"/>
      </w:pPr>
      <w:r>
        <w:rPr>
          <w:color w:val="323232"/>
        </w:rPr>
        <w:t xml:space="preserve">MEASUREMENTS AND MAIN RESULTS:Compared to baseline, TAT was increased 12 hours after heparin withdrawal and returned to baseline by 30 hours. TEG clot formation time (K) was decreased 30 and 48 hours after heparin withdrawal.</w:t>
      </w:r>
    </w:p>
    <w:p/>
    <w:p>
      <w:pPr>
        <w:pStyle w:val="Normal"/>
      </w:pPr>
      <w:r>
        <w:rPr>
          <w:color w:val="323232"/>
        </w:rPr>
        <w:t xml:space="preserve">CONCLUSION:TAT results suggest that a transient increase in thrombin generation developed 12 hours after withdrawal of UFH therapy. Though clot kinetics were rapid compared to baseline beginning 30 hours after heparin withdrawal, a return to baseline was not documented. Future studies are warranted to determine the clinical relevance of these results and to evaluate the effect of UFH withdrawal in critically ill animals.</w:t>
      </w:r>
    </w:p>
    <w:p/>
    <w:p>
      <w:pPr>
        <w:pStyle w:val="Normal"/>
      </w:pPr>
      <w:r>
        <w:rPr>
          <w:color w:val="323232"/>
        </w:rPr>
        <w:t xml:space="preserve">J Vet Emerg Crit Care (San Antonio), 2018 vol. 28 (6) pp. 518-526.</w:t>
      </w:r>
    </w:p>
    <w:p>
      <w:r>
        <w:rPr>
          <w:rStyle w:val="Hyperlink"/>
        </w:rPr>
        <w:fldChar w:fldCharType="begin"/>
      </w:r>
      <w:r>
        <w:rPr>
          <w:rStyle w:val="Hyperlink"/>
        </w:rPr>
        <w:instrText xml:space="preserve"> HYPERLINK "http://eutils.ncbi.nlm.nih.gov/entrez/eutils/elink.fcgi?dbfrom=pubmed&amp;id=30303616&amp;retmode=ref&amp;cmd=prlinks"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http://eutils.ncbi.nlm.nih.gov/entrez/eutils/elink.fcgi?dbfrom=pubmed&amp;id=30303616&amp;retmode=ref&amp;cmd=prlinks</w:t>
      </w:r>
      <w:r>
        <w:rPr>
          <w:rStyle w:val="Hyperlink"/>
        </w:rPr>
        <w:fldChar w:fldCharType="end"/>
      </w:r>
    </w:p>
    <w:p>
      <w:pPr>
        <w:pStyle w:val="Normal"/>
      </w:pPr>
      <w:r>
        <w:rPr>
          <w:color w:val="323232"/>
        </w:rPr>
        <w:t xml:space="preserve">————————</w:t>
      </w:r>
    </w:p>
    <w:p>
      <w:pPr>
        <w:pStyle w:val="Heading4"/>
      </w:pPr>
      <w:r>
        <w:t xml:space="preserve">A preliminary investigation into the prognostic relevance of symmetric dimethylarginine in critically ill dogs.</w:t>
      </w:r>
    </w:p>
    <w:p/>
    <w:p>
      <w:pPr>
        <w:pStyle w:val="Normal"/>
      </w:pPr>
      <w:r>
        <w:rPr>
          <w:color w:val="323232"/>
        </w:rPr>
        <w:t xml:space="preserve">Liza Sally Köster, Andrea Peda, Trellor Fraites, and Fortune Sithole.</w:t>
      </w:r>
    </w:p>
    <w:p/>
    <w:p>
      <w:pPr>
        <w:pStyle w:val="Normal"/>
      </w:pPr>
      <w:r>
        <w:rPr>
          <w:color w:val="323232"/>
        </w:rPr>
        <w:t xml:space="preserve">OBJECTIVE:To determine if there is an association between the concentration of symmetric dimethylarginine (SDMA) in dogs measured at the time of admission with the severity of critical illness and short-term mortality.</w:t>
      </w:r>
    </w:p>
    <w:p/>
    <w:p>
      <w:pPr>
        <w:pStyle w:val="Normal"/>
      </w:pPr>
      <w:r>
        <w:rPr>
          <w:color w:val="323232"/>
        </w:rPr>
        <w:t xml:space="preserve">DESIGN:This prospective observational study recruited critically ill dogs with heterogeneous diagnoses and then classified their disease severity using the acute patient physiologic and laboratory evaluation complete score as having either a good (&lt;30) or poor (≥30) prognosis.</w:t>
      </w:r>
    </w:p>
    <w:p/>
    <w:p>
      <w:pPr>
        <w:pStyle w:val="Normal"/>
      </w:pPr>
      <w:r>
        <w:rPr>
          <w:color w:val="323232"/>
        </w:rPr>
        <w:t xml:space="preserve">SETTING:This study was conducted at Ross University Veterinary Clinic between January and November 2015.</w:t>
      </w:r>
    </w:p>
    <w:p/>
    <w:p>
      <w:pPr>
        <w:pStyle w:val="Normal"/>
      </w:pPr>
      <w:r>
        <w:rPr>
          <w:color w:val="323232"/>
        </w:rPr>
        <w:t xml:space="preserve">ANIMALS:After exclusion of dogs diagnosed with acute kidney injury, 22 critically ill dogs and 7 control dogs were included in the study.</w:t>
      </w:r>
    </w:p>
    <w:p/>
    <w:p>
      <w:pPr>
        <w:pStyle w:val="Normal"/>
      </w:pPr>
      <w:r>
        <w:rPr>
          <w:color w:val="323232"/>
        </w:rPr>
        <w:t xml:space="preserve">INTERVENTIONS:Each dog was assigned an acute patient physiologic and laboratory evaluation score calculated by the summation of individual scores allocated to selected clinical, focused assessment by sonography, hematological, and biochemistry results. Plasma SDMA concentrations were measured for all dogs at the time of admission.</w:t>
      </w:r>
    </w:p>
    <w:p/>
    <w:p>
      <w:pPr>
        <w:pStyle w:val="Normal"/>
      </w:pPr>
      <w:r>
        <w:rPr>
          <w:color w:val="323232"/>
        </w:rPr>
        <w:t xml:space="preserve">MEASUREMENT AND MAIN RESULTS:There was no difference identified in SDMA concentrations between dogs with a severe category of disease as compared to mild to moderate category, or critically ill dogs compared to control dogs. There was also no difference identified in SDMA concentrations in survivors as compared to nonsurvivors. Similarly, SDMA concentration was not higher in nonsurvivors than in survivors (P</w:t>
      </w:r>
      <w:r>
        <w:rPr>
          <w:color w:val="323232"/>
        </w:rPr>
        <w:t xml:space="preserve"> </w:t>
      </w:r>
      <w:r>
        <w:rPr>
          <w:color w:val="323232"/>
        </w:rPr>
        <w:t xml:space="preserve">=</w:t>
      </w:r>
      <w:r>
        <w:rPr>
          <w:color w:val="323232"/>
        </w:rPr>
        <w:t xml:space="preserve"> </w:t>
      </w:r>
      <w:r>
        <w:rPr>
          <w:color w:val="323232"/>
        </w:rPr>
        <w:t xml:space="preserve">0.968). In this population of dogs, SDMA was not a prognostic indicator.</w:t>
      </w:r>
    </w:p>
    <w:p/>
    <w:p>
      <w:pPr>
        <w:pStyle w:val="Normal"/>
      </w:pPr>
      <w:r>
        <w:rPr>
          <w:color w:val="323232"/>
        </w:rPr>
        <w:t xml:space="preserve">CONCLUSION:Further work may be warranted in specific populations of animals but based upon this work SDMA is likely of little relevance.</w:t>
      </w:r>
    </w:p>
    <w:p/>
    <w:p>
      <w:pPr>
        <w:pStyle w:val="Normal"/>
      </w:pPr>
      <w:r>
        <w:rPr>
          <w:color w:val="323232"/>
        </w:rPr>
        <w:t xml:space="preserve">J Vet Emerg Crit Care (San Antonio), 2018 vol. 28 (6) pp. 527-531.</w:t>
      </w:r>
    </w:p>
    <w:p>
      <w:r>
        <w:rPr>
          <w:rStyle w:val="Hyperlink"/>
        </w:rPr>
        <w:fldChar w:fldCharType="begin"/>
      </w:r>
      <w:r>
        <w:rPr>
          <w:rStyle w:val="Hyperlink"/>
        </w:rPr>
        <w:instrText xml:space="preserve"> HYPERLINK "http://eutils.ncbi.nlm.nih.gov/entrez/eutils/elink.fcgi?dbfrom=pubmed&amp;id=30302896&amp;retmode=ref&amp;cmd=prlinks"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http://eutils.ncbi.nlm.nih.gov/entrez/eutils/elink.fcgi?dbfrom=pubmed&amp;id=30302896&amp;retmode=ref&amp;cmd=prlinks</w:t>
      </w:r>
      <w:r>
        <w:rPr>
          <w:rStyle w:val="Hyperlink"/>
        </w:rPr>
        <w:fldChar w:fldCharType="end"/>
      </w:r>
    </w:p>
    <w:p>
      <w:pPr>
        <w:pStyle w:val="Normal"/>
      </w:pPr>
      <w:r>
        <w:rPr>
          <w:color w:val="323232"/>
        </w:rPr>
        <w:t xml:space="preserve">————————</w:t>
      </w:r>
    </w:p>
    <w:p>
      <w:pPr>
        <w:pStyle w:val="Heading4"/>
      </w:pPr>
      <w:r>
        <w:t xml:space="preserve">Assessment of plasma lactate and core-peripheral temperature gradient in association with stages of naturally occurring myxomatous mitral valve disease in dogs.</w:t>
      </w:r>
    </w:p>
    <w:p/>
    <w:p>
      <w:pPr>
        <w:pStyle w:val="Normal"/>
      </w:pPr>
      <w:r>
        <w:rPr>
          <w:color w:val="323232"/>
        </w:rPr>
        <w:t xml:space="preserve">Felipe B Soares, Gláucia B Pereira-Neto, and Rodrigo C Rabelo.</w:t>
      </w:r>
    </w:p>
    <w:p/>
    <w:p>
      <w:pPr>
        <w:pStyle w:val="Normal"/>
      </w:pPr>
      <w:r>
        <w:rPr>
          <w:color w:val="323232"/>
        </w:rPr>
        <w:t xml:space="preserve">OBJECTIVE:To evaluate plasma lactate concentrations and core-peripheral temperature gradients as perfusion parameters in dogs with heart failure caused by myxomatous mitral valve disease (MMVD) and to determine whether the above perfusion parameters are correlated with disease stages.</w:t>
      </w:r>
    </w:p>
    <w:p/>
    <w:p>
      <w:pPr>
        <w:pStyle w:val="Normal"/>
      </w:pPr>
      <w:r>
        <w:rPr>
          <w:color w:val="323232"/>
        </w:rPr>
        <w:t xml:space="preserve">DESIGN:Prospective observational study.</w:t>
      </w:r>
    </w:p>
    <w:p/>
    <w:p>
      <w:pPr>
        <w:pStyle w:val="Normal"/>
      </w:pPr>
      <w:r>
        <w:rPr>
          <w:color w:val="323232"/>
        </w:rPr>
        <w:t xml:space="preserve">SETTING:University teaching hospital.</w:t>
      </w:r>
    </w:p>
    <w:p/>
    <w:p>
      <w:pPr>
        <w:pStyle w:val="Normal"/>
      </w:pPr>
      <w:r>
        <w:rPr>
          <w:color w:val="323232"/>
        </w:rPr>
        <w:t xml:space="preserve">ANIMALS:After excluding 129 dogs because of exclusion criteria, 7 dogs with heart failure classified as stage B2 and 10 dogs classified as stage C according to the American Heart Association (AHA)/American College of Cardiology (ACC) were included in the study. Six dogs without MMVD were evaluated as the control group.</w:t>
      </w:r>
    </w:p>
    <w:p/>
    <w:p>
      <w:pPr>
        <w:pStyle w:val="Normal"/>
      </w:pPr>
      <w:r>
        <w:rPr>
          <w:color w:val="323232"/>
        </w:rPr>
        <w:t xml:space="preserve">INTERVENTIONS:None.</w:t>
      </w:r>
    </w:p>
    <w:p/>
    <w:p>
      <w:pPr>
        <w:pStyle w:val="Normal"/>
      </w:pPr>
      <w:r>
        <w:rPr>
          <w:color w:val="323232"/>
        </w:rPr>
        <w:t xml:space="preserve">MEASUREMENTS AND MAIN RESULTS:Among the evaluated parameters, the plasma lactate concentrations were increased in stage C (median 3.70 mmol/ L [33.3 mg/ dL], interquartile range (IQR) 0.72 mmol/ L [6.5 mg</w:t>
      </w:r>
      <w:r>
        <w:rPr>
          <w:i w:val="1"/>
          <w:color w:val="323232"/>
        </w:rPr>
        <w:t xml:space="preserve">dL]) compared with those in the control (median 2.80 mmol</w:t>
      </w:r>
      <w:r>
        <w:rPr>
          <w:color w:val="323232"/>
        </w:rPr>
        <w:t xml:space="preserve"> L [25.2 mg</w:t>
      </w:r>
      <w:r>
        <w:rPr>
          <w:i w:val="1"/>
          <w:color w:val="323232"/>
        </w:rPr>
        <w:t xml:space="preserve">dL], IQR 0.8 mmol</w:t>
      </w:r>
      <w:r>
        <w:rPr>
          <w:color w:val="323232"/>
        </w:rPr>
        <w:t xml:space="preserve"> L [7.2 mg/ dL]; P = 0.024) and stage B2 groups (median 2.70 mmol/ L [24.3 mg/ dL], IQR 1.8 mmol/ L [16.2 mg/dL]; P = 0.045). Significant differences were not observed in the core-peripheral temperature gradients among the control, stage B2, and stage C dogs.</w:t>
      </w:r>
    </w:p>
    <w:p/>
    <w:p>
      <w:pPr>
        <w:pStyle w:val="Normal"/>
      </w:pPr>
      <w:r>
        <w:rPr>
          <w:color w:val="323232"/>
        </w:rPr>
        <w:t xml:space="preserve">CONCLUSIONS:Dogs with structural heart disease as a result of MMVD may have occult tissue hypoperfusion in stage C that is demonstrated by hyperlactatemia.</w:t>
      </w:r>
    </w:p>
    <w:p/>
    <w:p>
      <w:pPr>
        <w:pStyle w:val="Normal"/>
      </w:pPr>
      <w:r>
        <w:rPr>
          <w:color w:val="323232"/>
        </w:rPr>
        <w:t xml:space="preserve">J Vet Emerg Crit Care (San Antonio), 2018 vol. 28 (6) pp. 532-540.</w:t>
      </w:r>
    </w:p>
    <w:p>
      <w:r>
        <w:rPr>
          <w:rStyle w:val="Hyperlink"/>
        </w:rPr>
        <w:fldChar w:fldCharType="begin"/>
      </w:r>
      <w:r>
        <w:rPr>
          <w:rStyle w:val="Hyperlink"/>
        </w:rPr>
        <w:instrText xml:space="preserve"> HYPERLINK "http://eutils.ncbi.nlm.nih.gov/entrez/eutils/elink.fcgi?dbfrom=pubmed&amp;id=30294857&amp;retmode=ref&amp;cmd=prlinks"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http://eutils.ncbi.nlm.nih.gov/entrez/eutils/elink.fcgi?dbfrom=pubmed&amp;id=30294857&amp;retmode=ref&amp;cmd=prlinks</w:t>
      </w:r>
      <w:r>
        <w:rPr>
          <w:rStyle w:val="Hyperlink"/>
        </w:rPr>
        <w:fldChar w:fldCharType="end"/>
      </w:r>
    </w:p>
    <w:p>
      <w:pPr>
        <w:pStyle w:val="Normal"/>
      </w:pPr>
      <w:r>
        <w:rPr>
          <w:color w:val="323232"/>
        </w:rPr>
        <w:t xml:space="preserve">————————</w:t>
      </w:r>
    </w:p>
    <w:p>
      <w:pPr>
        <w:pStyle w:val="Heading4"/>
      </w:pPr>
      <w:r>
        <w:t xml:space="preserve">Retrospective evaluation of 4 methods for outcome prediction in overt disseminated intravascular coagulation in dogs (2009-2014): 804 cases.</w:t>
      </w:r>
    </w:p>
    <w:p/>
    <w:p>
      <w:pPr>
        <w:pStyle w:val="Normal"/>
      </w:pPr>
      <w:r>
        <w:rPr>
          <w:color w:val="323232"/>
        </w:rPr>
        <w:t xml:space="preserve">Outcome prediction in canine overt DIC.</w:t>
      </w:r>
    </w:p>
    <w:p>
      <w:pPr>
        <w:pStyle w:val="Normal"/>
      </w:pPr>
      <w:r>
        <w:rPr>
          <w:color w:val="323232"/>
        </w:rPr>
        <w:t xml:space="preserve">Robert Goggs, Alicia Mastrocco, and Marjory B Brooks.</w:t>
      </w:r>
    </w:p>
    <w:p/>
    <w:p>
      <w:pPr>
        <w:pStyle w:val="Normal"/>
      </w:pPr>
      <w:r>
        <w:rPr>
          <w:color w:val="323232"/>
        </w:rPr>
        <w:t xml:space="preserve">OBJECTIVE:The clinical diagnosis of disseminated intravascular coagulation (DIC) in dogs is challenging. It was hypothesized that dogs with laboratory abnormalities consistent with overt DIC have increased mortality and hence survival could be used to evaluate the performance of DIC scoring systems. Four DIC scoring systems were compared in clinically ill dogs: The International Society of Thrombosis and Haemostasis (ISTH) score; a previously published veterinary DIC score; a system using in-house reference intervals (RIs) for coagulation assays; and the published veterinary DIC score modified by use of in-house RI values.</w:t>
      </w:r>
    </w:p>
    <w:p/>
    <w:p>
      <w:pPr>
        <w:pStyle w:val="Normal"/>
      </w:pPr>
      <w:r>
        <w:rPr>
          <w:color w:val="323232"/>
        </w:rPr>
        <w:t xml:space="preserve">DESIGN:Retrospective cohort study.</w:t>
      </w:r>
    </w:p>
    <w:p/>
    <w:p>
      <w:pPr>
        <w:pStyle w:val="Normal"/>
      </w:pPr>
      <w:r>
        <w:rPr>
          <w:color w:val="323232"/>
        </w:rPr>
        <w:t xml:space="preserve">SETTING:University teaching hospital.</w:t>
      </w:r>
    </w:p>
    <w:p/>
    <w:p>
      <w:pPr>
        <w:pStyle w:val="Normal"/>
      </w:pPr>
      <w:r>
        <w:rPr>
          <w:color w:val="323232"/>
        </w:rPr>
        <w:t xml:space="preserve">ANIMALS:Eight hundred four client-owned dogs with underlying disorders associated with DIC.</w:t>
      </w:r>
    </w:p>
    <w:p/>
    <w:p>
      <w:pPr>
        <w:pStyle w:val="Normal"/>
      </w:pPr>
      <w:r>
        <w:rPr>
          <w:color w:val="323232"/>
        </w:rPr>
        <w:t xml:space="preserve">INTERVENTIONS:None.</w:t>
      </w:r>
    </w:p>
    <w:p/>
    <w:p>
      <w:pPr>
        <w:pStyle w:val="Normal"/>
      </w:pPr>
      <w:r>
        <w:rPr>
          <w:color w:val="323232"/>
        </w:rPr>
        <w:t xml:space="preserve">MEASUREMENTS AND MAIN RESULTS:Medical records were reviewed to identify dogs for which a coagulation panel consisting of coagulation times, D-dimer concentration, antithrombin activity, fibrinogen concentration, and platelet count had been analyzed. Four methods for overt DIC scoring were then applied, and the ability of these scores to predict mortality was evaluated. Use of institution RIs for diagnosis of overt DIC provided the most accurate prognostic assessment. A score based on abnormalities in 3 of 6 parameters to identify overt DIC was 72.7% sensitive and 80.9% specific for mortality and was accurate in 78.4% of cases. The mortality rate of dogs diagnosed with overt DIC via this method was 62.5%, compared to 12.9% in the dogs not in overt DIC, a relative risk of nonsurvival of 4.84 (95% confidence interval 3.80-6.16).</w:t>
      </w:r>
    </w:p>
    <w:p/>
    <w:p>
      <w:pPr>
        <w:pStyle w:val="Normal"/>
      </w:pPr>
      <w:r>
        <w:rPr>
          <w:color w:val="323232"/>
        </w:rPr>
        <w:t xml:space="preserve">CONCLUSIONS:In dogs at-risk for DIC, an in-house RI scoring system accurately predicted mortality. With further prospective validation, this system holds promise as a diagnostic tool for consistent characterization of overt DIC in clinical studies and clinical practice.</w:t>
      </w:r>
    </w:p>
    <w:p/>
    <w:p>
      <w:pPr>
        <w:pStyle w:val="Normal"/>
      </w:pPr>
      <w:r>
        <w:rPr>
          <w:color w:val="323232"/>
        </w:rPr>
        <w:t xml:space="preserve">J Vet Emerg Crit Care (San Antonio), 2018 vol. 28 (6) pp. 541-550.</w:t>
      </w:r>
    </w:p>
    <w:p>
      <w:r>
        <w:rPr>
          <w:rStyle w:val="Hyperlink"/>
        </w:rPr>
        <w:fldChar w:fldCharType="begin"/>
      </w:r>
      <w:r>
        <w:rPr>
          <w:rStyle w:val="Hyperlink"/>
        </w:rPr>
        <w:instrText xml:space="preserve"> HYPERLINK "http://doi.wiley.com/10.1111/vec.12777" </w:instrText>
      </w:r>
      <w:r>
        <w:rPr>
          <w:rStyle w:val="Hyperlink"/>
        </w:rPr>
      </w:r>
      <w:r>
        <w:rPr>
          <w:rStyle w:val="Hyperlink"/>
        </w:rPr>
        <w:fldChar w:fldCharType="separate"/>
      </w:r>
      <w:pPr>
        <w:pStyle w:val="Normal"/>
      </w:pPr>
      <w:r>
        <w:rPr>
          <w:rStyle w:val="Hyperlink"/>
        </w:rPr>
        <w:t xml:space="preserve">http://doi.wiley.com/10.1111/vec.12777</w:t>
      </w:r>
      <w:r>
        <w:rPr>
          <w:rStyle w:val="Hyperlink"/>
        </w:rPr>
        <w:fldChar w:fldCharType="end"/>
      </w:r>
    </w:p>
    <w:p>
      <w:pPr>
        <w:pStyle w:val="Normal"/>
      </w:pPr>
      <w:r>
        <w:rPr>
          <w:color w:val="323232"/>
        </w:rPr>
        <w:t xml:space="preserve">————————</w:t>
      </w:r>
    </w:p>
    <w:p>
      <w:pPr>
        <w:pStyle w:val="Heading4"/>
      </w:pPr>
      <w:r>
        <w:t xml:space="preserve">Retrospective characterization of canine coagulopathies using the turbidimetric ACL-TOP 300 analyzer (2014-2015): Forty-seven dogs.</w:t>
      </w:r>
    </w:p>
    <w:p/>
    <w:p>
      <w:pPr>
        <w:pStyle w:val="Normal"/>
      </w:pPr>
      <w:r>
        <w:rPr>
          <w:color w:val="323232"/>
        </w:rPr>
        <w:t xml:space="preserve">Rae Richardson, Jeffrey M Todd, Leslie C Sharkey, Robert J Washabau, Kevin D Williams, Kim J Little, and Aaron Rendahl.</w:t>
      </w:r>
    </w:p>
    <w:p/>
    <w:p>
      <w:pPr>
        <w:pStyle w:val="Normal"/>
      </w:pPr>
      <w:r>
        <w:rPr>
          <w:color w:val="323232"/>
        </w:rPr>
        <w:t xml:space="preserve">OBJECTIVE:To characterize disseminated intravascular coagulation (DIC), liver failure (LF), post-hepatic cholestasis (PHC), and anticoagulant rodenticide intoxication (ROD) in dogs using an immunoturbidimetric coagulation analyzer and to characterize the relationship between clinical bleeding and bleeding parameters.</w:t>
      </w:r>
    </w:p>
    <w:p/>
    <w:p>
      <w:pPr>
        <w:pStyle w:val="Normal"/>
      </w:pPr>
      <w:r>
        <w:rPr>
          <w:color w:val="323232"/>
        </w:rPr>
        <w:t xml:space="preserve">DESIGN:Retrospective study (August 2014-July 2015).</w:t>
      </w:r>
    </w:p>
    <w:p/>
    <w:p>
      <w:pPr>
        <w:pStyle w:val="Normal"/>
      </w:pPr>
      <w:r>
        <w:rPr>
          <w:color w:val="323232"/>
        </w:rPr>
        <w:t xml:space="preserve">SETTING:University teaching hospital.</w:t>
      </w:r>
    </w:p>
    <w:p/>
    <w:p>
      <w:pPr>
        <w:pStyle w:val="Normal"/>
      </w:pPr>
      <w:r>
        <w:rPr>
          <w:color w:val="323232"/>
        </w:rPr>
        <w:t xml:space="preserve">ANIMALS:Forty-seven client-owned dogs diagnosed with DIC (n</w:t>
      </w:r>
      <w:r>
        <w:rPr>
          <w:color w:val="323232"/>
        </w:rPr>
        <w:t xml:space="preserve"> </w:t>
      </w:r>
      <w:r>
        <w:rPr>
          <w:color w:val="323232"/>
        </w:rPr>
        <w:t xml:space="preserve">= 24), LF (n</w:t>
      </w:r>
      <w:r>
        <w:rPr>
          <w:color w:val="323232"/>
        </w:rPr>
        <w:t xml:space="preserve"> </w:t>
      </w:r>
      <w:r>
        <w:rPr>
          <w:color w:val="323232"/>
        </w:rPr>
        <w:t xml:space="preserve">= 9), PHC (n</w:t>
      </w:r>
      <w:r>
        <w:rPr>
          <w:color w:val="323232"/>
        </w:rPr>
        <w:t xml:space="preserve"> </w:t>
      </w:r>
      <w:r>
        <w:rPr>
          <w:color w:val="323232"/>
        </w:rPr>
        <w:t xml:space="preserve">= 5), or ROD (n</w:t>
      </w:r>
      <w:r>
        <w:rPr>
          <w:color w:val="323232"/>
        </w:rPr>
        <w:t xml:space="preserve"> </w:t>
      </w:r>
      <w:r>
        <w:rPr>
          <w:color w:val="323232"/>
        </w:rPr>
        <w:t xml:space="preserve">= 9) based on history, clinical pathology, cytology, histopathology. or exploratory surgery.</w:t>
      </w:r>
    </w:p>
    <w:p/>
    <w:p>
      <w:pPr>
        <w:pStyle w:val="Normal"/>
      </w:pPr>
      <w:r>
        <w:rPr>
          <w:color w:val="323232"/>
        </w:rPr>
        <w:t xml:space="preserve">INTERVENTIONS:None.</w:t>
      </w:r>
    </w:p>
    <w:p/>
    <w:p>
      <w:pPr>
        <w:pStyle w:val="Normal"/>
      </w:pPr>
      <w:r>
        <w:rPr>
          <w:color w:val="323232"/>
        </w:rPr>
        <w:t xml:space="preserve">MEASUREMENTS AND MAIN RESULTS:Median prothrombin time (PT), activated partial thromboplastin time (aPTT), and quantitative fribrinogen assay (QFA) were above the reference interval for DIC, LF, PHC and ROD with the exception of a normal QFA for LF. Clot curve analysis for DIC was characterized by elevated PT Delta, PT first derivative, and aPTT Delta, and normal for aPTT second derivative; all LF parameters were within the RI; all PHC parameters were above the RI; and ROD had elevated aPTT delta, but low aPTT second derivative. Coagulopathic bleeding recognized within the DIC group was characterized by median PT delta in mABS (milliabsorbance), first derivative and aPTT delta values in mABS within the RI at 35.0, 55.5 and 38, respectively. The nonbleeding DIC group median values of these same parameters were 189.5, 586.5 and 288, respectively.</w:t>
      </w:r>
    </w:p>
    <w:p/>
    <w:p>
      <w:pPr>
        <w:pStyle w:val="Normal"/>
      </w:pPr>
      <w:r>
        <w:rPr>
          <w:color w:val="323232"/>
        </w:rPr>
        <w:t xml:space="preserve">CONCLUSIONS:The classically utilized indicators of secondary hemostasis, PT and aPTT, were prolonged within all 4 groups; DIC, LF, PHC and ROD as expected. Fibrinogen concentration was increased in both PHC and ROD, decreased in LF and increased but with a bimodal distribution in DIC that correlated with clinical bleeding. The degree of PT and aPTT prolongation did not correlate with clinical bleeding in the DIC group, however clot curve analysis, did reveal an association.</w:t>
      </w:r>
    </w:p>
    <w:p/>
    <w:p>
      <w:pPr>
        <w:pStyle w:val="Normal"/>
      </w:pPr>
      <w:r>
        <w:rPr>
          <w:color w:val="323232"/>
        </w:rPr>
        <w:t xml:space="preserve">J Vet Emerg Crit Care (San Antonio), 2018 vol. 28 (6) pp. 551-558.</w:t>
      </w:r>
    </w:p>
    <w:p>
      <w:r>
        <w:rPr>
          <w:rStyle w:val="Hyperlink"/>
        </w:rPr>
        <w:fldChar w:fldCharType="begin"/>
      </w:r>
      <w:r>
        <w:rPr>
          <w:rStyle w:val="Hyperlink"/>
        </w:rPr>
        <w:instrText xml:space="preserve"> HYPERLINK "http://eutils.ncbi.nlm.nih.gov/entrez/eutils/elink.fcgi?dbfrom=pubmed&amp;id=30320489&amp;retmode=ref&amp;cmd=prlinks"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http://eutils.ncbi.nlm.nih.gov/entrez/eutils/elink.fcgi?dbfrom=pubmed&amp;id=30320489&amp;retmode=ref&amp;cmd=prlinks</w:t>
      </w:r>
      <w:r>
        <w:rPr>
          <w:rStyle w:val="Hyperlink"/>
        </w:rPr>
        <w:fldChar w:fldCharType="end"/>
      </w:r>
    </w:p>
    <w:p>
      <w:pPr>
        <w:pStyle w:val="Normal"/>
      </w:pPr>
      <w:r>
        <w:rPr>
          <w:color w:val="323232"/>
        </w:rPr>
        <w:t xml:space="preserve">————————</w:t>
      </w:r>
    </w:p>
    <w:p>
      <w:pPr>
        <w:pStyle w:val="Heading4"/>
      </w:pPr>
      <w:r>
        <w:t xml:space="preserve">Retrospective characterization of coma and stupor in dogs and cats presenting to a multicenter out-of-hours service (2012-2015): 386 animals.</w:t>
      </w:r>
    </w:p>
    <w:p/>
    <w:p>
      <w:pPr>
        <w:pStyle w:val="Normal"/>
      </w:pPr>
      <w:r>
        <w:rPr>
          <w:color w:val="323232"/>
        </w:rPr>
        <w:t xml:space="preserve">Christopher A Parratt, Ava M Firth, Amanda K Boag, Gavin F Allison, and Søren R Boysen.</w:t>
      </w:r>
    </w:p>
    <w:p/>
    <w:p>
      <w:pPr>
        <w:pStyle w:val="Normal"/>
      </w:pPr>
      <w:r>
        <w:rPr>
          <w:color w:val="323232"/>
        </w:rPr>
        <w:t xml:space="preserve">OBJECTIVE:To describe the signalment, etiology, and short-term outcome of dogs and cats presenting in a coma or stupor.</w:t>
      </w:r>
    </w:p>
    <w:p/>
    <w:p>
      <w:pPr>
        <w:pStyle w:val="Normal"/>
      </w:pPr>
      <w:r>
        <w:rPr>
          <w:color w:val="323232"/>
        </w:rPr>
        <w:t xml:space="preserve">DESIGN:Retrospective study conducted between May 2012 and February 2015.</w:t>
      </w:r>
    </w:p>
    <w:p/>
    <w:p>
      <w:pPr>
        <w:pStyle w:val="Normal"/>
      </w:pPr>
      <w:r>
        <w:rPr>
          <w:color w:val="323232"/>
        </w:rPr>
        <w:t xml:space="preserve">SETTING:Multicenter out-of-hours emergency service provider.</w:t>
      </w:r>
    </w:p>
    <w:p/>
    <w:p>
      <w:pPr>
        <w:pStyle w:val="Normal"/>
      </w:pPr>
      <w:r>
        <w:rPr>
          <w:color w:val="323232"/>
        </w:rPr>
        <w:t xml:space="preserve">ANIMALS:Three hundred eighty-six patients presenting in a coma or stupor to a multicenter out-of-hours emergency care provider.</w:t>
      </w:r>
    </w:p>
    <w:p/>
    <w:p>
      <w:pPr>
        <w:pStyle w:val="Normal"/>
      </w:pPr>
      <w:r>
        <w:rPr>
          <w:color w:val="323232"/>
        </w:rPr>
        <w:t xml:space="preserve">INTERVENTIONS:None.</w:t>
      </w:r>
    </w:p>
    <w:p/>
    <w:p>
      <w:pPr>
        <w:pStyle w:val="Normal"/>
      </w:pPr>
      <w:r>
        <w:rPr>
          <w:color w:val="323232"/>
        </w:rPr>
        <w:t xml:space="preserve">MEASUREMENTS AND MAIN RESULTS:Records were reviewed to determine the most likely etiology of coma or stupor. Short-term outcomes were defined as deceased (died or euthanized) or transferred (case handed over to a daytime clinic or discharged). There were 168 dogs (coma n</w:t>
      </w:r>
      <w:r>
        <w:rPr>
          <w:color w:val="323232"/>
        </w:rPr>
        <w:t xml:space="preserve"> </w:t>
      </w:r>
      <w:r>
        <w:rPr>
          <w:color w:val="323232"/>
        </w:rPr>
        <w:t xml:space="preserve">= 112, stupor n</w:t>
      </w:r>
      <w:r>
        <w:rPr>
          <w:color w:val="323232"/>
        </w:rPr>
        <w:t xml:space="preserve"> </w:t>
      </w:r>
      <w:r>
        <w:rPr>
          <w:color w:val="323232"/>
        </w:rPr>
        <w:t xml:space="preserve">= 56) and 218 cats (coma n</w:t>
      </w:r>
      <w:r>
        <w:rPr>
          <w:color w:val="323232"/>
        </w:rPr>
        <w:t xml:space="preserve"> </w:t>
      </w:r>
      <w:r>
        <w:rPr>
          <w:color w:val="323232"/>
        </w:rPr>
        <w:t xml:space="preserve">= 148, stupor n</w:t>
      </w:r>
      <w:r>
        <w:rPr>
          <w:color w:val="323232"/>
        </w:rPr>
        <w:t xml:space="preserve"> </w:t>
      </w:r>
      <w:r>
        <w:rPr>
          <w:color w:val="323232"/>
        </w:rPr>
        <w:t xml:space="preserve">= 70) identified. Coma and stupor were more prevalent in cats compared to dogs, and Chihuahuas were over represented. Blood glucose concentrations were frequently outside established reference intervals. Excluding undetermined causes, the most common causes in dogs included traumatic brain injury (TBI) 16.0% (n</w:t>
      </w:r>
      <w:r>
        <w:rPr>
          <w:color w:val="323232"/>
        </w:rPr>
        <w:t xml:space="preserve"> </w:t>
      </w:r>
      <w:r>
        <w:rPr>
          <w:color w:val="323232"/>
        </w:rPr>
        <w:t xml:space="preserve">= 27, deceased n</w:t>
      </w:r>
      <w:r>
        <w:rPr>
          <w:color w:val="323232"/>
        </w:rPr>
        <w:t xml:space="preserve"> </w:t>
      </w:r>
      <w:r>
        <w:rPr>
          <w:color w:val="323232"/>
        </w:rPr>
        <w:t xml:space="preserve">= 22), hypoglycemia 10.7% (n</w:t>
      </w:r>
      <w:r>
        <w:rPr>
          <w:color w:val="323232"/>
        </w:rPr>
        <w:t xml:space="preserve"> </w:t>
      </w:r>
      <w:r>
        <w:rPr>
          <w:color w:val="323232"/>
        </w:rPr>
        <w:t xml:space="preserve">= 18, deceased n</w:t>
      </w:r>
      <w:r>
        <w:rPr>
          <w:color w:val="323232"/>
        </w:rPr>
        <w:t xml:space="preserve"> </w:t>
      </w:r>
      <w:r>
        <w:rPr>
          <w:color w:val="323232"/>
        </w:rPr>
        <w:t xml:space="preserve">= 8), shock 10.1% (n</w:t>
      </w:r>
      <w:r>
        <w:rPr>
          <w:color w:val="323232"/>
        </w:rPr>
        <w:t xml:space="preserve"> </w:t>
      </w:r>
      <w:r>
        <w:rPr>
          <w:color w:val="323232"/>
        </w:rPr>
        <w:t xml:space="preserve">= 17, deceased n</w:t>
      </w:r>
      <w:r>
        <w:rPr>
          <w:color w:val="323232"/>
        </w:rPr>
        <w:t xml:space="preserve"> </w:t>
      </w:r>
      <w:r>
        <w:rPr>
          <w:color w:val="323232"/>
        </w:rPr>
        <w:t xml:space="preserve">= 16), seizure 9.5% (n</w:t>
      </w:r>
      <w:r>
        <w:rPr>
          <w:color w:val="323232"/>
        </w:rPr>
        <w:t xml:space="preserve"> </w:t>
      </w:r>
      <w:r>
        <w:rPr>
          <w:color w:val="323232"/>
        </w:rPr>
        <w:t xml:space="preserve">= 16, deceased n</w:t>
      </w:r>
      <w:r>
        <w:rPr>
          <w:color w:val="323232"/>
        </w:rPr>
        <w:t xml:space="preserve"> </w:t>
      </w:r>
      <w:r>
        <w:rPr>
          <w:color w:val="323232"/>
        </w:rPr>
        <w:t xml:space="preserve">= 13), and renal or hepatic dysfunction 5.3% (n</w:t>
      </w:r>
      <w:r>
        <w:rPr>
          <w:color w:val="323232"/>
        </w:rPr>
        <w:t xml:space="preserve"> </w:t>
      </w:r>
      <w:r>
        <w:rPr>
          <w:color w:val="323232"/>
        </w:rPr>
        <w:t xml:space="preserve">= 9, deceased n</w:t>
      </w:r>
      <w:r>
        <w:rPr>
          <w:color w:val="323232"/>
        </w:rPr>
        <w:t xml:space="preserve"> </w:t>
      </w:r>
      <w:r>
        <w:rPr>
          <w:color w:val="323232"/>
        </w:rPr>
        <w:t xml:space="preserve">= 7). For cats, the most common causes included TBI 21.6% (n</w:t>
      </w:r>
      <w:r>
        <w:rPr>
          <w:color w:val="323232"/>
        </w:rPr>
        <w:t xml:space="preserve"> </w:t>
      </w:r>
      <w:r>
        <w:rPr>
          <w:color w:val="323232"/>
        </w:rPr>
        <w:t xml:space="preserve">= 47, deceased n</w:t>
      </w:r>
      <w:r>
        <w:rPr>
          <w:color w:val="323232"/>
        </w:rPr>
        <w:t xml:space="preserve"> </w:t>
      </w:r>
      <w:r>
        <w:rPr>
          <w:color w:val="323232"/>
        </w:rPr>
        <w:t xml:space="preserve">= 38), renal or hepatic dysfunction 13.3% (n</w:t>
      </w:r>
      <w:r>
        <w:rPr>
          <w:color w:val="323232"/>
        </w:rPr>
        <w:t xml:space="preserve"> </w:t>
      </w:r>
      <w:r>
        <w:rPr>
          <w:color w:val="323232"/>
        </w:rPr>
        <w:t xml:space="preserve">= 29, deceased n</w:t>
      </w:r>
      <w:r>
        <w:rPr>
          <w:color w:val="323232"/>
        </w:rPr>
        <w:t xml:space="preserve"> </w:t>
      </w:r>
      <w:r>
        <w:rPr>
          <w:color w:val="323232"/>
        </w:rPr>
        <w:t xml:space="preserve">= 25), intoxication 10.1% (n</w:t>
      </w:r>
      <w:r>
        <w:rPr>
          <w:color w:val="323232"/>
        </w:rPr>
        <w:t xml:space="preserve"> </w:t>
      </w:r>
      <w:r>
        <w:rPr>
          <w:color w:val="323232"/>
        </w:rPr>
        <w:t xml:space="preserve">= 22, deceased n</w:t>
      </w:r>
      <w:r>
        <w:rPr>
          <w:color w:val="323232"/>
        </w:rPr>
        <w:t xml:space="preserve"> </w:t>
      </w:r>
      <w:r>
        <w:rPr>
          <w:color w:val="323232"/>
        </w:rPr>
        <w:t xml:space="preserve">= 18), hypoglycemia 6.0% (n</w:t>
      </w:r>
      <w:r>
        <w:rPr>
          <w:color w:val="323232"/>
        </w:rPr>
        <w:t xml:space="preserve"> </w:t>
      </w:r>
      <w:r>
        <w:rPr>
          <w:color w:val="323232"/>
        </w:rPr>
        <w:t xml:space="preserve">= 13, deceased n</w:t>
      </w:r>
      <w:r>
        <w:rPr>
          <w:color w:val="323232"/>
        </w:rPr>
        <w:t xml:space="preserve"> </w:t>
      </w:r>
      <w:r>
        <w:rPr>
          <w:color w:val="323232"/>
        </w:rPr>
        <w:t xml:space="preserve">= 4), and shock 5.0% (n</w:t>
      </w:r>
      <w:r>
        <w:rPr>
          <w:color w:val="323232"/>
        </w:rPr>
        <w:t xml:space="preserve"> </w:t>
      </w:r>
      <w:r>
        <w:rPr>
          <w:color w:val="323232"/>
        </w:rPr>
        <w:t xml:space="preserve">= 11, deceased n</w:t>
      </w:r>
      <w:r>
        <w:rPr>
          <w:color w:val="323232"/>
        </w:rPr>
        <w:t xml:space="preserve"> </w:t>
      </w:r>
      <w:r>
        <w:rPr>
          <w:color w:val="323232"/>
        </w:rPr>
        <w:t xml:space="preserve">= 8). When treatment was attempted, 46.0% of dogs (n</w:t>
      </w:r>
      <w:r>
        <w:rPr>
          <w:color w:val="323232"/>
        </w:rPr>
        <w:t xml:space="preserve"> </w:t>
      </w:r>
      <w:r>
        <w:rPr>
          <w:color w:val="323232"/>
        </w:rPr>
        <w:t xml:space="preserve">= 44/96) and 41.2% of cats (n</w:t>
      </w:r>
      <w:r>
        <w:rPr>
          <w:color w:val="323232"/>
        </w:rPr>
        <w:t xml:space="preserve"> </w:t>
      </w:r>
      <w:r>
        <w:rPr>
          <w:color w:val="323232"/>
        </w:rPr>
        <w:t xml:space="preserve">= 35/85) survived to be transferred. Compared to all other etiologies, death was less likely when coma or stupor was attributed to hypoglycemia.</w:t>
      </w:r>
    </w:p>
    <w:p/>
    <w:p>
      <w:pPr>
        <w:pStyle w:val="Normal"/>
      </w:pPr>
      <w:r>
        <w:rPr>
          <w:color w:val="323232"/>
        </w:rPr>
        <w:t xml:space="preserve">CONCLUSION:In cases where a cause was determined, TBI was the predominant etiology of coma and stupor for both species. With the exception of coma and stupor attributed to hypoglycemia, the overall short-term prognosis was poor.</w:t>
      </w:r>
    </w:p>
    <w:p/>
    <w:p>
      <w:pPr>
        <w:pStyle w:val="Normal"/>
      </w:pPr>
      <w:r>
        <w:rPr>
          <w:color w:val="323232"/>
        </w:rPr>
        <w:t xml:space="preserve">J Vet Emerg Crit Care (San Antonio), 2018 vol. 28 (6) pp. 559-565.</w:t>
      </w:r>
    </w:p>
    <w:p>
      <w:r>
        <w:rPr>
          <w:rStyle w:val="Hyperlink"/>
        </w:rPr>
        <w:fldChar w:fldCharType="begin"/>
      </w:r>
      <w:r>
        <w:rPr>
          <w:rStyle w:val="Hyperlink"/>
        </w:rPr>
        <w:instrText xml:space="preserve"> HYPERLINK "http://eutils.ncbi.nlm.nih.gov/entrez/eutils/elink.fcgi?dbfrom=pubmed&amp;id=30325574&amp;retmode=ref&amp;cmd=prlinks"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http://eutils.ncbi.nlm.nih.gov/entrez/eutils/elink.fcgi?dbfrom=pubmed&amp;id=30325574&amp;retmode=ref&amp;cmd=prlinks</w:t>
      </w:r>
      <w:r>
        <w:rPr>
          <w:rStyle w:val="Hyperlink"/>
        </w:rPr>
        <w:fldChar w:fldCharType="end"/>
      </w:r>
    </w:p>
    <w:p>
      <w:pPr>
        <w:pStyle w:val="Normal"/>
      </w:pPr>
      <w:r>
        <w:rPr>
          <w:color w:val="323232"/>
        </w:rPr>
        <w:t xml:space="preserve">————————</w:t>
      </w:r>
    </w:p>
    <w:p>
      <w:pPr>
        <w:pStyle w:val="Heading4"/>
      </w:pPr>
      <w:r>
        <w:t xml:space="preserve">Anticoagulant rodenticide toxicosis causing tracheal collapse in 4 small breed dogs.</w:t>
      </w:r>
    </w:p>
    <w:p/>
    <w:p>
      <w:pPr>
        <w:pStyle w:val="Normal"/>
      </w:pPr>
      <w:r>
        <w:rPr>
          <w:color w:val="323232"/>
        </w:rPr>
        <w:t xml:space="preserve">Amanda J Thomer and Kari A Santoro Beer.</w:t>
      </w:r>
    </w:p>
    <w:p/>
    <w:p>
      <w:pPr>
        <w:pStyle w:val="Normal"/>
      </w:pPr>
      <w:r>
        <w:rPr>
          <w:color w:val="323232"/>
        </w:rPr>
        <w:t xml:space="preserve">OBJECTIVE:To describe 4 cases of tracheal narrowing attributed to tracheal mucosal hemorrhage caused by anticoagulant rodenticide toxicity in breeds predisposed to tracheal collapse.</w:t>
      </w:r>
    </w:p>
    <w:p/>
    <w:p>
      <w:pPr>
        <w:pStyle w:val="Normal"/>
      </w:pPr>
      <w:r>
        <w:rPr>
          <w:color w:val="323232"/>
        </w:rPr>
        <w:t xml:space="preserve">CASE SUMMARY:Over the years 2005-2014, 4</w:t>
      </w:r>
      <w:r>
        <w:rPr>
          <w:color w:val="323232"/>
        </w:rPr>
        <w:t xml:space="preserve"> </w:t>
      </w:r>
      <w:r>
        <w:rPr>
          <w:color w:val="323232"/>
        </w:rPr>
        <w:t xml:space="preserve">dogs were presented for respiratory distress secondary to diffuse tracheal narrowing. All dogs had possible anticoagulant rodenticide ingestion and prolonged prothrombin time. All dogs received fresh-frozen plasma transfusions, vitamin K1 supplementation, and supportive care. Tracheal narrowing improved on follow-up radiographs in 3 of 4 patients. One of 4 did not have follow-up radiographs performed. All dogs survived.</w:t>
      </w:r>
    </w:p>
    <w:p/>
    <w:p>
      <w:pPr>
        <w:pStyle w:val="Normal"/>
      </w:pPr>
      <w:r>
        <w:rPr>
          <w:color w:val="323232"/>
        </w:rPr>
        <w:t xml:space="preserve">NEW OR UNIQUE INFORMATION PROVIDED:Anticoagulant rodenticide toxicity causing clinical signs consistent with tracheal collapse is a rare but recognized phenomenon that has not been previously reported in breeds prone to tracheal collapse.</w:t>
      </w:r>
    </w:p>
    <w:p/>
    <w:p>
      <w:pPr>
        <w:pStyle w:val="Normal"/>
      </w:pPr>
      <w:r>
        <w:rPr>
          <w:color w:val="323232"/>
        </w:rPr>
        <w:t xml:space="preserve">J Vet Emerg Crit Care (San Antonio), 2018 vol. 28 (6) pp. 573-578.</w:t>
      </w:r>
    </w:p>
    <w:p>
      <w:r>
        <w:rPr>
          <w:rStyle w:val="Hyperlink"/>
        </w:rPr>
        <w:fldChar w:fldCharType="begin"/>
      </w:r>
      <w:r>
        <w:rPr>
          <w:rStyle w:val="Hyperlink"/>
        </w:rPr>
        <w:instrText xml:space="preserve"> HYPERLINK "http://eutils.ncbi.nlm.nih.gov/entrez/eutils/elink.fcgi?dbfrom=pubmed&amp;id=30294908&amp;retmode=ref&amp;cmd=prlinks"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http://eutils.ncbi.nlm.nih.gov/entrez/eutils/elink.fcgi?dbfrom=pubmed&amp;id=30294908&amp;retmode=ref&amp;cmd=prlinks</w:t>
      </w:r>
      <w:r>
        <w:rPr>
          <w:rStyle w:val="Hyperlink"/>
        </w:rPr>
        <w:fldChar w:fldCharType="end"/>
      </w:r>
    </w:p>
    <w:p>
      <w:pPr>
        <w:pStyle w:val="Normal"/>
      </w:pPr>
      <w:r>
        <w:rPr>
          <w:color w:val="323232"/>
        </w:rPr>
        <w:t xml:space="preserve">————————</w:t>
      </w:r>
    </w:p>
    <w:p>
      <w:pPr>
        <w:pStyle w:val="Heading4"/>
      </w:pPr>
      <w:r>
        <w:t xml:space="preserve">Ultrasound-guided catheterization of the femoral artery in a canine model of acute hemorrhagic shock.</w:t>
      </w:r>
    </w:p>
    <w:p/>
    <w:p>
      <w:pPr>
        <w:pStyle w:val="Normal"/>
      </w:pPr>
      <w:r>
        <w:rPr>
          <w:color w:val="323232"/>
        </w:rPr>
        <w:t xml:space="preserve">Noah D Pavlisko, João Henrique N Soares, Natalia P Henao-Guerrero, and Allan J Williamson.</w:t>
      </w:r>
    </w:p>
    <w:p/>
    <w:p>
      <w:pPr>
        <w:pStyle w:val="Normal"/>
      </w:pPr>
      <w:r>
        <w:rPr>
          <w:color w:val="323232"/>
        </w:rPr>
        <w:t xml:space="preserve">OBJECTIVE:To describe a technique for gaining ultrasound-guided access to the femoral artery in an experimental model of acute hemorrhagic shock in anesthetized dogs.</w:t>
      </w:r>
    </w:p>
    <w:p/>
    <w:p>
      <w:pPr>
        <w:pStyle w:val="Normal"/>
      </w:pPr>
      <w:r>
        <w:rPr>
          <w:color w:val="323232"/>
        </w:rPr>
        <w:t xml:space="preserve">CASE SERIES SUMMARY:Five healthy, purpose-bred adult male intact Beagles were enrolled in a respiratory mechanics study under general anesthesia. Upon completion of the primary study a hypovolemic state was induced by blood removal to achieve a mean arterial pressure ≤ 55 mm</w:t>
      </w:r>
      <w:r>
        <w:rPr>
          <w:color w:val="323232"/>
        </w:rPr>
        <w:t xml:space="preserve"> </w:t>
      </w:r>
      <w:r>
        <w:rPr>
          <w:color w:val="323232"/>
        </w:rPr>
        <w:t xml:space="preserve">Hg. Dogs were positioned in dorsal recumbency with the hind limb extended caudally. An ultrasound probe was applied to the medial aspect of the hind limb and positioned in the transverse orientation so that the femoral artery was visualized in its short axis. The artery was identified by lack of compression and presence of visible pulsation. The probe was rotated 90° into the longitudinal orientation such that the artery was visualized in its long axis. Under ultrasound guidance a 19-gauge introducer needle was advanced into the lumen of the femoral artery. Using a modified Seldinger technique the needle was removed and a catheter was placed in the femoral artery. Correct placement of the catheter was verified by observation of the characteristic arterial blood pressure waveform. Upon completion of the study dogs were humanely euthanized. The femoral artery was successfully catheterized in 4/5 dogs and a hematoma was reported in 1/5 dogs.</w:t>
      </w:r>
    </w:p>
    <w:p/>
    <w:p>
      <w:pPr>
        <w:pStyle w:val="Normal"/>
      </w:pPr>
      <w:r>
        <w:rPr>
          <w:color w:val="323232"/>
        </w:rPr>
        <w:t xml:space="preserve">NEW OR UNIQUE INFORMATION PROVIDED:Ultrasound-guided femoral artery catheterization is feasible on anesthetized dogs with concurrent acute hemorrhagic shock.</w:t>
      </w:r>
    </w:p>
    <w:p/>
    <w:p>
      <w:pPr>
        <w:pStyle w:val="Normal"/>
      </w:pPr>
      <w:r>
        <w:rPr>
          <w:color w:val="323232"/>
        </w:rPr>
        <w:t xml:space="preserve">J Vet Emerg Crit Care (San Antonio), 2018 vol. 28 (6) pp. 579-584.</w:t>
      </w:r>
    </w:p>
    <w:p>
      <w:r>
        <w:rPr>
          <w:rStyle w:val="Hyperlink"/>
        </w:rPr>
        <w:fldChar w:fldCharType="begin"/>
      </w:r>
      <w:r>
        <w:rPr>
          <w:rStyle w:val="Hyperlink"/>
        </w:rPr>
        <w:instrText xml:space="preserve"> HYPERLINK "http://eutils.ncbi.nlm.nih.gov/entrez/eutils/elink.fcgi?dbfrom=pubmed&amp;id=30294853&amp;retmode=ref&amp;cmd=prlinks"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http://eutils.ncbi.nlm.nih.gov/entrez/eutils/elink.fcgi?dbfrom=pubmed&amp;id=30294853&amp;retmode=ref&amp;cmd=prlinks</w:t>
      </w:r>
      <w:r>
        <w:rPr>
          <w:rStyle w:val="Hyperlink"/>
        </w:rPr>
        <w:fldChar w:fldCharType="end"/>
      </w:r>
    </w:p>
    <w:p>
      <w:pPr>
        <w:pStyle w:val="Normal"/>
      </w:pPr>
      <w:r>
        <w:rPr>
          <w:color w:val="323232"/>
        </w:rPr>
        <w:t xml:space="preserve">————————</w:t>
      </w:r>
    </w:p>
    <w:p>
      <w:pPr>
        <w:pStyle w:val="Heading4"/>
      </w:pPr>
      <w:r>
        <w:t xml:space="preserve">Acute kidney injury secondary to traumatic rhabdomyolysis in a dog.</w:t>
      </w:r>
    </w:p>
    <w:p/>
    <w:p>
      <w:pPr>
        <w:pStyle w:val="Normal"/>
      </w:pPr>
      <w:r>
        <w:rPr>
          <w:color w:val="323232"/>
        </w:rPr>
        <w:t xml:space="preserve">Hilla Chen, Itamar Aroch, and Gilad Segev.</w:t>
      </w:r>
    </w:p>
    <w:p/>
    <w:p>
      <w:pPr>
        <w:pStyle w:val="Normal"/>
      </w:pPr>
      <w:r>
        <w:rPr>
          <w:color w:val="323232"/>
        </w:rPr>
        <w:t xml:space="preserve">OBJECTIVE:To describe the clinical course and successful management of a dog with crush syndrome, rhabdomyolysis, myoglobinuria, and associated acute kidney injury (AKI).</w:t>
      </w:r>
    </w:p>
    <w:p/>
    <w:p>
      <w:pPr>
        <w:pStyle w:val="Normal"/>
      </w:pPr>
      <w:r>
        <w:rPr>
          <w:color w:val="323232"/>
        </w:rPr>
        <w:t xml:space="preserve">CASE SUMMARY:An 8-year-old female, neutered, mixed-breed dog was referred to the Veterinary Teaching Hospital due to crush injury and suspected AKI. Blood tests and urinalysis showed markedly increased serum creatine kinase activity, myoglobinuria, and AKI. The dog was managed successfully with intermittent hemodialysis, and completely recovered.</w:t>
      </w:r>
    </w:p>
    <w:p/>
    <w:p>
      <w:pPr>
        <w:pStyle w:val="Normal"/>
      </w:pPr>
      <w:r>
        <w:rPr>
          <w:color w:val="323232"/>
        </w:rPr>
        <w:t xml:space="preserve">NEW OR UNIQUE INFORMATION PROVIDED:This is the first report of a dog with crush syndrome with secondary myoglobinuria and AKI.</w:t>
      </w:r>
    </w:p>
    <w:p/>
    <w:p>
      <w:pPr>
        <w:pStyle w:val="Normal"/>
      </w:pPr>
      <w:r>
        <w:rPr>
          <w:color w:val="323232"/>
        </w:rPr>
        <w:t xml:space="preserve">J Vet Emerg Crit Care (San Antonio), 2018 vol. 28 (6) pp. 585-590.</w:t>
      </w:r>
    </w:p>
    <w:p>
      <w:r>
        <w:rPr>
          <w:rStyle w:val="Hyperlink"/>
        </w:rPr>
        <w:fldChar w:fldCharType="begin"/>
      </w:r>
      <w:r>
        <w:rPr>
          <w:rStyle w:val="Hyperlink"/>
        </w:rPr>
        <w:instrText xml:space="preserve"> HYPERLINK "http://eutils.ncbi.nlm.nih.gov/entrez/eutils/elink.fcgi?dbfrom=pubmed&amp;id=30222253&amp;retmode=ref&amp;cmd=prlinks"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http://eutils.ncbi.nlm.nih.gov/entrez/eutils/elink.fcgi?dbfrom=pubmed&amp;id=30222253&amp;retmode=ref&amp;cmd=prlinks</w:t>
      </w:r>
      <w:r>
        <w:rPr>
          <w:rStyle w:val="Hyperlink"/>
        </w:rPr>
        <w:fldChar w:fldCharType="end"/>
      </w:r>
    </w:p>
    <w:p>
      <w:pPr>
        <w:pStyle w:val="Normal"/>
      </w:pPr>
      <w:r>
        <w:rPr>
          <w:color w:val="323232"/>
        </w:rPr>
        <w:t xml:space="preserve">————————</w:t>
      </w:r>
    </w:p>
    <w:p>
      <w:pPr>
        <w:pStyle w:val="Heading4"/>
      </w:pPr>
      <w:r>
        <w:t xml:space="preserve">Nonsurgical management of traumatic pneumoperitoneum in a cat.</w:t>
      </w:r>
    </w:p>
    <w:p/>
    <w:p>
      <w:pPr>
        <w:pStyle w:val="Normal"/>
      </w:pPr>
      <w:r>
        <w:rPr>
          <w:color w:val="323232"/>
        </w:rPr>
        <w:t xml:space="preserve">Helen S Philp and Gawain J C Hammond.</w:t>
      </w:r>
    </w:p>
    <w:p/>
    <w:p>
      <w:pPr>
        <w:pStyle w:val="Normal"/>
      </w:pPr>
      <w:r>
        <w:rPr>
          <w:color w:val="323232"/>
        </w:rPr>
        <w:t xml:space="preserve">OBJECTIVE:To describe the nonsurgical management of a cat with traumatic pneumoperitoneum.</w:t>
      </w:r>
    </w:p>
    <w:p/>
    <w:p>
      <w:pPr>
        <w:pStyle w:val="Normal"/>
      </w:pPr>
      <w:r>
        <w:rPr>
          <w:color w:val="323232"/>
        </w:rPr>
        <w:t xml:space="preserve">CASE SERIES SUMMARY:A 4-year-old cat was presented following vehicular polytrauma. Thoracic radiographs revealed 4 rib fractures, a scapular fracture, and pneumothorax. Abdominal ultrasound revealed a small volume of free abdominal fluid. Computed tomography showed a mild pneumoretroperitoneum and a pneumoperitoneum in the region of the porta hepatis. The cat was managed conservatively with close monitoring. Exploratory laparotomy was not pursued given patient stability and static serial imaging studies revealing no indications for surgical intervention. After 6 days, the pneumoperitoneum was no longer detectable.</w:t>
      </w:r>
    </w:p>
    <w:p/>
    <w:p>
      <w:pPr>
        <w:pStyle w:val="Normal"/>
      </w:pPr>
      <w:r>
        <w:rPr>
          <w:color w:val="323232"/>
        </w:rPr>
        <w:t xml:space="preserve">NEW OR UNIQUE INFORMATION PROVIDED:To the authors' knowledge, this is the first report of successful nonsurgical management of traumatic pneumoperitoneum in a cat.</w:t>
      </w:r>
    </w:p>
    <w:p/>
    <w:p>
      <w:pPr>
        <w:pStyle w:val="Normal"/>
      </w:pPr>
      <w:r>
        <w:rPr>
          <w:color w:val="323232"/>
        </w:rPr>
        <w:t xml:space="preserve">J Vet Emerg Crit Care (San Antonio), 2018 vol. 28 (6) pp. 591-595.</w:t>
      </w:r>
    </w:p>
    <w:p>
      <w:r>
        <w:rPr>
          <w:rStyle w:val="Hyperlink"/>
        </w:rPr>
        <w:fldChar w:fldCharType="begin"/>
      </w:r>
      <w:r>
        <w:rPr>
          <w:rStyle w:val="Hyperlink"/>
        </w:rPr>
        <w:instrText xml:space="preserve"> HYPERLINK "http://eutils.ncbi.nlm.nih.gov/entrez/eutils/elink.fcgi?dbfrom=pubmed&amp;id=30299567&amp;retmode=ref&amp;cmd=prlinks"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http://eutils.ncbi.nlm.nih.gov/entrez/eutils/elink.fcgi?dbfrom=pubmed&amp;id=30299567&amp;retmode=ref&amp;cmd=prlinks</w:t>
      </w:r>
      <w:r>
        <w:rPr>
          <w:rStyle w:val="Hyperlink"/>
        </w:rPr>
        <w:fldChar w:fldCharType="end"/>
      </w:r>
    </w:p>
    <w:p>
      <w:pPr>
        <w:pStyle w:val="Normal"/>
      </w:pPr>
      <w:r>
        <w:rPr>
          <w:color w:val="323232"/>
        </w:rPr>
        <w:t xml:space="preserve">————————</w:t>
      </w:r>
    </w:p>
    <w:p>
      <w:pPr>
        <w:pStyle w:val="Heading4"/>
      </w:pPr>
      <w:r>
        <w:t xml:space="preserve">Emphysematous gastritis in a cat.</w:t>
      </w:r>
    </w:p>
    <w:p/>
    <w:p>
      <w:pPr>
        <w:pStyle w:val="Normal"/>
      </w:pPr>
      <w:r>
        <w:rPr>
          <w:color w:val="323232"/>
        </w:rPr>
        <w:t xml:space="preserve">Kathryn E Rhue, Allison A Biddick, Kelly M Foltz, Robert C Cole, Joseph C Newton, and Lenore A Bacek.</w:t>
      </w:r>
    </w:p>
    <w:p/>
    <w:p>
      <w:pPr>
        <w:pStyle w:val="Normal"/>
      </w:pPr>
      <w:r>
        <w:rPr>
          <w:color w:val="323232"/>
        </w:rPr>
        <w:t xml:space="preserve">OBJECTIVE:To describe the presentation, diagnosis, treatment, and outcome of a case of emphysematous gastritis (EG) in a cat.</w:t>
      </w:r>
    </w:p>
    <w:p/>
    <w:p>
      <w:pPr>
        <w:pStyle w:val="Normal"/>
      </w:pPr>
      <w:r>
        <w:rPr>
          <w:color w:val="323232"/>
        </w:rPr>
        <w:t xml:space="preserve">CASE SERIES SUMMARY:A 15-year-old female neutered domestic short-hair cat presented for a 4-month history of weight loss and intermittent vomiting. Clinicopathologic and imaging findings suggested an underlying primary gastrointestinal (GI) disease, as well as possible hepatobiliary disease. Two days following exploratory laparotomy to obtain GI and liver biopsies, the patient became septic and intracellular bacteria were present on cytology of peritoneal effusion. On radiographs, the stomach was markedly distended with fluid and contained a thin gas opacity surrounding the stomach wall. The patient was taken back to surgery to identify a source of sepsis. At surgery, the patient's stomach was firm and emphysematous on palpation but grossly appeared normal. There were no signs of dehiscence of the previous biopsy sites. Stomach biopsy confirmed the presence of intralesional Gram-positive rods, consistent with microbial EG, and a light growth of a Clostridium sp. was cultured from abdominal fluid, consistent with clostridial peritonitis. During a third surgery for suspected septic peritonitis, a jejunostomy tube was placed for postgastric enteral feeding. The patient ultimately survived to discharge and is clinically stable 10 months later.</w:t>
      </w:r>
    </w:p>
    <w:p/>
    <w:p>
      <w:pPr>
        <w:pStyle w:val="Normal"/>
      </w:pPr>
      <w:r>
        <w:rPr>
          <w:color w:val="323232"/>
        </w:rPr>
        <w:t xml:space="preserve">NEW/UNIQUE INFORMATION PROVIDED:EG is a rare but potentially fatal clinical entity in the human and veterinary literature with only 1 other case reported in cats. Though clostridial organisms have been reported in EG in people, this is the first implication of EG secondary to a Clostridium sp. in the cat. This is also the first report to document the use of a jejunostomy tube for postgastric enteral nutrition to treat EG in the veterinary literature.</w:t>
      </w:r>
    </w:p>
    <w:p/>
    <w:p>
      <w:pPr>
        <w:pStyle w:val="Normal"/>
      </w:pPr>
      <w:r>
        <w:rPr>
          <w:color w:val="323232"/>
        </w:rPr>
        <w:t xml:space="preserve">J Vet Emerg Crit Care (San Antonio), 2018 vol. 28 (6) pp. 596-602.</w:t>
      </w:r>
    </w:p>
    <w:p>
      <w:r>
        <w:rPr>
          <w:rStyle w:val="Hyperlink"/>
        </w:rPr>
        <w:fldChar w:fldCharType="begin"/>
      </w:r>
      <w:r>
        <w:rPr>
          <w:rStyle w:val="Hyperlink"/>
        </w:rPr>
        <w:instrText xml:space="preserve"> HYPERLINK "http://eutils.ncbi.nlm.nih.gov/entrez/eutils/elink.fcgi?dbfrom=pubmed&amp;id=30302906&amp;retmode=ref&amp;cmd=prlinks"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http://eutils.ncbi.nlm.nih.gov/entrez/eutils/elink.fcgi?dbfrom=pubmed&amp;id=30302906&amp;retmode=ref&amp;cmd=prlinks</w:t>
      </w:r>
      <w:r>
        <w:rPr>
          <w:rStyle w:val="Hyperlink"/>
        </w:rPr>
        <w:fldChar w:fldCharType="end"/>
      </w:r>
    </w:p>
    <w:p>
      <w:pPr>
        <w:pStyle w:val="Normal"/>
      </w:pPr>
      <w:r>
        <w:rPr>
          <w:color w:val="323232"/>
        </w:rPr>
        <w:t xml:space="preserve">————————</w:t>
      </w:r>
    </w:p>
    <w:p>
      <w:pPr>
        <w:pStyle w:val="Heading4"/>
      </w:pPr>
      <w:r>
        <w:t xml:space="preserve">Ex vivo evaluation of the efficacy of canine fresh-frozen plasma thawed using a microwave plasma defroster.</w:t>
      </w:r>
    </w:p>
    <w:p/>
    <w:p>
      <w:pPr>
        <w:pStyle w:val="Normal"/>
      </w:pPr>
      <w:r>
        <w:rPr>
          <w:color w:val="323232"/>
        </w:rPr>
        <w:t xml:space="preserve">Matthew Alfred Turner, Louisa Jane Rahilly, and Shana Katheryn O'Marra.</w:t>
      </w:r>
    </w:p>
    <w:p/>
    <w:p>
      <w:pPr>
        <w:pStyle w:val="Normal"/>
      </w:pPr>
      <w:r>
        <w:rPr>
          <w:color w:val="323232"/>
        </w:rPr>
        <w:t xml:space="preserve">BACKGROUND:Commercial microwave plasma defrosters (MPDs) are used globally in human medicine to safely thaw fresh-frozen plasma (FFP), but this technology has never been tested in a veterinary setting. This study was undertaken to assess the efficacy of a commercial MPD for the rapid thawing of canine FFP.</w:t>
      </w:r>
    </w:p>
    <w:p/>
    <w:p>
      <w:pPr>
        <w:pStyle w:val="Normal"/>
      </w:pPr>
      <w:r>
        <w:rPr>
          <w:color w:val="323232"/>
        </w:rPr>
        <w:t xml:space="preserve">STUDY DESIGN:Twenty-three units (twelve 120 mL and eleven 240 mL) of canine FFP were thawed using an MPD. Time-to-thaw and pre- and postthawing temperatures of the units were measured. Clotting factor activities (factors II, V, VII, VIII, IX, X, and von Willebrand factor), fibrinogen concentrations, prothrombin times, and activated partial thromboplastin times were measured.</w:t>
      </w:r>
    </w:p>
    <w:p/>
    <w:p>
      <w:pPr>
        <w:pStyle w:val="Normal"/>
      </w:pPr>
      <w:r>
        <w:rPr>
          <w:color w:val="323232"/>
        </w:rPr>
        <w:t xml:space="preserve">KEY FINDINGS:The evaluated MPD effectively thaws plasma quickly for both 120 mL units (2.7 ± 0.08 min) and 240 mL units (3.9 ± 0.15 min) while maintaining clinically relevant activities of clotting factors and fibrinogen concentration. While some measurements of factor VIII activity fell below the reference interval, none fell below 40%. One 240 mL unit had von Willebrand factor activity &lt;70%. There was no evidence of excessively heated plasma to indicate a safety concern.</w:t>
      </w:r>
    </w:p>
    <w:p/>
    <w:p>
      <w:pPr>
        <w:pStyle w:val="Normal"/>
      </w:pPr>
      <w:r>
        <w:rPr>
          <w:color w:val="323232"/>
        </w:rPr>
        <w:t xml:space="preserve">SIGNIFICANCE:The MPD evaluated in this study provides a useful means to rapidly thaw canine FFP for correction of factor-deficient coagulopathy.</w:t>
      </w:r>
    </w:p>
    <w:p/>
    <w:p>
      <w:pPr>
        <w:pStyle w:val="Normal"/>
      </w:pPr>
      <w:r>
        <w:rPr>
          <w:color w:val="323232"/>
        </w:rPr>
        <w:t xml:space="preserve">J Vet Emerg Crit Care (San Antonio), 2018 vol. 28 (6) pp. 603-607.</w:t>
      </w:r>
    </w:p>
    <w:p>
      <w:r>
        <w:rPr>
          <w:rStyle w:val="Hyperlink"/>
        </w:rPr>
        <w:fldChar w:fldCharType="begin"/>
      </w:r>
      <w:r>
        <w:rPr>
          <w:rStyle w:val="Hyperlink"/>
        </w:rPr>
        <w:instrText xml:space="preserve"> HYPERLINK "http://eutils.ncbi.nlm.nih.gov/entrez/eutils/elink.fcgi?dbfrom=pubmed&amp;id=30299566&amp;retmode=ref&amp;cmd=prlinks"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http://eutils.ncbi.nlm.nih.gov/entrez/eutils/elink.fcgi?dbfrom=pubmed&amp;id=30299566&amp;retmode=ref&amp;cmd=prlinks</w:t>
      </w:r>
      <w:r>
        <w:rPr>
          <w:rStyle w:val="Hyperlink"/>
        </w:rPr>
        <w:fldChar w:fldCharType="end"/>
      </w:r>
    </w:p>
    <w:p>
      <w:pPr>
        <w:pStyle w:val="Normal"/>
      </w:pPr>
      <w:r>
        <w:rPr>
          <w:color w:val="323232"/>
        </w:rPr>
        <w:t xml:space="preserve">————————</w:t>
      </w: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Arial Unicode MS">
    <w:panose1 w:val="020B0604020202020204"/>
    <w:charset w:val="00"/>
    <w:family w:val="auto"/>
    <w:pitch w:val="variable"/>
    <w:sig w:usb0="F7FFAFFF" w:usb1="E9DFFFFF" w:usb2="0000003F" w:usb3="00000000" w:csb0="003F01FF" w:csb1="00000000"/>
  </w:font>
  <w:font w:name="Cambria">
    <w:panose1 w:val="02040503050406030204"/>
    <w:charset w:val="00"/>
    <w:family w:val="auto"/>
    <w:pitch w:val="variable"/>
    <w:sig w:usb0="E00002FF" w:usb1="400004FF" w:usb2="00000000" w:usb3="00000000" w:csb0="0000019F" w:csb1="00000000"/>
  </w:font>
  <w:font w:name="Calibri">
    <w:panose1 w:val="020F0502020204030204"/>
    <w:charset w:val="00"/>
    <w:family w:val="auto"/>
    <w:pitch w:val="variable"/>
    <w:sig w:usb0="E00002FF" w:usb1="4000ACFF" w:usb2="00000001" w:usb3="00000000" w:csb0="0000019F" w:csb1="0000000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mo="http://schemas.microsoft.com/office/mac/office/2008/main" xmlns:mv="urn:schemas-microsoft-com:vml" xmlns:w10="urn:schemas-microsoft-com:office:word" xmlns:w="http://schemas.openxmlformats.org/wordprocessingml/2006/main" xmlns:wne="http://schemas.microsoft.com/office/word/2006/wordml" xmlns:wp="http://schemas.openxmlformats.org/drawingml/2006/wordprocessingDrawing" xmlns:wp14="http://schemas.microsoft.com/office/word/2010/wordprocessingDrawing" xmlns:wpc="http://schemas.microsoft.com/office/word/2010/wordprocessingCanvas"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mc:Ignorable="w14 w15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0"/>
  <w:embedSystemFonts/>
  <w:activeWritingStyle w:appName="MSWord" w:lang="en-US" w:vendorID="64" w:dllVersion="131078" w:nlCheck="1" w:checkStyle="0"/>
  <w:defaultTabStop w:val="720"/>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7A55"/>
    <w:rsid w:val="00017BBC"/>
    <w:rsid w:val="000B0D42"/>
    <w:rsid w:val="00185B30"/>
    <w:rsid w:val="002B7A55"/>
    <w:rsid w:val="002D272D"/>
    <w:rsid w:val="0032417C"/>
    <w:rsid w:val="003A634A"/>
    <w:rsid w:val="003B458B"/>
    <w:rsid w:val="003F7B03"/>
    <w:rsid w:val="00403EF4"/>
    <w:rsid w:val="004A3A54"/>
    <w:rsid w:val="00573674"/>
    <w:rsid w:val="0057740A"/>
    <w:rsid w:val="00583CB3"/>
    <w:rsid w:val="00595F40"/>
    <w:rsid w:val="005F2A4D"/>
    <w:rsid w:val="006B37E3"/>
    <w:rsid w:val="006C3F6A"/>
    <w:rsid w:val="007C6E76"/>
    <w:rsid w:val="00813340"/>
    <w:rsid w:val="00837830"/>
    <w:rsid w:val="00933990"/>
    <w:rsid w:val="00B230FC"/>
    <w:rsid w:val="00B808CD"/>
    <w:rsid w:val="00BF5279"/>
    <w:rsid w:val="00F129A8"/>
    <w:rsid w:val="00F50F40"/>
    <w:rsid w:val="00FA1E7F"/>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D59961"/>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it-IT" w:bidi="ar-SA"/>
      </w:rPr>
    </w:rPrDefault>
    <w:pPrDefault/>
  </w:docDefaults>
  <w:latentStyles w:defLockedState="0" w:defUIPriority="0" w:defSemiHidden="0" w:defUnhideWhenUsed="0" w:defQFormat="0" w:count="380">
    <w:lsdException w:name="Normal" w:qFormat="1"/>
    <w:lsdException w:name="heading 1" w:qFormat="1"/>
    <w:lsdException w:name="heading 2" w:qFormat="1"/>
    <w:lsdException w:name="heading 3"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Hyperlink"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3674"/>
    <w:pPr>
      <w:suppressAutoHyphens/>
    </w:pPr>
    <w:rPr>
      <w:rFonts w:ascii="Arial" w:eastAsia="Arial Unicode MS" w:hAnsi="Arial" w:cs="Cambria"/>
      <w:lang w:eastAsia="en-US"/>
    </w:rPr>
  </w:style>
  <w:style w:type="paragraph" w:styleId="Heading1">
    <w:name w:val="heading 1"/>
    <w:basedOn w:val="Header"/>
    <w:next w:val="Header"/>
    <w:link w:val="Heading1Char"/>
    <w:qFormat/>
    <w:rsid w:val="007C6E76"/>
    <w:pPr>
      <w:keepNext/>
      <w:keepLines/>
      <w:spacing w:before="240"/>
      <w:outlineLvl w:val="0"/>
    </w:pPr>
    <w:rPr>
      <w:rFonts w:eastAsiaTheme="majorEastAsia" w:cstheme="majorBidi"/>
      <w:color w:val="323232"/>
      <w:sz w:val="42"/>
      <w:szCs w:val="32"/>
    </w:rPr>
  </w:style>
  <w:style w:type="paragraph" w:styleId="Heading2">
    <w:name w:val="heading 2"/>
    <w:basedOn w:val="Header"/>
    <w:link w:val="Heading2Char"/>
    <w:qFormat/>
    <w:rsid w:val="007C6E76"/>
    <w:pPr>
      <w:keepNext/>
      <w:keepLines/>
      <w:spacing w:before="40"/>
      <w:outlineLvl w:val="1"/>
    </w:pPr>
    <w:rPr>
      <w:rFonts w:eastAsiaTheme="majorEastAsia" w:cstheme="majorBidi"/>
      <w:color w:val="323232"/>
      <w:sz w:val="36"/>
      <w:szCs w:val="26"/>
    </w:rPr>
  </w:style>
  <w:style w:type="paragraph" w:styleId="Heading3">
    <w:name w:val="heading 3"/>
    <w:basedOn w:val="Header"/>
    <w:link w:val="Heading3Char"/>
    <w:qFormat/>
    <w:rsid w:val="007C6E76"/>
    <w:pPr>
      <w:keepNext/>
      <w:keepLines/>
      <w:spacing w:before="40"/>
      <w:outlineLvl w:val="2"/>
    </w:pPr>
    <w:rPr>
      <w:rFonts w:eastAsiaTheme="majorEastAsia" w:cstheme="majorBidi"/>
      <w:color w:val="323232"/>
      <w:sz w:val="30"/>
    </w:rPr>
  </w:style>
  <w:style w:type="paragraph" w:styleId="Heading4">
    <w:name w:val="heading 4"/>
    <w:basedOn w:val="Header"/>
    <w:link w:val="Heading4Char"/>
    <w:rsid w:val="007C6E76"/>
    <w:pPr>
      <w:keepNext/>
      <w:keepLines/>
      <w:spacing w:before="40"/>
      <w:outlineLvl w:val="3"/>
    </w:pPr>
    <w:rPr>
      <w:rFonts w:eastAsiaTheme="majorEastAsia" w:cstheme="majorBidi"/>
      <w:iCs/>
      <w:color w:val="323232"/>
      <w:sz w:val="28"/>
    </w:rPr>
  </w:style>
  <w:style w:type="paragraph" w:styleId="Heading5">
    <w:name w:val="heading 5"/>
    <w:basedOn w:val="Header"/>
    <w:link w:val="Heading5Char"/>
    <w:rsid w:val="007C6E76"/>
    <w:pPr>
      <w:keepNext/>
      <w:keepLines/>
      <w:spacing w:before="40"/>
      <w:outlineLvl w:val="4"/>
    </w:pPr>
    <w:rPr>
      <w:rFonts w:eastAsiaTheme="majorEastAsia" w:cstheme="majorBidi"/>
      <w:color w:val="323232"/>
      <w:sz w:val="28"/>
    </w:rPr>
  </w:style>
  <w:style w:type="paragraph" w:styleId="Heading6">
    <w:name w:val="heading 6"/>
    <w:basedOn w:val="Header"/>
    <w:link w:val="Heading6Char"/>
    <w:rsid w:val="007C6E76"/>
    <w:pPr>
      <w:keepNext/>
      <w:keepLines/>
      <w:spacing w:before="40"/>
      <w:outlineLvl w:val="5"/>
    </w:pPr>
    <w:rPr>
      <w:rFonts w:eastAsiaTheme="majorEastAsia" w:cstheme="majorBidi"/>
      <w:color w:val="323232"/>
      <w:sz w:val="28"/>
    </w:rPr>
  </w:style>
  <w:style w:type="paragraph" w:styleId="Heading7">
    <w:name w:val="heading 7"/>
    <w:basedOn w:val="Normal"/>
    <w:next w:val="Normal"/>
    <w:link w:val="Heading7Char"/>
    <w:unhideWhenUsed/>
    <w:rsid w:val="007C6E76"/>
    <w:pPr>
      <w:keepNext/>
      <w:keepLines/>
      <w:spacing w:before="40"/>
      <w:outlineLvl w:val="6"/>
    </w:pPr>
    <w:rPr>
      <w:rFonts w:eastAsiaTheme="majorEastAsia" w:cstheme="majorBidi"/>
      <w:iCs/>
      <w:color w:val="323232"/>
    </w:rPr>
  </w:style>
  <w:style w:type="paragraph" w:styleId="Heading8">
    <w:name w:val="heading 8"/>
    <w:basedOn w:val="Header"/>
    <w:next w:val="Heading7"/>
    <w:link w:val="Heading8Char"/>
    <w:semiHidden/>
    <w:unhideWhenUsed/>
    <w:rsid w:val="007C6E76"/>
    <w:pPr>
      <w:keepNext/>
      <w:keepLines/>
      <w:spacing w:before="40"/>
      <w:outlineLvl w:val="7"/>
    </w:pPr>
    <w:rPr>
      <w:rFonts w:eastAsiaTheme="majorEastAsia" w:cstheme="majorBidi"/>
      <w:color w:val="323232"/>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7C6E76"/>
    <w:rPr>
      <w:rFonts w:ascii="Arial" w:eastAsiaTheme="majorEastAsia" w:hAnsi="Arial" w:cstheme="majorBidi"/>
      <w:color w:val="323232"/>
      <w:sz w:val="30"/>
      <w:lang w:eastAsia="en-US"/>
    </w:rPr>
  </w:style>
  <w:style w:type="paragraph" w:customStyle="1" w:styleId="CodeBlock">
    <w:name w:val="Code Block"/>
    <w:basedOn w:val="Normal"/>
    <w:qFormat/>
    <w:rsid w:val="00813340"/>
    <w:rPr>
      <w:rFonts w:eastAsia="Arial" w:cs="Arial"/>
      <w:color w:val="424242"/>
    </w:rPr>
  </w:style>
  <w:style w:type="character" w:customStyle="1" w:styleId="Heading4Char">
    <w:name w:val="Heading 4 Char"/>
    <w:basedOn w:val="DefaultParagraphFont"/>
    <w:link w:val="Heading4"/>
    <w:rsid w:val="007C6E76"/>
    <w:rPr>
      <w:rFonts w:ascii="Arial" w:eastAsiaTheme="majorEastAsia" w:hAnsi="Arial" w:cstheme="majorBidi"/>
      <w:iCs/>
      <w:color w:val="323232"/>
      <w:sz w:val="28"/>
      <w:lang w:eastAsia="en-US"/>
    </w:rPr>
  </w:style>
  <w:style w:type="paragraph" w:customStyle="1" w:styleId="Index">
    <w:name w:val="Index"/>
    <w:basedOn w:val="Normal"/>
    <w:rsid w:val="002B7A55"/>
    <w:pPr>
      <w:suppressLineNumbers/>
    </w:pPr>
  </w:style>
  <w:style w:type="paragraph" w:styleId="Header">
    <w:name w:val="header"/>
    <w:basedOn w:val="Normal"/>
    <w:link w:val="HeaderChar"/>
    <w:semiHidden/>
    <w:unhideWhenUsed/>
    <w:rsid w:val="00017BBC"/>
    <w:pPr>
      <w:tabs>
        <w:tab w:val="center" w:pos="4819"/>
        <w:tab w:val="right" w:pos="9638"/>
      </w:tabs>
    </w:pPr>
  </w:style>
  <w:style w:type="character" w:customStyle="1" w:styleId="HeaderChar">
    <w:name w:val="Header Char"/>
    <w:basedOn w:val="DefaultParagraphFont"/>
    <w:link w:val="Header"/>
    <w:semiHidden/>
    <w:rsid w:val="00017BBC"/>
    <w:rPr>
      <w:rFonts w:ascii="Cambria" w:eastAsia="Arial Unicode MS" w:hAnsi="Cambria" w:cs="Cambria"/>
      <w:lang w:eastAsia="en-US"/>
    </w:rPr>
  </w:style>
  <w:style w:type="character" w:customStyle="1" w:styleId="Heading5Char">
    <w:name w:val="Heading 5 Char"/>
    <w:basedOn w:val="DefaultParagraphFont"/>
    <w:link w:val="Heading5"/>
    <w:rsid w:val="007C6E76"/>
    <w:rPr>
      <w:rFonts w:ascii="Arial" w:eastAsiaTheme="majorEastAsia" w:hAnsi="Arial" w:cstheme="majorBidi"/>
      <w:color w:val="323232"/>
      <w:sz w:val="28"/>
      <w:lang w:eastAsia="en-US"/>
    </w:rPr>
  </w:style>
  <w:style w:type="character" w:customStyle="1" w:styleId="Heading2Char">
    <w:name w:val="Heading 2 Char"/>
    <w:basedOn w:val="DefaultParagraphFont"/>
    <w:link w:val="Heading2"/>
    <w:rsid w:val="007C6E76"/>
    <w:rPr>
      <w:rFonts w:ascii="Arial" w:eastAsiaTheme="majorEastAsia" w:hAnsi="Arial" w:cstheme="majorBidi"/>
      <w:color w:val="323232"/>
      <w:sz w:val="36"/>
      <w:szCs w:val="26"/>
      <w:lang w:eastAsia="en-US"/>
    </w:rPr>
  </w:style>
  <w:style w:type="character" w:customStyle="1" w:styleId="Heading1Char">
    <w:name w:val="Heading 1 Char"/>
    <w:basedOn w:val="DefaultParagraphFont"/>
    <w:link w:val="Heading1"/>
    <w:rsid w:val="007C6E76"/>
    <w:rPr>
      <w:rFonts w:ascii="Arial" w:eastAsiaTheme="majorEastAsia" w:hAnsi="Arial" w:cstheme="majorBidi"/>
      <w:color w:val="323232"/>
      <w:sz w:val="42"/>
      <w:szCs w:val="32"/>
      <w:lang w:eastAsia="en-US"/>
    </w:rPr>
  </w:style>
  <w:style w:type="character" w:customStyle="1" w:styleId="Heading6Char">
    <w:name w:val="Heading 6 Char"/>
    <w:basedOn w:val="DefaultParagraphFont"/>
    <w:link w:val="Heading6"/>
    <w:rsid w:val="007C6E76"/>
    <w:rPr>
      <w:rFonts w:ascii="Arial" w:eastAsiaTheme="majorEastAsia" w:hAnsi="Arial" w:cstheme="majorBidi"/>
      <w:color w:val="323232"/>
      <w:sz w:val="28"/>
      <w:lang w:eastAsia="en-US"/>
    </w:rPr>
  </w:style>
  <w:style w:type="character" w:customStyle="1" w:styleId="Heading7Char">
    <w:name w:val="Heading 7 Char"/>
    <w:basedOn w:val="DefaultParagraphFont"/>
    <w:link w:val="Heading7"/>
    <w:rsid w:val="007C6E76"/>
    <w:rPr>
      <w:rFonts w:ascii="Arial" w:eastAsiaTheme="majorEastAsia" w:hAnsi="Arial" w:cstheme="majorBidi"/>
      <w:iCs/>
      <w:color w:val="323232"/>
      <w:lang w:eastAsia="en-US"/>
    </w:rPr>
  </w:style>
  <w:style w:type="character" w:customStyle="1" w:styleId="Heading8Char">
    <w:name w:val="Heading 8 Char"/>
    <w:basedOn w:val="DefaultParagraphFont"/>
    <w:link w:val="Heading8"/>
    <w:semiHidden/>
    <w:rsid w:val="007C6E76"/>
    <w:rPr>
      <w:rFonts w:ascii="Arial" w:eastAsiaTheme="majorEastAsia" w:hAnsi="Arial" w:cstheme="majorBidi"/>
      <w:color w:val="323232"/>
      <w:sz w:val="21"/>
      <w:szCs w:val="21"/>
      <w:lang w:eastAsia="en-US"/>
    </w:rPr>
  </w:style>
  <w:style w:type="character" w:styleId="Hyperlink">
    <w:name w:val="Hyperlink"/>
    <w:basedOn w:val="DefaultParagraphFont"/>
    <w:qFormat/>
    <w:rsid w:val="0057740A"/>
    <w:rPr>
      <w:color w:val="0000FF" w:themeColor="hyperlink"/>
      <w:u w:val="single"/>
    </w:rPr>
  </w:style>
  <w:style w:type="paragraph" w:styleId="ListParagraph">
    <w:name w:val="List Paragraph"/>
    <w:basedOn w:val="Normal"/>
    <w:rsid w:val="00B808CD"/>
    <w:pPr>
      <w:ind w:left="720"/>
      <w:contextualSpacing/>
    </w:pPr>
  </w:style>
  <w:style w:type="paragraph" w:styleId="Quote">
    <w:name w:val="Quote"/>
    <w:basedOn w:val="Normal"/>
    <w:next w:val="Normal"/>
    <w:link w:val="QuoteChar"/>
    <w:rsid w:val="00595F40"/>
    <w:pPr>
      <w:spacing w:before="200" w:after="160"/>
      <w:ind w:left="864" w:right="864"/>
      <w:jc w:val="center"/>
    </w:pPr>
    <w:rPr>
      <w:i/>
      <w:iCs/>
      <w:color w:val="404040" w:themeColor="text1" w:themeTint="BF"/>
    </w:rPr>
  </w:style>
  <w:style w:type="character" w:customStyle="1" w:styleId="QuoteChar">
    <w:name w:val="Quote Char"/>
    <w:basedOn w:val="DefaultParagraphFont"/>
    <w:link w:val="Quote"/>
    <w:rsid w:val="00595F40"/>
    <w:rPr>
      <w:rFonts w:ascii="Arial" w:eastAsia="Arial Unicode MS" w:hAnsi="Arial" w:cs="Cambria"/>
      <w:i/>
      <w:iCs/>
      <w:color w:val="404040" w:themeColor="text1" w:themeTint="BF"/>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doNotSaveAsSingleFile/>
</w:webSettings>
</file>

<file path=word/_rels/document.xml.rels><?xml version="1.0"?>
<Relationships xmlns="http://schemas.openxmlformats.org/package/2006/relationships"><Relationship Id="rId1" Type="http://schemas.openxmlformats.org/officeDocument/2006/relationships/styles" Target="styles.xml"/><Relationship Id="rId2" Type="http://schemas.openxmlformats.org/officeDocument/2006/relationships/settings" Target="settings.xml"/><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6" Type="http://schemas.openxmlformats.org/officeDocument/2006/relationships/numbering" Target="numbering.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295</Words>
  <Characters>1683</Characters>
  <Application>Microsoft Macintosh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1975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Microsoft Office User</cp:lastModifiedBy>
  <cp:revision>8</cp:revision>
  <dcterms:created xsi:type="dcterms:W3CDTF">2017-01-18T09:28:00Z</dcterms:created>
  <dcterms:modified xsi:type="dcterms:W3CDTF">2018-05-18T10:38:00Z</dcterms:modified>
</cp:coreProperties>
</file>