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Journal of Veterinary Emergency &amp; Critical Care 2017</w:t>
      </w:r>
    </w:p>
    <w:p>
      <w:pPr>
        <w:pStyle w:val="Heading2"/>
      </w:pPr>
      <w:r>
        <w:t xml:space="preserve">JVECC 2017; Vol 27; Issue 1-6</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Comparison of the effects of a balanced crystalloid-based and a saline-based tetrastarch solution on canine whole blood coagulation and platelet function.</w:t>
      </w:r>
    </w:p>
    <w:p/>
    <w:p>
      <w:pPr>
        <w:pStyle w:val="Normal"/>
      </w:pPr>
      <w:r>
        <w:rPr>
          <w:color w:val="323232"/>
        </w:rPr>
        <w:t xml:space="preserve">Annina Reuteler, Shannon Axiak-Flammer, Judith Howard, and Katja-Nicole Adamik.</w:t>
      </w:r>
    </w:p>
    <w:p/>
    <w:p>
      <w:pPr>
        <w:pStyle w:val="Normal"/>
      </w:pPr>
      <w:r>
        <w:rPr>
          <w:color w:val="323232"/>
        </w:rPr>
        <w:t xml:space="preserve">OBJECTIVE:To evaluate the effects of a 6% hydroxyethyl starch (130/0.42) solution in either a buffered, electrolyte-balanced (HES-BAL), or a saline (HES-SAL) carrier solution on canine platelet function and whole blood coagulation.</w:t>
      </w:r>
    </w:p>
    <w:p/>
    <w:p>
      <w:pPr>
        <w:pStyle w:val="Normal"/>
      </w:pPr>
      <w:r>
        <w:rPr>
          <w:color w:val="323232"/>
        </w:rPr>
        <w:t xml:space="preserve">DESIGN:Prospective, randomized study.</w:t>
      </w:r>
    </w:p>
    <w:p/>
    <w:p>
      <w:pPr>
        <w:pStyle w:val="Normal"/>
      </w:pPr>
      <w:r>
        <w:rPr>
          <w:color w:val="323232"/>
        </w:rPr>
        <w:t xml:space="preserve">SETTING:University teaching hospital.</w:t>
      </w:r>
    </w:p>
    <w:p/>
    <w:p>
      <w:pPr>
        <w:pStyle w:val="Normal"/>
      </w:pPr>
      <w:r>
        <w:rPr>
          <w:color w:val="323232"/>
        </w:rPr>
        <w:t xml:space="preserve">ANIMALS:Thirty-seven client-owned dogs undergoing general anesthesia for arthroscopy or imaging studies.</w:t>
      </w:r>
    </w:p>
    <w:p/>
    <w:p>
      <w:pPr>
        <w:pStyle w:val="Normal"/>
      </w:pPr>
      <w:r>
        <w:rPr>
          <w:color w:val="323232"/>
        </w:rPr>
        <w:t xml:space="preserve">INTERVENTIONS:Dogs received a 15 mL/kg intravenous bolus of HES-SAL (n = 13), HES-BAL (n = 14), or a modified Ringer's solution (n = 10) over 30-40 minutes. Coagulation was analyzed using a Platelet Function Analyzer-100 (closure time [CtPFA ]), and whole blood thromboelastometry (ROTEM) with extrinsically (ex-tem and fib-tem) and intrinsically (in-tem) activated assays, which assessed clotting time (CT), clot formation time (CFT), maximal clot firmness (MCF), and lysis index (LI). Coagulation samples were assayed prior to fluid administration (T0), and 5 minutes (T1), and 3 hours (T2) following fluid bolus administration, respectively.</w:t>
      </w:r>
    </w:p>
    <w:p/>
    <w:p>
      <w:pPr>
        <w:pStyle w:val="Normal"/>
      </w:pPr>
      <w:r>
        <w:rPr>
          <w:color w:val="323232"/>
        </w:rPr>
        <w:t xml:space="preserve">RESULTS:Both HES solutions resulted in impaired platelet function as indicated by a significant prolongation of CtPFA at T1 as compared to T0, but which resolved by T2. An IV bolus of Ringer's solution did not alter platelet function. In both HES groups, whole blood coagulation was significantly impaired at T1 as indicated by a significant increase in in-tem CFT, and a significant decrease in ex-tem, in-tem, and fib-tem MCF compared to T0. Furthermore, a significant increase in ex-tem CFT at T1 compared to T0 was found in the HES-SAL group. With the exception of in-tem MCF after HES-BAL, these effects were not present at T2. No significant differences were found in CtPFA or any ROTEM variable at any time point between HES-SAL and HES-BAL.</w:t>
      </w:r>
    </w:p>
    <w:p/>
    <w:p>
      <w:pPr>
        <w:pStyle w:val="Normal"/>
      </w:pPr>
      <w:r>
        <w:rPr>
          <w:color w:val="323232"/>
        </w:rPr>
        <w:t xml:space="preserve">CONCLUSION:Administration of a single bolus of 15 mL/kg 6% HES 130/0.42 results in significant but short-lived impairment of canine platelet function and whole blood coagulation, regardless of carrier solution.</w:t>
      </w:r>
    </w:p>
    <w:p/>
    <w:p>
      <w:pPr>
        <w:pStyle w:val="Normal"/>
      </w:pPr>
      <w:r>
        <w:rPr>
          <w:color w:val="323232"/>
        </w:rPr>
        <w:t xml:space="preserve">J Vet Emerg Crit Care (San Antonio), 2017 vol. 27 (1) pp. 23-34.</w:t>
      </w:r>
    </w:p>
    <w:p>
      <w:r>
        <w:rPr>
          <w:rStyle w:val="Hyperlink"/>
        </w:rPr>
        <w:fldChar w:fldCharType="begin"/>
      </w:r>
      <w:r>
        <w:rPr>
          <w:rStyle w:val="Hyperlink"/>
        </w:rPr>
        <w:instrText xml:space="preserve"> HYPERLINK "http://eutils.ncbi.nlm.nih.gov/entrez/eutils/elink.fcgi?dbfrom=pubmed&amp;id=27926787&amp;retmode=ref&amp;cmd=prlinks"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http://eutils.ncbi.nlm.nih.gov/entrez/eutils/elink.fcgi?dbfrom=pubmed&amp;id=27926787&amp;retmode=ref&amp;cmd=prlinks</w:t>
      </w:r>
      <w:r>
        <w:rPr>
          <w:rStyle w:val="Hyperlink"/>
        </w:rPr>
        <w:fldChar w:fldCharType="end"/>
      </w:r>
    </w:p>
    <w:p>
      <w:pPr>
        <w:pStyle w:val="Normal"/>
      </w:pPr>
      <w:r>
        <w:rPr>
          <w:color w:val="323232"/>
        </w:rPr>
        <w:t xml:space="preserve">————————</w:t>
      </w:r>
    </w:p>
    <w:p>
      <w:pPr>
        <w:pStyle w:val="Heading4"/>
      </w:pPr>
      <w:r>
        <w:t xml:space="preserve">Evaluation of acute traumatic coagulopathy in dogs and cats following blunt force trauma.</w:t>
      </w:r>
    </w:p>
    <w:p/>
    <w:p>
      <w:pPr>
        <w:pStyle w:val="Normal"/>
      </w:pPr>
      <w:r>
        <w:rPr>
          <w:color w:val="323232"/>
        </w:rPr>
        <w:t xml:space="preserve">Acute traumatic coagulopathy in dogs and cats.</w:t>
      </w:r>
    </w:p>
    <w:p>
      <w:pPr>
        <w:pStyle w:val="Normal"/>
      </w:pPr>
      <w:r>
        <w:rPr>
          <w:color w:val="323232"/>
        </w:rPr>
        <w:t xml:space="preserve">Dara L Gottlieb, Jennifer Prittie, Yekaterina Buriko, and Kenneth E Lamb.</w:t>
      </w:r>
    </w:p>
    <w:p/>
    <w:p>
      <w:pPr>
        <w:pStyle w:val="Normal"/>
      </w:pPr>
      <w:r>
        <w:rPr>
          <w:color w:val="323232"/>
        </w:rPr>
        <w:t xml:space="preserve">OBJECTIVE:To evaluate the presence of acute traumatic coagulopathy (ATC) in dogs and cats following blunt trauma and to relate coagulation variables with injury severity and admission variables.</w:t>
      </w:r>
    </w:p>
    <w:p/>
    <w:p>
      <w:pPr>
        <w:pStyle w:val="Normal"/>
      </w:pPr>
      <w:r>
        <w:rPr>
          <w:color w:val="323232"/>
        </w:rPr>
        <w:t xml:space="preserve">DESIGN:Prospective, single center, observational study from 2013 to 2014.</w:t>
      </w:r>
    </w:p>
    <w:p/>
    <w:p>
      <w:pPr>
        <w:pStyle w:val="Normal"/>
      </w:pPr>
      <w:r>
        <w:rPr>
          <w:color w:val="323232"/>
        </w:rPr>
        <w:t xml:space="preserve">SETTING:Urban private referral hospital.</w:t>
      </w:r>
    </w:p>
    <w:p/>
    <w:p>
      <w:pPr>
        <w:pStyle w:val="Normal"/>
      </w:pPr>
      <w:r>
        <w:rPr>
          <w:color w:val="323232"/>
        </w:rPr>
        <w:t xml:space="preserve">ANIMALS:Eighteen and 19 client-owned dogs and cats, respectively, sustaining blunt trauma within 8 hours of presentation without prior resuscitation; 17 healthy staff and client-owned control cats METHODS: Blood samples were collected upon presentation for measurement of blood gas, lactate, blood glucose, ionized calcium, PCV, total plasma protein, prothrombin time (PT), activated partial thromboplastin time (aPTT), fibrinogen, platelet count, and thromboelastography.</w:t>
      </w:r>
    </w:p>
    <w:p/>
    <w:p>
      <w:pPr>
        <w:pStyle w:val="Normal"/>
      </w:pPr>
      <w:r>
        <w:rPr>
          <w:color w:val="323232"/>
        </w:rPr>
        <w:t xml:space="preserve">RESULTS:ATC was diagnosed in 1 dog and 1 cat on presentation. Hypercoagulability was documented in 4/18 (22%) of dogs and 1/19 (5.3%) of cats. In dogs, prolongation of PT (P = 0.018), aPTT (P = 0.013) and decrease in maximum amplitude (MA) (P = 0.027) were significantly associated with injury severity as measured by the animal trauma triage (ATT) score. In cats, PT, aPTT, MA, and clot strength (G) were not associated with injury severity. In cats, increasing blood glucose and lactate were significantly associated with decreasing MA (P = 0.041, P = 0.031) and G (P = 0.014, P = 0.03). In both dogs (P = 0.002) and cats (P = 0.007), fibrinogen concentration was significantly correlated with G.</w:t>
      </w:r>
    </w:p>
    <w:p/>
    <w:p>
      <w:pPr>
        <w:pStyle w:val="Normal"/>
      </w:pPr>
      <w:r>
        <w:rPr>
          <w:color w:val="323232"/>
        </w:rPr>
        <w:t xml:space="preserve">CONCLUSIONS:ATC is rare in minimally injured dogs and cats following blunt trauma. In dogs, ATT score is significantly associated with PT, aPTT, and MA, suggesting an increased risk of ATC in more severely injured animals. ATT score does not appear to predict coagulopathies in cats. Future studies including more severely injured animals are warranted to better characterize coagulation changes associated with blunt trauma.</w:t>
      </w:r>
    </w:p>
    <w:p/>
    <w:p>
      <w:pPr>
        <w:pStyle w:val="Normal"/>
      </w:pPr>
      <w:r>
        <w:rPr>
          <w:color w:val="323232"/>
        </w:rPr>
        <w:t xml:space="preserve">J Vet Emerg Crit Care (San Antonio), 2017 vol. 27 (1) pp. 35-43.</w:t>
      </w:r>
    </w:p>
    <w:p>
      <w:r>
        <w:rPr>
          <w:rStyle w:val="Hyperlink"/>
        </w:rPr>
        <w:fldChar w:fldCharType="begin"/>
      </w:r>
      <w:r>
        <w:rPr>
          <w:rStyle w:val="Hyperlink"/>
        </w:rPr>
        <w:instrText xml:space="preserve"> HYPERLINK "http://doi.wiley.com/10.1111/vec.12525" </w:instrText>
      </w:r>
      <w:r>
        <w:rPr>
          <w:rStyle w:val="Hyperlink"/>
        </w:rPr>
      </w:r>
      <w:r>
        <w:rPr>
          <w:rStyle w:val="Hyperlink"/>
        </w:rPr>
        <w:fldChar w:fldCharType="separate"/>
      </w:r>
      <w:pPr>
        <w:pStyle w:val="Normal"/>
      </w:pPr>
      <w:r>
        <w:rPr>
          <w:rStyle w:val="Hyperlink"/>
        </w:rPr>
        <w:t xml:space="preserve">http://doi.wiley.com/10.1111/vec.12525</w:t>
      </w:r>
      <w:r>
        <w:rPr>
          <w:rStyle w:val="Hyperlink"/>
        </w:rPr>
        <w:fldChar w:fldCharType="end"/>
      </w:r>
    </w:p>
    <w:p>
      <w:pPr>
        <w:pStyle w:val="Normal"/>
      </w:pPr>
      <w:r>
        <w:rPr>
          <w:color w:val="323232"/>
        </w:rPr>
        <w:t xml:space="preserve">————————</w:t>
      </w:r>
    </w:p>
    <w:p>
      <w:pPr>
        <w:pStyle w:val="Heading4"/>
      </w:pPr>
      <w:r>
        <w:t xml:space="preserve">An in vitro comparison of the effects of voluven (6% hydroxyethyl starch 130/0.4) and hespan (6% hydroxyethyl starch 670/0.75) on measures of blood coagulation in canine blood.</w:t>
      </w:r>
    </w:p>
    <w:p/>
    <w:p>
      <w:pPr>
        <w:pStyle w:val="Normal"/>
      </w:pPr>
      <w:r>
        <w:rPr>
          <w:color w:val="323232"/>
        </w:rPr>
        <w:t xml:space="preserve">Michelle Griego-Valles, Yekaterina Buriko, Jennifer E Prittie, and Philip R Fox.</w:t>
      </w:r>
    </w:p>
    <w:p/>
    <w:p>
      <w:pPr>
        <w:pStyle w:val="Normal"/>
      </w:pPr>
      <w:r>
        <w:rPr>
          <w:color w:val="323232"/>
        </w:rPr>
        <w:t xml:space="preserve">OBJECTIVE:To assess primary and secondary hemostasis following in vitro dilution of canine whole blood (WB) with hydroxyethyl starch (HES) 130/0.4 and HES 670/0.75.</w:t>
      </w:r>
    </w:p>
    <w:p/>
    <w:p>
      <w:pPr>
        <w:pStyle w:val="Normal"/>
      </w:pPr>
      <w:r>
        <w:rPr>
          <w:color w:val="323232"/>
        </w:rPr>
        <w:t xml:space="preserve">DESIGN:In vitro experimental study.</w:t>
      </w:r>
    </w:p>
    <w:p/>
    <w:p>
      <w:pPr>
        <w:pStyle w:val="Normal"/>
      </w:pPr>
      <w:r>
        <w:rPr>
          <w:color w:val="323232"/>
        </w:rPr>
        <w:t xml:space="preserve">SETTING:Private practice, teaching hospital.</w:t>
      </w:r>
    </w:p>
    <w:p/>
    <w:p>
      <w:pPr>
        <w:pStyle w:val="Normal"/>
      </w:pPr>
      <w:r>
        <w:rPr>
          <w:color w:val="323232"/>
        </w:rPr>
        <w:t xml:space="preserve">ANIMALS:Twenty-five healthy dogs.</w:t>
      </w:r>
    </w:p>
    <w:p/>
    <w:p>
      <w:pPr>
        <w:pStyle w:val="Normal"/>
      </w:pPr>
      <w:r>
        <w:rPr>
          <w:color w:val="323232"/>
        </w:rPr>
        <w:t xml:space="preserve">INTERVENTIONS:Each dog underwent venipuncture and 18 mL of venous blood was sampled once.</w:t>
      </w:r>
    </w:p>
    <w:p/>
    <w:p>
      <w:pPr>
        <w:pStyle w:val="Normal"/>
      </w:pPr>
      <w:r>
        <w:rPr>
          <w:color w:val="323232"/>
        </w:rPr>
        <w:t xml:space="preserve">MEASUREMENTS AND MAIN RESULTS:Collected blood was separated in 4 aliquots. Aliquot A served as baseline sample. The remaining tubes of WB were diluted with 0.9% saline, HES 670/0.75 and HES 130/0.4 at a ratio of 1:5.5. Dilutional effects were evaluated using prothrombin time (PT), activated partial thromboplastin time (aPTT), packed cell volume (PCV), thromboelastography (TEG), and platelet closure time (Ct), which was measured using a platelet function analyzer (PFA). Clot strength (ie, G value) was calculated from measured TEG values. Significant increases in PT (P &lt; 0.05) and aPTT (P &lt; 0.05) were documented following WB dilution with saline. Dilution of WB with HES 670/0.75 and HES 130/0.4 resulted in significant hypocoagulable changes in K, MA and G (P &lt; 0.05) compared to baseline and saline. When comparing saline to HES 670/0.75, both R and K values were significantly increased (P &lt; 0.05). K value was significantly increased (P &lt; 0.05) when comparing baseline to HES 130/0.4 and HES 670/0.75. Ct (P &lt; 0.05) was significantly prolonged after WB dilution with HES solutions but not after saline.</w:t>
      </w:r>
    </w:p>
    <w:p/>
    <w:p>
      <w:pPr>
        <w:pStyle w:val="Normal"/>
      </w:pPr>
      <w:r>
        <w:rPr>
          <w:color w:val="323232"/>
        </w:rPr>
        <w:t xml:space="preserve">CONCLUSIONS:Dilution of WB with HES 670/0.75 and HES 130/0.4 resulted in changes in primary and secondary hemostasis. Although there were small differences between saline and HES 670/0.75, no differences between HES solutions were evident in this small study. This may suggest there would be minimal increases in bleeding risk when either solution is administered to dogs at low doses. Clinical relevance of our findings requires further investigation.</w:t>
      </w:r>
    </w:p>
    <w:p/>
    <w:p>
      <w:pPr>
        <w:pStyle w:val="Normal"/>
      </w:pPr>
      <w:r>
        <w:rPr>
          <w:color w:val="323232"/>
        </w:rPr>
        <w:t xml:space="preserve">J Vet Emerg Crit Care (San Antonio), 2017 vol. 27 (1) pp. 44-51.</w:t>
      </w:r>
    </w:p>
    <w:p>
      <w:r>
        <w:rPr>
          <w:rStyle w:val="Hyperlink"/>
        </w:rPr>
        <w:fldChar w:fldCharType="begin"/>
      </w:r>
      <w:r>
        <w:rPr>
          <w:rStyle w:val="Hyperlink"/>
        </w:rPr>
        <w:instrText xml:space="preserve"> HYPERLINK "http://eutils.ncbi.nlm.nih.gov/entrez/eutils/elink.fcgi?dbfrom=pubmed&amp;id=27712013&amp;retmode=ref&amp;cmd=prlinks"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http://eutils.ncbi.nlm.nih.gov/entrez/eutils/elink.fcgi?dbfrom=pubmed&amp;id=27712013&amp;retmode=ref&amp;cmd=prlinks</w:t>
      </w:r>
      <w:r>
        <w:rPr>
          <w:rStyle w:val="Hyperlink"/>
        </w:rPr>
        <w:fldChar w:fldCharType="end"/>
      </w:r>
    </w:p>
    <w:p>
      <w:pPr>
        <w:pStyle w:val="Normal"/>
      </w:pPr>
      <w:r>
        <w:rPr>
          <w:color w:val="323232"/>
        </w:rPr>
        <w:t xml:space="preserve">————————</w:t>
      </w:r>
    </w:p>
    <w:p>
      <w:pPr>
        <w:pStyle w:val="Heading4"/>
      </w:pPr>
      <w:r>
        <w:t xml:space="preserve">Evaluation of an outpatient protocol in the treatment of canine parvoviral enteritis.</w:t>
      </w:r>
    </w:p>
    <w:p/>
    <w:p>
      <w:pPr>
        <w:pStyle w:val="Normal"/>
      </w:pPr>
      <w:r>
        <w:rPr>
          <w:color w:val="323232"/>
        </w:rPr>
        <w:t xml:space="preserve">Outpatient treatment protocol in parvoviral enteritis.</w:t>
      </w:r>
    </w:p>
    <w:p>
      <w:pPr>
        <w:pStyle w:val="Normal"/>
      </w:pPr>
      <w:r>
        <w:rPr>
          <w:color w:val="323232"/>
        </w:rPr>
        <w:t xml:space="preserve">Emilee C Venn, Karolina Preisner, Pedro L Boscan, David C Twedt, and Lauren A Sullivan.</w:t>
      </w:r>
    </w:p>
    <w:p/>
    <w:p>
      <w:pPr>
        <w:pStyle w:val="Normal"/>
      </w:pPr>
      <w:r>
        <w:rPr>
          <w:color w:val="323232"/>
        </w:rPr>
        <w:t xml:space="preserve">OBJECTIVE:To compare 2 treatment protocols (standard in-hospital versus modified outpatient) in affecting the duration of treatment or survival of dogs with parvoviral enteritis.</w:t>
      </w:r>
    </w:p>
    <w:p/>
    <w:p>
      <w:pPr>
        <w:pStyle w:val="Normal"/>
      </w:pPr>
      <w:r>
        <w:rPr>
          <w:color w:val="323232"/>
        </w:rPr>
        <w:t xml:space="preserve">DESIGN:Prospective, randomized study.</w:t>
      </w:r>
    </w:p>
    <w:p/>
    <w:p>
      <w:pPr>
        <w:pStyle w:val="Normal"/>
      </w:pPr>
      <w:r>
        <w:rPr>
          <w:color w:val="323232"/>
        </w:rPr>
        <w:t xml:space="preserve">SETTING:University teaching hospital.</w:t>
      </w:r>
    </w:p>
    <w:p/>
    <w:p>
      <w:pPr>
        <w:pStyle w:val="Normal"/>
      </w:pPr>
      <w:r>
        <w:rPr>
          <w:color w:val="323232"/>
        </w:rPr>
        <w:t xml:space="preserve">ANIMALS:Client-owned dogs with naturally acquired parvovirus were randomized to receive either an inpatient (n = 20) or outpatient (n = 20) treatment protocol.</w:t>
      </w:r>
    </w:p>
    <w:p/>
    <w:p>
      <w:pPr>
        <w:pStyle w:val="Normal"/>
      </w:pPr>
      <w:r>
        <w:rPr>
          <w:color w:val="323232"/>
        </w:rPr>
        <w:t xml:space="preserve">INTERVENTIONS:Both groups received intravenous (IV) fluid resuscitation and correction of hypoglycemia at hospital admission. Following stabilization, basic inpatient interventions included administration of IV fluids, administration of cefoxitin (22 mg/ kg IV q 8 h), and maropitant (1 mg/ kg IV q 24 h). Basic outpatient interventions (provided in-hospital) included administration of subcutaneous (SC) fluid (30 mL/ kg q 6 h), administration of maropitant (1 mg/ kg SC q 24 h) and cefovecin (8 mg/ kg SC once). Using daily electrolyte and glucose evaluations, dextrose and potassium supplementation was provided intravenously (inpatients) or orally (outpatients) as indicated. Rescue criteria were used in both groups for analgesia and nausea. All dogs were syringe fed a commercial canine convalescence diet (1 mL/ kg PO q 6 h) until voluntary appetite returned.</w:t>
      </w:r>
    </w:p>
    <w:p/>
    <w:p>
      <w:pPr>
        <w:pStyle w:val="Normal"/>
      </w:pPr>
      <w:r>
        <w:rPr>
          <w:color w:val="323232"/>
        </w:rPr>
        <w:t xml:space="preserve">MEASUREMENTS AND MAIN RESULTS:Protocol success, defined as survival to hospital discharge, was 90% (18/20) for the inpatient group compared to 80% (16/20) for the outpatient group (P = 0.66). There was no difference detected in duration of hospitalization for inpatient dogs (4.6 ± 2 days) versus outpatient dogs (3.8 ± 1.8 days, P = 0.20). Metabolic disturbances were frequent in the outpatient group, with 50% of dogs requiring dextrose supplementation and 60% of dogs requiring potassium supplementation.</w:t>
      </w:r>
    </w:p>
    <w:p/>
    <w:p>
      <w:pPr>
        <w:pStyle w:val="Normal"/>
      </w:pPr>
      <w:r>
        <w:rPr>
          <w:color w:val="323232"/>
        </w:rPr>
        <w:t xml:space="preserve">CONCLUSIONS:An outpatient protocol may be a reasonable alternative for dogs that cannot receive standard in-hospital treatment for parvoviral enteritis. Diligent supportive care and monitoring are still required to optimize treatment of dogs with parvoviral enteritis in an outpatient setting.</w:t>
      </w:r>
    </w:p>
    <w:p/>
    <w:p>
      <w:pPr>
        <w:pStyle w:val="Normal"/>
      </w:pPr>
      <w:r>
        <w:rPr>
          <w:color w:val="323232"/>
        </w:rPr>
        <w:t xml:space="preserve">J Vet Emerg Crit Care (San Antonio), 2017 vol. 27 (1) pp. 52-65.</w:t>
      </w:r>
    </w:p>
    <w:p>
      <w:r>
        <w:rPr>
          <w:rStyle w:val="Hyperlink"/>
        </w:rPr>
        <w:fldChar w:fldCharType="begin"/>
      </w:r>
      <w:r>
        <w:rPr>
          <w:rStyle w:val="Hyperlink"/>
        </w:rPr>
        <w:instrText xml:space="preserve"> HYPERLINK "http://doi.wiley.com/10.1111/vec.12561" </w:instrText>
      </w:r>
      <w:r>
        <w:rPr>
          <w:rStyle w:val="Hyperlink"/>
        </w:rPr>
      </w:r>
      <w:r>
        <w:rPr>
          <w:rStyle w:val="Hyperlink"/>
        </w:rPr>
        <w:fldChar w:fldCharType="separate"/>
      </w:r>
      <w:pPr>
        <w:pStyle w:val="Normal"/>
      </w:pPr>
      <w:r>
        <w:rPr>
          <w:rStyle w:val="Hyperlink"/>
        </w:rPr>
        <w:t xml:space="preserve">http://doi.wiley.com/10.1111/vec.12561</w:t>
      </w:r>
      <w:r>
        <w:rPr>
          <w:rStyle w:val="Hyperlink"/>
        </w:rPr>
        <w:fldChar w:fldCharType="end"/>
      </w:r>
    </w:p>
    <w:p>
      <w:pPr>
        <w:pStyle w:val="Normal"/>
      </w:pPr>
      <w:r>
        <w:rPr>
          <w:color w:val="323232"/>
        </w:rPr>
        <w:t xml:space="preserve">————————</w:t>
      </w:r>
    </w:p>
    <w:p>
      <w:pPr>
        <w:pStyle w:val="Heading4"/>
      </w:pPr>
      <w:r>
        <w:t xml:space="preserve">Evaluation of the Lactate Plus monitor for plasma lactate concentration measurement in dogs.</w:t>
      </w:r>
    </w:p>
    <w:p/>
    <w:p>
      <w:pPr>
        <w:pStyle w:val="Normal"/>
      </w:pPr>
      <w:r>
        <w:rPr>
          <w:color w:val="323232"/>
        </w:rPr>
        <w:t xml:space="preserve">Carolyn J Nye, Sarah E Musulin, Rita M Hanel, and Christopher L Mariani.</w:t>
      </w:r>
    </w:p>
    <w:p/>
    <w:p>
      <w:pPr>
        <w:pStyle w:val="Normal"/>
      </w:pPr>
      <w:r>
        <w:rPr>
          <w:color w:val="323232"/>
        </w:rPr>
        <w:t xml:space="preserve">OBJECTIVE:To compare the Lactate Plus handheld monitor to a reference blood gas analyzer for determining plasma lactate concentrations in canine whole blood.</w:t>
      </w:r>
    </w:p>
    <w:p/>
    <w:p>
      <w:pPr>
        <w:pStyle w:val="Normal"/>
      </w:pPr>
      <w:r>
        <w:rPr>
          <w:color w:val="323232"/>
        </w:rPr>
        <w:t xml:space="preserve">DESIGN:Prospective observational study.</w:t>
      </w:r>
    </w:p>
    <w:p/>
    <w:p>
      <w:pPr>
        <w:pStyle w:val="Normal"/>
      </w:pPr>
      <w:r>
        <w:rPr>
          <w:color w:val="323232"/>
        </w:rPr>
        <w:t xml:space="preserve">SETTING:University teaching hospital.</w:t>
      </w:r>
    </w:p>
    <w:p/>
    <w:p>
      <w:pPr>
        <w:pStyle w:val="Normal"/>
      </w:pPr>
      <w:r>
        <w:rPr>
          <w:color w:val="323232"/>
        </w:rPr>
        <w:t xml:space="preserve">ANIMALS:Ninety-four dogs hospitalized or admitted through the emergency service provided 125 blood samples. Only dogs that required a venous or arterial blood gas evaluation as a part of their diagnostic assessment or ongoing management were included.</w:t>
      </w:r>
    </w:p>
    <w:p/>
    <w:p>
      <w:pPr>
        <w:pStyle w:val="Normal"/>
      </w:pPr>
      <w:r>
        <w:rPr>
          <w:color w:val="323232"/>
        </w:rPr>
        <w:t xml:space="preserve">INTERVENTIONS:None.</w:t>
      </w:r>
    </w:p>
    <w:p/>
    <w:p>
      <w:pPr>
        <w:pStyle w:val="Normal"/>
      </w:pPr>
      <w:r>
        <w:rPr>
          <w:color w:val="323232"/>
        </w:rPr>
        <w:t xml:space="preserve">MEASUREMENTS AND MAIN RESULTS:Canine whole blood samples were assayed for plasma lactate concentration with a reference blood gas analyzer and the Lactate Plus monitor. Correlation and Bland-Altman analyses were used to compare results between the 2 methods. A subset of blood samples was repeatedly analyzed with the Lactate Plus to assess monitor precision. Plasma lactate measurements from the Lactate Plus monitor showed excellent correlation with those from the reference analyzer (ρ = 0.98, P &lt; 0.0001). Bland-Altman analysis revealed a small bias (0.1296). Agreement between the 2 methods was less consistent for lactate concentrations &gt;5 mmol/L. The coefficient of variation ranged from 0-26.2% (median, 3.7%) and was &lt;15% for 50/53 samples.</w:t>
      </w:r>
    </w:p>
    <w:p/>
    <w:p>
      <w:pPr>
        <w:pStyle w:val="Normal"/>
      </w:pPr>
      <w:r>
        <w:rPr>
          <w:color w:val="323232"/>
        </w:rPr>
        <w:t xml:space="preserve">CONCLUSIONS:The Lactate Plus provides a fast and affordable method to measure plasma lactate concentration in dogs. Results showed excellent agreement with the reference analyzer and precision of the instrument was acceptable.</w:t>
      </w:r>
    </w:p>
    <w:p/>
    <w:p>
      <w:pPr>
        <w:pStyle w:val="Normal"/>
      </w:pPr>
      <w:r>
        <w:rPr>
          <w:color w:val="323232"/>
        </w:rPr>
        <w:t xml:space="preserve">J Vet Emerg Crit Care (San Antonio), 2017 vol. 27 (1) pp. 66-70.</w:t>
      </w:r>
    </w:p>
    <w:p>
      <w:r>
        <w:rPr>
          <w:rStyle w:val="Hyperlink"/>
        </w:rPr>
        <w:fldChar w:fldCharType="begin"/>
      </w:r>
      <w:r>
        <w:rPr>
          <w:rStyle w:val="Hyperlink"/>
        </w:rPr>
        <w:instrText xml:space="preserve"> HYPERLINK "http://eutils.ncbi.nlm.nih.gov/entrez/eutils/elink.fcgi?dbfrom=pubmed&amp;id=27973760&amp;retmode=ref&amp;cmd=prlinks"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http://eutils.ncbi.nlm.nih.gov/entrez/eutils/elink.fcgi?dbfrom=pubmed&amp;id=27973760&amp;retmode=ref&amp;cmd=prlinks</w:t>
      </w:r>
      <w:r>
        <w:rPr>
          <w:rStyle w:val="Hyperlink"/>
        </w:rPr>
        <w:fldChar w:fldCharType="end"/>
      </w:r>
    </w:p>
    <w:p>
      <w:pPr>
        <w:pStyle w:val="Normal"/>
      </w:pPr>
      <w:r>
        <w:rPr>
          <w:color w:val="323232"/>
        </w:rPr>
        <w:t xml:space="preserve">————————</w:t>
      </w:r>
    </w:p>
    <w:p>
      <w:pPr>
        <w:pStyle w:val="Heading4"/>
      </w:pPr>
      <w:r>
        <w:t xml:space="preserve">Thromboelastographic monitoring of the effect of unfractionated heparin in healthy dogs.</w:t>
      </w:r>
    </w:p>
    <w:p/>
    <w:p>
      <w:pPr>
        <w:pStyle w:val="Normal"/>
      </w:pPr>
      <w:r>
        <w:rPr>
          <w:color w:val="323232"/>
        </w:rPr>
        <w:t xml:space="preserve">Christopher M McLaughlin, Steven L Marks, David C Dorman, Alison Motsinger-Reif, and Rita M Hanel.</w:t>
      </w:r>
    </w:p>
    <w:p/>
    <w:p>
      <w:pPr>
        <w:pStyle w:val="Normal"/>
      </w:pPr>
      <w:r>
        <w:rPr>
          <w:color w:val="323232"/>
        </w:rPr>
        <w:t xml:space="preserve">OBJECTIVE:To characterize the correlation between thromboelastography (TEG) variables using strong activators and anti-Xa (AXa) activity in healthy dogs administered subcutaneous unfractionated heparin (UFH).</w:t>
      </w:r>
    </w:p>
    <w:p/>
    <w:p>
      <w:pPr>
        <w:pStyle w:val="Normal"/>
      </w:pPr>
      <w:r>
        <w:rPr>
          <w:color w:val="323232"/>
        </w:rPr>
        <w:t xml:space="preserve">DESIGN:Prospective experimental study.</w:t>
      </w:r>
    </w:p>
    <w:p/>
    <w:p>
      <w:pPr>
        <w:pStyle w:val="Normal"/>
      </w:pPr>
      <w:r>
        <w:rPr>
          <w:color w:val="323232"/>
        </w:rPr>
        <w:t xml:space="preserve">SETTING:University research facility.</w:t>
      </w:r>
    </w:p>
    <w:p/>
    <w:p>
      <w:pPr>
        <w:pStyle w:val="Normal"/>
      </w:pPr>
      <w:r>
        <w:rPr>
          <w:color w:val="323232"/>
        </w:rPr>
        <w:t xml:space="preserve">ANIMALS:Eight adult random-source male dogs.</w:t>
      </w:r>
    </w:p>
    <w:p/>
    <w:p>
      <w:pPr>
        <w:pStyle w:val="Normal"/>
      </w:pPr>
      <w:r>
        <w:rPr>
          <w:color w:val="323232"/>
        </w:rPr>
        <w:t xml:space="preserve">INTERVENTION:Dogs were randomized to receive subcutaneous UFH at 200, 250, or 300 IU</w:t>
      </w:r>
      <w:r>
        <w:rPr>
          <w:i w:val="1"/>
          <w:color w:val="323232"/>
        </w:rPr>
        <w:t xml:space="preserve">kg every 8 hours for a total of 10 injections. Blood samples were collected at time 0 (preheparin) and 3, 6, and 8 hours after the 1st (Day 1) and 10th (Day 4) UFH injection.</w:t>
      </w:r>
      <w:r>
        <w:rPr>
          <w:color w:val="323232"/>
        </w:rPr>
        <w:t xml:space="preserve"> </w:t>
      </w:r>
      <w:r>
        <w:rPr>
          <w:i w:val="1"/>
          <w:color w:val="323232"/>
        </w:rPr>
        <w:t xml:space="preserve"> After the 8-hour blood sample was obtained on day 4, a 100 IU</w:t>
      </w:r>
      <w:r>
        <w:rPr>
          <w:color w:val="323232"/>
        </w:rPr>
        <w:t xml:space="preserve">kg IV bolus of UFH was administered and an additional blood sample was collected 1 hour later (hour 9). AXa activity, activated partial thromboplastin time (aPTT), and TEG (with up to 5 activators) were performed at each time point.</w:t>
      </w:r>
      <w:r>
        <w:rPr>
          <w:color w:val="323232"/>
        </w:rPr>
        <w:t xml:space="preserve"> </w:t>
      </w:r>
      <w:r>
        <w:rPr>
          <w:color w:val="323232"/>
        </w:rPr>
        <w:t xml:space="preserve"> Modes of activation for TEG included</w:t>
      </w:r>
      <w:r>
        <w:rPr>
          <w:color w:val="323232"/>
        </w:rPr>
        <w:t xml:space="preserve"> </w:t>
      </w:r>
      <w:r>
        <w:rPr>
          <w:color w:val="323232"/>
        </w:rPr>
        <w:t xml:space="preserve"> recalcified (Ca), Ca with heparinase (CaH), CaH and tissue factor 1:3600 (CTF3600H), Ca with tissue factor 1:100 (CTF100), and RapidTEG. Spearman rank correlations were calculated for each of the aforementioned parameters and the AXa activity. P-values were corrected for multiple comparisons with a Bonferroni correction.</w:t>
      </w:r>
    </w:p>
    <w:p/>
    <w:p>
      <w:pPr>
        <w:pStyle w:val="Normal"/>
      </w:pPr>
      <w:r>
        <w:rPr>
          <w:color w:val="323232"/>
        </w:rPr>
        <w:t xml:space="preserve">MEASUREMENTS AND MAIN RESULTS:Significant correlations were found between AXa activity and the TEG R values generated with CTF100 (R = 0.83, P ≤ 0.0001) and RapidTEG (R = 0.90, P &lt; 0.0001), as well as both forms of aPTT measurement (R = 0.86 and 0.84, P &lt; 0.0001).</w:t>
      </w:r>
    </w:p>
    <w:p/>
    <w:p>
      <w:pPr>
        <w:pStyle w:val="Normal"/>
      </w:pPr>
      <w:r>
        <w:rPr>
          <w:color w:val="323232"/>
        </w:rPr>
        <w:t xml:space="preserve">CONCLUSIONS:This study demonstrates that TEG variables derived using robust activation correlate with AXa activity as well as aPTT and have the potential to be used for monitoring UFH therapy in healthy dogs.</w:t>
      </w:r>
      <w:r>
        <w:rPr>
          <w:color w:val="323232"/>
        </w:rPr>
        <w:t xml:space="preserve"> </w:t>
      </w:r>
      <w:r>
        <w:rPr>
          <w:color w:val="323232"/>
        </w:rPr>
        <w:t xml:space="preserve"> Future studies are warranted to evaluate its diagnostic utility in critically ill animals.</w:t>
      </w:r>
    </w:p>
    <w:p/>
    <w:p>
      <w:pPr>
        <w:pStyle w:val="Normal"/>
      </w:pPr>
      <w:r>
        <w:rPr>
          <w:color w:val="323232"/>
        </w:rPr>
        <w:t xml:space="preserve">J Vet Emerg Crit Care (San Antonio), 2017 vol. 27 (1) pp. 71-81.</w:t>
      </w:r>
    </w:p>
    <w:p>
      <w:r>
        <w:rPr>
          <w:rStyle w:val="Hyperlink"/>
        </w:rPr>
        <w:fldChar w:fldCharType="begin"/>
      </w:r>
      <w:r>
        <w:rPr>
          <w:rStyle w:val="Hyperlink"/>
        </w:rPr>
        <w:instrText xml:space="preserve"> HYPERLINK "http://eutils.ncbi.nlm.nih.gov/entrez/eutils/elink.fcgi?dbfrom=pubmed&amp;id=27732770&amp;retmode=ref&amp;cmd=prlinks"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http://eutils.ncbi.nlm.nih.gov/entrez/eutils/elink.fcgi?dbfrom=pubmed&amp;id=27732770&amp;retmode=ref&amp;cmd=prlinks</w:t>
      </w:r>
      <w:r>
        <w:rPr>
          <w:rStyle w:val="Hyperlink"/>
        </w:rPr>
        <w:fldChar w:fldCharType="end"/>
      </w:r>
    </w:p>
    <w:p>
      <w:pPr>
        <w:pStyle w:val="Normal"/>
      </w:pPr>
      <w:r>
        <w:rPr>
          <w:color w:val="323232"/>
        </w:rPr>
        <w:t xml:space="preserve">————————</w:t>
      </w:r>
    </w:p>
    <w:p>
      <w:pPr>
        <w:pStyle w:val="Heading4"/>
      </w:pPr>
      <w:r>
        <w:t xml:space="preserve">A survey of the use of arterial catheters in anesthetized dogs and cats: 267 cases.</w:t>
      </w:r>
    </w:p>
    <w:p/>
    <w:p>
      <w:pPr>
        <w:pStyle w:val="Normal"/>
      </w:pPr>
      <w:r>
        <w:rPr>
          <w:color w:val="323232"/>
        </w:rPr>
        <w:t xml:space="preserve">Cynthia M Trim, Erik H Hofmeister, Jane E Quandt, and Molly K Shepard.</w:t>
      </w:r>
    </w:p>
    <w:p/>
    <w:p>
      <w:pPr>
        <w:pStyle w:val="Normal"/>
      </w:pPr>
      <w:r>
        <w:rPr>
          <w:color w:val="323232"/>
        </w:rPr>
        <w:t xml:space="preserve">OBJECTIVES:To describe the clinical practice of insertion of arterial catheters in anesthetized dogs and cats, to document complications of arterial catheterization, and to determine risk factors associated with the complications.</w:t>
      </w:r>
    </w:p>
    <w:p/>
    <w:p>
      <w:pPr>
        <w:pStyle w:val="Normal"/>
      </w:pPr>
      <w:r>
        <w:rPr>
          <w:color w:val="323232"/>
        </w:rPr>
        <w:t xml:space="preserve">DESIGN:Prospective clinical study and retrospective evaluation of medical records.</w:t>
      </w:r>
    </w:p>
    <w:p/>
    <w:p>
      <w:pPr>
        <w:pStyle w:val="Normal"/>
      </w:pPr>
      <w:r>
        <w:rPr>
          <w:color w:val="323232"/>
        </w:rPr>
        <w:t xml:space="preserve">SETTING:University teaching hospital.</w:t>
      </w:r>
    </w:p>
    <w:p/>
    <w:p>
      <w:pPr>
        <w:pStyle w:val="Normal"/>
      </w:pPr>
      <w:r>
        <w:rPr>
          <w:color w:val="323232"/>
        </w:rPr>
        <w:t xml:space="preserve">ANIMALS:Dogs (n = 251) and 13 cats anesthetized for clinical procedures with arterial catheters inserted for blood pressure monitoring.</w:t>
      </w:r>
    </w:p>
    <w:p/>
    <w:p>
      <w:pPr>
        <w:pStyle w:val="Normal"/>
      </w:pPr>
      <w:r>
        <w:rPr>
          <w:color w:val="323232"/>
        </w:rPr>
        <w:t xml:space="preserve">INTERVENTIONS:None.</w:t>
      </w:r>
    </w:p>
    <w:p/>
    <w:p>
      <w:pPr>
        <w:pStyle w:val="Normal"/>
      </w:pPr>
      <w:r>
        <w:rPr>
          <w:color w:val="323232"/>
        </w:rPr>
        <w:t xml:space="preserve">MEASUREMENTS AND MAIN RESULTS:Details of the animal and catheter were collected at the time of anesthesia. On the following day, the catheter site was palpated and observed for abnormalities and the medical records of all animals were reviewed retrospectively for complications. Details of catheter placement were available for 216 catheters: 158 catheters in a dorsal pedal artery, 50 catheters in the median caudal (coccygeal) artery, 6 in the median artery, and 1 each in a cranial tibial and lingual artery. Blood pressure was obtained from 200 catheters, and 12 catheters failed before the end of anesthesia. Postoperative observational data obtained from 112 catheters described a palpable arterial pulse at 73 sites and no pulse at 21 sites. No risk factor for arterial occlusion was identified. No complications resulting from arterial catheterization were noted in the medical records.</w:t>
      </w:r>
    </w:p>
    <w:p/>
    <w:p>
      <w:pPr>
        <w:pStyle w:val="Normal"/>
      </w:pPr>
      <w:r>
        <w:rPr>
          <w:color w:val="323232"/>
        </w:rPr>
        <w:t xml:space="preserve">CONCLUSIONS:Arterial catheterization resulted in loss of a peripheral pulse postoperatively in 21/94 (22.3%) of animals examined, although no evidence of tissue ischemia was noted in the medical records of any of the patients in this study. These results suggest that insertion of a catheter in the dorsal pedal or coccygeal arteries was not associated with a high risk for complications. However, the course of arterial occlusion postoperatively warrants further investigation.</w:t>
      </w:r>
    </w:p>
    <w:p/>
    <w:p>
      <w:pPr>
        <w:pStyle w:val="Normal"/>
      </w:pPr>
      <w:r>
        <w:rPr>
          <w:color w:val="323232"/>
        </w:rPr>
        <w:t xml:space="preserve">J Vet Emerg Crit Care (San Antonio), 2017 vol. 27 (1) pp. 89-95.</w:t>
      </w:r>
    </w:p>
    <w:p>
      <w:r>
        <w:rPr>
          <w:rStyle w:val="Hyperlink"/>
        </w:rPr>
        <w:fldChar w:fldCharType="begin"/>
      </w:r>
      <w:r>
        <w:rPr>
          <w:rStyle w:val="Hyperlink"/>
        </w:rPr>
        <w:instrText xml:space="preserve"> HYPERLINK "http://eutils.ncbi.nlm.nih.gov/entrez/eutils/elink.fcgi?dbfrom=pubmed&amp;id=27673577&amp;retmode=ref&amp;cmd=prlinks"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http://eutils.ncbi.nlm.nih.gov/entrez/eutils/elink.fcgi?dbfrom=pubmed&amp;id=27673577&amp;retmode=ref&amp;cmd=prlinks</w:t>
      </w:r>
      <w:r>
        <w:rPr>
          <w:rStyle w:val="Hyperlink"/>
        </w:rPr>
        <w:fldChar w:fldCharType="end"/>
      </w:r>
    </w:p>
    <w:p>
      <w:pPr>
        <w:pStyle w:val="Normal"/>
      </w:pPr>
      <w:r>
        <w:rPr>
          <w:color w:val="323232"/>
        </w:rPr>
        <w:t xml:space="preserve">————————</w:t>
      </w:r>
    </w:p>
    <w:p>
      <w:pPr>
        <w:pStyle w:val="Heading4"/>
      </w:pPr>
      <w:r>
        <w:t xml:space="preserve">Retrospective evaluation of the effect of red blood cell product age on occurrence of acute transfusion-related complications in dogs: 210 cases (2010-2012).</w:t>
      </w:r>
    </w:p>
    <w:p/>
    <w:p>
      <w:pPr>
        <w:pStyle w:val="Normal"/>
      </w:pPr>
      <w:r>
        <w:rPr>
          <w:color w:val="323232"/>
        </w:rPr>
        <w:t xml:space="preserve">Christina H Maglaras, Amie Koenig, Deanna L Bedard, and Benjamin M Brainard.</w:t>
      </w:r>
    </w:p>
    <w:p/>
    <w:p>
      <w:pPr>
        <w:pStyle w:val="Normal"/>
      </w:pPr>
      <w:r>
        <w:rPr>
          <w:color w:val="323232"/>
        </w:rPr>
        <w:t xml:space="preserve">OBJECTIVE:To determine whether red blood cell (RBC) product age influences the occurrence of acute transfusion-related complications and mortality in dogs. The hypothesis was that acute transfusion-related complications and mortality would increase with age of product.</w:t>
      </w:r>
    </w:p>
    <w:p/>
    <w:p>
      <w:pPr>
        <w:pStyle w:val="Normal"/>
      </w:pPr>
      <w:r>
        <w:rPr>
          <w:color w:val="323232"/>
        </w:rPr>
        <w:t xml:space="preserve">DESIGN:Retrospective study (2010-2012).</w:t>
      </w:r>
    </w:p>
    <w:p/>
    <w:p>
      <w:pPr>
        <w:pStyle w:val="Normal"/>
      </w:pPr>
      <w:r>
        <w:rPr>
          <w:color w:val="323232"/>
        </w:rPr>
        <w:t xml:space="preserve">SETTING:University teaching hospital.</w:t>
      </w:r>
    </w:p>
    <w:p/>
    <w:p>
      <w:pPr>
        <w:pStyle w:val="Normal"/>
      </w:pPr>
      <w:r>
        <w:rPr>
          <w:color w:val="323232"/>
        </w:rPr>
        <w:t xml:space="preserve">ANIMALS:Two hundred and ten clinical canine patients.</w:t>
      </w:r>
    </w:p>
    <w:p/>
    <w:p>
      <w:pPr>
        <w:pStyle w:val="Normal"/>
      </w:pPr>
      <w:r>
        <w:rPr>
          <w:color w:val="323232"/>
        </w:rPr>
        <w:t xml:space="preserve">INTERVENTIONS:None.</w:t>
      </w:r>
    </w:p>
    <w:p/>
    <w:p>
      <w:pPr>
        <w:pStyle w:val="Normal"/>
      </w:pPr>
      <w:r>
        <w:rPr>
          <w:color w:val="323232"/>
        </w:rPr>
        <w:t xml:space="preserve">MEASUREMENTS AND MAIN RESULTS:Medical records were reviewed for dogs receiving RBC-containing products. Patient signalment; reason for transfusion; product type, dose, age, and source; pretransfusion compatibility; rate, route, and method of administration; administration of multiple transfusions; underlying disease; occurrence of transfusion-related complications (eg, fever, hemolysis, gastrointestinal distress, cardiovascular, neurologic, and respiratory complications); various hematologic parameters; and survival were recorded. Data were analyzed for association between potential risk factors and occurrence of transfusion-related complications as well as between transfusion-related complications and survival. Of 333 transfusion events in 210 patients, 84 transfusion-related complications occurred. Fever was most common (41/333), followed by hemolysis (21/333). For every additional day of product age, the odds of hemolysis increased significantly (odds ratio, 1.11; 95% confidence interval, 1.06-1.16; P &lt; 0.0001). Transfusion-related complications when considered as a whole were associated with higher dose of product, longer duration of administration per transfusion event, and immune-mediated disease, but not with source of product or general category of anemia. Administration rate was significantly slower in patients with febrile transfusion-related complications (P &lt; 0.0001). Product age was not associated with increased mortality.</w:t>
      </w:r>
    </w:p>
    <w:p/>
    <w:p>
      <w:pPr>
        <w:pStyle w:val="Normal"/>
      </w:pPr>
      <w:r>
        <w:rPr>
          <w:color w:val="323232"/>
        </w:rPr>
        <w:t xml:space="preserve">CONCLUSIONS:Age of stored RBC products is associated with increased risk of transfusion-related hemolysis, but not with fever. Prospective clinical studies evaluating the influence of storage duration on development of in vitro versus in vivo hemolysis are warranted.</w:t>
      </w:r>
    </w:p>
    <w:p/>
    <w:p>
      <w:pPr>
        <w:pStyle w:val="Normal"/>
      </w:pPr>
      <w:r>
        <w:rPr>
          <w:color w:val="323232"/>
        </w:rPr>
        <w:t xml:space="preserve">J Vet Emerg Crit Care (San Antonio), 2017 vol. 27 (1) pp. 108-120.</w:t>
      </w:r>
    </w:p>
    <w:p>
      <w:r>
        <w:rPr>
          <w:rStyle w:val="Hyperlink"/>
        </w:rPr>
        <w:fldChar w:fldCharType="begin"/>
      </w:r>
      <w:r>
        <w:rPr>
          <w:rStyle w:val="Hyperlink"/>
        </w:rPr>
        <w:instrText xml:space="preserve"> HYPERLINK "http://eutils.ncbi.nlm.nih.gov/entrez/eutils/elink.fcgi?dbfrom=pubmed&amp;id=27669368&amp;retmode=ref&amp;cmd=prlinks"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http://eutils.ncbi.nlm.nih.gov/entrez/eutils/elink.fcgi?dbfrom=pubmed&amp;id=27669368&amp;retmode=ref&amp;cmd=prlinks</w:t>
      </w:r>
      <w:r>
        <w:rPr>
          <w:rStyle w:val="Hyperlink"/>
        </w:rPr>
        <w:fldChar w:fldCharType="end"/>
      </w:r>
    </w:p>
    <w:p>
      <w:pPr>
        <w:pStyle w:val="Normal"/>
      </w:pPr>
      <w:r>
        <w:rPr>
          <w:color w:val="323232"/>
        </w:rPr>
        <w:t xml:space="preserve">————————</w:t>
      </w:r>
    </w:p>
    <w:p>
      <w:pPr>
        <w:pStyle w:val="Heading4"/>
      </w:pPr>
      <w:r>
        <w:t xml:space="preserve">Use of Yunnan Baiyao and epsilon aminocaproic acid in dogs with right atrial masses and pericardial effusion.</w:t>
      </w:r>
    </w:p>
    <w:p/>
    <w:p>
      <w:pPr>
        <w:pStyle w:val="Normal"/>
      </w:pPr>
      <w:r>
        <w:rPr>
          <w:color w:val="323232"/>
        </w:rPr>
        <w:t xml:space="preserve">Yunnan Baiyao and epsilon aminocaproic acid in dogs.</w:t>
      </w:r>
    </w:p>
    <w:p>
      <w:pPr>
        <w:pStyle w:val="Normal"/>
      </w:pPr>
      <w:r>
        <w:rPr>
          <w:color w:val="323232"/>
        </w:rPr>
        <w:t xml:space="preserve">Lisa A Murphy, Cynthia M Panek, Domenico Bianco, and Reid K Nakamura.</w:t>
      </w:r>
    </w:p>
    <w:p/>
    <w:p>
      <w:pPr>
        <w:pStyle w:val="Normal"/>
      </w:pPr>
      <w:r>
        <w:rPr>
          <w:color w:val="323232"/>
        </w:rPr>
        <w:t xml:space="preserve">OBJECTIVE:To describe the utility of Yunnan Baiyao (YB) alone or in combination with epsilon aminocaproic acid (EAC) for the treatment of dogs with echocardiographically identified right atrial (RA) masses and pericardial effusion (PE).</w:t>
      </w:r>
    </w:p>
    <w:p/>
    <w:p>
      <w:pPr>
        <w:pStyle w:val="Normal"/>
      </w:pPr>
      <w:r>
        <w:rPr>
          <w:color w:val="323232"/>
        </w:rPr>
        <w:t xml:space="preserve">DESIGN:Retrospective case-controlled study.</w:t>
      </w:r>
    </w:p>
    <w:p/>
    <w:p>
      <w:pPr>
        <w:pStyle w:val="Normal"/>
      </w:pPr>
      <w:r>
        <w:rPr>
          <w:color w:val="323232"/>
        </w:rPr>
        <w:t xml:space="preserve">SETTING:Two private practice referral hospitals.</w:t>
      </w:r>
    </w:p>
    <w:p/>
    <w:p>
      <w:pPr>
        <w:pStyle w:val="Normal"/>
      </w:pPr>
      <w:r>
        <w:rPr>
          <w:color w:val="323232"/>
        </w:rPr>
        <w:t xml:space="preserve">ANIMALS:Client-owned dogs with RA masses and PE identified echocardiographically over a 3-year period.</w:t>
      </w:r>
    </w:p>
    <w:p/>
    <w:p>
      <w:pPr>
        <w:pStyle w:val="Normal"/>
      </w:pPr>
      <w:r>
        <w:rPr>
          <w:color w:val="323232"/>
        </w:rPr>
        <w:t xml:space="preserve">INTERVENTIONS:None.</w:t>
      </w:r>
    </w:p>
    <w:p/>
    <w:p>
      <w:pPr>
        <w:pStyle w:val="Normal"/>
      </w:pPr>
      <w:r>
        <w:rPr>
          <w:color w:val="323232"/>
        </w:rPr>
        <w:t xml:space="preserve">MEASUREMENTS AND MAIN RESULTS:There were 67 dogs identified with RA masses and PE during the study period. Sixteen dogs were treated with YB alone while 8 dogs were treated with YB in combination with EAC in addition to pericardiocentesis. Forty-three dogs were treated with pericardiocentesis alone and were considered to be the control group. There was no difference between the groups in regards to signalment, physical examination abnormalities, and diagnostic test results on presentation. There was no significant difference between the 2 groups with respect to number of pericardiocenteses performed and there were no side effects attributed to the YB or EAC in any of the dogs. Median time to recurrence of clinical signs was not significantly different between the treatment (12 d, range 1-186 d) and control group (14.5 d, range 1-277 d). The median survival of dogs treated with YB alone or in combination with EAC (18 d, range 1-186 d) was also not significantly improved compared to dogs treated with pericardiocenteses alone (16 d, range 1-277 d).</w:t>
      </w:r>
    </w:p>
    <w:p/>
    <w:p>
      <w:pPr>
        <w:pStyle w:val="Normal"/>
      </w:pPr>
      <w:r>
        <w:rPr>
          <w:color w:val="323232"/>
        </w:rPr>
        <w:t xml:space="preserve">CONCLUSIONS:This study suggests YB alone or in combination with EAC is relatively safe but does not significantly delay recurrence of clinical signs or improve survival in dogs with RA masses and PE. Due to the small cohort size, further prospective studies evaluating these drugs and their effects on hemostasis in dogs with RA masses and PE are warranted.</w:t>
      </w:r>
    </w:p>
    <w:p/>
    <w:p>
      <w:pPr>
        <w:pStyle w:val="Normal"/>
      </w:pPr>
      <w:r>
        <w:rPr>
          <w:color w:val="323232"/>
        </w:rPr>
        <w:t xml:space="preserve">J Vet Emerg Crit Care (San Antonio), 2017 vol. 27 (1) pp. 121-126.</w:t>
      </w:r>
    </w:p>
    <w:p>
      <w:r>
        <w:rPr>
          <w:rStyle w:val="Hyperlink"/>
        </w:rPr>
        <w:fldChar w:fldCharType="begin"/>
      </w:r>
      <w:r>
        <w:rPr>
          <w:rStyle w:val="Hyperlink"/>
        </w:rPr>
        <w:instrText xml:space="preserve"> HYPERLINK "http://doi.wiley.com/10.1111/vec.12529" </w:instrText>
      </w:r>
      <w:r>
        <w:rPr>
          <w:rStyle w:val="Hyperlink"/>
        </w:rPr>
      </w:r>
      <w:r>
        <w:rPr>
          <w:rStyle w:val="Hyperlink"/>
        </w:rPr>
        <w:fldChar w:fldCharType="separate"/>
      </w:r>
      <w:pPr>
        <w:pStyle w:val="Normal"/>
      </w:pPr>
      <w:r>
        <w:rPr>
          <w:rStyle w:val="Hyperlink"/>
        </w:rPr>
        <w:t xml:space="preserve">http://doi.wiley.com/10.1111/vec.12529</w:t>
      </w:r>
      <w:r>
        <w:rPr>
          <w:rStyle w:val="Hyperlink"/>
        </w:rPr>
        <w:fldChar w:fldCharType="end"/>
      </w:r>
    </w:p>
    <w:p>
      <w:pPr>
        <w:pStyle w:val="Normal"/>
      </w:pPr>
      <w:r>
        <w:rPr>
          <w:color w:val="323232"/>
        </w:rPr>
        <w:t xml:space="preserve">————————</w:t>
      </w:r>
    </w:p>
    <w:p>
      <w:pPr>
        <w:pStyle w:val="Heading4"/>
      </w:pPr>
      <w:r>
        <w:t xml:space="preserve">Heparinase-modified thromboelastography in cats.</w:t>
      </w:r>
    </w:p>
    <w:p/>
    <w:p>
      <w:pPr>
        <w:pStyle w:val="Normal"/>
      </w:pPr>
      <w:r>
        <w:rPr>
          <w:color w:val="323232"/>
        </w:rPr>
        <w:t xml:space="preserve">Benoît Cuq, Marilyn E Dunn, and Christian Bédard.</w:t>
      </w:r>
    </w:p>
    <w:p/>
    <w:p>
      <w:pPr>
        <w:pStyle w:val="Normal"/>
      </w:pPr>
      <w:r>
        <w:rPr>
          <w:color w:val="323232"/>
        </w:rPr>
        <w:t xml:space="preserve">BACKGROUND:Evaluation of underlying hemostatic function is challenging when feline patients are receiving an anticoagulant medication. Discontinuing the anticoagulant to obtain accurate results for hemostatic testing may lead to thrombotic complications. The addition of heparinase to blood samples may mitigate the effects of exogenous heparin and allow hemostatic testing.</w:t>
      </w:r>
    </w:p>
    <w:p/>
    <w:p>
      <w:pPr>
        <w:pStyle w:val="Normal"/>
      </w:pPr>
      <w:r>
        <w:rPr>
          <w:color w:val="323232"/>
        </w:rPr>
        <w:t xml:space="preserve">METHODS:Tissue factor (TF)-activated thromboelastography (TEG) was performed using citrated whole blood from 19 cats. Assays were performed using citrated whole blood, with and without addition of unfractionated heparin to a concentration of 0.2 U/mL. For each blood sample, TEG assays were performed using a standard cup and a heparinase-coated cup.</w:t>
      </w:r>
    </w:p>
    <w:p/>
    <w:p>
      <w:pPr>
        <w:pStyle w:val="Normal"/>
      </w:pPr>
      <w:r>
        <w:rPr>
          <w:color w:val="323232"/>
        </w:rPr>
        <w:t xml:space="preserve">KEY FINDINGS:For TEG variables R, k, α-angle, and MA, mean values were not statistically different when citrated blood was used with standard or heparinase-coated cups. Heparinized blood assayed in standard cups displayed a significantly increased R and k, and significantly decreased α-angle and MA when compared to heparinized blood assayed in heparinase-coated cups. TEG variables for heparinized blood assayed in heparinase cups was not statistically different from those of the citrated whole blood without added heparin.</w:t>
      </w:r>
    </w:p>
    <w:p/>
    <w:p>
      <w:pPr>
        <w:pStyle w:val="Normal"/>
      </w:pPr>
      <w:r>
        <w:rPr>
          <w:color w:val="323232"/>
        </w:rPr>
        <w:t xml:space="preserve">SIGNIFICANCE:Heparinase modified, TF-activated, TEG reverses heparin effects in feline-citrated blood.</w:t>
      </w:r>
    </w:p>
    <w:p/>
    <w:p>
      <w:pPr>
        <w:pStyle w:val="Normal"/>
      </w:pPr>
      <w:r>
        <w:rPr>
          <w:color w:val="323232"/>
        </w:rPr>
        <w:t xml:space="preserve">J Vet Emerg Crit Care (San Antonio), 2017 vol. 27 (1) pp. 127-130.</w:t>
      </w:r>
    </w:p>
    <w:p>
      <w:r>
        <w:rPr>
          <w:rStyle w:val="Hyperlink"/>
        </w:rPr>
        <w:fldChar w:fldCharType="begin"/>
      </w:r>
      <w:r>
        <w:rPr>
          <w:rStyle w:val="Hyperlink"/>
        </w:rPr>
        <w:instrText xml:space="preserve"> HYPERLINK "http://eutils.ncbi.nlm.nih.gov/entrez/eutils/elink.fcgi?dbfrom=pubmed&amp;id=28002635&amp;retmode=ref&amp;cmd=prlinks"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http://eutils.ncbi.nlm.nih.gov/entrez/eutils/elink.fcgi?dbfrom=pubmed&amp;id=28002635&amp;retmode=ref&amp;cmd=prlinks</w:t>
      </w:r>
      <w:r>
        <w:rPr>
          <w:rStyle w:val="Hyperlink"/>
        </w:rPr>
        <w:fldChar w:fldCharType="end"/>
      </w:r>
    </w:p>
    <w:p>
      <w:pPr>
        <w:pStyle w:val="Normal"/>
      </w:pPr>
      <w:r>
        <w:rPr>
          <w:color w:val="323232"/>
        </w:rPr>
        <w:t xml:space="preserve">————————</w:t>
      </w:r>
    </w:p>
    <w:p>
      <w:pPr>
        <w:pStyle w:val="Heading4"/>
      </w:pPr>
      <w:r>
        <w:t xml:space="preserve">Effects of oral 3% hydrogen peroxide used as an emetic on the gastroduodenal mucosa of healthy dogs.</w:t>
      </w:r>
    </w:p>
    <w:p/>
    <w:p>
      <w:pPr>
        <w:pStyle w:val="Normal"/>
      </w:pPr>
      <w:r>
        <w:rPr>
          <w:color w:val="323232"/>
        </w:rPr>
        <w:t xml:space="preserve">Alicia H Niedzwecki, Bradley P Book, Kristin M Lewis, J Scot Estep, and Joseph Hagan.</w:t>
      </w:r>
    </w:p>
    <w:p/>
    <w:p>
      <w:pPr>
        <w:pStyle w:val="Normal"/>
      </w:pPr>
      <w:r>
        <w:rPr>
          <w:color w:val="323232"/>
        </w:rPr>
        <w:t xml:space="preserve">OBJECTIVE:To characterize the extent of mucosal injury on the upper gastrointestinal tract following oral administration of 3% hydrogen peroxide (H2 O2 ) to induce emesis in normal dogs.</w:t>
      </w:r>
    </w:p>
    <w:p/>
    <w:p>
      <w:pPr>
        <w:pStyle w:val="Normal"/>
      </w:pPr>
      <w:r>
        <w:rPr>
          <w:color w:val="323232"/>
        </w:rPr>
        <w:t xml:space="preserve">DESIGN:Prospective clinical study.</w:t>
      </w:r>
    </w:p>
    <w:p/>
    <w:p>
      <w:pPr>
        <w:pStyle w:val="Normal"/>
      </w:pPr>
      <w:r>
        <w:rPr>
          <w:color w:val="323232"/>
        </w:rPr>
        <w:t xml:space="preserve">SETTING:Specialty referral hospital.</w:t>
      </w:r>
    </w:p>
    <w:p/>
    <w:p>
      <w:pPr>
        <w:pStyle w:val="Normal"/>
      </w:pPr>
      <w:r>
        <w:rPr>
          <w:color w:val="323232"/>
        </w:rPr>
        <w:t xml:space="preserve">ANIMALS:Seven staff-owned, healthy, adult dogs.</w:t>
      </w:r>
    </w:p>
    <w:p/>
    <w:p>
      <w:pPr>
        <w:pStyle w:val="Normal"/>
      </w:pPr>
      <w:r>
        <w:rPr>
          <w:color w:val="323232"/>
        </w:rPr>
        <w:t xml:space="preserve">INTERVENTIONS:Six dogs were assigned to the H2 O2 group and 1 dog was assigned as the apomorphine control. Dogs were anesthetized for gastroduodenoscopy with gross inspection and gastroduodenal biopsies at time 0 and 4 hours, 24 hours, 1 week, and 2 weeks following administration of oral 3% H2 O2 or subconjunctival apomorphine. Gross esophageal, gastric, and duodenal mucosal lesion scoring was performed by 2 blinded, experienced scorers. Biopsy samples were evaluated histologically by a veterinary pathologist.</w:t>
      </w:r>
    </w:p>
    <w:p/>
    <w:p>
      <w:pPr>
        <w:pStyle w:val="Normal"/>
      </w:pPr>
      <w:r>
        <w:rPr>
          <w:color w:val="323232"/>
        </w:rPr>
        <w:t xml:space="preserve">MEASUREMENTS AND MAIN RESULTS:Grade I esophagitis was noted in 2 dogs at 4 hours and in 1 dog at 2 weeks, while grade III esophagitis was observed in 1 dog 1 week following H2 O2 administration. At 4 hours, gastric mucosal lesions were visualized in all dogs, and lesions worsened by 24 hours. Mild to moderate duodenal mucosal lesions were visualized up to 24 hours after administration. Histopathology identified the most severe gastric lesions at 4 hours as hemorrhage; at 24 hours as degeneration, necrosis, and mucosal edema; and at 1 week as inflammation. By 2 weeks, most visual and histopathologic lesions were resolved. No histopathologic lesions were identified at any time point in the dog administered apomorphine.</w:t>
      </w:r>
    </w:p>
    <w:p/>
    <w:p>
      <w:pPr>
        <w:pStyle w:val="Normal"/>
      </w:pPr>
      <w:r>
        <w:rPr>
          <w:color w:val="323232"/>
        </w:rPr>
        <w:t xml:space="preserve">CONCLUSIONS:Significant visual and histopathologic gastric lesions occurred following administration of 3% H2 O2 in all dogs. Less severe visual duodenal lesions were identified. As compared to H2 O2 dogs, minimal gross gastroduodenal lesions and normal histopathology were identified in the apomorphine control.</w:t>
      </w:r>
    </w:p>
    <w:p/>
    <w:p>
      <w:pPr>
        <w:pStyle w:val="Normal"/>
      </w:pPr>
      <w:r>
        <w:rPr>
          <w:color w:val="323232"/>
        </w:rPr>
        <w:t xml:space="preserve">J Vet Emerg Crit Care (San Antonio), 2017 vol. 27 (2) pp. 178-184.</w:t>
      </w:r>
    </w:p>
    <w:p>
      <w:r>
        <w:rPr>
          <w:rStyle w:val="Hyperlink"/>
        </w:rPr>
        <w:fldChar w:fldCharType="begin"/>
      </w:r>
      <w:r>
        <w:rPr>
          <w:rStyle w:val="Hyperlink"/>
        </w:rPr>
        <w:instrText xml:space="preserve"> HYPERLINK "http://eutils.ncbi.nlm.nih.gov/entrez/eutils/elink.fcgi?dbfrom=pubmed&amp;id=27973761&amp;retmode=ref&amp;cmd=prlinks"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http://eutils.ncbi.nlm.nih.gov/entrez/eutils/elink.fcgi?dbfrom=pubmed&amp;id=27973761&amp;retmode=ref&amp;cmd=prlinks</w:t>
      </w:r>
      <w:r>
        <w:rPr>
          <w:rStyle w:val="Hyperlink"/>
        </w:rPr>
        <w:fldChar w:fldCharType="end"/>
      </w:r>
    </w:p>
    <w:p>
      <w:pPr>
        <w:pStyle w:val="Normal"/>
      </w:pPr>
      <w:r>
        <w:rPr>
          <w:color w:val="323232"/>
        </w:rPr>
        <w:t xml:space="preserve">————————</w:t>
      </w:r>
    </w:p>
    <w:p>
      <w:pPr>
        <w:pStyle w:val="Heading4"/>
      </w:pPr>
      <w:r>
        <w:t xml:space="preserve">Reference values for rotational thromboelastometry (ROTEM) in clinically healthy cats.</w:t>
      </w:r>
    </w:p>
    <w:p/>
    <w:p>
      <w:pPr>
        <w:pStyle w:val="Normal"/>
      </w:pPr>
      <w:r>
        <w:rPr>
          <w:color w:val="323232"/>
        </w:rPr>
        <w:t xml:space="preserve">Charlotte Marly-Voquer, Barbara Riond, Rahel Jud Schefer, and Annette P N Kutter.</w:t>
      </w:r>
    </w:p>
    <w:p/>
    <w:p>
      <w:pPr>
        <w:pStyle w:val="Normal"/>
      </w:pPr>
      <w:r>
        <w:rPr>
          <w:color w:val="323232"/>
        </w:rPr>
        <w:t xml:space="preserve">OBJECTIVE:To establish reference intervals for rotational thromboelastometry (ROTEM) using feline blood.</w:t>
      </w:r>
    </w:p>
    <w:p/>
    <w:p>
      <w:pPr>
        <w:pStyle w:val="Normal"/>
      </w:pPr>
      <w:r>
        <w:rPr>
          <w:color w:val="323232"/>
        </w:rPr>
        <w:t xml:space="preserve">DESIGN:Prospective study.</w:t>
      </w:r>
    </w:p>
    <w:p/>
    <w:p>
      <w:pPr>
        <w:pStyle w:val="Normal"/>
      </w:pPr>
      <w:r>
        <w:rPr>
          <w:color w:val="323232"/>
        </w:rPr>
        <w:t xml:space="preserve">SETTING:University teaching hospital.</w:t>
      </w:r>
    </w:p>
    <w:p/>
    <w:p>
      <w:pPr>
        <w:pStyle w:val="Normal"/>
      </w:pPr>
      <w:r>
        <w:rPr>
          <w:color w:val="323232"/>
        </w:rPr>
        <w:t xml:space="preserve">ANIMALS:Twenty-three clinically healthy cats between 1 and 15 years.</w:t>
      </w:r>
    </w:p>
    <w:p/>
    <w:p>
      <w:pPr>
        <w:pStyle w:val="Normal"/>
      </w:pPr>
      <w:r>
        <w:rPr>
          <w:color w:val="323232"/>
        </w:rPr>
        <w:t xml:space="preserve">INTERVENTION:For each cat, whole blood was collected via jugular or medial saphenous venipuncture, and blood was placed into a serum tube, a tube containing potassium-EDTA, and tubes containing 3.2% sodium citrate. The tubes were maintained at 37°C for a maximum of 30 minutes before coagulation testing.</w:t>
      </w:r>
    </w:p>
    <w:p/>
    <w:p>
      <w:pPr>
        <w:pStyle w:val="Normal"/>
      </w:pPr>
      <w:r>
        <w:rPr>
          <w:color w:val="323232"/>
        </w:rPr>
        <w:t xml:space="preserve">MEASUREMENTS AND MAIN RESULTS:ROTEM tests included the EXTEM, INTEM, FIBTEM, and APTEM assays. In addition, prothrombin time, activated partial thromboplastin time, thrombin time, and fibrinogen concentration (Clauss method) were analyzed for each cat. Reference intervals for ROTEM were calculated using the 2.5-97.5th percentile for each parameter, and correlation with the standard coagulation profile was performed. Compared to people, clinically healthy cats had similar values for the EXTEM and INTEM assays, but had lower plasma fibrinogen concentrations (0.9-2.2 g/L), resulting in weaker maximum clot firmness (MCF, 3-10 mm) in the FIBTEM test. In 18 cats, maximum lysis (ML) values in the APTEM test were higher than in the EXTEM test, which seems unlikely to have occurred in the presence of aprotinin. It is possible that the observed high maximum lysis values were due to clot retraction rather than true clot lysis. Further studies will be required to test this hypothesis.</w:t>
      </w:r>
    </w:p>
    <w:p/>
    <w:p>
      <w:pPr>
        <w:pStyle w:val="Normal"/>
      </w:pPr>
      <w:r>
        <w:rPr>
          <w:color w:val="323232"/>
        </w:rPr>
        <w:t xml:space="preserve">CONCLUSIONS:Cats have a weaker clot in the FIBTEM test, but have a similar clot strength to human blood in the other ROTEM assays, which may be due to a stronger contribution of platelets compared to that found in people. In cats, careful interpretation of the results to diagnose hyperfibrinolysis is advised, especially with the APTEM test, until further data are available.</w:t>
      </w:r>
    </w:p>
    <w:p/>
    <w:p>
      <w:pPr>
        <w:pStyle w:val="Normal"/>
      </w:pPr>
      <w:r>
        <w:rPr>
          <w:color w:val="323232"/>
        </w:rPr>
        <w:t xml:space="preserve">J Vet Emerg Crit Care (San Antonio), 2017 vol. 27 (2) pp. 185-192.</w:t>
      </w:r>
    </w:p>
    <w:p>
      <w:r>
        <w:rPr>
          <w:rStyle w:val="Hyperlink"/>
        </w:rPr>
        <w:fldChar w:fldCharType="begin"/>
      </w:r>
      <w:r>
        <w:rPr>
          <w:rStyle w:val="Hyperlink"/>
        </w:rPr>
        <w:instrText xml:space="preserve"> HYPERLINK "http://eutils.ncbi.nlm.nih.gov/entrez/eutils/elink.fcgi?dbfrom=pubmed&amp;id=28166379&amp;retmode=ref&amp;cmd=prlinks"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http://eutils.ncbi.nlm.nih.gov/entrez/eutils/elink.fcgi?dbfrom=pubmed&amp;id=28166379&amp;retmode=ref&amp;cmd=prlinks</w:t>
      </w:r>
      <w:r>
        <w:rPr>
          <w:rStyle w:val="Hyperlink"/>
        </w:rPr>
        <w:fldChar w:fldCharType="end"/>
      </w:r>
    </w:p>
    <w:p>
      <w:pPr>
        <w:pStyle w:val="Normal"/>
      </w:pPr>
      <w:r>
        <w:rPr>
          <w:color w:val="323232"/>
        </w:rPr>
        <w:t xml:space="preserve">————————</w:t>
      </w:r>
    </w:p>
    <w:p>
      <w:pPr>
        <w:pStyle w:val="Heading4"/>
      </w:pPr>
      <w:r>
        <w:t xml:space="preserve">Comparison of cephalic and jugular plasma lactate concentrations in sick cats: a pilot study.</w:t>
      </w:r>
    </w:p>
    <w:p/>
    <w:p>
      <w:pPr>
        <w:pStyle w:val="Normal"/>
      </w:pPr>
      <w:r>
        <w:rPr>
          <w:color w:val="323232"/>
        </w:rPr>
        <w:t xml:space="preserve">Emily K J Sachs, Tracy M Julius, Sean-Paul A Claypool, and Monica C Clare.</w:t>
      </w:r>
    </w:p>
    <w:p/>
    <w:p>
      <w:pPr>
        <w:pStyle w:val="Normal"/>
      </w:pPr>
      <w:r>
        <w:rPr>
          <w:color w:val="323232"/>
        </w:rPr>
        <w:t xml:space="preserve">OBJECTIVES:To compare plasma lactate concentration (PLC) in paired cephalic and jugular blood samples from sick cats. An additional objective was to determine whether hypotensive cats (Doppler blood pressure &lt; 90 mm Hg) have a significant difference between cephalic and jugular PLC.</w:t>
      </w:r>
    </w:p>
    <w:p/>
    <w:p>
      <w:pPr>
        <w:pStyle w:val="Normal"/>
      </w:pPr>
      <w:r>
        <w:rPr>
          <w:color w:val="323232"/>
        </w:rPr>
        <w:t xml:space="preserve">DESIGN:Prospective observational pilot study performed from December 2013 to August 2014.</w:t>
      </w:r>
    </w:p>
    <w:p/>
    <w:p>
      <w:pPr>
        <w:pStyle w:val="Normal"/>
      </w:pPr>
      <w:r>
        <w:rPr>
          <w:color w:val="323232"/>
        </w:rPr>
        <w:t xml:space="preserve">SETTING:Private veterinary referral center.</w:t>
      </w:r>
    </w:p>
    <w:p/>
    <w:p>
      <w:pPr>
        <w:pStyle w:val="Normal"/>
      </w:pPr>
      <w:r>
        <w:rPr>
          <w:color w:val="323232"/>
        </w:rPr>
        <w:t xml:space="preserve">ANIMALS:Twenty client-owned cats.</w:t>
      </w:r>
    </w:p>
    <w:p/>
    <w:p>
      <w:pPr>
        <w:pStyle w:val="Normal"/>
      </w:pPr>
      <w:r>
        <w:rPr>
          <w:color w:val="323232"/>
        </w:rPr>
        <w:t xml:space="preserve">INTERVENTIONS:Doppler blood pressure measurements were obtained and then blood samples were collected from both a cephalic intravenous catheter at the time of placement and from a jugular vein by direct venipuncture.</w:t>
      </w:r>
    </w:p>
    <w:p/>
    <w:p>
      <w:pPr>
        <w:pStyle w:val="Normal"/>
      </w:pPr>
      <w:r>
        <w:rPr>
          <w:color w:val="323232"/>
        </w:rPr>
        <w:t xml:space="preserve">MEASUREMENTS AND MAIN RESULTS:There was no significant difference between the mean cephalic PLC (2.0 mmol</w:t>
      </w:r>
      <w:r>
        <w:rPr>
          <w:i w:val="1"/>
          <w:color w:val="323232"/>
        </w:rPr>
        <w:t xml:space="preserve">L, standard deviation [SD]: 1.1, min-max: 0.6-5.3) and the mean jugular PLC (2.1 mmol</w:t>
      </w:r>
      <w:r>
        <w:rPr>
          <w:color w:val="323232"/>
        </w:rPr>
        <w:t xml:space="preserve">L, SD: 1.6, min-max: 0.7-7.8; P = 0.88) in this population of sick cats. Hypotensive cats also had no significant difference between the mean cephalic PLC (2.8 mmol</w:t>
      </w:r>
      <w:r>
        <w:rPr>
          <w:i w:val="1"/>
          <w:color w:val="323232"/>
        </w:rPr>
        <w:t xml:space="preserve">L, SD: 1.4, min-max: 1.6-5.3) and the mean jugular PLC (3.2 mmol</w:t>
      </w:r>
      <w:r>
        <w:rPr>
          <w:color w:val="323232"/>
        </w:rPr>
        <w:t xml:space="preserve">L, SD: 2.6, min-max: 0.7-7.8; P = 0.77).</w:t>
      </w:r>
    </w:p>
    <w:p/>
    <w:p>
      <w:pPr>
        <w:pStyle w:val="Normal"/>
      </w:pPr>
      <w:r>
        <w:rPr>
          <w:color w:val="323232"/>
        </w:rPr>
        <w:t xml:space="preserve">CONCLUSIONS:There was not a significant difference between cephalic and jugular PLC in this population of sick cats. Further studies are needed to confirm whether cephalic and jugular PLCs may be used interchangeably in sick and hypotensive cats.</w:t>
      </w:r>
    </w:p>
    <w:p/>
    <w:p>
      <w:pPr>
        <w:pStyle w:val="Normal"/>
      </w:pPr>
      <w:r>
        <w:rPr>
          <w:color w:val="323232"/>
        </w:rPr>
        <w:t xml:space="preserve">J Vet Emerg Crit Care (San Antonio), 2017 vol. 27 (2) pp. 193-197.</w:t>
      </w:r>
    </w:p>
    <w:p>
      <w:r>
        <w:rPr>
          <w:rStyle w:val="Hyperlink"/>
        </w:rPr>
        <w:fldChar w:fldCharType="begin"/>
      </w:r>
      <w:r>
        <w:rPr>
          <w:rStyle w:val="Hyperlink"/>
        </w:rPr>
        <w:instrText xml:space="preserve"> HYPERLINK "http://eutils.ncbi.nlm.nih.gov/entrez/eutils/elink.fcgi?dbfrom=pubmed&amp;id=28140511&amp;retmode=ref&amp;cmd=prlinks"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http://eutils.ncbi.nlm.nih.gov/entrez/eutils/elink.fcgi?dbfrom=pubmed&amp;id=28140511&amp;retmode=ref&amp;cmd=prlinks</w:t>
      </w:r>
      <w:r>
        <w:rPr>
          <w:rStyle w:val="Hyperlink"/>
        </w:rPr>
        <w:fldChar w:fldCharType="end"/>
      </w:r>
    </w:p>
    <w:p>
      <w:pPr>
        <w:pStyle w:val="Normal"/>
      </w:pPr>
      <w:r>
        <w:rPr>
          <w:color w:val="323232"/>
        </w:rPr>
        <w:t xml:space="preserve">————————</w:t>
      </w:r>
    </w:p>
    <w:p>
      <w:pPr>
        <w:pStyle w:val="Heading4"/>
      </w:pPr>
      <w:r>
        <w:t xml:space="preserve">Validation of a smartphone-based point-of-care hemoglobin assay for use in dogs.</w:t>
      </w:r>
    </w:p>
    <w:p/>
    <w:p>
      <w:pPr>
        <w:pStyle w:val="Normal"/>
      </w:pPr>
      <w:r>
        <w:rPr>
          <w:color w:val="323232"/>
        </w:rPr>
        <w:t xml:space="preserve">Point-of-care hemoglobin testing in dogs.</w:t>
      </w:r>
    </w:p>
    <w:p>
      <w:pPr>
        <w:pStyle w:val="Normal"/>
      </w:pPr>
      <w:r>
        <w:rPr>
          <w:color w:val="323232"/>
        </w:rPr>
        <w:t xml:space="preserve">Kate S Farrell, Phillip L Chapman, and Lauren A Sullivan.</w:t>
      </w:r>
    </w:p>
    <w:p/>
    <w:p>
      <w:pPr>
        <w:pStyle w:val="Normal"/>
      </w:pPr>
      <w:r>
        <w:rPr>
          <w:color w:val="323232"/>
        </w:rPr>
        <w:t xml:space="preserve">OBJECTIVE:To validate a smartphone-based spectrophotometric assay for point-of-care (POC) measurement of hemoglobin (Hgb) concentration against the standard measurement method in dogs without increases in serum lipemia, hemolysis, or bilirubin.</w:t>
      </w:r>
    </w:p>
    <w:p/>
    <w:p>
      <w:pPr>
        <w:pStyle w:val="Normal"/>
      </w:pPr>
      <w:r>
        <w:rPr>
          <w:color w:val="323232"/>
        </w:rPr>
        <w:t xml:space="preserve">DESIGN:Prospective observational study.</w:t>
      </w:r>
    </w:p>
    <w:p/>
    <w:p>
      <w:pPr>
        <w:pStyle w:val="Normal"/>
      </w:pPr>
      <w:r>
        <w:rPr>
          <w:color w:val="323232"/>
        </w:rPr>
        <w:t xml:space="preserve">SETTING:University teaching hospital.</w:t>
      </w:r>
    </w:p>
    <w:p/>
    <w:p>
      <w:pPr>
        <w:pStyle w:val="Normal"/>
      </w:pPr>
      <w:r>
        <w:rPr>
          <w:color w:val="323232"/>
        </w:rPr>
        <w:t xml:space="preserve">ANIMALS:One hundred thirty-nine dogs that had a CBC and corresponding biochemical profile submitted to the clinical pathology laboratory.</w:t>
      </w:r>
    </w:p>
    <w:p/>
    <w:p>
      <w:pPr>
        <w:pStyle w:val="Normal"/>
      </w:pPr>
      <w:r>
        <w:rPr>
          <w:color w:val="323232"/>
        </w:rPr>
        <w:t xml:space="preserve">INTERVENTIONS:None.</w:t>
      </w:r>
    </w:p>
    <w:p/>
    <w:p>
      <w:pPr>
        <w:pStyle w:val="Normal"/>
      </w:pPr>
      <w:r>
        <w:rPr>
          <w:color w:val="323232"/>
        </w:rPr>
        <w:t xml:space="preserve">MEASUREMENTS AND MAIN RESULTS:Blood tubes submitted for CBC were collected for hemoglobin (Hgb) measurements performed on a POC smartphone device. Each whole blood sample was run on the smartphone in duplicate using 2 strips, for a total of 4 POC Hgb readings per dog. Data collected for each dog included CBC Hgb value, 4 POC Hgb values, and select biochemistry values (bilirubin, lipemia, hemolysis, icterus). A calibration equation was estimated using a weighted linear regression: estimated CBC = (avgPOC-0.4871)</w:t>
      </w:r>
      <w:r>
        <w:rPr>
          <w:i w:val="1"/>
          <w:color w:val="323232"/>
        </w:rPr>
        <w:t xml:space="preserve">1.0015. For each dog, the percent error was computed between estimated and actual Hgb values; 95% of the percent errors ranged from -13.2% to 20.1%. The standard deviation of percent errors was 7.9% overall. When samples were further divided according to CBC Hgb concentration (low, normal or high), the standard deviation of percent error was 6.7% when Hgb&lt;13 g</w:t>
      </w:r>
      <w:r>
        <w:rPr>
          <w:color w:val="323232"/>
        </w:rPr>
        <w:t xml:space="preserve">dL [130 g</w:t>
      </w:r>
      <w:r>
        <w:rPr>
          <w:i w:val="1"/>
          <w:color w:val="323232"/>
        </w:rPr>
        <w:t xml:space="preserve">L], 8.9% when Hgb 13-20 g</w:t>
      </w:r>
      <w:r>
        <w:rPr>
          <w:color w:val="323232"/>
        </w:rPr>
        <w:t xml:space="preserve">dL [130-200 g</w:t>
      </w:r>
      <w:r>
        <w:rPr>
          <w:i w:val="1"/>
          <w:color w:val="323232"/>
        </w:rPr>
        <w:t xml:space="preserve">L], and 6.5% when Hgb&gt;20 g</w:t>
      </w:r>
      <w:r>
        <w:rPr>
          <w:color w:val="323232"/>
        </w:rPr>
        <w:t xml:space="preserve">dL [200 g/L]. The coefficient of variability among the 4 individual POC readings was 3.4%.</w:t>
      </w:r>
    </w:p>
    <w:p/>
    <w:p>
      <w:pPr>
        <w:pStyle w:val="Normal"/>
      </w:pPr>
      <w:r>
        <w:rPr>
          <w:color w:val="323232"/>
        </w:rPr>
        <w:t xml:space="preserve">CONCLUSIONS:A smartphone-based photometric method for measuring Hgb represents a clinically useful POC alternative to a standard laboratory Hgb measurement. There was excellent intrasample reproducibility, and the standard deviation of percent errors was relatively constant across CBC ranges. Additional sampling of patients with a greater range of diseases and biochemical abnormalities that may influence spectrophotometric assays (ie, abnormal bilirubin, icterus, lipemia, hemolysis) is warranted to extend the findings of this study.</w:t>
      </w:r>
    </w:p>
    <w:p/>
    <w:p>
      <w:pPr>
        <w:pStyle w:val="Normal"/>
      </w:pPr>
      <w:r>
        <w:rPr>
          <w:color w:val="323232"/>
        </w:rPr>
        <w:t xml:space="preserve">J Vet Emerg Crit Care (San Antonio), 2017 vol. 27 (2) pp. 206-211.</w:t>
      </w:r>
    </w:p>
    <w:p>
      <w:r>
        <w:rPr>
          <w:rStyle w:val="Hyperlink"/>
        </w:rPr>
        <w:fldChar w:fldCharType="begin"/>
      </w:r>
      <w:r>
        <w:rPr>
          <w:rStyle w:val="Hyperlink"/>
        </w:rPr>
        <w:instrText xml:space="preserve"> HYPERLINK "http://doi.wiley.com/10.1111/vec.12571" </w:instrText>
      </w:r>
      <w:r>
        <w:rPr>
          <w:rStyle w:val="Hyperlink"/>
        </w:rPr>
      </w:r>
      <w:r>
        <w:rPr>
          <w:rStyle w:val="Hyperlink"/>
        </w:rPr>
        <w:fldChar w:fldCharType="separate"/>
      </w:r>
      <w:pPr>
        <w:pStyle w:val="Normal"/>
      </w:pPr>
      <w:r>
        <w:rPr>
          <w:rStyle w:val="Hyperlink"/>
        </w:rPr>
        <w:t xml:space="preserve">http://doi.wiley.com/10.1111/vec.12571</w:t>
      </w:r>
      <w:r>
        <w:rPr>
          <w:rStyle w:val="Hyperlink"/>
        </w:rPr>
        <w:fldChar w:fldCharType="end"/>
      </w:r>
    </w:p>
    <w:p>
      <w:pPr>
        <w:pStyle w:val="Normal"/>
      </w:pPr>
      <w:r>
        <w:rPr>
          <w:color w:val="323232"/>
        </w:rPr>
        <w:t xml:space="preserve">————————</w:t>
      </w:r>
    </w:p>
    <w:p>
      <w:pPr>
        <w:pStyle w:val="Heading4"/>
      </w:pPr>
      <w:r>
        <w:t xml:space="preserve">Acute Inocybe mushroom toxicosis in dogs: 5 cases (2010-2014).</w:t>
      </w:r>
    </w:p>
    <w:p/>
    <w:p>
      <w:pPr>
        <w:pStyle w:val="Normal"/>
      </w:pPr>
      <w:r>
        <w:rPr>
          <w:color w:val="323232"/>
        </w:rPr>
        <w:t xml:space="preserve">Kristin Opdal Seljetun and Anita von Krogh.</w:t>
      </w:r>
    </w:p>
    <w:p/>
    <w:p>
      <w:pPr>
        <w:pStyle w:val="Normal"/>
      </w:pPr>
      <w:r>
        <w:rPr>
          <w:color w:val="323232"/>
        </w:rPr>
        <w:t xml:space="preserve">OBJECTIVE:To describe the clinical course, treatment, and outcome of 5 dogs following ingestion of mushrooms belonging to the Inocybe genus.</w:t>
      </w:r>
    </w:p>
    <w:p/>
    <w:p>
      <w:pPr>
        <w:pStyle w:val="Normal"/>
      </w:pPr>
      <w:r>
        <w:rPr>
          <w:color w:val="323232"/>
        </w:rPr>
        <w:t xml:space="preserve">CASE SERIES SUMMARY:Five dogs with witnessed Inocybe ingestions were presented with clinical signs compatible with poisoning. Vomiting, ptyalism, diarrhea, depression, and tachycardia were common clinical findings in the dogs in this case series. The prognosis with Inocybe toxicosis appears to be excellent as all dogs fully recovered following supportive care.</w:t>
      </w:r>
    </w:p>
    <w:p/>
    <w:p>
      <w:pPr>
        <w:pStyle w:val="Normal"/>
      </w:pPr>
      <w:r>
        <w:rPr>
          <w:color w:val="323232"/>
        </w:rPr>
        <w:t xml:space="preserve">NEW OR UNIQUE INFORMATION PROVIDED:This is the first reported case series of Inocybe mushroom ingestions in dogs where identification of the mushrooms were confirmed by an expert mycologist.</w:t>
      </w:r>
    </w:p>
    <w:p/>
    <w:p>
      <w:pPr>
        <w:pStyle w:val="Normal"/>
      </w:pPr>
      <w:r>
        <w:rPr>
          <w:color w:val="323232"/>
        </w:rPr>
        <w:t xml:space="preserve">J Vet Emerg Crit Care (San Antonio), 2017 vol. 27 (2) pp. 212-217.</w:t>
      </w:r>
    </w:p>
    <w:p>
      <w:r>
        <w:rPr>
          <w:rStyle w:val="Hyperlink"/>
        </w:rPr>
        <w:fldChar w:fldCharType="begin"/>
      </w:r>
      <w:r>
        <w:rPr>
          <w:rStyle w:val="Hyperlink"/>
        </w:rPr>
        <w:instrText xml:space="preserve"> HYPERLINK "http://eutils.ncbi.nlm.nih.gov/entrez/eutils/elink.fcgi?dbfrom=pubmed&amp;id=28146341&amp;retmode=ref&amp;cmd=prlinks"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http://eutils.ncbi.nlm.nih.gov/entrez/eutils/elink.fcgi?dbfrom=pubmed&amp;id=28146341&amp;retmode=ref&amp;cmd=prlinks</w:t>
      </w:r>
      <w:r>
        <w:rPr>
          <w:rStyle w:val="Hyperlink"/>
        </w:rPr>
        <w:fldChar w:fldCharType="end"/>
      </w:r>
    </w:p>
    <w:p>
      <w:pPr>
        <w:pStyle w:val="Normal"/>
      </w:pPr>
      <w:r>
        <w:rPr>
          <w:color w:val="323232"/>
        </w:rPr>
        <w:t xml:space="preserve">————————</w:t>
      </w:r>
    </w:p>
    <w:p>
      <w:pPr>
        <w:pStyle w:val="Heading4"/>
      </w:pPr>
      <w:r>
        <w:t xml:space="preserve">Ultrasound-guided intracardiac xenotransfusion of canine packed red blood cells and epinephrine to the left ventricle of a severely anemic cat during cardiopulmonary resuscitation.</w:t>
      </w:r>
    </w:p>
    <w:p/>
    <w:p>
      <w:pPr>
        <w:pStyle w:val="Normal"/>
      </w:pPr>
      <w:r>
        <w:rPr>
          <w:color w:val="323232"/>
        </w:rPr>
        <w:t xml:space="preserve">Ultrasound-guided intracardiac xenotransfusion.</w:t>
      </w:r>
    </w:p>
    <w:p>
      <w:pPr>
        <w:pStyle w:val="Normal"/>
      </w:pPr>
      <w:r>
        <w:rPr>
          <w:color w:val="323232"/>
        </w:rPr>
        <w:t xml:space="preserve">Liron Oron, Yaron Bruchim, Sigal Klainbart, and Efrat Kelmer.</w:t>
      </w:r>
    </w:p>
    <w:p/>
    <w:p>
      <w:pPr>
        <w:pStyle w:val="Normal"/>
      </w:pPr>
      <w:r>
        <w:rPr>
          <w:color w:val="323232"/>
        </w:rPr>
        <w:t xml:space="preserve">OBJECTIVE:To describe the use of an ultrasound-guided intracardiac xenotransfusion of canine packed red blood cells (pRBC) to the left ventricle of a severely anemic cat during cardiopulmonary resuscitation (CPR).</w:t>
      </w:r>
    </w:p>
    <w:p/>
    <w:p>
      <w:pPr>
        <w:pStyle w:val="Normal"/>
      </w:pPr>
      <w:r>
        <w:rPr>
          <w:color w:val="323232"/>
        </w:rPr>
        <w:t xml:space="preserve">CASE SUMMARY:An 8-year-old previously healthy neutered female cat was presented with severe weakness after she had disappeared for 1 month. On presentation, the cat was in hypovolemic shock, laterally recumbent, and severely anemic with massive flea infestation. Within minutes of admission, the cat became agonal and suffered cardiopulmonary arrest. CPR was immediately initiated; however, attempts to gain IV access during CPR were unsuccessful. As the cat's blood type was yet unknown, 10 mL of canine pRBC was transfused directly into the left ventricular chamber using ultrasound guidance, as well as 0.02 mg</w:t>
      </w:r>
      <w:r>
        <w:rPr>
          <w:i w:val="1"/>
          <w:color w:val="323232"/>
        </w:rPr>
        <w:t xml:space="preserve">kg of epinephrine using a similar technique. The cat regained cardiac activity and once the jugular vein was cannulated it received 20 additional mL of canine pRBC intravenously. The packed cell volume and total plasma protein following the intracardiac transfusion were 0.09 L</w:t>
      </w:r>
      <w:r>
        <w:rPr>
          <w:color w:val="323232"/>
        </w:rPr>
        <w:t xml:space="preserve">L [9%] and 30 g</w:t>
      </w:r>
      <w:r>
        <w:rPr>
          <w:i w:val="1"/>
          <w:color w:val="323232"/>
        </w:rPr>
        <w:t xml:space="preserve">L [3.0 g</w:t>
      </w:r>
      <w:r>
        <w:rPr>
          <w:color w:val="323232"/>
        </w:rPr>
        <w:t xml:space="preserve">dL], respectively. Subsequent blood typing revealed the cat had type B blood. The cat was discharged 3 days post-CPR and was alive and doing well 3 months following discharge.</w:t>
      </w:r>
    </w:p>
    <w:p/>
    <w:p>
      <w:pPr>
        <w:pStyle w:val="Normal"/>
      </w:pPr>
      <w:r>
        <w:rPr>
          <w:color w:val="323232"/>
        </w:rPr>
        <w:t xml:space="preserve">NEW OR UNIQUE INFORMATION PROVIDED:This is the first reported case of ultrasound-guided intracardiac canine-to-feline xenotransfusion during CPR.</w:t>
      </w:r>
    </w:p>
    <w:p/>
    <w:p>
      <w:pPr>
        <w:pStyle w:val="Normal"/>
      </w:pPr>
      <w:r>
        <w:rPr>
          <w:color w:val="323232"/>
        </w:rPr>
        <w:t xml:space="preserve">J Vet Emerg Crit Care (San Antonio), 2017 vol. 27 (2) pp. 218-223.</w:t>
      </w:r>
    </w:p>
    <w:p>
      <w:r>
        <w:rPr>
          <w:rStyle w:val="Hyperlink"/>
        </w:rPr>
        <w:fldChar w:fldCharType="begin"/>
      </w:r>
      <w:r>
        <w:rPr>
          <w:rStyle w:val="Hyperlink"/>
        </w:rPr>
        <w:instrText xml:space="preserve"> HYPERLINK "http://doi.wiley.com/10.1111/vec.12565" </w:instrText>
      </w:r>
      <w:r>
        <w:rPr>
          <w:rStyle w:val="Hyperlink"/>
        </w:rPr>
      </w:r>
      <w:r>
        <w:rPr>
          <w:rStyle w:val="Hyperlink"/>
        </w:rPr>
        <w:fldChar w:fldCharType="separate"/>
      </w:r>
      <w:pPr>
        <w:pStyle w:val="Normal"/>
      </w:pPr>
      <w:r>
        <w:rPr>
          <w:rStyle w:val="Hyperlink"/>
        </w:rPr>
        <w:t xml:space="preserve">http://doi.wiley.com/10.1111/vec.12565</w:t>
      </w:r>
      <w:r>
        <w:rPr>
          <w:rStyle w:val="Hyperlink"/>
        </w:rPr>
        <w:fldChar w:fldCharType="end"/>
      </w:r>
    </w:p>
    <w:p>
      <w:pPr>
        <w:pStyle w:val="Normal"/>
      </w:pPr>
      <w:r>
        <w:rPr>
          <w:color w:val="323232"/>
        </w:rPr>
        <w:t xml:space="preserve">————————</w:t>
      </w:r>
    </w:p>
    <w:p>
      <w:pPr>
        <w:pStyle w:val="Heading4"/>
      </w:pPr>
      <w:r>
        <w:t xml:space="preserve">Clearance of plasma ivermectin with single pass lipid dialysis in 2 dogs.</w:t>
      </w:r>
    </w:p>
    <w:p/>
    <w:p>
      <w:pPr>
        <w:pStyle w:val="Normal"/>
      </w:pPr>
      <w:r>
        <w:rPr>
          <w:color w:val="323232"/>
        </w:rPr>
        <w:t xml:space="preserve">Lipid dialysis for ivermectin toxicosis.</w:t>
      </w:r>
    </w:p>
    <w:p>
      <w:pPr>
        <w:pStyle w:val="Normal"/>
      </w:pPr>
      <w:r>
        <w:rPr>
          <w:color w:val="323232"/>
        </w:rPr>
        <w:t xml:space="preserve">Leonel A Londoño, Gareth J Buckley, Luiz Bolfer, and Carsten Bandt.</w:t>
      </w:r>
    </w:p>
    <w:p/>
    <w:p>
      <w:pPr>
        <w:pStyle w:val="Normal"/>
      </w:pPr>
      <w:r>
        <w:rPr>
          <w:color w:val="323232"/>
        </w:rPr>
        <w:t xml:space="preserve">OBJECTIVE:To describe the use of single pass lipid dialysis (SPLD) for treatment of ivermectin toxicosis in 2 Australian Shepherd dogs with the ABCB1-1Δ gene mutation.</w:t>
      </w:r>
    </w:p>
    <w:p/>
    <w:p>
      <w:pPr>
        <w:pStyle w:val="Normal"/>
      </w:pPr>
      <w:r>
        <w:rPr>
          <w:color w:val="323232"/>
        </w:rPr>
        <w:t xml:space="preserve">CASE SERIES SUMMARY:Two Australian Shepherd dogs were presented for treatment of ivermectin toxicosis. Dogs were initially treated with intravenous lipid emulsion and supportive care, without improvement of clinical signs. They both developed respiratory paralysis and required mechanical ventilation. In order to increase the clearance of circulating ivermectin, SPLD was performed using dialysate containing 5% lipid. Blood samples were obtained immediately before and after dialysis and analyzed for serum ivermectin concentration. Ivermectin reduction ratio was calculated at 29% and 39% for each dog, respectively. When compared to intrinsic total body ivermectin clearance, only the second dog had a relative improvement of plasma clearance following SPLD. Both dogs were confirmed to be homozygous for ABCB1-1Δ gene mutations. Both dogs remained ventilator dependent for several days and ultimately made a full recovery.</w:t>
      </w:r>
    </w:p>
    <w:p/>
    <w:p>
      <w:pPr>
        <w:pStyle w:val="Normal"/>
      </w:pPr>
      <w:r>
        <w:rPr>
          <w:color w:val="323232"/>
        </w:rPr>
        <w:t xml:space="preserve">NEW OR UNIQUE INFORMATION PROVIDED:SPLD may be an adjunctive detoxification strategy for highly lipophilic toxins such as ivermectin.</w:t>
      </w:r>
    </w:p>
    <w:p/>
    <w:p>
      <w:pPr>
        <w:pStyle w:val="Normal"/>
      </w:pPr>
      <w:r>
        <w:rPr>
          <w:color w:val="323232"/>
        </w:rPr>
        <w:t xml:space="preserve">J Vet Emerg Crit Care (San Antonio), 2017 vol. 27 (2) pp. 232-237.</w:t>
      </w:r>
    </w:p>
    <w:p>
      <w:r>
        <w:rPr>
          <w:rStyle w:val="Hyperlink"/>
        </w:rPr>
        <w:fldChar w:fldCharType="begin"/>
      </w:r>
      <w:r>
        <w:rPr>
          <w:rStyle w:val="Hyperlink"/>
        </w:rPr>
        <w:instrText xml:space="preserve"> HYPERLINK "http://doi.wiley.com/10.1111/vec.12581" </w:instrText>
      </w:r>
      <w:r>
        <w:rPr>
          <w:rStyle w:val="Hyperlink"/>
        </w:rPr>
      </w:r>
      <w:r>
        <w:rPr>
          <w:rStyle w:val="Hyperlink"/>
        </w:rPr>
        <w:fldChar w:fldCharType="separate"/>
      </w:r>
      <w:pPr>
        <w:pStyle w:val="Normal"/>
      </w:pPr>
      <w:r>
        <w:rPr>
          <w:rStyle w:val="Hyperlink"/>
        </w:rPr>
        <w:t xml:space="preserve">http://doi.wiley.com/10.1111/vec.12581</w:t>
      </w:r>
      <w:r>
        <w:rPr>
          <w:rStyle w:val="Hyperlink"/>
        </w:rPr>
        <w:fldChar w:fldCharType="end"/>
      </w:r>
    </w:p>
    <w:p>
      <w:pPr>
        <w:pStyle w:val="Normal"/>
      </w:pPr>
      <w:r>
        <w:rPr>
          <w:color w:val="323232"/>
        </w:rPr>
        <w:t xml:space="preserve">————————</w:t>
      </w:r>
    </w:p>
    <w:p>
      <w:pPr>
        <w:pStyle w:val="Heading4"/>
      </w:pPr>
      <w:r>
        <w:t xml:space="preserve">Successful medical management of a domestic longhair cat with subdural intracranial empyema and multifocal pneumonia.</w:t>
      </w:r>
    </w:p>
    <w:p/>
    <w:p>
      <w:pPr>
        <w:pStyle w:val="Normal"/>
      </w:pPr>
      <w:r>
        <w:rPr>
          <w:color w:val="323232"/>
        </w:rPr>
        <w:t xml:space="preserve">Thomas J A Cardy, Richard Lam, Laureen M Peters, Philippa J McLaren, Màrian Matas Riera, and Steven De Decker.</w:t>
      </w:r>
    </w:p>
    <w:p/>
    <w:p>
      <w:pPr>
        <w:pStyle w:val="Normal"/>
      </w:pPr>
      <w:r>
        <w:rPr>
          <w:color w:val="323232"/>
        </w:rPr>
        <w:t xml:space="preserve">OBJECTIVE:To describe a case of successful medical management of subdural intracranial empyema and multifocal pneumonia in a domestic longhaired cat.</w:t>
      </w:r>
    </w:p>
    <w:p/>
    <w:p>
      <w:pPr>
        <w:pStyle w:val="Normal"/>
      </w:pPr>
      <w:r>
        <w:rPr>
          <w:color w:val="323232"/>
        </w:rPr>
        <w:t xml:space="preserve">CASE SUMMARY:A 7-year-and-8-month-old male neutered domestic longhair cat presented with tachypnea, respiratory compromise, vestibular ataxia, obtundation, left-sided head tilt, and multiple cranial nerve deficits. Neuroanatomical localization was multifocal with central vestibular involvement. Magnetic resonance imaging of the head indicated diffuse subdural empyema, mainly affecting the middle cranial fossa and the right cerebrum. Analysis of cerebrospinal fluid revealed degenerate neutrophils with a mixed population of intracellular bacilli. Computed tomography (CT) of the thorax was suggestive for multifocal pneumonia. Aggressive medical management with IV fluids, oxygen supplementation, mannitol boluses, dexamethasone, and broad-spectrum antimicrobials was initiated. The cat demonstrated gradual improvement within 24 hours following initiation of treatment. General physical and neurological examinations, 9 weeks after initiating treatment, did not reveal any abnormalities. A CT examination performed at this time revealed resolution of the cat's pulmonary lesions. The cat was still free of clinical signs, 9 months after treatment was started.</w:t>
      </w:r>
    </w:p>
    <w:p/>
    <w:p>
      <w:pPr>
        <w:pStyle w:val="Normal"/>
      </w:pPr>
      <w:r>
        <w:rPr>
          <w:color w:val="323232"/>
        </w:rPr>
        <w:t xml:space="preserve">NEW OR UNIQUE INFORMATION PROVIDED:Subdural empyema is infrequently reported in cats and has high mortality rates even following surgical treatment. To the authors' knowledge, this is the first reported case of successful medical management of a cat with subdural empyema and suggests that aggressive medical management should be attempted in cats that are not considered surgical candidates.</w:t>
      </w:r>
    </w:p>
    <w:p/>
    <w:p>
      <w:pPr>
        <w:pStyle w:val="Normal"/>
      </w:pPr>
      <w:r>
        <w:rPr>
          <w:color w:val="323232"/>
        </w:rPr>
        <w:t xml:space="preserve">J Vet Emerg Crit Care (San Antonio), 2017 vol. 27 (2) pp. 238-242.</w:t>
      </w:r>
    </w:p>
    <w:p>
      <w:r>
        <w:rPr>
          <w:rStyle w:val="Hyperlink"/>
        </w:rPr>
        <w:fldChar w:fldCharType="begin"/>
      </w:r>
      <w:r>
        <w:rPr>
          <w:rStyle w:val="Hyperlink"/>
        </w:rPr>
        <w:instrText xml:space="preserve"> HYPERLINK "http://eutils.ncbi.nlm.nih.gov/entrez/eutils/elink.fcgi?dbfrom=pubmed&amp;id=28079960&amp;retmode=ref&amp;cmd=prlinks"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http://eutils.ncbi.nlm.nih.gov/entrez/eutils/elink.fcgi?dbfrom=pubmed&amp;id=28079960&amp;retmode=ref&amp;cmd=prlinks</w:t>
      </w:r>
      <w:r>
        <w:rPr>
          <w:rStyle w:val="Hyperlink"/>
        </w:rPr>
        <w:fldChar w:fldCharType="end"/>
      </w:r>
    </w:p>
    <w:p>
      <w:pPr>
        <w:pStyle w:val="Normal"/>
      </w:pPr>
      <w:r>
        <w:rPr>
          <w:color w:val="323232"/>
        </w:rPr>
        <w:t xml:space="preserve">————————</w:t>
      </w:r>
    </w:p>
    <w:p>
      <w:pPr>
        <w:pStyle w:val="Heading4"/>
      </w:pPr>
      <w:r>
        <w:t xml:space="preserve">Paradoxical bradycardia during surgical caudal vena cava occlusion in an anesthetized dog.</w:t>
      </w:r>
    </w:p>
    <w:p/>
    <w:p>
      <w:pPr>
        <w:pStyle w:val="Normal"/>
      </w:pPr>
      <w:r>
        <w:rPr>
          <w:color w:val="323232"/>
        </w:rPr>
        <w:t xml:space="preserve">Jennifer Davis, Anthea L Raisis, Hildegriet Haitjema, Eleanor A Drynan, and Giselle L Hosgood.</w:t>
      </w:r>
    </w:p>
    <w:p/>
    <w:p>
      <w:pPr>
        <w:pStyle w:val="Normal"/>
      </w:pPr>
      <w:r>
        <w:rPr>
          <w:color w:val="323232"/>
        </w:rPr>
        <w:t xml:space="preserve">OBJECTIVE:To describe the anesthetic management of a dog undergoing caudal vena cava (CVC) occlusion during adrenalectomy, and to discuss a reflex bradycardia that was observed during the procedure.</w:t>
      </w:r>
    </w:p>
    <w:p/>
    <w:p>
      <w:pPr>
        <w:pStyle w:val="Normal"/>
      </w:pPr>
      <w:r>
        <w:rPr>
          <w:color w:val="323232"/>
        </w:rPr>
        <w:t xml:space="preserve">CASE SUMMARY:General anesthesia of a 10-year-old Rhodesian ridgeback for excision of an adrenal mass and associated CVC tumor thrombus was performed. The dog was premedicated with IV methadone and anesthesia was induced with IV alfaxalone and maintained with isoflurane in 100% oxygen. An IV remifentanil infusion was administered for intraoperative analgesia. Surgical removal of the thrombus necessitated temporary complete occlusion of the CVC. During CVC occlusion an acute paradoxical bradycardia occurred, which was successfully treated with IV atropine. The cardiovascular change resembled a Bezold-Jarisch or reverse Bainbridge reflex, and was believed to be mediated by cardiac mechanoreceptors following the sudden decrease in preload. Increased myocardial contractility subsequent to increased sympathetic nervous system activity may also have contributed. A decrease in urine output was observed following CVC occlusion but had returned to normal 2 hours following the end of anesthesia. Recovery from anesthesia was otherwise uneventful.</w:t>
      </w:r>
    </w:p>
    <w:p/>
    <w:p>
      <w:pPr>
        <w:pStyle w:val="Normal"/>
      </w:pPr>
      <w:r>
        <w:rPr>
          <w:color w:val="323232"/>
        </w:rPr>
        <w:t xml:space="preserve">NEW OR UNIQUE INFORMATION PROVIDED:Although the mechanism is unclear, a paradoxical bradycardia may occur during complete CVC occlusion in the dog. Factors that increase sympathetic nervous system outflow, such as administration of dopamine, may have contributed to the occurrence of the reflex.</w:t>
      </w:r>
    </w:p>
    <w:p/>
    <w:p>
      <w:pPr>
        <w:pStyle w:val="Normal"/>
      </w:pPr>
      <w:r>
        <w:rPr>
          <w:color w:val="323232"/>
        </w:rPr>
        <w:t xml:space="preserve">J Vet Emerg Crit Care (San Antonio), 2017 vol. 27 (2) pp. 243-249.</w:t>
      </w:r>
    </w:p>
    <w:p>
      <w:r>
        <w:rPr>
          <w:rStyle w:val="Hyperlink"/>
        </w:rPr>
        <w:fldChar w:fldCharType="begin"/>
      </w:r>
      <w:r>
        <w:rPr>
          <w:rStyle w:val="Hyperlink"/>
        </w:rPr>
        <w:instrText xml:space="preserve"> HYPERLINK "http://eutils.ncbi.nlm.nih.gov/entrez/eutils/elink.fcgi?dbfrom=pubmed&amp;id=28072491&amp;retmode=ref&amp;cmd=prlinks"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http://eutils.ncbi.nlm.nih.gov/entrez/eutils/elink.fcgi?dbfrom=pubmed&amp;id=28072491&amp;retmode=ref&amp;cmd=prlinks</w:t>
      </w:r>
      <w:r>
        <w:rPr>
          <w:rStyle w:val="Hyperlink"/>
        </w:rPr>
        <w:fldChar w:fldCharType="end"/>
      </w:r>
    </w:p>
    <w:p>
      <w:pPr>
        <w:pStyle w:val="Normal"/>
      </w:pPr>
      <w:r>
        <w:rPr>
          <w:color w:val="323232"/>
        </w:rPr>
        <w:t xml:space="preserve">————————</w:t>
      </w:r>
    </w:p>
    <w:p>
      <w:pPr>
        <w:pStyle w:val="Heading4"/>
      </w:pPr>
      <w:r>
        <w:t xml:space="preserve">Prevalence of vomiting in dogs with pericardial effusion.</w:t>
      </w:r>
    </w:p>
    <w:p/>
    <w:p>
      <w:pPr>
        <w:pStyle w:val="Normal"/>
      </w:pPr>
      <w:r>
        <w:rPr>
          <w:color w:val="323232"/>
        </w:rPr>
        <w:t xml:space="preserve">Vomiting in dogs with pericardial effusion.</w:t>
      </w:r>
    </w:p>
    <w:p>
      <w:pPr>
        <w:pStyle w:val="Normal"/>
      </w:pPr>
      <w:r>
        <w:rPr>
          <w:color w:val="323232"/>
        </w:rPr>
        <w:t xml:space="preserve">Rachel Fahey, Elizabeth Rozanski, April Paul, and John E Rush.</w:t>
      </w:r>
    </w:p>
    <w:p/>
    <w:p>
      <w:pPr>
        <w:pStyle w:val="Normal"/>
      </w:pPr>
      <w:r>
        <w:rPr>
          <w:color w:val="323232"/>
        </w:rPr>
        <w:t xml:space="preserve">BACKGROUND:Pericardial effusion (PE) is common in dogs. Clinical signs may be vague until cardiac tamponade and associated cardiovascular decompensation develops. Vomiting has previously been identified in some dogs, but the actual prevalence of vomiting in dogs with PE is unknown. The purpose of this study is to report the prevalence of vomiting associated with PE, and to determine if vomiting is associated with the underlying cause of effusion, presenting plasma lactate concentration, or volume of PE removed.</w:t>
      </w:r>
    </w:p>
    <w:p/>
    <w:p>
      <w:pPr>
        <w:pStyle w:val="Normal"/>
      </w:pPr>
      <w:r>
        <w:rPr>
          <w:color w:val="323232"/>
        </w:rPr>
        <w:t xml:space="preserve">KEY FINDINGS:The medical records of 49 dogs diagnosed with PE were restrospectively reviewed. Data collected from the medical record included signalment, the presence or absence of vomiting, presenting plasma lactate concentration, and the etiology of the PE. Twenty-five of 49 dogs (51%) identified with PE had recently vomited. Vomiting was more common in dogs with presenting plasma lactate concentration &gt; 5.0 mmol/ L (P = 0.02) but was unrelated to the specific etiology of the PE. The volume of PE obtained via pericardiocentesis did not differ (P = 0.79) between dogs with (8.7 ± 3.4 mL/ kg) and without historical vomiting (9.1 ± 4.3 mL/ kg).</w:t>
      </w:r>
    </w:p>
    <w:p/>
    <w:p>
      <w:pPr>
        <w:pStyle w:val="Normal"/>
      </w:pPr>
      <w:r>
        <w:rPr>
          <w:color w:val="323232"/>
        </w:rPr>
        <w:t xml:space="preserve">SIGNIFICANCE:Vomiting is common in dogs with PE, and in particular, dogs with evidence of hypoperfusion. Pericardial effusion should be included as a differential diagnosis in dogs with a history of vomiting that present with weakness or collapse.</w:t>
      </w:r>
    </w:p>
    <w:p/>
    <w:p>
      <w:pPr>
        <w:pStyle w:val="Normal"/>
      </w:pPr>
      <w:r>
        <w:rPr>
          <w:color w:val="323232"/>
        </w:rPr>
        <w:t xml:space="preserve">J Vet Emerg Crit Care (San Antonio), 2017 vol. 27 (2) pp. 250-252.</w:t>
      </w:r>
    </w:p>
    <w:p>
      <w:r>
        <w:rPr>
          <w:rStyle w:val="Hyperlink"/>
        </w:rPr>
        <w:fldChar w:fldCharType="begin"/>
      </w:r>
      <w:r>
        <w:rPr>
          <w:rStyle w:val="Hyperlink"/>
        </w:rPr>
        <w:instrText xml:space="preserve"> HYPERLINK "http://doi.wiley.com/10.1111/vec.12570" </w:instrText>
      </w:r>
      <w:r>
        <w:rPr>
          <w:rStyle w:val="Hyperlink"/>
        </w:rPr>
      </w:r>
      <w:r>
        <w:rPr>
          <w:rStyle w:val="Hyperlink"/>
        </w:rPr>
        <w:fldChar w:fldCharType="separate"/>
      </w:r>
      <w:pPr>
        <w:pStyle w:val="Normal"/>
      </w:pPr>
      <w:r>
        <w:rPr>
          <w:rStyle w:val="Hyperlink"/>
        </w:rPr>
        <w:t xml:space="preserve">http://doi.wiley.com/10.1111/vec.12570</w:t>
      </w:r>
      <w:r>
        <w:rPr>
          <w:rStyle w:val="Hyperlink"/>
        </w:rPr>
        <w:fldChar w:fldCharType="end"/>
      </w:r>
    </w:p>
    <w:p>
      <w:pPr>
        <w:pStyle w:val="Normal"/>
      </w:pPr>
      <w:r>
        <w:rPr>
          <w:color w:val="323232"/>
        </w:rPr>
        <w:t xml:space="preserve">————————</w:t>
      </w:r>
    </w:p>
    <w:p>
      <w:pPr>
        <w:pStyle w:val="Heading4"/>
      </w:pPr>
      <w:r>
        <w:t xml:space="preserve">Comparison of the efficacy of small and large-bore thoracostomy tubes for pleural space evacuation in canine cadavers.</w:t>
      </w:r>
    </w:p>
    <w:p/>
    <w:p>
      <w:pPr>
        <w:pStyle w:val="Normal"/>
      </w:pPr>
      <w:r>
        <w:rPr>
          <w:color w:val="323232"/>
        </w:rPr>
        <w:t xml:space="preserve">Tara J Fetzer, Julie M Walker, and Jonathan F Bach.</w:t>
      </w:r>
    </w:p>
    <w:p/>
    <w:p>
      <w:pPr>
        <w:pStyle w:val="Normal"/>
      </w:pPr>
      <w:r>
        <w:rPr>
          <w:color w:val="323232"/>
        </w:rPr>
        <w:t xml:space="preserve">OBJECTIVE:To determine if there is a difference in the amounts of air (A), low-viscosity fluid (LV), or high-viscosity fluid (HV) that can be aspirated from the pleural cavity of canine cadavers using small-bore (SB) or large-bore (LB) thoracostomy tubes.</w:t>
      </w:r>
    </w:p>
    <w:p/>
    <w:p>
      <w:pPr>
        <w:pStyle w:val="Normal"/>
      </w:pPr>
      <w:r>
        <w:rPr>
          <w:color w:val="323232"/>
        </w:rPr>
        <w:t xml:space="preserve">DESIGN:Prospective experimental ex vivo study.</w:t>
      </w:r>
    </w:p>
    <w:p/>
    <w:p>
      <w:pPr>
        <w:pStyle w:val="Normal"/>
      </w:pPr>
      <w:r>
        <w:rPr>
          <w:color w:val="323232"/>
        </w:rPr>
        <w:t xml:space="preserve">SETTING:University teaching hospital.</w:t>
      </w:r>
    </w:p>
    <w:p/>
    <w:p>
      <w:pPr>
        <w:pStyle w:val="Normal"/>
      </w:pPr>
      <w:r>
        <w:rPr>
          <w:color w:val="323232"/>
        </w:rPr>
        <w:t xml:space="preserve">ANIMALS:Thirty-six canine cadavers.</w:t>
      </w:r>
    </w:p>
    <w:p/>
    <w:p>
      <w:pPr>
        <w:pStyle w:val="Normal"/>
      </w:pPr>
      <w:r>
        <w:rPr>
          <w:color w:val="323232"/>
        </w:rPr>
        <w:t xml:space="preserve">INTERVENTIONS:Each cadaver was randomly assigned to 1 of 6 groups (SB-A, LB-A, SB-LV, LB-LV, SB-HV, LB-HV). In each cadaver bilateral thoracostomy tubes (either SB or LB) were placed and 20 mL/kg of air, LV fluid, or HV fluid was instilled via 1 thoracostomy tube. Both tubes were aspirated and the volume aspirated was recorded and analyzed as a percentage of instilled air or fluid volume. The procedure was repeated on the contralateral hemithorax.</w:t>
      </w:r>
    </w:p>
    <w:p/>
    <w:p>
      <w:pPr>
        <w:pStyle w:val="Normal"/>
      </w:pPr>
      <w:r>
        <w:rPr>
          <w:color w:val="323232"/>
        </w:rPr>
        <w:t xml:space="preserve">MEASUREMENTS AND MAIN RESULTS:There was no significant difference in air or fluid recovery when SB and LB groups were compared. Median (range) air recovery volumes in the SB-A and LB-A groups were 101.5% (94.4-115.8%) and 102.8% (94.1-107.8%), respectively (P = 0.898). Recovery of LV fluid was 93.5% (79.2-99.0%) for SB-LV and 85.8% (77.1-101.8%) for LB-LV cadavers (P = 0.305) and recovery percentages of HV fluid were 92.6% (86.1-96.2%) and 91.4% (74.2-96.4%) for SB-HV and LB-HV groups, respectively (P &gt; 0.999). There was no significant difference between SB and LB groups when all substances were combined (94.1% [79.2-115.8%] and 93.5% [74.2-107.8%], respectively, P = 0.557).</w:t>
      </w:r>
    </w:p>
    <w:p/>
    <w:p>
      <w:pPr>
        <w:pStyle w:val="Normal"/>
      </w:pPr>
      <w:r>
        <w:rPr>
          <w:color w:val="323232"/>
        </w:rPr>
        <w:t xml:space="preserve">CONCLUSIONS:SB and LB thoracostomy tubes demonstrated similar efficacy in removing known amounts of air, LV fluid, and HV fluid from the pleural space of canine cadavers. Further study is necessary to determine if SB and LB thoracostomy tubes demonstrate similar efficacy in clinical veterinary patients.</w:t>
      </w:r>
    </w:p>
    <w:p/>
    <w:p>
      <w:pPr>
        <w:pStyle w:val="Normal"/>
      </w:pPr>
      <w:r>
        <w:rPr>
          <w:color w:val="323232"/>
        </w:rPr>
        <w:t xml:space="preserve">J Vet Emerg Crit Care (San Antonio), 2017 vol. 27 (3) pp. 301-306.</w:t>
      </w:r>
    </w:p>
    <w:p>
      <w:r>
        <w:rPr>
          <w:rStyle w:val="Hyperlink"/>
        </w:rPr>
        <w:fldChar w:fldCharType="begin"/>
      </w:r>
      <w:r>
        <w:rPr>
          <w:rStyle w:val="Hyperlink"/>
        </w:rPr>
        <w:instrText xml:space="preserve"> HYPERLINK "http://eutils.ncbi.nlm.nih.gov/entrez/eutils/elink.fcgi?dbfrom=pubmed&amp;id=28253440&amp;retmode=ref&amp;cmd=prlinks"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http://eutils.ncbi.nlm.nih.gov/entrez/eutils/elink.fcgi?dbfrom=pubmed&amp;id=28253440&amp;retmode=ref&amp;cmd=prlinks</w:t>
      </w:r>
      <w:r>
        <w:rPr>
          <w:rStyle w:val="Hyperlink"/>
        </w:rPr>
        <w:fldChar w:fldCharType="end"/>
      </w:r>
    </w:p>
    <w:p>
      <w:pPr>
        <w:pStyle w:val="Normal"/>
      </w:pPr>
      <w:r>
        <w:rPr>
          <w:color w:val="323232"/>
        </w:rPr>
        <w:t xml:space="preserve">————————</w:t>
      </w:r>
    </w:p>
    <w:p>
      <w:pPr>
        <w:pStyle w:val="Heading4"/>
      </w:pPr>
      <w:r>
        <w:t xml:space="preserve">Measurement of plasma cell-free DNA concentrations in dogs with sepsis, trauma, and neoplasia.</w:t>
      </w:r>
    </w:p>
    <w:p/>
    <w:p>
      <w:pPr>
        <w:pStyle w:val="Normal"/>
      </w:pPr>
      <w:r>
        <w:rPr>
          <w:color w:val="323232"/>
        </w:rPr>
        <w:t xml:space="preserve">Jo-Annie Letendre and Robert Goggs.</w:t>
      </w:r>
    </w:p>
    <w:p/>
    <w:p>
      <w:pPr>
        <w:pStyle w:val="Normal"/>
      </w:pPr>
      <w:r>
        <w:rPr>
          <w:color w:val="323232"/>
        </w:rPr>
        <w:t xml:space="preserve">OBJECTIVES:To determine if cell-free DNA (cfDNA) was identifiable in canine plasma, to evaluate 3 techniques for the measurement of plasma cfDNA concentrations in dogs presented to an emergency service, and to compare the plasma cfDNA concentrations of healthy dogs to those with sepsis, trauma, and neoplasia.</w:t>
      </w:r>
    </w:p>
    <w:p/>
    <w:p>
      <w:pPr>
        <w:pStyle w:val="Normal"/>
      </w:pPr>
      <w:r>
        <w:rPr>
          <w:color w:val="323232"/>
        </w:rPr>
        <w:t xml:space="preserve">DESIGN:Retrospective study of banked canine plasma samples collected between May 2014 and December 2014.</w:t>
      </w:r>
    </w:p>
    <w:p/>
    <w:p>
      <w:pPr>
        <w:pStyle w:val="Normal"/>
      </w:pPr>
      <w:r>
        <w:rPr>
          <w:color w:val="323232"/>
        </w:rPr>
        <w:t xml:space="preserve">SETTING:Dogs presented to the emergency service of a university veterinary teaching hospital.</w:t>
      </w:r>
    </w:p>
    <w:p/>
    <w:p>
      <w:pPr>
        <w:pStyle w:val="Normal"/>
      </w:pPr>
      <w:r>
        <w:rPr>
          <w:color w:val="323232"/>
        </w:rPr>
        <w:t xml:space="preserve">ANIMALS:Plasma cfDNA was measured on residual plasma samples obtained from 15 dogs with sepsis, 15 dogs with moderate-severe trauma, 15 dogs diagnosed with a sarcoma. Plasma cfDNA was also measured in 15 healthy dogs.</w:t>
      </w:r>
    </w:p>
    <w:p/>
    <w:p>
      <w:pPr>
        <w:pStyle w:val="Normal"/>
      </w:pPr>
      <w:r>
        <w:rPr>
          <w:color w:val="323232"/>
        </w:rPr>
        <w:t xml:space="preserve">INTERVENTIONS:None.</w:t>
      </w:r>
    </w:p>
    <w:p/>
    <w:p>
      <w:pPr>
        <w:pStyle w:val="Normal"/>
      </w:pPr>
      <w:r>
        <w:rPr>
          <w:color w:val="323232"/>
        </w:rPr>
        <w:t xml:space="preserve">MEASUREMENTS AND MAIN RESULTS:Assay linearity, repeatability, and reproducibility were evaluated. Quantification of cfDNA was performed in duplicate on diluted citrated plasma and following DNA purification using 2 fluorescence assays (SYBR-Gold; Quant-iT) and by ultraviolet absorbance spectroscopy. Fluorescence intensities (FIs) were converted to cfDNA concentrations using standard curves. Median FI values and cfDNA concentrations were compared to healthy controls using the Kruskal-Wallis test, with adjustment for multiple comparisons. Alpha was set at 0.05. Both assays had excellent linearity, and acceptable repeatability and reproducibility. Compared to controls, plasma cfDNA concentrations were significantly increased in dogs with sepsis or moderate-severe trauma with both assays (P ≤ 0.003). Dogs with neoplasia had significantly increased cfDNA concentrations with the Quant-iT assay only (P = 0.003). When measurements were performed on purified DNA, only dogs with moderate-severe trauma had significantly increased cfDNA concentrations (P &lt; 0.001; SYBR-Gold assay).</w:t>
      </w:r>
    </w:p>
    <w:p/>
    <w:p>
      <w:pPr>
        <w:pStyle w:val="Normal"/>
      </w:pPr>
      <w:r>
        <w:rPr>
          <w:color w:val="323232"/>
        </w:rPr>
        <w:t xml:space="preserve">CONCLUSIONS:cfDNA can be readily identified in canine plasma using 2 fluorescence assays. DNA extraction offers no advantage over direct measurement. Compared to healthy controls, dogs with sepsis or moderate-severe trauma have significantly increased plasma cfDNA concentrations.</w:t>
      </w:r>
    </w:p>
    <w:p/>
    <w:p>
      <w:pPr>
        <w:pStyle w:val="Normal"/>
      </w:pPr>
      <w:r>
        <w:rPr>
          <w:color w:val="323232"/>
        </w:rPr>
        <w:t xml:space="preserve">J Vet Emerg Crit Care (San Antonio), 2017 vol. 27 (3) pp. 307-314.</w:t>
      </w:r>
    </w:p>
    <w:p>
      <w:r>
        <w:rPr>
          <w:rStyle w:val="Hyperlink"/>
        </w:rPr>
        <w:fldChar w:fldCharType="begin"/>
      </w:r>
      <w:r>
        <w:rPr>
          <w:rStyle w:val="Hyperlink"/>
        </w:rPr>
        <w:instrText xml:space="preserve"> HYPERLINK "http://eutils.ncbi.nlm.nih.gov/entrez/eutils/elink.fcgi?dbfrom=pubmed&amp;id=28295988&amp;retmode=ref&amp;cmd=prlinks"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http://eutils.ncbi.nlm.nih.gov/entrez/eutils/elink.fcgi?dbfrom=pubmed&amp;id=28295988&amp;retmode=ref&amp;cmd=prlinks</w:t>
      </w:r>
      <w:r>
        <w:rPr>
          <w:rStyle w:val="Hyperlink"/>
        </w:rPr>
        <w:fldChar w:fldCharType="end"/>
      </w:r>
    </w:p>
    <w:p>
      <w:pPr>
        <w:pStyle w:val="Normal"/>
      </w:pPr>
      <w:r>
        <w:rPr>
          <w:color w:val="323232"/>
        </w:rPr>
        <w:t xml:space="preserve">————————</w:t>
      </w:r>
    </w:p>
    <w:p>
      <w:pPr>
        <w:pStyle w:val="Heading4"/>
      </w:pPr>
      <w:r>
        <w:t xml:space="preserve">Hemostatic abnormalities in dogs with naturally occurring heatstroke.</w:t>
      </w:r>
    </w:p>
    <w:p/>
    <w:p>
      <w:pPr>
        <w:pStyle w:val="Normal"/>
      </w:pPr>
      <w:r>
        <w:rPr>
          <w:color w:val="323232"/>
        </w:rPr>
        <w:t xml:space="preserve">Yaron Bruchim, Efrat Kelmer, Adar Cohen, Carolina Codner, Gilad Segev, and Itamar Aroch.</w:t>
      </w:r>
    </w:p>
    <w:p/>
    <w:p>
      <w:pPr>
        <w:pStyle w:val="Normal"/>
      </w:pPr>
      <w:r>
        <w:rPr>
          <w:color w:val="323232"/>
        </w:rPr>
        <w:t xml:space="preserve">OBJECTIVE:To investigate hemostatic analyte abnormalities and their association with mortality in dogs with naturally occurring heatstroke.</w:t>
      </w:r>
    </w:p>
    <w:p/>
    <w:p>
      <w:pPr>
        <w:pStyle w:val="Normal"/>
      </w:pPr>
      <w:r>
        <w:rPr>
          <w:color w:val="323232"/>
        </w:rPr>
        <w:t xml:space="preserve">DESIGN:Prospective observational study.</w:t>
      </w:r>
    </w:p>
    <w:p/>
    <w:p>
      <w:pPr>
        <w:pStyle w:val="Normal"/>
      </w:pPr>
      <w:r>
        <w:rPr>
          <w:color w:val="323232"/>
        </w:rPr>
        <w:t xml:space="preserve">SETTING:University teaching hospital.</w:t>
      </w:r>
    </w:p>
    <w:p/>
    <w:p>
      <w:pPr>
        <w:pStyle w:val="Normal"/>
      </w:pPr>
      <w:r>
        <w:rPr>
          <w:color w:val="323232"/>
        </w:rPr>
        <w:t xml:space="preserve">ANIMALS:Thirty client-owned dogs with naturally occurring heatstroke.</w:t>
      </w:r>
    </w:p>
    <w:p/>
    <w:p>
      <w:pPr>
        <w:pStyle w:val="Normal"/>
      </w:pPr>
      <w:r>
        <w:rPr>
          <w:color w:val="323232"/>
        </w:rPr>
        <w:t xml:space="preserve">INTERVENTIONS:None.</w:t>
      </w:r>
    </w:p>
    <w:p/>
    <w:p>
      <w:pPr>
        <w:pStyle w:val="Normal"/>
      </w:pPr>
      <w:r>
        <w:rPr>
          <w:color w:val="323232"/>
        </w:rPr>
        <w:t xml:space="preserve">MEASUREMENTS AND MAIN RESULTS:Citrated and EDTA blood samples were collected at presentation and at 4, 12, 24, 36, and 48 hours postpresentation (PP). Hemostatic tests performed included platelet count, prothrombin and activated partial thromboplastin times (PT and aPTT, respectively), antithrombin activity (ATA), total protein C activity (tPCA), fibrinogen, and D-dimer concentrations. The overall survival rate was 60% (18/30 dogs). Older age, higher heart rate and rectal temperature at presentation, and time from onset of clinical signs to presentation were significantly associated with mortality. Hemostatic analytes at presentation were not associated with mortality. Prolonged PT and aPTT at 12-24 hours PP, lower tPCA at 12 hours PP, and hypofibrinogenemia at 24 hours PP were significantly (P &lt; 0.05) associated with mortality. Increased D-dimer concentration and low ATA were common at all time points, but were not associated with mortality. The frequency of disseminated intravascular coagulation (DIC) increased in nonsurvivors throughout hospitalization, but the development of DIC was not associated with mortality. The number of abnormal coagulation disturbances during the first 24 hours was significantly higher in nonsurvivors (P = 0.04).</w:t>
      </w:r>
    </w:p>
    <w:p/>
    <w:p>
      <w:pPr>
        <w:pStyle w:val="Normal"/>
      </w:pPr>
      <w:r>
        <w:rPr>
          <w:color w:val="323232"/>
        </w:rPr>
        <w:t xml:space="preserve">CONCLUSIONS:Hemostatic derangements are common in dogs with naturally occurring heatstroke. Alterations in PT, aPTT, tPCA, and fibrinogen concentrations appear to be associated with the outcome at 12-24 hours PP, exemplifying the need for serial measurement of multiple laboratory hemostatic tests during hospitalization, even when within reference interval on presentation. The development of DIC, as defined in this cohort, was not associated with mortality; however, nonsurvivors had significantly more coagulation abnormalities during the first 24 hours PP.</w:t>
      </w:r>
    </w:p>
    <w:p/>
    <w:p>
      <w:pPr>
        <w:pStyle w:val="Normal"/>
      </w:pPr>
      <w:r>
        <w:rPr>
          <w:color w:val="323232"/>
        </w:rPr>
        <w:t xml:space="preserve">J Vet Emerg Crit Care (San Antonio), 2017 vol. 27 (3) pp. 315-324.</w:t>
      </w:r>
    </w:p>
    <w:p>
      <w:r>
        <w:rPr>
          <w:rStyle w:val="Hyperlink"/>
        </w:rPr>
        <w:fldChar w:fldCharType="begin"/>
      </w:r>
      <w:r>
        <w:rPr>
          <w:rStyle w:val="Hyperlink"/>
        </w:rPr>
        <w:instrText xml:space="preserve"> HYPERLINK "http://eutils.ncbi.nlm.nih.gov/entrez/eutils/elink.fcgi?dbfrom=pubmed&amp;id=28273401&amp;retmode=ref&amp;cmd=prlinks"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http://eutils.ncbi.nlm.nih.gov/entrez/eutils/elink.fcgi?dbfrom=pubmed&amp;id=28273401&amp;retmode=ref&amp;cmd=prlinks</w:t>
      </w:r>
      <w:r>
        <w:rPr>
          <w:rStyle w:val="Hyperlink"/>
        </w:rPr>
        <w:fldChar w:fldCharType="end"/>
      </w:r>
    </w:p>
    <w:p>
      <w:pPr>
        <w:pStyle w:val="Normal"/>
      </w:pPr>
      <w:r>
        <w:rPr>
          <w:color w:val="323232"/>
        </w:rPr>
        <w:t xml:space="preserve">————————</w:t>
      </w:r>
    </w:p>
    <w:p>
      <w:pPr>
        <w:pStyle w:val="Heading4"/>
      </w:pPr>
      <w:r>
        <w:t xml:space="preserve">Determination of reference intervals of acid-base parameters in clinically healthy dogs.</w:t>
      </w:r>
    </w:p>
    <w:p/>
    <w:p>
      <w:pPr>
        <w:pStyle w:val="Normal"/>
      </w:pPr>
      <w:r>
        <w:rPr>
          <w:color w:val="323232"/>
        </w:rPr>
        <w:t xml:space="preserve">Ivana Vanova-Uhrikova, Leona Rauserova-Lexmaulova, Kristina Rehakova, Peter Scheer, and Jaroslav Doubek.</w:t>
      </w:r>
    </w:p>
    <w:p/>
    <w:p>
      <w:pPr>
        <w:pStyle w:val="Normal"/>
      </w:pPr>
      <w:r>
        <w:rPr>
          <w:color w:val="323232"/>
        </w:rPr>
        <w:t xml:space="preserve">OBJECTIVE:To establish reference intervals for traditionally- and Stewart's approach-determined acid-base parameters in a population of clinically healthy dogs.</w:t>
      </w:r>
    </w:p>
    <w:p/>
    <w:p>
      <w:pPr>
        <w:pStyle w:val="Normal"/>
      </w:pPr>
      <w:r>
        <w:rPr>
          <w:color w:val="323232"/>
        </w:rPr>
        <w:t xml:space="preserve">DESIGN:Prospective study (June 2011-September 2012).</w:t>
      </w:r>
    </w:p>
    <w:p/>
    <w:p>
      <w:pPr>
        <w:pStyle w:val="Normal"/>
      </w:pPr>
      <w:r>
        <w:rPr>
          <w:color w:val="323232"/>
        </w:rPr>
        <w:t xml:space="preserve">SETTING:Veterinary teaching hospital.</w:t>
      </w:r>
    </w:p>
    <w:p/>
    <w:p>
      <w:pPr>
        <w:pStyle w:val="Normal"/>
      </w:pPr>
      <w:r>
        <w:rPr>
          <w:color w:val="323232"/>
        </w:rPr>
        <w:t xml:space="preserve">ANIMALS:Two hundred twenty-four client-owned, clinically healthy dogs.</w:t>
      </w:r>
    </w:p>
    <w:p/>
    <w:p>
      <w:pPr>
        <w:pStyle w:val="Normal"/>
      </w:pPr>
      <w:r>
        <w:rPr>
          <w:color w:val="323232"/>
        </w:rPr>
        <w:t xml:space="preserve">INTERVENTIONS:Blood was collected from the jugular vein and the dorsal pedal artery.</w:t>
      </w:r>
    </w:p>
    <w:p/>
    <w:p>
      <w:pPr>
        <w:pStyle w:val="Normal"/>
      </w:pPr>
      <w:r>
        <w:rPr>
          <w:color w:val="323232"/>
        </w:rPr>
        <w:t xml:space="preserve">MEASUREMENTS AND MAIN RESULTS:In the whole blood samples, pH, PCO2 , and PO2 were measured and HCO3- , standard and total bicarbonate, base excess, oxygen content, and alveolar-arterial oxygen differences were calculated. Plasma sodium, potassium, chloride, calcium, albumin, and lactate concentrations were measured and the following parameters were calculated separately for venous and arterial samples: anion gap, anion gap corrected for albumin and phosphate, sodium chloride difference and ratio, chloride gap, strong ion difference, strong ion gap, and unmeasured anions.</w:t>
      </w:r>
    </w:p>
    <w:p/>
    <w:p>
      <w:pPr>
        <w:pStyle w:val="Normal"/>
      </w:pPr>
      <w:r>
        <w:rPr>
          <w:color w:val="323232"/>
        </w:rPr>
        <w:t xml:space="preserve">CONCLUSION:Reference intervals for traditionally- and Stewart's approach-determined acid-base parameters were established for venous and arterial blood in dogs.</w:t>
      </w:r>
    </w:p>
    <w:p/>
    <w:p>
      <w:pPr>
        <w:pStyle w:val="Normal"/>
      </w:pPr>
      <w:r>
        <w:rPr>
          <w:color w:val="323232"/>
        </w:rPr>
        <w:t xml:space="preserve">J Vet Emerg Crit Care (San Antonio), 2017 vol. 27 (3) pp. 325-332.</w:t>
      </w:r>
    </w:p>
    <w:p>
      <w:r>
        <w:rPr>
          <w:rStyle w:val="Hyperlink"/>
        </w:rPr>
        <w:fldChar w:fldCharType="begin"/>
      </w:r>
      <w:r>
        <w:rPr>
          <w:rStyle w:val="Hyperlink"/>
        </w:rPr>
        <w:instrText xml:space="preserve"> HYPERLINK "http://eutils.ncbi.nlm.nih.gov/entrez/eutils/elink.fcgi?dbfrom=pubmed&amp;id=28420042&amp;retmode=ref&amp;cmd=prlinks"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http://eutils.ncbi.nlm.nih.gov/entrez/eutils/elink.fcgi?dbfrom=pubmed&amp;id=28420042&amp;retmode=ref&amp;cmd=prlinks</w:t>
      </w:r>
      <w:r>
        <w:rPr>
          <w:rStyle w:val="Hyperlink"/>
        </w:rPr>
        <w:fldChar w:fldCharType="end"/>
      </w:r>
    </w:p>
    <w:p>
      <w:pPr>
        <w:pStyle w:val="Normal"/>
      </w:pPr>
      <w:r>
        <w:rPr>
          <w:color w:val="323232"/>
        </w:rPr>
        <w:t xml:space="preserve">————————</w:t>
      </w:r>
    </w:p>
    <w:p>
      <w:pPr>
        <w:pStyle w:val="Heading4"/>
      </w:pPr>
      <w:r>
        <w:t xml:space="preserve">Retrospective evaluation of coyote attacks in dogs: 154 cases (1997-2012).</w:t>
      </w:r>
    </w:p>
    <w:p/>
    <w:p>
      <w:pPr>
        <w:pStyle w:val="Normal"/>
      </w:pPr>
      <w:r>
        <w:rPr>
          <w:color w:val="323232"/>
        </w:rPr>
        <w:t xml:space="preserve">Coyote attacks in dogs.</w:t>
      </w:r>
    </w:p>
    <w:p>
      <w:pPr>
        <w:pStyle w:val="Normal"/>
      </w:pPr>
      <w:r>
        <w:rPr>
          <w:color w:val="323232"/>
        </w:rPr>
        <w:t xml:space="preserve">Virginia M Frauenthal, Philip Bergman, and Robert J Murtaugh.</w:t>
      </w:r>
    </w:p>
    <w:p/>
    <w:p>
      <w:pPr>
        <w:pStyle w:val="Normal"/>
      </w:pPr>
      <w:r>
        <w:rPr>
          <w:color w:val="323232"/>
        </w:rPr>
        <w:t xml:space="preserve">OBJECTIVE:To describe the clinical presentation and outcome of known attacks in client-owned dogs caused by the common coyote, Canis latrans.</w:t>
      </w:r>
    </w:p>
    <w:p/>
    <w:p>
      <w:pPr>
        <w:pStyle w:val="Normal"/>
      </w:pPr>
      <w:r>
        <w:rPr>
          <w:color w:val="323232"/>
        </w:rPr>
        <w:t xml:space="preserve">DESIGN:Retrospective observational study.</w:t>
      </w:r>
    </w:p>
    <w:p/>
    <w:p>
      <w:pPr>
        <w:pStyle w:val="Normal"/>
      </w:pPr>
      <w:r>
        <w:rPr>
          <w:color w:val="323232"/>
        </w:rPr>
        <w:t xml:space="preserve">SETTING:Private referral hospital.</w:t>
      </w:r>
    </w:p>
    <w:p/>
    <w:p>
      <w:pPr>
        <w:pStyle w:val="Normal"/>
      </w:pPr>
      <w:r>
        <w:rPr>
          <w:color w:val="323232"/>
        </w:rPr>
        <w:t xml:space="preserve">ANIMALS:One hundred fifty-four client-owned dogs known to be attacked by coyotes.</w:t>
      </w:r>
    </w:p>
    <w:p/>
    <w:p>
      <w:pPr>
        <w:pStyle w:val="Normal"/>
      </w:pPr>
      <w:r>
        <w:rPr>
          <w:color w:val="323232"/>
        </w:rPr>
        <w:t xml:space="preserve">INTERVENTIONS:None.</w:t>
      </w:r>
    </w:p>
    <w:p/>
    <w:p>
      <w:pPr>
        <w:pStyle w:val="Normal"/>
      </w:pPr>
      <w:r>
        <w:rPr>
          <w:color w:val="323232"/>
        </w:rPr>
        <w:t xml:space="preserve">MEASUREMENTS AND MAIN RESULTS:Records from a private referral hospital from May 1997 through December 2012 were reviewed. Time of day and month/season of year, signalment, body temperature, heart rate, respiratory rate, body weight, location and severity of wounds inflicted, common injuries, length of hospitalization, necessity of surgical wound repair under anesthesia, antimicrobial use and mortality were recorded. Eighty-six percent of dogs presenting following coyote attack weighed &lt;10 kg. Overall mortality rate was 15.6%. Dogs with bite wounds to the thorax had the highest mortality at 21.3%. Criteria for systemic inflammatory response syndrome (SIRS) based on admission vital signs were met in 58.8% of dogs and the presence of SIRS was significantly associated with mortality (P &lt; 0.001). Common coyote-induced injuries included rib fracture (38/154; 24.6%), pulmonary contusion (30/154; 19.4%), tracheal tear (18/154; 11.6%), pneumothorax (16/154; 10.3%), abdominal wall hernia (9/154; 5.8%), and abdominal penetrating wounds (8/146; 5.5%). Dogs &lt;10 kg were significantly more likely to incur wounds to multiple body parts or sustain abdominal penetrating wounds. The presence of rib fracture was significantly associated with mortality. Frequency of coyote attacks over the time of this study increased by 330%.</w:t>
      </w:r>
    </w:p>
    <w:p/>
    <w:p>
      <w:pPr>
        <w:pStyle w:val="Normal"/>
      </w:pPr>
      <w:r>
        <w:rPr>
          <w:color w:val="323232"/>
        </w:rPr>
        <w:t xml:space="preserve">CONCLUSIONS:Coyote attacks on dogs are a problem in Southern California and are associated with substantial morbidity and mortality, especially in dogs with wounds to the thorax. Aggressive management involving surgical wound repair was associated with survival to discharge.</w:t>
      </w:r>
    </w:p>
    <w:p/>
    <w:p>
      <w:pPr>
        <w:pStyle w:val="Normal"/>
      </w:pPr>
      <w:r>
        <w:rPr>
          <w:color w:val="323232"/>
        </w:rPr>
        <w:t xml:space="preserve">J Vet Emerg Crit Care (San Antonio), 2017 vol. 27 (3) pp. 333-341.</w:t>
      </w:r>
    </w:p>
    <w:p>
      <w:r>
        <w:rPr>
          <w:rStyle w:val="Hyperlink"/>
        </w:rPr>
        <w:fldChar w:fldCharType="begin"/>
      </w:r>
      <w:r>
        <w:rPr>
          <w:rStyle w:val="Hyperlink"/>
        </w:rPr>
        <w:instrText xml:space="preserve"> HYPERLINK "http://doi.wiley.com/10.1111/vec.12601" </w:instrText>
      </w:r>
      <w:r>
        <w:rPr>
          <w:rStyle w:val="Hyperlink"/>
        </w:rPr>
      </w:r>
      <w:r>
        <w:rPr>
          <w:rStyle w:val="Hyperlink"/>
        </w:rPr>
        <w:fldChar w:fldCharType="separate"/>
      </w:r>
      <w:pPr>
        <w:pStyle w:val="Normal"/>
      </w:pPr>
      <w:r>
        <w:rPr>
          <w:rStyle w:val="Hyperlink"/>
        </w:rPr>
        <w:t xml:space="preserve">http://doi.wiley.com/10.1111/vec.12601</w:t>
      </w:r>
      <w:r>
        <w:rPr>
          <w:rStyle w:val="Hyperlink"/>
        </w:rPr>
        <w:fldChar w:fldCharType="end"/>
      </w:r>
    </w:p>
    <w:p>
      <w:pPr>
        <w:pStyle w:val="Normal"/>
      </w:pPr>
      <w:r>
        <w:rPr>
          <w:color w:val="323232"/>
        </w:rPr>
        <w:t xml:space="preserve">————————</w:t>
      </w:r>
    </w:p>
    <w:p>
      <w:pPr>
        <w:pStyle w:val="Heading4"/>
      </w:pPr>
      <w:r>
        <w:t xml:space="preserve">Surgical retrieval of a guide wire lost during central venous catheterization in a dog.</w:t>
      </w:r>
    </w:p>
    <w:p/>
    <w:p>
      <w:pPr>
        <w:pStyle w:val="Normal"/>
      </w:pPr>
      <w:r>
        <w:rPr>
          <w:color w:val="323232"/>
        </w:rPr>
        <w:t xml:space="preserve">Jade M Hardy, Jennifer L Lansdowne, Carol A Himsel, and Sean R Freer.</w:t>
      </w:r>
    </w:p>
    <w:p/>
    <w:p>
      <w:pPr>
        <w:pStyle w:val="Normal"/>
      </w:pPr>
      <w:r>
        <w:rPr>
          <w:color w:val="323232"/>
        </w:rPr>
        <w:t xml:space="preserve">OBJECTIVE:To report a case of successful surgical removal of a guide wire lost during central venous catheterization.</w:t>
      </w:r>
    </w:p>
    <w:p/>
    <w:p>
      <w:pPr>
        <w:pStyle w:val="Normal"/>
      </w:pPr>
      <w:r>
        <w:rPr>
          <w:color w:val="323232"/>
        </w:rPr>
        <w:t xml:space="preserve">CASE SUMMARY:A 28 kg, 4-year-old female neutered mixed breed dog presented to the primary care veterinarian with diabetic ketosis. During the process of central venous catheterization, the guide wire was accidently released and the entire length of the guide wire slipped into the jugular vein. Due to the absence of nearby interventional radiology facilities, surgical intervention was proposed. An ultrasound was used to determine that the guide wire was located in the caudal vena cava extending caudally into the right internal iliac vein. Rommel tourniquets were placed around the iliac vein cranial to the bifurcation of the common iliac vein into the external and internal iliac veins. A venotomy was performed in the right common iliac vein and the guide wire was grasped with hemostats and gently removed while alternately relaxing the cranial then caudal tourniquets. During anesthesia, ventricular premature contractions were noted that varied in frequency with the dog's positioning. Postoperative color flow Doppler ultrasound evaluation of the caudal vena cava, right common, internal and external iliac veins, and right femoral vein was normal with no evidence of thrombosis. Several days postoperative the dog's diabetic ketosis and ventricular premature contractions had resolved and color flow Doppler ultrasound evaluation was normal with no evidence of thrombosis.</w:t>
      </w:r>
    </w:p>
    <w:p/>
    <w:p>
      <w:pPr>
        <w:pStyle w:val="Normal"/>
      </w:pPr>
      <w:r>
        <w:rPr>
          <w:color w:val="323232"/>
        </w:rPr>
        <w:t xml:space="preserve">NEW OR UNIQUE INFORMATION PROVIDED:To the authors' knowledge, this is the first reported veterinary case of loss and subsequent surgical retrieval of a central venous catheter guide wire.</w:t>
      </w:r>
    </w:p>
    <w:p/>
    <w:p>
      <w:pPr>
        <w:pStyle w:val="Normal"/>
      </w:pPr>
      <w:r>
        <w:rPr>
          <w:color w:val="323232"/>
        </w:rPr>
        <w:t xml:space="preserve">J Vet Emerg Crit Care (San Antonio), 2017 vol. 27 (3) pp. 342-347.</w:t>
      </w:r>
    </w:p>
    <w:p>
      <w:r>
        <w:rPr>
          <w:rStyle w:val="Hyperlink"/>
        </w:rPr>
        <w:fldChar w:fldCharType="begin"/>
      </w:r>
      <w:r>
        <w:rPr>
          <w:rStyle w:val="Hyperlink"/>
        </w:rPr>
        <w:instrText xml:space="preserve"> HYPERLINK "http://eutils.ncbi.nlm.nih.gov/entrez/eutils/elink.fcgi?dbfrom=pubmed&amp;id=28257155&amp;retmode=ref&amp;cmd=prlinks"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http://eutils.ncbi.nlm.nih.gov/entrez/eutils/elink.fcgi?dbfrom=pubmed&amp;id=28257155&amp;retmode=ref&amp;cmd=prlinks</w:t>
      </w:r>
      <w:r>
        <w:rPr>
          <w:rStyle w:val="Hyperlink"/>
        </w:rPr>
        <w:fldChar w:fldCharType="end"/>
      </w:r>
    </w:p>
    <w:p>
      <w:pPr>
        <w:pStyle w:val="Normal"/>
      </w:pPr>
      <w:r>
        <w:rPr>
          <w:color w:val="323232"/>
        </w:rPr>
        <w:t xml:space="preserve">————————</w:t>
      </w:r>
    </w:p>
    <w:p>
      <w:pPr>
        <w:pStyle w:val="Heading4"/>
      </w:pPr>
      <w:r>
        <w:t xml:space="preserve">Use of cryopoor plasma for albumin replacement and continuous antimicrobial infusion for treatment of septic peritonitis in a dog.</w:t>
      </w:r>
    </w:p>
    <w:p/>
    <w:p>
      <w:pPr>
        <w:pStyle w:val="Normal"/>
      </w:pPr>
      <w:r>
        <w:rPr>
          <w:color w:val="323232"/>
        </w:rPr>
        <w:t xml:space="preserve">Meaghan K Ropski, Julien Guillaumin, Andrea A Monnig, Katy Townsend, and Mary A McLoughlin.</w:t>
      </w:r>
    </w:p>
    <w:p/>
    <w:p>
      <w:pPr>
        <w:pStyle w:val="Normal"/>
      </w:pPr>
      <w:r>
        <w:rPr>
          <w:color w:val="323232"/>
        </w:rPr>
        <w:t xml:space="preserve">OBJECTIVE:To report the successful management of a dog with septic peritonitis and septic shock secondary to enterectomy dehiscence using novel techniques for identification of intestinal dehiscence and for septic shock treatment.</w:t>
      </w:r>
    </w:p>
    <w:p/>
    <w:p>
      <w:pPr>
        <w:pStyle w:val="Normal"/>
      </w:pPr>
      <w:r>
        <w:rPr>
          <w:color w:val="323232"/>
        </w:rPr>
        <w:t xml:space="preserve">CASE SUMMARY:A 5-year-old castrated male Bernese Mountain Dog presented for lethargy 6 days following enterotomy for foreign body obstruction. Septic peritonitis was identified due to dehiscence of the enterotomy site, and resection and anastomosis were performed using a gastrointestinal anastomosis and thoracoabdominal stapling device. Postoperatively the patient experienced severe hypotension, which responded to norepinephrine constant rate infusion (CRI) after failing to improve with fluid therapy or dopamine CRI. Further treatment included antimicrobial CRI and supportive care including careful fluid therapy. Due to low effective circulating volume paired with intersititial fluid overload and large volume abdominal effusion, fluid therapy consisted of a combination of human serum albumin, canine albumin, synthetic colloids, and isotonic crystalloids. Cryopoor plasma (CPP) was used as a source of canine albumin and intravascular volume. On Day 4, food dye was given through a nasogastric tube due to suspicion of dehiscence of the anastomosis site. Dehiscence was confirmed during abdominal exploratory, and a second resection and anastomosis was performed. Abdominal partial closure with vacuum-assisted closure device was performed. Supportive care was continued with CPP CRI and imipenem CRI. Planned relaparotomy to change the vacuum-assisted closure device was performed 48 hours later, with abdominal closure 96 hours after anastomosis. The patient was discharged on Day 15. Recheck 12 months later was normal.</w:t>
      </w:r>
    </w:p>
    <w:p/>
    <w:p>
      <w:pPr>
        <w:pStyle w:val="Normal"/>
      </w:pPr>
      <w:r>
        <w:rPr>
          <w:color w:val="323232"/>
        </w:rPr>
        <w:t xml:space="preserve">NEW OR UNIQUE INFORMATION PROVIDED:This case includes novel techniques such food dye via nasogastric tube to identify anastomosis dehiscence, use of CPP as a source of canine albumin, and antimicrobial CRI in a dog with septic peritonitis.</w:t>
      </w:r>
    </w:p>
    <w:p/>
    <w:p>
      <w:pPr>
        <w:pStyle w:val="Normal"/>
      </w:pPr>
      <w:r>
        <w:rPr>
          <w:color w:val="323232"/>
        </w:rPr>
        <w:t xml:space="preserve">J Vet Emerg Crit Care (San Antonio), 2017 vol. 27 (3) pp. 348-356.</w:t>
      </w:r>
    </w:p>
    <w:p>
      <w:r>
        <w:rPr>
          <w:rStyle w:val="Hyperlink"/>
        </w:rPr>
        <w:fldChar w:fldCharType="begin"/>
      </w:r>
      <w:r>
        <w:rPr>
          <w:rStyle w:val="Hyperlink"/>
        </w:rPr>
        <w:instrText xml:space="preserve"> HYPERLINK "http://eutils.ncbi.nlm.nih.gov/entrez/eutils/elink.fcgi?dbfrom=pubmed&amp;id=28135411&amp;retmode=ref&amp;cmd=prlinks"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http://eutils.ncbi.nlm.nih.gov/entrez/eutils/elink.fcgi?dbfrom=pubmed&amp;id=28135411&amp;retmode=ref&amp;cmd=prlinks</w:t>
      </w:r>
      <w:r>
        <w:rPr>
          <w:rStyle w:val="Hyperlink"/>
        </w:rPr>
        <w:fldChar w:fldCharType="end"/>
      </w:r>
    </w:p>
    <w:p>
      <w:pPr>
        <w:pStyle w:val="Normal"/>
      </w:pPr>
      <w:r>
        <w:rPr>
          <w:color w:val="323232"/>
        </w:rPr>
        <w:t xml:space="preserve">————————</w:t>
      </w:r>
    </w:p>
    <w:p>
      <w:pPr>
        <w:pStyle w:val="Heading4"/>
      </w:pPr>
      <w:r>
        <w:t xml:space="preserve">Use of 20% intravenous lipid emulsion for the treatment of loperamide toxicosis in a Collie homozygous for the ABCB1-1∆ mutation.</w:t>
      </w:r>
    </w:p>
    <w:p/>
    <w:p>
      <w:pPr>
        <w:pStyle w:val="Normal"/>
      </w:pPr>
      <w:r>
        <w:rPr>
          <w:color w:val="323232"/>
        </w:rPr>
        <w:t xml:space="preserve">Whitney M Long, Virginia B Sinnott, Kiko Bracker, and Danielle Thomas.</w:t>
      </w:r>
    </w:p>
    <w:p/>
    <w:p>
      <w:pPr>
        <w:pStyle w:val="Normal"/>
      </w:pPr>
      <w:r>
        <w:rPr>
          <w:color w:val="323232"/>
        </w:rPr>
        <w:t xml:space="preserve">OBJECTIVE:To describe the successful treatment of loperamide toxicosis in a dog using intravenous lipid emulsion (ILE).</w:t>
      </w:r>
    </w:p>
    <w:p/>
    <w:p>
      <w:pPr>
        <w:pStyle w:val="Normal"/>
      </w:pPr>
      <w:r>
        <w:rPr>
          <w:color w:val="323232"/>
        </w:rPr>
        <w:t xml:space="preserve">CASE SUMMARY:An 8-month-old male neutered Rough Collie weighing 20.0 kg was given a total dose of 0.75 mg</w:t>
      </w:r>
      <w:r>
        <w:rPr>
          <w:i w:val="1"/>
          <w:color w:val="323232"/>
        </w:rPr>
        <w:t xml:space="preserve">kg loperamide over 3 days as treatment for diarrhea. The dog was subsequently evaluated for signs of dull mentation, anxiety, ptyalism and ataxia, thought to be a result of loperamide intoxication. The dog was treated with a 1.5 mL</w:t>
      </w:r>
      <w:r>
        <w:rPr>
          <w:color w:val="323232"/>
        </w:rPr>
        <w:t xml:space="preserve">kg IV bolus of 20% ILE solution followed by 0.25 mL</w:t>
      </w:r>
      <w:r>
        <w:rPr>
          <w:i w:val="1"/>
          <w:color w:val="323232"/>
        </w:rPr>
        <w:t xml:space="preserve">kg</w:t>
      </w:r>
      <w:r>
        <w:rPr>
          <w:color w:val="323232"/>
        </w:rPr>
        <w:t xml:space="preserve">min of the same solution for 2 hours. The dog's mentation improved rapidly following ILE infusion, and he was neurologically normal 3 hours after initiation of ILE treatment. The dog was subsequently found to be homozygous for the ATP-binding cassette (ABC) transporter gene (ABCB1-1∆) mutation. There were no adverse effects noted during or following ILE infusion.</w:t>
      </w:r>
    </w:p>
    <w:p/>
    <w:p>
      <w:pPr>
        <w:pStyle w:val="Normal"/>
      </w:pPr>
      <w:r>
        <w:rPr>
          <w:color w:val="323232"/>
        </w:rPr>
        <w:t xml:space="preserve">NEW OR UNIQUE INFORMATION PROVIDED:ILE was successful in the treatment of loperamide toxicosis in a Collie with the ABCB1-1∆ mutation. ILE may be of benefit for treatment of other intoxications in dogs with ABCB1-1Δ mutations.</w:t>
      </w:r>
    </w:p>
    <w:p/>
    <w:p>
      <w:pPr>
        <w:pStyle w:val="Normal"/>
      </w:pPr>
      <w:r>
        <w:rPr>
          <w:color w:val="323232"/>
        </w:rPr>
        <w:t xml:space="preserve">J Vet Emerg Crit Care (San Antonio), 2017 vol. 27 (3) pp. 357-361.</w:t>
      </w:r>
    </w:p>
    <w:p>
      <w:r>
        <w:rPr>
          <w:rStyle w:val="Hyperlink"/>
        </w:rPr>
        <w:fldChar w:fldCharType="begin"/>
      </w:r>
      <w:r>
        <w:rPr>
          <w:rStyle w:val="Hyperlink"/>
        </w:rPr>
        <w:instrText xml:space="preserve"> HYPERLINK "http://eutils.ncbi.nlm.nih.gov/entrez/eutils/elink.fcgi?dbfrom=pubmed&amp;id=27992655&amp;retmode=ref&amp;cmd=prlinks"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http://eutils.ncbi.nlm.nih.gov/entrez/eutils/elink.fcgi?dbfrom=pubmed&amp;id=27992655&amp;retmode=ref&amp;cmd=prlinks</w:t>
      </w:r>
      <w:r>
        <w:rPr>
          <w:rStyle w:val="Hyperlink"/>
        </w:rPr>
        <w:fldChar w:fldCharType="end"/>
      </w:r>
    </w:p>
    <w:p>
      <w:pPr>
        <w:pStyle w:val="Normal"/>
      </w:pPr>
      <w:r>
        <w:rPr>
          <w:color w:val="323232"/>
        </w:rPr>
        <w:t xml:space="preserve">————————</w:t>
      </w:r>
    </w:p>
    <w:p>
      <w:pPr>
        <w:pStyle w:val="Heading4"/>
      </w:pPr>
      <w:r>
        <w:t xml:space="preserve">The effect of prazosin on outcome in feline urethral obstruction.</w:t>
      </w:r>
    </w:p>
    <w:p/>
    <w:p>
      <w:pPr>
        <w:pStyle w:val="Normal"/>
      </w:pPr>
      <w:r>
        <w:rPr>
          <w:color w:val="323232"/>
        </w:rPr>
        <w:t xml:space="preserve">Erica L Reineke, Emily K Thomas, Rebecca S Syring, Jennifer Savini, and Kenneth J Drobatz.</w:t>
      </w:r>
    </w:p>
    <w:p/>
    <w:p>
      <w:pPr>
        <w:pStyle w:val="Normal"/>
      </w:pPr>
      <w:r>
        <w:rPr>
          <w:color w:val="323232"/>
        </w:rPr>
        <w:t xml:space="preserve">OBJECTIVE:To determine whether prazosin administration following urethral obstruction (UO) reduces the risk for recurrent urethral obstruction (rUO) or lower urinary tract signs, and to document adverse effects associated with prazosin use in cats.</w:t>
      </w:r>
    </w:p>
    <w:p/>
    <w:p>
      <w:pPr>
        <w:pStyle w:val="Normal"/>
      </w:pPr>
      <w:r>
        <w:rPr>
          <w:color w:val="323232"/>
        </w:rPr>
        <w:t xml:space="preserve">DESIGN:Double-blinded, prospective, interventional study.</w:t>
      </w:r>
    </w:p>
    <w:p/>
    <w:p>
      <w:pPr>
        <w:pStyle w:val="Normal"/>
      </w:pPr>
      <w:r>
        <w:rPr>
          <w:color w:val="323232"/>
        </w:rPr>
        <w:t xml:space="preserve">SETTING:University teaching hospital.</w:t>
      </w:r>
    </w:p>
    <w:p/>
    <w:p>
      <w:pPr>
        <w:pStyle w:val="Normal"/>
      </w:pPr>
      <w:r>
        <w:rPr>
          <w:color w:val="323232"/>
        </w:rPr>
        <w:t xml:space="preserve">ANIMALS:A population of 47 consecutive male cats with UO not associated with urinary tract calculi &gt;2 mm in diameter.</w:t>
      </w:r>
    </w:p>
    <w:p/>
    <w:p>
      <w:pPr>
        <w:pStyle w:val="Normal"/>
      </w:pPr>
      <w:r>
        <w:rPr>
          <w:color w:val="323232"/>
        </w:rPr>
        <w:t xml:space="preserve">INTERVENTIONS:Cats were randomized to receive either prazosin (0.25 mg/cat PO q 12 h, n = 27) or placebo (n = 20) for 1 month following UO.</w:t>
      </w:r>
    </w:p>
    <w:p/>
    <w:p>
      <w:pPr>
        <w:pStyle w:val="Normal"/>
      </w:pPr>
      <w:r>
        <w:rPr>
          <w:color w:val="323232"/>
        </w:rPr>
        <w:t xml:space="preserve">MEASUREMENTS AND MAIN RESULTS:Cats were monitored for rUO, severity of lower urinary tract signs, and medication adverse effects during hospitalization and through weekly conversations with the owner during the 1- month study period and once more at 6 months following discharge. There was no difference in the rUO rate among cats that received prazosin or placebo prior to hospital discharge (2/26 (7%) versus 1/19 (5%), P = 1.00), during the 1- month medication period (4/26 (15%) versus 3/18 (17%), P = 0.776), or at 6 months following treatment for UO (7/19 (37%) versus 4/13 (31%), P = 0.811). There was no difference in the severity of lower urinary tract signs reported by the owners at the 1-, 2-, 3-, or 4-week follow-up periods among the cats in either group (P = 0.62, 0.68, 0.33, 1.00, respectively). Reported adverse effects from prazosin administration included lethargy, ptyalism, diarrhea, anorexia, and malodorous stool.</w:t>
      </w:r>
    </w:p>
    <w:p/>
    <w:p>
      <w:pPr>
        <w:pStyle w:val="Normal"/>
      </w:pPr>
      <w:r>
        <w:rPr>
          <w:color w:val="323232"/>
        </w:rPr>
        <w:t xml:space="preserve">CONCLUSIONS:Although our study results failed to find a difference in the incidence of rUO and severity of lower urinary tract signs among cats receiving prazosin and those receiving placebo, these study results should be interpreted cautiously as our study was underpowered to identify such differences. Larger placebo-controlled, prospective studies are needed to determine the clinical utility of prazosin in prevention of rUO.</w:t>
      </w:r>
    </w:p>
    <w:p/>
    <w:p>
      <w:pPr>
        <w:pStyle w:val="Normal"/>
      </w:pPr>
      <w:r>
        <w:rPr>
          <w:color w:val="323232"/>
        </w:rPr>
        <w:t xml:space="preserve">J Vet Emerg Crit Care (San Antonio), 2017 vol. 27 (4) pp. 387-396.</w:t>
      </w:r>
    </w:p>
    <w:p>
      <w:r>
        <w:rPr>
          <w:rStyle w:val="Hyperlink"/>
        </w:rPr>
        <w:fldChar w:fldCharType="begin"/>
      </w:r>
      <w:r>
        <w:rPr>
          <w:rStyle w:val="Hyperlink"/>
        </w:rPr>
        <w:instrText xml:space="preserve"> HYPERLINK "http://eutils.ncbi.nlm.nih.gov/entrez/eutils/elink.fcgi?dbfrom=pubmed&amp;id=28510274&amp;retmode=ref&amp;cmd=prlinks"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http://eutils.ncbi.nlm.nih.gov/entrez/eutils/elink.fcgi?dbfrom=pubmed&amp;id=28510274&amp;retmode=ref&amp;cmd=prlinks</w:t>
      </w:r>
      <w:r>
        <w:rPr>
          <w:rStyle w:val="Hyperlink"/>
        </w:rPr>
        <w:fldChar w:fldCharType="end"/>
      </w:r>
    </w:p>
    <w:p>
      <w:pPr>
        <w:pStyle w:val="Normal"/>
      </w:pPr>
      <w:r>
        <w:rPr>
          <w:color w:val="323232"/>
        </w:rPr>
        <w:t xml:space="preserve">————————</w:t>
      </w:r>
    </w:p>
    <w:p>
      <w:pPr>
        <w:pStyle w:val="Heading4"/>
      </w:pPr>
      <w:r>
        <w:t xml:space="preserve">Prevalence of and risk factors for intraoperative gastroesophageal reflux and postanesthetic vomiting and diarrhea in dogs undergoing general anesthesia.</w:t>
      </w:r>
    </w:p>
    <w:p/>
    <w:p>
      <w:pPr>
        <w:pStyle w:val="Normal"/>
      </w:pPr>
      <w:r>
        <w:rPr>
          <w:color w:val="323232"/>
        </w:rPr>
        <w:t xml:space="preserve">Carlos Torrente, Isabel Vigueras, Edgar G Manzanilla, Cecilia Villaverde, Laura Fresno, Bibiana Carvajal, Marina Fiñana, and Cristina Costa-Farré.</w:t>
      </w:r>
    </w:p>
    <w:p/>
    <w:p>
      <w:pPr>
        <w:pStyle w:val="Normal"/>
      </w:pPr>
      <w:r>
        <w:rPr>
          <w:color w:val="323232"/>
        </w:rPr>
        <w:t xml:space="preserve">OBJECTIVE:To determine the prevalence of intraoperative gastroesophageal reflux (GER) and postanesthetic vomiting and diarrhea, and to evaluate risk factors associated with these gastrointestinal disorders (GID) in dogs undergoing general anesthesia.</w:t>
      </w:r>
    </w:p>
    <w:p/>
    <w:p>
      <w:pPr>
        <w:pStyle w:val="Normal"/>
      </w:pPr>
      <w:r>
        <w:rPr>
          <w:color w:val="323232"/>
        </w:rPr>
        <w:t xml:space="preserve">DESIGN:Prospective observational study.</w:t>
      </w:r>
    </w:p>
    <w:p/>
    <w:p>
      <w:pPr>
        <w:pStyle w:val="Normal"/>
      </w:pPr>
      <w:r>
        <w:rPr>
          <w:color w:val="323232"/>
        </w:rPr>
        <w:t xml:space="preserve">SETTING:University teaching hospital.</w:t>
      </w:r>
    </w:p>
    <w:p/>
    <w:p>
      <w:pPr>
        <w:pStyle w:val="Normal"/>
      </w:pPr>
      <w:r>
        <w:rPr>
          <w:color w:val="323232"/>
        </w:rPr>
        <w:t xml:space="preserve">ANIMALS:Two hundred thirty-seven client-owned dogs undergoing general inhalant anesthesia for diagnostic or surgical purposes.</w:t>
      </w:r>
    </w:p>
    <w:p/>
    <w:p>
      <w:pPr>
        <w:pStyle w:val="Normal"/>
      </w:pPr>
      <w:r>
        <w:rPr>
          <w:color w:val="323232"/>
        </w:rPr>
        <w:t xml:space="preserve">INTERVENTIONS:None MEASUREMENTS AND MAIN RESULTS: Patient, surgical, and anesthetic variables, and postanesthetic treatments administered in the immediate postanesthesia period were evaluated in relation to GID using univariate and multivariate logistic regression analysis (P &lt; 0.05). Seventy-nine of the 237 (33.4%) dogs developed GID during the perianesthetic period. The prevalences of GER, vomiting, and diarrhea were 17.3%, 5.5%, and 10.5%, respectively. Intraabdominal surgery (P = 0.016; odds ratio [OR] 2.82, 95% confidence interval [CI]: 1.21-6.62), changes in body position (P = 0.003; OR 3.17, 95% CI: 1.47-6.85), and length of anesthesia (P = 0.052; OR 1.006, 95% CI: 1.000-1.013) were associated with GER. Changes in the ventilation mode during surgery (P = 0.011; OR 6.54, 95% CI: 1.8-23.8), length of anesthesia (P = 0.024; OR 1.001, 95% CI: 1.001-1.020), and rescue synthetic colloid support due to hypotension (P = 0.005; OR 6.9, 95% CI: 1.82-26.3) were positively associated with postanesthetic vomiting. On the contrary, dogs that received acepromazine as premedication were significantly less likely (P &lt; 0.019; OR 12.3, 95% CI: 1.52-100) to vomit. Finally, length of anesthesia, changes in body position, changes in ventilation mode, or hypoxemia during the procedure tended to increase the risk (univariate model) of diarrhea during the recovery phase.</w:t>
      </w:r>
    </w:p>
    <w:p/>
    <w:p>
      <w:pPr>
        <w:pStyle w:val="Normal"/>
      </w:pPr>
      <w:r>
        <w:rPr>
          <w:color w:val="323232"/>
        </w:rPr>
        <w:t xml:space="preserve">CONCLUSIONS:GID are common in dogs undergoing general anesthesia. Duration and characteristics of the procedure, anesthetic management, and changes in certain patient variables are significant risk factors for the presence of GID in the perioperative period.</w:t>
      </w:r>
    </w:p>
    <w:p/>
    <w:p>
      <w:pPr>
        <w:pStyle w:val="Normal"/>
      </w:pPr>
      <w:r>
        <w:rPr>
          <w:color w:val="323232"/>
        </w:rPr>
        <w:t xml:space="preserve">J Vet Emerg Crit Care (San Antonio), 2017 vol. 27 (4) pp. 397-408.</w:t>
      </w:r>
    </w:p>
    <w:p>
      <w:r>
        <w:rPr>
          <w:rStyle w:val="Hyperlink"/>
        </w:rPr>
        <w:fldChar w:fldCharType="begin"/>
      </w:r>
      <w:r>
        <w:rPr>
          <w:rStyle w:val="Hyperlink"/>
        </w:rPr>
        <w:instrText xml:space="preserve"> HYPERLINK "http://eutils.ncbi.nlm.nih.gov/entrez/eutils/elink.fcgi?dbfrom=pubmed&amp;id=28544250&amp;retmode=ref&amp;cmd=prlinks"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http://eutils.ncbi.nlm.nih.gov/entrez/eutils/elink.fcgi?dbfrom=pubmed&amp;id=28544250&amp;retmode=ref&amp;cmd=prlinks</w:t>
      </w:r>
      <w:r>
        <w:rPr>
          <w:rStyle w:val="Hyperlink"/>
        </w:rPr>
        <w:fldChar w:fldCharType="end"/>
      </w:r>
    </w:p>
    <w:p>
      <w:pPr>
        <w:pStyle w:val="Normal"/>
      </w:pPr>
      <w:r>
        <w:rPr>
          <w:color w:val="323232"/>
        </w:rPr>
        <w:t xml:space="preserve">————————</w:t>
      </w:r>
    </w:p>
    <w:p>
      <w:pPr>
        <w:pStyle w:val="Heading4"/>
      </w:pPr>
      <w:r>
        <w:t xml:space="preserve">Comparison of two species-specific oscillometric blood pressure monitors with direct blood pressure measurement in anesthetized cats.</w:t>
      </w:r>
    </w:p>
    <w:p/>
    <w:p>
      <w:pPr>
        <w:pStyle w:val="Normal"/>
      </w:pPr>
      <w:r>
        <w:rPr>
          <w:color w:val="323232"/>
        </w:rPr>
        <w:t xml:space="preserve">Sofia A Cerejo, Francisco J Teixeira-Neto, Natache A Garofalo, Jéssica C Rodrigues, Nathalia Celeita-Rodríguez, and Angie P Lagos-Carvajal.</w:t>
      </w:r>
    </w:p>
    <w:p/>
    <w:p>
      <w:pPr>
        <w:pStyle w:val="Normal"/>
      </w:pPr>
      <w:r>
        <w:rPr>
          <w:color w:val="323232"/>
        </w:rPr>
        <w:t xml:space="preserve">OBJECTIVE:To compare the performance of 2 species-specific oscillometric blood pressure (OBP) monitors (petMAPclassic and petMAPgraphic ) with direct blood pressure measurement in anesthetized cats.</w:t>
      </w:r>
    </w:p>
    <w:p/>
    <w:p>
      <w:pPr>
        <w:pStyle w:val="Normal"/>
      </w:pPr>
      <w:r>
        <w:rPr>
          <w:color w:val="323232"/>
        </w:rPr>
        <w:t xml:space="preserve">DESIGN:Prospective, experimental study.</w:t>
      </w:r>
    </w:p>
    <w:p/>
    <w:p>
      <w:pPr>
        <w:pStyle w:val="Normal"/>
      </w:pPr>
      <w:r>
        <w:rPr>
          <w:color w:val="323232"/>
        </w:rPr>
        <w:t xml:space="preserve">SETTING:Veterinary teaching hospital.</w:t>
      </w:r>
    </w:p>
    <w:p/>
    <w:p>
      <w:pPr>
        <w:pStyle w:val="Normal"/>
      </w:pPr>
      <w:r>
        <w:rPr>
          <w:color w:val="323232"/>
        </w:rPr>
        <w:t xml:space="preserve">ANIMALS:Eight adult cats (3.2-5.5 kg).</w:t>
      </w:r>
    </w:p>
    <w:p/>
    <w:p>
      <w:pPr>
        <w:pStyle w:val="Normal"/>
      </w:pPr>
      <w:r>
        <w:rPr>
          <w:color w:val="323232"/>
        </w:rPr>
        <w:t xml:space="preserve">INTERVENTIONS:During isoflurane anesthesia, OBP cuffs were placed on the thoracic limb and on the base of the tail while invasive blood pressure (IBP) was recorded from a dorsal pedal artery. End-tidal isoflurane concentrations, with or without intravenous dopamine (n = 8), norepinephrine (n = 1), or phenylephrine (n = 1) were adjusted to change invasive mean arterial pressure (MAP) between 40 to 100 mm Hg. Data were analyzed by the Bland-Altman method and 4-quadrant plots.</w:t>
      </w:r>
    </w:p>
    <w:p/>
    <w:p>
      <w:pPr>
        <w:pStyle w:val="Normal"/>
      </w:pPr>
      <w:r>
        <w:rPr>
          <w:color w:val="323232"/>
        </w:rPr>
        <w:t xml:space="preserve">MEASUREMENTS AND MAIN RESULTS:Mean biases and limits of agreement (LOA: ± 1.96 SD) (mm Hg) recorded between the petMAPclassic (thoracic limb) and IBP for systolic arterial pressure (SAP), diastolic arterial pressure (DAP), and MAP were 4.2 ± 28.5, -6.1 ± 13.2, and -1.9 ± 14.6, respectively; mean biases and LOA (mm Hg) recorded with the tail cuff were 7.2 ± 31.3 (SAP), -6.1 ± 11.6 (DAP), and -1.1 ± 11.7 (MAP). Mean biases and LOA (mm Hg) between petMAPgraphic (thoracic limb) and IBP were 7.7 ± 27.0 (SAP), -4.3 ± 11.5 (DAP), 0.2 ± 13.0 (MAP); values recorded with the tail cuff were 10.9 ± 29.6 (SAP), -4.4 ± 11.7 (DAP), and -0.1 ± 12.1 (MAP). Concordance rates after excluding arterial pressure changes ≤ 5 mm Hg was ≥ 93% for both devices.</w:t>
      </w:r>
    </w:p>
    <w:p/>
    <w:p>
      <w:pPr>
        <w:pStyle w:val="Normal"/>
      </w:pPr>
      <w:r>
        <w:rPr>
          <w:color w:val="323232"/>
        </w:rPr>
        <w:t xml:space="preserve">CONCLUSIONS:Although both OBP monitors provide unacceptable SAP estimations, MAP values derived from both monitors and DAP measured by the petMAPgraphic result in acceptable agreement with the reference method according to the Association for the Advancement of Medical Instrumentation (mean bias ≤ 5 mm Hg with LOA ≤ ± 16 mm Hg). Both monitors provide acceptable trending ability for SAP, DAP, and MAP.</w:t>
      </w:r>
    </w:p>
    <w:p/>
    <w:p>
      <w:pPr>
        <w:pStyle w:val="Normal"/>
      </w:pPr>
      <w:r>
        <w:rPr>
          <w:color w:val="323232"/>
        </w:rPr>
        <w:t xml:space="preserve">J Vet Emerg Crit Care (San Antonio), 2017 vol. 27 (4) pp. 409-418.</w:t>
      </w:r>
    </w:p>
    <w:p>
      <w:r>
        <w:rPr>
          <w:rStyle w:val="Hyperlink"/>
        </w:rPr>
        <w:fldChar w:fldCharType="begin"/>
      </w:r>
      <w:r>
        <w:rPr>
          <w:rStyle w:val="Hyperlink"/>
        </w:rPr>
        <w:instrText xml:space="preserve"> HYPERLINK "http://eutils.ncbi.nlm.nih.gov/entrez/eutils/elink.fcgi?dbfrom=pubmed&amp;id=28654723&amp;retmode=ref&amp;cmd=prlinks"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http://eutils.ncbi.nlm.nih.gov/entrez/eutils/elink.fcgi?dbfrom=pubmed&amp;id=28654723&amp;retmode=ref&amp;cmd=prlinks</w:t>
      </w:r>
      <w:r>
        <w:rPr>
          <w:rStyle w:val="Hyperlink"/>
        </w:rPr>
        <w:fldChar w:fldCharType="end"/>
      </w:r>
    </w:p>
    <w:p>
      <w:pPr>
        <w:pStyle w:val="Normal"/>
      </w:pPr>
      <w:r>
        <w:rPr>
          <w:color w:val="323232"/>
        </w:rPr>
        <w:t xml:space="preserve">————————</w:t>
      </w:r>
    </w:p>
    <w:p>
      <w:pPr>
        <w:pStyle w:val="Heading4"/>
      </w:pPr>
      <w:r>
        <w:t xml:space="preserve">Retrospective evaluation of the impact of early enteral nutrition on clinical outcomes in dogs with pancreatitis: 34 cases (2010-2013).</w:t>
      </w:r>
    </w:p>
    <w:p/>
    <w:p>
      <w:pPr>
        <w:pStyle w:val="Normal"/>
      </w:pPr>
      <w:r>
        <w:rPr>
          <w:color w:val="323232"/>
        </w:rPr>
        <w:t xml:space="preserve">Enteral nutrition on outcomes of dogs with pancreatitis.</w:t>
      </w:r>
    </w:p>
    <w:p>
      <w:pPr>
        <w:pStyle w:val="Normal"/>
      </w:pPr>
      <w:r>
        <w:rPr>
          <w:color w:val="323232"/>
        </w:rPr>
        <w:t xml:space="preserve">Jessica P Harris, Nolie K Parnell, Emily H Griffith, and Korinn E Saker.</w:t>
      </w:r>
    </w:p>
    <w:p/>
    <w:p>
      <w:pPr>
        <w:pStyle w:val="Normal"/>
      </w:pPr>
      <w:r>
        <w:rPr>
          <w:color w:val="323232"/>
        </w:rPr>
        <w:t xml:space="preserve">OBJECTIVE:To evaluate the effect of early enteral nutritional therapy on time to return to voluntary intake, maximum food consumption, incidence of gastrointestinal intolerance (GI), and total hospitalization time for dogs with acute pancreatitis.</w:t>
      </w:r>
    </w:p>
    <w:p/>
    <w:p>
      <w:pPr>
        <w:pStyle w:val="Normal"/>
      </w:pPr>
      <w:r>
        <w:rPr>
          <w:color w:val="323232"/>
        </w:rPr>
        <w:t xml:space="preserve">DESIGN AND SETTING:Retrospective analysis of dogs with pancreatitis at a veterinary teaching hospital between 2010 and 2013.</w:t>
      </w:r>
    </w:p>
    <w:p/>
    <w:p>
      <w:pPr>
        <w:pStyle w:val="Normal"/>
      </w:pPr>
      <w:r>
        <w:rPr>
          <w:color w:val="323232"/>
        </w:rPr>
        <w:t xml:space="preserve">ANIMALS:Thirty-four client-owned dogs diagnosed with acute or acute-on-chronic pancreatitis.</w:t>
      </w:r>
    </w:p>
    <w:p/>
    <w:p>
      <w:pPr>
        <w:pStyle w:val="Normal"/>
      </w:pPr>
      <w:r>
        <w:rPr>
          <w:color w:val="323232"/>
        </w:rPr>
        <w:t xml:space="preserve">PROCEDURES AND INTERVENTIONS:Medical records of dogs evaluated for inappetence, anorexia, and GI for which a diagnosis of pancreatitis was recorded were reviewed. The time to initiation of food offerings since hospitalization were recorded in addition to signalment, historical medical conditions, chief complaint, physical examination findings, diagnostic results, treatments provided, timing of food offering (within 48 h of hospitalization, early feeding group (EFG) versus delayed feeding group (DFG), diet therapy (low fat versus high fat), caloric intake (% resting energy requirement), incidence of GI (%), and length of hospitalization (LOH) (days). A Clinical Severity Index Score (CSIS) was determined for each patient.</w:t>
      </w:r>
    </w:p>
    <w:p/>
    <w:p>
      <w:pPr>
        <w:pStyle w:val="Normal"/>
      </w:pPr>
      <w:r>
        <w:rPr>
          <w:color w:val="323232"/>
        </w:rPr>
        <w:t xml:space="preserve">MEASUREMENTS AND MAIN RESULTS:Dogs in the EFG demonstrated a decreased time to return of voluntary intake (2.1 days, EFG versus 2.7 days, DFG; P = 0.05) and time (days) to maximum intake (3, EFG versus 3.4 DFG) as compared to the DFG dogs. The DFG exhibited more GI versus EFG irrespective of CSIS grouping (60% versus 26%, P = 0.04). A CSIS ≥ 7 was associated with prolonged LOH (P = 0.004); however, time to initiation of feeding and diet selection did not impact LOH (P = 0.8).</w:t>
      </w:r>
    </w:p>
    <w:p/>
    <w:p>
      <w:pPr>
        <w:pStyle w:val="Normal"/>
      </w:pPr>
      <w:r>
        <w:rPr>
          <w:color w:val="323232"/>
        </w:rPr>
        <w:t xml:space="preserve">CONCLUSIONS AND CLINICAL RELEVANCE:Results of the study suggested that feeding within 48 hours of hospitalization for canine pancreatitis has a positive impact on return to voluntary intake and decreases the frequency of GI in these patients, independent of CSIS. The traditional protocol of withholding food during hospitalization may not be necessary nor yield the most benefit for patient recovery; subsequently early enteral refeeding should be considered.</w:t>
      </w:r>
    </w:p>
    <w:p/>
    <w:p>
      <w:pPr>
        <w:pStyle w:val="Normal"/>
      </w:pPr>
      <w:r>
        <w:rPr>
          <w:color w:val="323232"/>
        </w:rPr>
        <w:t xml:space="preserve">J Vet Emerg Crit Care (San Antonio), 2017 vol. 27 (4) pp. 425-433.</w:t>
      </w:r>
    </w:p>
    <w:p>
      <w:r>
        <w:rPr>
          <w:rStyle w:val="Hyperlink"/>
        </w:rPr>
        <w:fldChar w:fldCharType="begin"/>
      </w:r>
      <w:r>
        <w:rPr>
          <w:rStyle w:val="Hyperlink"/>
        </w:rPr>
        <w:instrText xml:space="preserve"> HYPERLINK "http://doi.wiley.com/10.1111/vec.12612" </w:instrText>
      </w:r>
      <w:r>
        <w:rPr>
          <w:rStyle w:val="Hyperlink"/>
        </w:rPr>
      </w:r>
      <w:r>
        <w:rPr>
          <w:rStyle w:val="Hyperlink"/>
        </w:rPr>
        <w:fldChar w:fldCharType="separate"/>
      </w:r>
      <w:pPr>
        <w:pStyle w:val="Normal"/>
      </w:pPr>
      <w:r>
        <w:rPr>
          <w:rStyle w:val="Hyperlink"/>
        </w:rPr>
        <w:t xml:space="preserve">http://doi.wiley.com/10.1111/vec.12612</w:t>
      </w:r>
      <w:r>
        <w:rPr>
          <w:rStyle w:val="Hyperlink"/>
        </w:rPr>
        <w:fldChar w:fldCharType="end"/>
      </w:r>
    </w:p>
    <w:p>
      <w:pPr>
        <w:pStyle w:val="Normal"/>
      </w:pPr>
      <w:r>
        <w:rPr>
          <w:color w:val="323232"/>
        </w:rPr>
        <w:t xml:space="preserve">————————</w:t>
      </w:r>
    </w:p>
    <w:p>
      <w:pPr>
        <w:pStyle w:val="Heading4"/>
      </w:pPr>
      <w:r>
        <w:t xml:space="preserve">Escalator-related injuries in 30 dogs (2007-2014).</w:t>
      </w:r>
    </w:p>
    <w:p/>
    <w:p>
      <w:pPr>
        <w:pStyle w:val="Normal"/>
      </w:pPr>
      <w:r>
        <w:rPr>
          <w:color w:val="323232"/>
        </w:rPr>
        <w:t xml:space="preserve">Emma-Leigh Pearson, Megan Whelan, and Kiko Bracker.</w:t>
      </w:r>
    </w:p>
    <w:p/>
    <w:p>
      <w:pPr>
        <w:pStyle w:val="Normal"/>
      </w:pPr>
      <w:r>
        <w:rPr>
          <w:color w:val="323232"/>
        </w:rPr>
        <w:t xml:space="preserve">OBJECTIVE:To describe a population of dogs affected by escalator-related injuries, and to characterize the types of injuries sustained and describe treatment administered.</w:t>
      </w:r>
    </w:p>
    <w:p/>
    <w:p>
      <w:pPr>
        <w:pStyle w:val="Normal"/>
      </w:pPr>
      <w:r>
        <w:rPr>
          <w:color w:val="323232"/>
        </w:rPr>
        <w:t xml:space="preserve">DESIGN:Retrospective study from March 2007 to November 2014.</w:t>
      </w:r>
    </w:p>
    <w:p/>
    <w:p>
      <w:pPr>
        <w:pStyle w:val="Normal"/>
      </w:pPr>
      <w:r>
        <w:rPr>
          <w:color w:val="323232"/>
        </w:rPr>
        <w:t xml:space="preserve">SETTING:Large urban referral and emergency facility.</w:t>
      </w:r>
    </w:p>
    <w:p/>
    <w:p>
      <w:pPr>
        <w:pStyle w:val="Normal"/>
      </w:pPr>
      <w:r>
        <w:rPr>
          <w:color w:val="323232"/>
        </w:rPr>
        <w:t xml:space="preserve">ANIMALS:Thirty client-owned dogs presenting with injuries acquired while riding an escalator.</w:t>
      </w:r>
    </w:p>
    <w:p/>
    <w:p>
      <w:pPr>
        <w:pStyle w:val="Normal"/>
      </w:pPr>
      <w:r>
        <w:rPr>
          <w:color w:val="323232"/>
        </w:rPr>
        <w:t xml:space="preserve">INTERVENTIONS:None.</w:t>
      </w:r>
    </w:p>
    <w:p/>
    <w:p>
      <w:pPr>
        <w:pStyle w:val="Normal"/>
      </w:pPr>
      <w:r>
        <w:rPr>
          <w:color w:val="323232"/>
        </w:rPr>
        <w:t xml:space="preserve">MEASUREMENTS AND MAIN RESULTS:All injuries in this study occurred secondary to entrapment of 1 or more paws in the moving parts of an escalator; 39 paws were injured in total. The median body weight of the patients in this study was 4.25 kg, with 73.3% of the patients weighing less than 10 kg. Fifteen patients (50.0%) were treated surgically, the remainder were managed conservatively. Eight patients (26.7%) underwent digit or partial-digit amputation. Of the conservatively managed patients, 10 were treated with bandaging of the wounds. Antimicrobials, opiate analgesics, and nonsteroidal anti-inflammatory drugs were administered in both surgically and conservatively managed patients.</w:t>
      </w:r>
    </w:p>
    <w:p/>
    <w:p>
      <w:pPr>
        <w:pStyle w:val="Normal"/>
      </w:pPr>
      <w:r>
        <w:rPr>
          <w:color w:val="323232"/>
        </w:rPr>
        <w:t xml:space="preserve">CONCLUSIONS:While uncommon, escalator accidents can result in significant injury to dogs. Measures can be taken to prevent these injuries from occurring, whether through client education, dog training, structural modifications in the escalators themselves, or avoidance of escalators. In the present study, the survival rate of dogs injured on escalators was 100%.</w:t>
      </w:r>
    </w:p>
    <w:p/>
    <w:p>
      <w:pPr>
        <w:pStyle w:val="Normal"/>
      </w:pPr>
      <w:r>
        <w:rPr>
          <w:color w:val="323232"/>
        </w:rPr>
        <w:t xml:space="preserve">J Vet Emerg Crit Care (San Antonio), 2017 vol. 27 (4) pp. 434-438.</w:t>
      </w:r>
    </w:p>
    <w:p>
      <w:r>
        <w:rPr>
          <w:rStyle w:val="Hyperlink"/>
        </w:rPr>
        <w:fldChar w:fldCharType="begin"/>
      </w:r>
      <w:r>
        <w:rPr>
          <w:rStyle w:val="Hyperlink"/>
        </w:rPr>
        <w:instrText xml:space="preserve"> HYPERLINK "http://eutils.ncbi.nlm.nih.gov/entrez/eutils/elink.fcgi?dbfrom=pubmed&amp;id=28510368&amp;retmode=ref&amp;cmd=prlinks"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http://eutils.ncbi.nlm.nih.gov/entrez/eutils/elink.fcgi?dbfrom=pubmed&amp;id=28510368&amp;retmode=ref&amp;cmd=prlinks</w:t>
      </w:r>
      <w:r>
        <w:rPr>
          <w:rStyle w:val="Hyperlink"/>
        </w:rPr>
        <w:fldChar w:fldCharType="end"/>
      </w:r>
    </w:p>
    <w:p>
      <w:pPr>
        <w:pStyle w:val="Normal"/>
      </w:pPr>
      <w:r>
        <w:rPr>
          <w:color w:val="323232"/>
        </w:rPr>
        <w:t xml:space="preserve">————————</w:t>
      </w:r>
    </w:p>
    <w:p>
      <w:pPr>
        <w:pStyle w:val="Heading4"/>
      </w:pPr>
      <w:r>
        <w:t xml:space="preserve">A retrospective study of anti-inflammatory use in dogs with pulmonary blastomycosis: 139 cases (2002-2012).</w:t>
      </w:r>
    </w:p>
    <w:p/>
    <w:p>
      <w:pPr>
        <w:pStyle w:val="Normal"/>
      </w:pPr>
      <w:r>
        <w:rPr>
          <w:color w:val="323232"/>
        </w:rPr>
        <w:t xml:space="preserve">Rebecca A L Walton, Andrew Wey, and Kelly E Hall.</w:t>
      </w:r>
    </w:p>
    <w:p/>
    <w:p>
      <w:pPr>
        <w:pStyle w:val="Normal"/>
      </w:pPr>
      <w:r>
        <w:rPr>
          <w:color w:val="323232"/>
        </w:rPr>
        <w:t xml:space="preserve">OBJECTIVE:To determine the effect of anti-inflammatory medications on 30-day survival of dogs treated for pulmonary blastomycosis.</w:t>
      </w:r>
    </w:p>
    <w:p/>
    <w:p>
      <w:pPr>
        <w:pStyle w:val="Normal"/>
      </w:pPr>
      <w:r>
        <w:rPr>
          <w:color w:val="323232"/>
        </w:rPr>
        <w:t xml:space="preserve">DESIGN:Retrospective study.</w:t>
      </w:r>
    </w:p>
    <w:p/>
    <w:p>
      <w:pPr>
        <w:pStyle w:val="Normal"/>
      </w:pPr>
      <w:r>
        <w:rPr>
          <w:color w:val="323232"/>
        </w:rPr>
        <w:t xml:space="preserve">SETTING:University teaching hospital.</w:t>
      </w:r>
    </w:p>
    <w:p/>
    <w:p>
      <w:pPr>
        <w:pStyle w:val="Normal"/>
      </w:pPr>
      <w:r>
        <w:rPr>
          <w:color w:val="323232"/>
        </w:rPr>
        <w:t xml:space="preserve">ANIMALS:One hundred thirty nine client-owned dogs with confirmed pulmonary blastomycosis.</w:t>
      </w:r>
    </w:p>
    <w:p/>
    <w:p>
      <w:pPr>
        <w:pStyle w:val="Normal"/>
      </w:pPr>
      <w:r>
        <w:rPr>
          <w:color w:val="323232"/>
        </w:rPr>
        <w:t xml:space="preserve">MEASUREMENTS AND MAIN RESULTS:The medical records of dogs diagnosed with pulmonary blastomycosis between May 2002 and October 2012 were identified. Of 139 dogs, 85 (61%) survived to 30 days, 38 (27%) were euthanized due to progressive clinical disease, 13 (10%) died secondary to respiratory or cardiac arrest, and 3 (2%) did not survive to 30 days but had an unknown cause of death. Cases were classified based on the anti-inflammatory therapy that was used: nonsteroidal anti-inflammatory drugs (NSAID), corticosteroids, both, or none. Controlling for the effects of itraconazole dose, sex, age, and pretreatment with anti-inflammatory medication, the odds for survival to 30 days was not statistically different between dogs who received no anti-inflammatory medication and the dogs who received NSAIDs (P = 0.86), corticosteroids (P = 0.65), or both (P = 0.27). The need for supplemental oxygen was associated with decreased survival (P &lt; 0.0001).</w:t>
      </w:r>
    </w:p>
    <w:p/>
    <w:p>
      <w:pPr>
        <w:pStyle w:val="Normal"/>
      </w:pPr>
      <w:r>
        <w:rPr>
          <w:color w:val="323232"/>
        </w:rPr>
        <w:t xml:space="preserve">CONCLUSIONS:In this population of dogs with pulmonary blastomycosis, the use of anti-inflammatory medications during therapy did not impact 30-day survival; however, the need for oxygen supplementation was associated with significantly lower survival.</w:t>
      </w:r>
    </w:p>
    <w:p/>
    <w:p>
      <w:pPr>
        <w:pStyle w:val="Normal"/>
      </w:pPr>
      <w:r>
        <w:rPr>
          <w:color w:val="323232"/>
        </w:rPr>
        <w:t xml:space="preserve">J Vet Emerg Crit Care (San Antonio), 2017 vol. 27 (4) pp. 439-443.</w:t>
      </w:r>
    </w:p>
    <w:p>
      <w:r>
        <w:rPr>
          <w:rStyle w:val="Hyperlink"/>
        </w:rPr>
        <w:fldChar w:fldCharType="begin"/>
      </w:r>
      <w:r>
        <w:rPr>
          <w:rStyle w:val="Hyperlink"/>
        </w:rPr>
        <w:instrText xml:space="preserve"> HYPERLINK "http://eutils.ncbi.nlm.nih.gov/entrez/eutils/elink.fcgi?dbfrom=pubmed&amp;id=28561957&amp;retmode=ref&amp;cmd=prlinks"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http://eutils.ncbi.nlm.nih.gov/entrez/eutils/elink.fcgi?dbfrom=pubmed&amp;id=28561957&amp;retmode=ref&amp;cmd=prlinks</w:t>
      </w:r>
      <w:r>
        <w:rPr>
          <w:rStyle w:val="Hyperlink"/>
        </w:rPr>
        <w:fldChar w:fldCharType="end"/>
      </w:r>
    </w:p>
    <w:p>
      <w:pPr>
        <w:pStyle w:val="Normal"/>
      </w:pPr>
      <w:r>
        <w:rPr>
          <w:color w:val="323232"/>
        </w:rPr>
        <w:t xml:space="preserve">————————</w:t>
      </w:r>
    </w:p>
    <w:p>
      <w:pPr>
        <w:pStyle w:val="Heading4"/>
      </w:pPr>
      <w:r>
        <w:t xml:space="preserve">Treatment of meloxicam overdose in a dog via therapeutic plasma exchange.</w:t>
      </w:r>
    </w:p>
    <w:p/>
    <w:p>
      <w:pPr>
        <w:pStyle w:val="Normal"/>
      </w:pPr>
      <w:r>
        <w:rPr>
          <w:color w:val="323232"/>
        </w:rPr>
        <w:t xml:space="preserve">Stuart Walton, Kirk A Ryan, Jennifer L Davis, and Mark Acierno.</w:t>
      </w:r>
    </w:p>
    <w:p/>
    <w:p>
      <w:pPr>
        <w:pStyle w:val="Normal"/>
      </w:pPr>
      <w:r>
        <w:rPr>
          <w:color w:val="323232"/>
        </w:rPr>
        <w:t xml:space="preserve">OBJECTIVE:To describe the treatment of a meloxicam overdose in a dog with therapeutic plasma exchange (TPE).</w:t>
      </w:r>
    </w:p>
    <w:p/>
    <w:p>
      <w:pPr>
        <w:pStyle w:val="Normal"/>
      </w:pPr>
      <w:r>
        <w:rPr>
          <w:color w:val="323232"/>
        </w:rPr>
        <w:t xml:space="preserve">CASE SUMMARY:A 6-month-old female Bulldog, presented for routine laparoscopic ovariectomy. Postoperatively the dog received an accidental overdose of meloxicam (1 mg/kg IV [intravenously]). The patient was treated with supportive medical therapy and TPE over 210 minutes achieving 1.2 plasma volume exchanges. During therapy, heparinized blood and effluent samples were collected. Meloxicam concentrations were determined in the samples by high pressure liquid chromatography. Post TPE, the dog continued to receive supportive medical therapy and was discharged 48 hours after the overdose. The dog remained asymptomatic for meloxicam intoxication. Follow-up rechecks at 1 and 6 weeks were unremarkable with no further treatment required.</w:t>
      </w:r>
    </w:p>
    <w:p/>
    <w:p>
      <w:pPr>
        <w:pStyle w:val="Normal"/>
      </w:pPr>
      <w:r>
        <w:rPr>
          <w:color w:val="323232"/>
        </w:rPr>
        <w:t xml:space="preserve">NEW OR UNIQUE INFORMATION:This report describes the successful use of TPE adjunctively following an acute meloxicam overdose. An 82% reduction of plasma meloxicam concentration was achieved over 210 minutes. Twenty-four hours after therapy, a 47% sustained reduction of plasma meloxicam was measured after redistribution of drug between body compartments.</w:t>
      </w:r>
    </w:p>
    <w:p/>
    <w:p>
      <w:pPr>
        <w:pStyle w:val="Normal"/>
      </w:pPr>
      <w:r>
        <w:rPr>
          <w:color w:val="323232"/>
        </w:rPr>
        <w:t xml:space="preserve">J Vet Emerg Crit Care (San Antonio), 2017 vol. 27 (4) pp. 444-450.</w:t>
      </w:r>
    </w:p>
    <w:p>
      <w:r>
        <w:rPr>
          <w:rStyle w:val="Hyperlink"/>
        </w:rPr>
        <w:fldChar w:fldCharType="begin"/>
      </w:r>
      <w:r>
        <w:rPr>
          <w:rStyle w:val="Hyperlink"/>
        </w:rPr>
        <w:instrText xml:space="preserve"> HYPERLINK "http://eutils.ncbi.nlm.nih.gov/entrez/eutils/elink.fcgi?dbfrom=pubmed&amp;id=28481472&amp;retmode=ref&amp;cmd=prlinks"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http://eutils.ncbi.nlm.nih.gov/entrez/eutils/elink.fcgi?dbfrom=pubmed&amp;id=28481472&amp;retmode=ref&amp;cmd=prlinks</w:t>
      </w:r>
      <w:r>
        <w:rPr>
          <w:rStyle w:val="Hyperlink"/>
        </w:rPr>
        <w:fldChar w:fldCharType="end"/>
      </w:r>
    </w:p>
    <w:p>
      <w:pPr>
        <w:pStyle w:val="Normal"/>
      </w:pPr>
      <w:r>
        <w:rPr>
          <w:color w:val="323232"/>
        </w:rPr>
        <w:t xml:space="preserve">————————</w:t>
      </w:r>
    </w:p>
    <w:p>
      <w:pPr>
        <w:pStyle w:val="Heading4"/>
      </w:pPr>
      <w:r>
        <w:t xml:space="preserve">Treatment of ibuprofen intoxication in a dog via therapeutic plasma exchange.</w:t>
      </w:r>
    </w:p>
    <w:p/>
    <w:p>
      <w:pPr>
        <w:pStyle w:val="Normal"/>
      </w:pPr>
      <w:r>
        <w:rPr>
          <w:color w:val="323232"/>
        </w:rPr>
        <w:t xml:space="preserve">Stuart Walton, Kirk A Ryan, Jennifer L Davis, and Mark Acierno.</w:t>
      </w:r>
    </w:p>
    <w:p/>
    <w:p>
      <w:pPr>
        <w:pStyle w:val="Normal"/>
      </w:pPr>
      <w:r>
        <w:rPr>
          <w:color w:val="323232"/>
        </w:rPr>
        <w:t xml:space="preserve">OBJECTIVE:To describe the treatment of ibuprofen intoxication with therapeutic plasma exchange in a dog (TPE).</w:t>
      </w:r>
    </w:p>
    <w:p/>
    <w:p>
      <w:pPr>
        <w:pStyle w:val="Normal"/>
      </w:pPr>
      <w:r>
        <w:rPr>
          <w:color w:val="323232"/>
        </w:rPr>
        <w:t xml:space="preserve">SUMMARY:A 13-year-old male neutered mixed breed dog presented after ingesting approximately 200 mg/kg of ibuprofen. Treatment consisted of supportive medical therapy with IV fluids, gastrointestinal protectants, antiemetics and prostaglandin analogs, and TPE. A cycle of TPE was performed over 180 minutes, achieving 1.5 plasma volume exchanges. During therapy, heparinized blood and effluent samples were collected. Ibuprofen concentrations were determined in the samples by high-pressure liquid chromatography. Post TPE, the dog was continued on supportive medical therapy and was discharged 96 hours after the overdose.</w:t>
      </w:r>
    </w:p>
    <w:p/>
    <w:p>
      <w:pPr>
        <w:pStyle w:val="Normal"/>
      </w:pPr>
      <w:r>
        <w:rPr>
          <w:color w:val="323232"/>
        </w:rPr>
        <w:t xml:space="preserve">NEW OR UNIQUE INFORMATION:This report describes the use of TPE as an adjunct for ibuprofen intoxication. An 85% reduction in plasma ibuprofen concentration occurred and recovery from a potentially lethal ingestion of ibuprofen was achieved with TPE and supportive care. TPE should be considered when presented with acute ibuprofen intoxication due to the rapid and efficacious nature of therapy.</w:t>
      </w:r>
    </w:p>
    <w:p/>
    <w:p>
      <w:pPr>
        <w:pStyle w:val="Normal"/>
      </w:pPr>
      <w:r>
        <w:rPr>
          <w:color w:val="323232"/>
        </w:rPr>
        <w:t xml:space="preserve">J Vet Emerg Crit Care (San Antonio), 2017 vol. 27 (4) pp. 451-457.</w:t>
      </w:r>
    </w:p>
    <w:p>
      <w:r>
        <w:rPr>
          <w:rStyle w:val="Hyperlink"/>
        </w:rPr>
        <w:fldChar w:fldCharType="begin"/>
      </w:r>
      <w:r>
        <w:rPr>
          <w:rStyle w:val="Hyperlink"/>
        </w:rPr>
        <w:instrText xml:space="preserve"> HYPERLINK "http://eutils.ncbi.nlm.nih.gov/entrez/eutils/elink.fcgi?dbfrom=pubmed&amp;id=28481451&amp;retmode=ref&amp;cmd=prlinks"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http://eutils.ncbi.nlm.nih.gov/entrez/eutils/elink.fcgi?dbfrom=pubmed&amp;id=28481451&amp;retmode=ref&amp;cmd=prlinks</w:t>
      </w:r>
      <w:r>
        <w:rPr>
          <w:rStyle w:val="Hyperlink"/>
        </w:rPr>
        <w:fldChar w:fldCharType="end"/>
      </w:r>
    </w:p>
    <w:p>
      <w:pPr>
        <w:pStyle w:val="Normal"/>
      </w:pPr>
      <w:r>
        <w:rPr>
          <w:color w:val="323232"/>
        </w:rPr>
        <w:t xml:space="preserve">————————</w:t>
      </w:r>
    </w:p>
    <w:p>
      <w:pPr>
        <w:pStyle w:val="Heading4"/>
      </w:pPr>
      <w:r>
        <w:t xml:space="preserve">The use of therapeutic plasma exchange to reduce serum bilirubin in a dog with kernicterus.</w:t>
      </w:r>
    </w:p>
    <w:p/>
    <w:p>
      <w:pPr>
        <w:pStyle w:val="Normal"/>
      </w:pPr>
      <w:r>
        <w:rPr>
          <w:color w:val="323232"/>
        </w:rPr>
        <w:t xml:space="preserve">Tricia Tovar, Sarah Deitschel, and Christine Guenther.</w:t>
      </w:r>
    </w:p>
    <w:p/>
    <w:p>
      <w:pPr>
        <w:pStyle w:val="Normal"/>
      </w:pPr>
      <w:r>
        <w:rPr>
          <w:color w:val="323232"/>
        </w:rPr>
        <w:t xml:space="preserve">OBJECTIVE:To describe the use of a manual method of therapeutic plasma exchange to reduce total serum bilirubin, manage kernicterus, and halt progression of neurological dysfunction in a dog with immune-mediated hemolytic anemia (IMHA).</w:t>
      </w:r>
    </w:p>
    <w:p/>
    <w:p>
      <w:pPr>
        <w:pStyle w:val="Normal"/>
      </w:pPr>
      <w:r>
        <w:rPr>
          <w:color w:val="323232"/>
        </w:rPr>
        <w:t xml:space="preserve">CASE SUMMARY:A 5-year-old male neutered Lhasa Apso diagnosed with IMHA developed acute onset neurologic signs consistent with kernicterus. Manual therapeutic plasma exchange was performed in an attempt to reduce total serum bilirubin. The initial exchange was performed at a lower plasma exchange volume due to the dog's critical status and the dog's clinical signs progressed. More aggressive plasma exchange was performed that resulted in a reduction in total serum bilirubin and no further progression of neurologic signs. The dog was euthanized due to suspicion of permanent neurologic changes and need for further blood transfusions. Histopathology postmortem confirmed a diagnosis of kernicterus.</w:t>
      </w:r>
    </w:p>
    <w:p/>
    <w:p>
      <w:pPr>
        <w:pStyle w:val="Normal"/>
      </w:pPr>
      <w:r>
        <w:rPr>
          <w:color w:val="323232"/>
        </w:rPr>
        <w:t xml:space="preserve">NEW OR UNIQUE INFORMATION PROVIDED:Kernicterus secondary to hyperbilirubinemia is well described in people, but has rarely been reported in dogs. Therapeutic plasma exchange has been used for decades in people to rapidly decrease serum bilirubin when hyperbilirubinemia progresses to neurologic signs, but to the authors' knowledge this has not been described in a dog.</w:t>
      </w:r>
    </w:p>
    <w:p/>
    <w:p>
      <w:pPr>
        <w:pStyle w:val="Normal"/>
      </w:pPr>
      <w:r>
        <w:rPr>
          <w:color w:val="323232"/>
        </w:rPr>
        <w:t xml:space="preserve">J Vet Emerg Crit Care (San Antonio), 2017 vol. 27 (4) pp. 458-464.</w:t>
      </w:r>
    </w:p>
    <w:p>
      <w:r>
        <w:rPr>
          <w:rStyle w:val="Hyperlink"/>
        </w:rPr>
        <w:fldChar w:fldCharType="begin"/>
      </w:r>
      <w:r>
        <w:rPr>
          <w:rStyle w:val="Hyperlink"/>
        </w:rPr>
        <w:instrText xml:space="preserve"> HYPERLINK "http://eutils.ncbi.nlm.nih.gov/entrez/eutils/elink.fcgi?dbfrom=pubmed&amp;id=28605161&amp;retmode=ref&amp;cmd=prlinks"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http://eutils.ncbi.nlm.nih.gov/entrez/eutils/elink.fcgi?dbfrom=pubmed&amp;id=28605161&amp;retmode=ref&amp;cmd=prlinks</w:t>
      </w:r>
      <w:r>
        <w:rPr>
          <w:rStyle w:val="Hyperlink"/>
        </w:rPr>
        <w:fldChar w:fldCharType="end"/>
      </w:r>
    </w:p>
    <w:p>
      <w:pPr>
        <w:pStyle w:val="Normal"/>
      </w:pPr>
      <w:r>
        <w:rPr>
          <w:color w:val="323232"/>
        </w:rPr>
        <w:t xml:space="preserve">————————</w:t>
      </w:r>
    </w:p>
    <w:p>
      <w:pPr>
        <w:pStyle w:val="Heading4"/>
      </w:pPr>
      <w:r>
        <w:t xml:space="preserve">Use of a vascular closure device during percutaneous arterial access in a dog with impaired hemostasis.</w:t>
      </w:r>
    </w:p>
    <w:p/>
    <w:p>
      <w:pPr>
        <w:pStyle w:val="Normal"/>
      </w:pPr>
      <w:r>
        <w:rPr>
          <w:color w:val="323232"/>
        </w:rPr>
        <w:t xml:space="preserve">Brian A Scansen, Caitlin M Hokanson, Steven G Friedenberg, and Hooman Khabiri.</w:t>
      </w:r>
    </w:p>
    <w:p/>
    <w:p>
      <w:pPr>
        <w:pStyle w:val="Normal"/>
      </w:pPr>
      <w:r>
        <w:rPr>
          <w:color w:val="323232"/>
        </w:rPr>
        <w:t xml:space="preserve">OBJECTIVE:To report the use of a vascular closure device (VCD) to provide rapid arterial hemostasis following percutaneous femoral arterial catheterization and diagnostic angiography in a thrombocytopenic and coagulopathic dog.</w:t>
      </w:r>
    </w:p>
    <w:p/>
    <w:p>
      <w:pPr>
        <w:pStyle w:val="Normal"/>
      </w:pPr>
      <w:r>
        <w:rPr>
          <w:color w:val="323232"/>
        </w:rPr>
        <w:t xml:space="preserve">CASE SUMMARY:A 6-year-old female spayed Kai Ken Tora dog presented after vehicular trauma. The dog was diagnosed with traumatic pneumothorax, degloving wounds of the right antebrachium, subcutaneous hemorrhage within the axillary tissues of the left thoracic limb, and anemia and thrombocytopenia secondary to acute hemorrhage. Treatment included therapeutic thoracocentesis and open wound management of the right thoracic limb as well as packed RBC and fresh frozen plasma transfusions. Diagnostic angiography of the left brachial artery was performed via percutaneous femoral arterial access to investigate the source of a persistent axillary hematoma. The arterial access site was closed using an extraluminal VCD and hemostasis was immediate with normal femoral arterial blood flow documented by Doppler ultrasound.</w:t>
      </w:r>
    </w:p>
    <w:p/>
    <w:p>
      <w:pPr>
        <w:pStyle w:val="Normal"/>
      </w:pPr>
      <w:r>
        <w:rPr>
          <w:color w:val="323232"/>
        </w:rPr>
        <w:t xml:space="preserve">NEW OR UNIQUE INFORMATION PROVIDED:This report describes use of a VCD for arterial closure following percutaneous access in a dog with impaired hemostasis; to the authors' knowledge, this is the first clinical report of a VCD used in a veterinary species.</w:t>
      </w:r>
    </w:p>
    <w:p/>
    <w:p>
      <w:pPr>
        <w:pStyle w:val="Normal"/>
      </w:pPr>
      <w:r>
        <w:rPr>
          <w:color w:val="323232"/>
        </w:rPr>
        <w:t xml:space="preserve">J Vet Emerg Crit Care (San Antonio), 2017 vol. 27 (4) pp. 465-471.</w:t>
      </w:r>
    </w:p>
    <w:p>
      <w:r>
        <w:rPr>
          <w:rStyle w:val="Hyperlink"/>
        </w:rPr>
        <w:fldChar w:fldCharType="begin"/>
      </w:r>
      <w:r>
        <w:rPr>
          <w:rStyle w:val="Hyperlink"/>
        </w:rPr>
        <w:instrText xml:space="preserve"> HYPERLINK "http://eutils.ncbi.nlm.nih.gov/entrez/eutils/elink.fcgi?dbfrom=pubmed&amp;id=28544277&amp;retmode=ref&amp;cmd=prlinks"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http://eutils.ncbi.nlm.nih.gov/entrez/eutils/elink.fcgi?dbfrom=pubmed&amp;id=28544277&amp;retmode=ref&amp;cmd=prlinks</w:t>
      </w:r>
      <w:r>
        <w:rPr>
          <w:rStyle w:val="Hyperlink"/>
        </w:rPr>
        <w:fldChar w:fldCharType="end"/>
      </w:r>
    </w:p>
    <w:p>
      <w:pPr>
        <w:pStyle w:val="Normal"/>
      </w:pPr>
      <w:r>
        <w:rPr>
          <w:color w:val="323232"/>
        </w:rPr>
        <w:t xml:space="preserve">————————</w:t>
      </w:r>
    </w:p>
    <w:p>
      <w:pPr>
        <w:pStyle w:val="Heading4"/>
      </w:pPr>
      <w:r>
        <w:t xml:space="preserve">Acute respiratory distress syndrome and septic shock in a cat with disseminated toxoplasmosis.</w:t>
      </w:r>
    </w:p>
    <w:p/>
    <w:p>
      <w:pPr>
        <w:pStyle w:val="Normal"/>
      </w:pPr>
      <w:r>
        <w:rPr>
          <w:color w:val="323232"/>
        </w:rPr>
        <w:t xml:space="preserve">Natashia A Evans, Julie M Walker, Alison C Manchester, and Jonathan F Bach.</w:t>
      </w:r>
    </w:p>
    <w:p/>
    <w:p>
      <w:pPr>
        <w:pStyle w:val="Normal"/>
      </w:pPr>
      <w:r>
        <w:rPr>
          <w:color w:val="323232"/>
        </w:rPr>
        <w:t xml:space="preserve">OBJECTIVE:To describe acute respiratory distress syndrome (ARDS) and septic shock in a cat with disseminated toxoplasmosis.</w:t>
      </w:r>
    </w:p>
    <w:p/>
    <w:p>
      <w:pPr>
        <w:pStyle w:val="Normal"/>
      </w:pPr>
      <w:r>
        <w:rPr>
          <w:color w:val="323232"/>
        </w:rPr>
        <w:t xml:space="preserve">CASE SUMMARY:A 2-year-old neutered male domestic shorthair cat was presented for acute respiratory distress. At the time of presentation it had been receiving cyclosporine for treatment of eosinophilic dermatitis. Thoracic radiographs revealed severe mixed nodular interstitial and alveolar patterns. An endotracheal wash was performed, which confirmed a diagnosis of pulmonary toxoplasmosis. Despite initial treatment with oxygen supplementation and intravenous clindamycin, the cat developed refractory hypoxemia and hypotension requiring mechanical ventilation and vasopressor support within 24 hours of hospital admission. Cardiac arrest occurred 56 hours after admission. Necropsy was performed and histopathology revealed protozoal organisms disseminated throughout the heart, lungs, liver, and brain.</w:t>
      </w:r>
    </w:p>
    <w:p/>
    <w:p>
      <w:pPr>
        <w:pStyle w:val="Normal"/>
      </w:pPr>
      <w:r>
        <w:rPr>
          <w:color w:val="323232"/>
        </w:rPr>
        <w:t xml:space="preserve">NEW OR UNIQUE INFORMATION PROVIDED:The clinical and necropsy findings presented here are consistent with ARDS secondary to disseminated toxoplasmosis in a cat. This is the first detailed report of ARDS in a cat. Toxoplasma titer testing and antimicrobial prophylaxis should be considered in cats prior to immunosuppressive treatment with cyclosporine.</w:t>
      </w:r>
    </w:p>
    <w:p/>
    <w:p>
      <w:pPr>
        <w:pStyle w:val="Normal"/>
      </w:pPr>
      <w:r>
        <w:rPr>
          <w:color w:val="323232"/>
        </w:rPr>
        <w:t xml:space="preserve">J Vet Emerg Crit Care (San Antonio), 2017 vol. 27 (4) pp. 472-478.</w:t>
      </w:r>
    </w:p>
    <w:p>
      <w:r>
        <w:rPr>
          <w:rStyle w:val="Hyperlink"/>
        </w:rPr>
        <w:fldChar w:fldCharType="begin"/>
      </w:r>
      <w:r>
        <w:rPr>
          <w:rStyle w:val="Hyperlink"/>
        </w:rPr>
        <w:instrText xml:space="preserve"> HYPERLINK "http://eutils.ncbi.nlm.nih.gov/entrez/eutils/elink.fcgi?dbfrom=pubmed&amp;id=28561960&amp;retmode=ref&amp;cmd=prlinks"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http://eutils.ncbi.nlm.nih.gov/entrez/eutils/elink.fcgi?dbfrom=pubmed&amp;id=28561960&amp;retmode=ref&amp;cmd=prlinks</w:t>
      </w:r>
      <w:r>
        <w:rPr>
          <w:rStyle w:val="Hyperlink"/>
        </w:rPr>
        <w:fldChar w:fldCharType="end"/>
      </w:r>
    </w:p>
    <w:p>
      <w:pPr>
        <w:pStyle w:val="Normal"/>
      </w:pPr>
      <w:r>
        <w:rPr>
          <w:color w:val="323232"/>
        </w:rPr>
        <w:t xml:space="preserve">————————</w:t>
      </w:r>
    </w:p>
    <w:p>
      <w:pPr>
        <w:pStyle w:val="Heading4"/>
      </w:pPr>
      <w:r>
        <w:t xml:space="preserve">Frequency and number of B-lines using a regionally based lung ultrasound examination in cats with radiographically normal lungs compared to cats with left-sided congestive heart failure.</w:t>
      </w:r>
    </w:p>
    <w:p/>
    <w:p>
      <w:pPr>
        <w:pStyle w:val="Normal"/>
      </w:pPr>
      <w:r>
        <w:rPr>
          <w:color w:val="323232"/>
        </w:rPr>
        <w:t xml:space="preserve">Gregory R Lisciandro, Robert M Fulton, GEOFFREY T FOSGATE, and Kelly A Mann.</w:t>
      </w:r>
    </w:p>
    <w:p/>
    <w:p>
      <w:pPr>
        <w:pStyle w:val="Normal"/>
      </w:pPr>
      <w:r>
        <w:rPr>
          <w:color w:val="323232"/>
        </w:rPr>
        <w:t xml:space="preserve">OBJECTIVE:To establish a baseline lung ultrasound (LUS) artifact profile using a regionally based protocol in cats without clinical signs of respiratory disease and with radiographically normal lungs compared to a cohort of cats with left-sided congestive heart failure (CHF).</w:t>
      </w:r>
    </w:p>
    <w:p/>
    <w:p>
      <w:pPr>
        <w:pStyle w:val="Normal"/>
      </w:pPr>
      <w:r>
        <w:rPr>
          <w:color w:val="323232"/>
        </w:rPr>
        <w:t xml:space="preserve">DESIGN:Prospective case series.</w:t>
      </w:r>
    </w:p>
    <w:p/>
    <w:p>
      <w:pPr>
        <w:pStyle w:val="Normal"/>
      </w:pPr>
      <w:r>
        <w:rPr>
          <w:color w:val="323232"/>
        </w:rPr>
        <w:t xml:space="preserve">ANIMALS:Forty-nine cats without clinical signs of respiratory disease and with radiographically normal lungs and 7 cats with radiographic evidence of left-sided CHF.</w:t>
      </w:r>
    </w:p>
    <w:p/>
    <w:p>
      <w:pPr>
        <w:pStyle w:val="Normal"/>
      </w:pPr>
      <w:r>
        <w:rPr>
          <w:color w:val="323232"/>
        </w:rPr>
        <w:t xml:space="preserve">INTERVENTIONS:Application of a previously published LUS protocol. Frequency of B-lines was compared based on signalment, body condition score, investigator, and reasons for radiography and between 49 cats with radiographically normal lungs to 7 cats with radiographic evidence of left-sided CHF.</w:t>
      </w:r>
    </w:p>
    <w:p/>
    <w:p>
      <w:pPr>
        <w:pStyle w:val="Normal"/>
      </w:pPr>
      <w:r>
        <w:rPr>
          <w:color w:val="323232"/>
        </w:rPr>
        <w:t xml:space="preserve">RESULTS:Overall frequency of B-lines was 12% (95% confidence interval, 5-24%) in cats without respiratory disease versus 100% (95% confidence interval, 65-100%) in those with left-sided CHF. Six cats (6/49) had B-lines with 5/6 having B-lines at a single site; and 4/5 having a single B-line at 1 site, 1/5 having 2 B-lines at 1 site; and the sixth cat having 2 positive sites with a single B-line at each. In the cohort of cats with left-sided CHF, all cats (7/7) had &gt;3 B-lines detected at every site.</w:t>
      </w:r>
    </w:p>
    <w:p/>
    <w:p>
      <w:pPr>
        <w:pStyle w:val="Normal"/>
      </w:pPr>
      <w:r>
        <w:rPr>
          <w:color w:val="323232"/>
        </w:rPr>
        <w:t xml:space="preserve">CONCLUSIONS:The lack of B-lines in cats without respiratory disease (with radiographically normal lungs) and the predominance of B-lines in cats with left-sided CHF suggest that a regionally based LUS protocol may be clinically useful for the identification and evaluation of feline respiratory conditions.</w:t>
      </w:r>
    </w:p>
    <w:p/>
    <w:p>
      <w:pPr>
        <w:pStyle w:val="Normal"/>
      </w:pPr>
      <w:r>
        <w:rPr>
          <w:color w:val="323232"/>
        </w:rPr>
        <w:t xml:space="preserve">J Vet Emerg Crit Care (San Antonio), 2017 vol. 27 (5) pp. 499-505.</w:t>
      </w:r>
    </w:p>
    <w:p>
      <w:r>
        <w:rPr>
          <w:rStyle w:val="Hyperlink"/>
        </w:rPr>
        <w:fldChar w:fldCharType="begin"/>
      </w:r>
      <w:r>
        <w:rPr>
          <w:rStyle w:val="Hyperlink"/>
        </w:rPr>
        <w:instrText xml:space="preserve"> HYPERLINK "http://eutils.ncbi.nlm.nih.gov/entrez/eutils/elink.fcgi?dbfrom=pubmed&amp;id=28763158&amp;retmode=ref&amp;cmd=prlinks"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http://eutils.ncbi.nlm.nih.gov/entrez/eutils/elink.fcgi?dbfrom=pubmed&amp;id=28763158&amp;retmode=ref&amp;cmd=prlinks</w:t>
      </w:r>
      <w:r>
        <w:rPr>
          <w:rStyle w:val="Hyperlink"/>
        </w:rPr>
        <w:fldChar w:fldCharType="end"/>
      </w:r>
    </w:p>
    <w:p>
      <w:pPr>
        <w:pStyle w:val="Normal"/>
      </w:pPr>
      <w:r>
        <w:rPr>
          <w:color w:val="323232"/>
        </w:rPr>
        <w:t xml:space="preserve">————————</w:t>
      </w:r>
    </w:p>
    <w:p>
      <w:pPr>
        <w:pStyle w:val="Heading4"/>
      </w:pPr>
      <w:r>
        <w:t xml:space="preserve">Comparison of time to obtain intraosseous versus jugular venous catheterization on canine cadavers.</w:t>
      </w:r>
    </w:p>
    <w:p/>
    <w:p>
      <w:pPr>
        <w:pStyle w:val="Normal"/>
      </w:pPr>
      <w:r>
        <w:rPr>
          <w:color w:val="323232"/>
        </w:rPr>
        <w:t xml:space="preserve">Alison R Allukian, Amanda L Abelson, Jonathan Babyak, and Elizabeth A Rozanski.</w:t>
      </w:r>
    </w:p>
    <w:p/>
    <w:p>
      <w:pPr>
        <w:pStyle w:val="Normal"/>
      </w:pPr>
      <w:r>
        <w:rPr>
          <w:color w:val="323232"/>
        </w:rPr>
        <w:t xml:space="preserve">OBJECTIVE:To compare the time required and the success rate of personnel with 4 different levels of experience to place a humeral intraosseous (IO) catheter versus a jugular venous catheter (IV) in cadaver dogs.</w:t>
      </w:r>
    </w:p>
    <w:p/>
    <w:p>
      <w:pPr>
        <w:pStyle w:val="Normal"/>
      </w:pPr>
      <w:r>
        <w:rPr>
          <w:color w:val="323232"/>
        </w:rPr>
        <w:t xml:space="preserve">DESIGN:Prospective study.</w:t>
      </w:r>
    </w:p>
    <w:p/>
    <w:p>
      <w:pPr>
        <w:pStyle w:val="Normal"/>
      </w:pPr>
      <w:r>
        <w:rPr>
          <w:color w:val="323232"/>
        </w:rPr>
        <w:t xml:space="preserve">SETTING:Veterinary university teaching hospital.</w:t>
      </w:r>
    </w:p>
    <w:p/>
    <w:p>
      <w:pPr>
        <w:pStyle w:val="Normal"/>
      </w:pPr>
      <w:r>
        <w:rPr>
          <w:color w:val="323232"/>
        </w:rPr>
        <w:t xml:space="preserve">INTERVENTIONS:Canine cadavers from recently euthanized dogs were obtained from the cadaver donation program between May and December 2014. Catheter placers (CPs) with varying clinical experience, including a first year emergency and critical care resident, a senior emergency veterinary technician (VTS certified), a final year veterinary student, and an ACVECC diplomate, participated in the study. Each CP catheterized a total of 6 dogs so that there was a total of 6 IO and 6 IV catheters placed, by automatic rotary insertion device (with an EZ-IO gun) and vascular cut-down technique, respectively, for each CP. Time for IO catheterization and IV catheterization was recorded and compared. The success of IO catheterization and IV catheterization was verified by visualization of an injection of iodinated contrast material under fluoroscopy within the medullary cavity or vessel.</w:t>
      </w:r>
    </w:p>
    <w:p/>
    <w:p>
      <w:pPr>
        <w:pStyle w:val="Normal"/>
      </w:pPr>
      <w:r>
        <w:rPr>
          <w:color w:val="323232"/>
        </w:rPr>
        <w:t xml:space="preserve">ANIMALS:Twenty-four canine cadavers.</w:t>
      </w:r>
    </w:p>
    <w:p/>
    <w:p>
      <w:pPr>
        <w:pStyle w:val="Normal"/>
      </w:pPr>
      <w:r>
        <w:rPr>
          <w:color w:val="323232"/>
        </w:rPr>
        <w:t xml:space="preserve">MEASUREMENTS AND MAIN RESULTS:Outcomes were analyzed using the Wilcoxon rank-sum test and the Kruskal-Wallis one-way analysis of variance. The median time for all IO catheterization operators was faster at 55.4 seconds (range 15.0-153.0 s) compared to the median time for all IV catherization operators at 217.3 seconds (range 55.6-614 s). The success rate for IO and IV was equal at 87.5%.</w:t>
      </w:r>
    </w:p>
    <w:p/>
    <w:p>
      <w:pPr>
        <w:pStyle w:val="Normal"/>
      </w:pPr>
      <w:r>
        <w:rPr>
          <w:color w:val="323232"/>
        </w:rPr>
        <w:t xml:space="preserve">CONCLUSION:IO catheterization using an automatic rotary insertion device was performed more rapidly and successfully than jugular venous catheterization using a cut-down technique in canine cadaver. These findings suggest IO catheterization may be more efficient for gaining vascular access in the appropriate emergency clinical situations when preexisting IV access does not exist.</w:t>
      </w:r>
    </w:p>
    <w:p/>
    <w:p>
      <w:pPr>
        <w:pStyle w:val="Normal"/>
      </w:pPr>
      <w:r>
        <w:rPr>
          <w:color w:val="323232"/>
        </w:rPr>
        <w:t xml:space="preserve">J Vet Emerg Crit Care (San Antonio), 2017 vol. 27 (5) pp. 506-511.</w:t>
      </w:r>
    </w:p>
    <w:p>
      <w:r>
        <w:rPr>
          <w:rStyle w:val="Hyperlink"/>
        </w:rPr>
        <w:fldChar w:fldCharType="begin"/>
      </w:r>
      <w:r>
        <w:rPr>
          <w:rStyle w:val="Hyperlink"/>
        </w:rPr>
        <w:instrText xml:space="preserve"> HYPERLINK "http://doi.wiley.com/10.1111/vec.12633" </w:instrText>
      </w:r>
      <w:r>
        <w:rPr>
          <w:rStyle w:val="Hyperlink"/>
        </w:rPr>
      </w:r>
      <w:r>
        <w:rPr>
          <w:rStyle w:val="Hyperlink"/>
        </w:rPr>
        <w:fldChar w:fldCharType="separate"/>
      </w:r>
      <w:pPr>
        <w:pStyle w:val="Normal"/>
      </w:pPr>
      <w:r>
        <w:rPr>
          <w:rStyle w:val="Hyperlink"/>
        </w:rPr>
        <w:t xml:space="preserve">http://doi.wiley.com/10.1111/vec.12633</w:t>
      </w:r>
      <w:r>
        <w:rPr>
          <w:rStyle w:val="Hyperlink"/>
        </w:rPr>
        <w:fldChar w:fldCharType="end"/>
      </w:r>
    </w:p>
    <w:p>
      <w:pPr>
        <w:pStyle w:val="Normal"/>
      </w:pPr>
      <w:r>
        <w:rPr>
          <w:color w:val="323232"/>
        </w:rPr>
        <w:t xml:space="preserve">————————</w:t>
      </w:r>
    </w:p>
    <w:p>
      <w:pPr>
        <w:pStyle w:val="Heading4"/>
      </w:pPr>
      <w:r>
        <w:t xml:space="preserve">Effects of parenteral fish oil on plasma nonesterified fatty acids and systemic inflammatory mediators in dogs following ovariohysterectomy.</w:t>
      </w:r>
    </w:p>
    <w:p/>
    <w:p>
      <w:pPr>
        <w:pStyle w:val="Normal"/>
      </w:pPr>
      <w:r>
        <w:rPr>
          <w:color w:val="323232"/>
        </w:rPr>
        <w:t xml:space="preserve">Kaoru Tsuruta, Robert C Backus, Amy E DeClue, Kevin L Fritsche, and Fred A Mann.</w:t>
      </w:r>
    </w:p>
    <w:p/>
    <w:p>
      <w:pPr>
        <w:pStyle w:val="Normal"/>
      </w:pPr>
      <w:r>
        <w:rPr>
          <w:color w:val="323232"/>
        </w:rPr>
        <w:t xml:space="preserve">OBJECTIVE:To evaluate the effects of intravenous (IV) infusion of fish oil (FO) emulsion following ovariohysterectomy (OVH) on inflammatory mediators and plasma omega-3 nonesterified fatty acids (NEFA) concentrations in dogs.</w:t>
      </w:r>
    </w:p>
    <w:p/>
    <w:p>
      <w:pPr>
        <w:pStyle w:val="Normal"/>
      </w:pPr>
      <w:r>
        <w:rPr>
          <w:color w:val="323232"/>
        </w:rPr>
        <w:t xml:space="preserve">DESIGN:Prospective clinical study.</w:t>
      </w:r>
    </w:p>
    <w:p/>
    <w:p>
      <w:pPr>
        <w:pStyle w:val="Normal"/>
      </w:pPr>
      <w:r>
        <w:rPr>
          <w:color w:val="323232"/>
        </w:rPr>
        <w:t xml:space="preserve">SETTING:University teaching hospital.</w:t>
      </w:r>
    </w:p>
    <w:p/>
    <w:p>
      <w:pPr>
        <w:pStyle w:val="Normal"/>
      </w:pPr>
      <w:r>
        <w:rPr>
          <w:color w:val="323232"/>
        </w:rPr>
        <w:t xml:space="preserve">ANIMALS:Twenty-nine privately owned dogs undergoing routine OVH.</w:t>
      </w:r>
    </w:p>
    <w:p/>
    <w:p>
      <w:pPr>
        <w:pStyle w:val="Normal"/>
      </w:pPr>
      <w:r>
        <w:rPr>
          <w:color w:val="323232"/>
        </w:rPr>
        <w:t xml:space="preserve">INTERVENTIONS:Postoperative 3-hour IV infusion of saline (n = 9), FO (Omegaven, n = 10), or soybean oil (SO, intralipid, n = 10) emulsion and blood collected before, 5 and 24 hours following OVH for plasma NEFA and RBC membrane fatty acids (FAs) concentrations, leukocyte cytokine production capacity, and C-reactive protein (CRP) measurement.</w:t>
      </w:r>
    </w:p>
    <w:p/>
    <w:p>
      <w:pPr>
        <w:pStyle w:val="Normal"/>
      </w:pPr>
      <w:r>
        <w:rPr>
          <w:color w:val="323232"/>
        </w:rPr>
        <w:t xml:space="preserve">MEASUREMENTS AND MAIN RESULTS:Plasma omega-3 NEFA, eicosapentaenoic acid, docosahexaenoic acid, and total long-chain omega-3 FA significantly increased shortly after FO infusion (8.8</w:t>
      </w:r>
      <w:r>
        <w:rPr>
          <w:color w:val="323232"/>
        </w:rPr>
        <w:t xml:space="preserve"> </w:t>
      </w:r>
      <w:r>
        <w:rPr>
          <w:color w:val="323232"/>
        </w:rPr>
        <w:t xml:space="preserve">±</w:t>
      </w:r>
      <w:r>
        <w:rPr>
          <w:color w:val="323232"/>
        </w:rPr>
        <w:t xml:space="preserve"> </w:t>
      </w:r>
      <w:r>
        <w:rPr>
          <w:color w:val="323232"/>
        </w:rPr>
        <w:t xml:space="preserve">3.3 μM, 13.6</w:t>
      </w:r>
      <w:r>
        <w:rPr>
          <w:color w:val="323232"/>
        </w:rPr>
        <w:t xml:space="preserve"> </w:t>
      </w:r>
      <w:r>
        <w:rPr>
          <w:color w:val="323232"/>
        </w:rPr>
        <w:t xml:space="preserve">±</w:t>
      </w:r>
      <w:r>
        <w:rPr>
          <w:color w:val="323232"/>
        </w:rPr>
        <w:t xml:space="preserve"> </w:t>
      </w:r>
      <w:r>
        <w:rPr>
          <w:color w:val="323232"/>
        </w:rPr>
        <w:t xml:space="preserve">5.6 μM, and 25.1</w:t>
      </w:r>
      <w:r>
        <w:rPr>
          <w:color w:val="323232"/>
        </w:rPr>
        <w:t xml:space="preserve"> </w:t>
      </w:r>
      <w:r>
        <w:rPr>
          <w:color w:val="323232"/>
        </w:rPr>
        <w:t xml:space="preserve">±</w:t>
      </w:r>
      <w:r>
        <w:rPr>
          <w:color w:val="323232"/>
        </w:rPr>
        <w:t xml:space="preserve"> </w:t>
      </w:r>
      <w:r>
        <w:rPr>
          <w:color w:val="323232"/>
        </w:rPr>
        <w:t xml:space="preserve">9.6 μM, respectively) compared to SO (0.7</w:t>
      </w:r>
      <w:r>
        <w:rPr>
          <w:color w:val="323232"/>
        </w:rPr>
        <w:t xml:space="preserve"> </w:t>
      </w:r>
      <w:r>
        <w:rPr>
          <w:color w:val="323232"/>
        </w:rPr>
        <w:t xml:space="preserve">±</w:t>
      </w:r>
      <w:r>
        <w:rPr>
          <w:color w:val="323232"/>
        </w:rPr>
        <w:t xml:space="preserve"> </w:t>
      </w:r>
      <w:r>
        <w:rPr>
          <w:color w:val="323232"/>
        </w:rPr>
        <w:t xml:space="preserve">0.9, 2.3</w:t>
      </w:r>
      <w:r>
        <w:rPr>
          <w:color w:val="323232"/>
        </w:rPr>
        <w:t xml:space="preserve"> </w:t>
      </w:r>
      <w:r>
        <w:rPr>
          <w:color w:val="323232"/>
        </w:rPr>
        <w:t xml:space="preserve">±</w:t>
      </w:r>
      <w:r>
        <w:rPr>
          <w:color w:val="323232"/>
        </w:rPr>
        <w:t xml:space="preserve"> </w:t>
      </w:r>
      <w:r>
        <w:rPr>
          <w:color w:val="323232"/>
        </w:rPr>
        <w:t xml:space="preserve">1.8, and 4.2</w:t>
      </w:r>
      <w:r>
        <w:rPr>
          <w:color w:val="323232"/>
        </w:rPr>
        <w:t xml:space="preserve"> </w:t>
      </w:r>
      <w:r>
        <w:rPr>
          <w:color w:val="323232"/>
        </w:rPr>
        <w:t xml:space="preserve">±</w:t>
      </w:r>
      <w:r>
        <w:rPr>
          <w:color w:val="323232"/>
        </w:rPr>
        <w:t xml:space="preserve"> </w:t>
      </w:r>
      <w:r>
        <w:rPr>
          <w:color w:val="323232"/>
        </w:rPr>
        <w:t xml:space="preserve">3.0 μM, respectively) and saline infusion (1.6</w:t>
      </w:r>
      <w:r>
        <w:rPr>
          <w:color w:val="323232"/>
        </w:rPr>
        <w:t xml:space="preserve"> </w:t>
      </w:r>
      <w:r>
        <w:rPr>
          <w:color w:val="323232"/>
        </w:rPr>
        <w:t xml:space="preserve">±</w:t>
      </w:r>
      <w:r>
        <w:rPr>
          <w:color w:val="323232"/>
        </w:rPr>
        <w:t xml:space="preserve"> </w:t>
      </w:r>
      <w:r>
        <w:rPr>
          <w:color w:val="323232"/>
        </w:rPr>
        <w:t xml:space="preserve">2.5, 2.6</w:t>
      </w:r>
      <w:r>
        <w:rPr>
          <w:color w:val="323232"/>
        </w:rPr>
        <w:t xml:space="preserve"> </w:t>
      </w:r>
      <w:r>
        <w:rPr>
          <w:color w:val="323232"/>
        </w:rPr>
        <w:t xml:space="preserve">±</w:t>
      </w:r>
      <w:r>
        <w:rPr>
          <w:color w:val="323232"/>
        </w:rPr>
        <w:t xml:space="preserve"> </w:t>
      </w:r>
      <w:r>
        <w:rPr>
          <w:color w:val="323232"/>
        </w:rPr>
        <w:t xml:space="preserve">3.1, and 5.9</w:t>
      </w:r>
      <w:r>
        <w:rPr>
          <w:color w:val="323232"/>
        </w:rPr>
        <w:t xml:space="preserve"> </w:t>
      </w:r>
      <w:r>
        <w:rPr>
          <w:color w:val="323232"/>
        </w:rPr>
        <w:t xml:space="preserve">±</w:t>
      </w:r>
      <w:r>
        <w:rPr>
          <w:color w:val="323232"/>
        </w:rPr>
        <w:t xml:space="preserve"> </w:t>
      </w:r>
      <w:r>
        <w:rPr>
          <w:color w:val="323232"/>
        </w:rPr>
        <w:t xml:space="preserve">6.4 μM, respectively). Plasma CRP concentration significantly increased after OVH, but with no significant group differences. A weak negative correlation occurred between post-OVH CRP and postinfusion total long-chain omega-3 FA concentrations (r2 = 0.21, P = 0.014). Stimulated leukocyte interleukin (IL) 6 production capacity increased (P = 0.001) after OVH in all groups; SO infusion resulted in reduced leukocyte IL-6 production capacity (1048.1</w:t>
      </w:r>
      <w:r>
        <w:rPr>
          <w:color w:val="323232"/>
        </w:rPr>
        <w:t xml:space="preserve"> </w:t>
      </w:r>
      <w:r>
        <w:rPr>
          <w:color w:val="323232"/>
        </w:rPr>
        <w:t xml:space="preserve">±</w:t>
      </w:r>
      <w:r>
        <w:rPr>
          <w:color w:val="323232"/>
        </w:rPr>
        <w:t xml:space="preserve"> </w:t>
      </w:r>
      <w:r>
        <w:rPr>
          <w:color w:val="323232"/>
        </w:rPr>
        <w:t xml:space="preserve">277.7 pg/ mL) compared to FO (1299.9</w:t>
      </w:r>
      <w:r>
        <w:rPr>
          <w:color w:val="323232"/>
        </w:rPr>
        <w:t xml:space="preserve"> </w:t>
      </w:r>
      <w:r>
        <w:rPr>
          <w:color w:val="323232"/>
        </w:rPr>
        <w:t xml:space="preserve">±</w:t>
      </w:r>
      <w:r>
        <w:rPr>
          <w:color w:val="323232"/>
        </w:rPr>
        <w:t xml:space="preserve"> </w:t>
      </w:r>
      <w:r>
        <w:rPr>
          <w:color w:val="323232"/>
        </w:rPr>
        <w:t xml:space="preserve">302.1 pg/ mL, P = 0.048) and saline infusions (1499.0</w:t>
      </w:r>
      <w:r>
        <w:rPr>
          <w:color w:val="323232"/>
        </w:rPr>
        <w:t xml:space="preserve"> </w:t>
      </w:r>
      <w:r>
        <w:rPr>
          <w:color w:val="323232"/>
        </w:rPr>
        <w:t xml:space="preserve">±</w:t>
      </w:r>
      <w:r>
        <w:rPr>
          <w:color w:val="323232"/>
        </w:rPr>
        <w:t xml:space="preserve"> </w:t>
      </w:r>
      <w:r>
        <w:rPr>
          <w:color w:val="323232"/>
        </w:rPr>
        <w:t xml:space="preserve">363.1 pg/ mL, P = 0.01). No significant group difference was observed in leukocyte IL-10 and tumor necrosis factor α production capacities.</w:t>
      </w:r>
    </w:p>
    <w:p/>
    <w:p>
      <w:pPr>
        <w:pStyle w:val="Normal"/>
      </w:pPr>
      <w:r>
        <w:rPr>
          <w:color w:val="323232"/>
        </w:rPr>
        <w:t xml:space="preserve">CONCLUSIONS:Postoperative administration of FO emulsion increases plasma omega-3 NEFA concentrations promptly, but does not significantly attenuate CRP production or leukocyte cytokine production capacity. FO infusion at the dosage used in the present study can be safely used in dogs, but it was not clearly beneficial in decreasing post-OVH indices of inflammation.</w:t>
      </w:r>
    </w:p>
    <w:p/>
    <w:p>
      <w:pPr>
        <w:pStyle w:val="Normal"/>
      </w:pPr>
      <w:r>
        <w:rPr>
          <w:color w:val="323232"/>
        </w:rPr>
        <w:t xml:space="preserve">J Vet Emerg Crit Care (San Antonio), 2017 vol. 27 (5) pp. 512-523.</w:t>
      </w:r>
    </w:p>
    <w:p>
      <w:r>
        <w:rPr>
          <w:rStyle w:val="Hyperlink"/>
        </w:rPr>
        <w:fldChar w:fldCharType="begin"/>
      </w:r>
      <w:r>
        <w:rPr>
          <w:rStyle w:val="Hyperlink"/>
        </w:rPr>
        <w:instrText xml:space="preserve"> HYPERLINK "http://eutils.ncbi.nlm.nih.gov/entrez/eutils/elink.fcgi?dbfrom=pubmed&amp;id=28767202&amp;retmode=ref&amp;cmd=prlinks"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http://eutils.ncbi.nlm.nih.gov/entrez/eutils/elink.fcgi?dbfrom=pubmed&amp;id=28767202&amp;retmode=ref&amp;cmd=prlinks</w:t>
      </w:r>
      <w:r>
        <w:rPr>
          <w:rStyle w:val="Hyperlink"/>
        </w:rPr>
        <w:fldChar w:fldCharType="end"/>
      </w:r>
    </w:p>
    <w:p>
      <w:pPr>
        <w:pStyle w:val="Normal"/>
      </w:pPr>
      <w:r>
        <w:rPr>
          <w:color w:val="323232"/>
        </w:rPr>
        <w:t xml:space="preserve">————————</w:t>
      </w:r>
    </w:p>
    <w:p>
      <w:pPr>
        <w:pStyle w:val="Heading4"/>
      </w:pPr>
      <w:r>
        <w:t xml:space="preserve">Evaluation of the use of shock index in identifying acute blood loss in healthy blood donor dogs.</w:t>
      </w:r>
    </w:p>
    <w:p/>
    <w:p>
      <w:pPr>
        <w:pStyle w:val="Normal"/>
      </w:pPr>
      <w:r>
        <w:rPr>
          <w:color w:val="323232"/>
        </w:rPr>
        <w:t xml:space="preserve">Erin E McGowan, Kimberly Marryott, Kenneth J Drobatz, and Erica L Reineke.</w:t>
      </w:r>
    </w:p>
    <w:p/>
    <w:p>
      <w:pPr>
        <w:pStyle w:val="Normal"/>
      </w:pPr>
      <w:r>
        <w:rPr>
          <w:color w:val="323232"/>
        </w:rPr>
        <w:t xml:space="preserve">OBJECTIVE:To determine if shock index (SI) would increase following blood donation and if it would be a more sensitive assessment of acute blood loss as compared with heart rate (HR), blood pressure, and plasma lactate.</w:t>
      </w:r>
    </w:p>
    <w:p/>
    <w:p>
      <w:pPr>
        <w:pStyle w:val="Normal"/>
      </w:pPr>
      <w:r>
        <w:rPr>
          <w:color w:val="323232"/>
        </w:rPr>
        <w:t xml:space="preserve">DESIGN:Prospective study.</w:t>
      </w:r>
    </w:p>
    <w:p/>
    <w:p>
      <w:pPr>
        <w:pStyle w:val="Normal"/>
      </w:pPr>
      <w:r>
        <w:rPr>
          <w:color w:val="323232"/>
        </w:rPr>
        <w:t xml:space="preserve">SETTING:University teaching hospital.</w:t>
      </w:r>
    </w:p>
    <w:p/>
    <w:p>
      <w:pPr>
        <w:pStyle w:val="Normal"/>
      </w:pPr>
      <w:r>
        <w:rPr>
          <w:color w:val="323232"/>
        </w:rPr>
        <w:t xml:space="preserve">ANIMALS:Twenty client-owned clinically normal dogs.</w:t>
      </w:r>
    </w:p>
    <w:p/>
    <w:p>
      <w:pPr>
        <w:pStyle w:val="Normal"/>
      </w:pPr>
      <w:r>
        <w:rPr>
          <w:color w:val="323232"/>
        </w:rPr>
        <w:t xml:space="preserve">INTERVENTIONS:Peripheral venous blood measurements and blood donation.</w:t>
      </w:r>
    </w:p>
    <w:p/>
    <w:p>
      <w:pPr>
        <w:pStyle w:val="Normal"/>
      </w:pPr>
      <w:r>
        <w:rPr>
          <w:color w:val="323232"/>
        </w:rPr>
        <w:t xml:space="preserve">MEASUREMENTS AND MAIN RESULTS:Data were collected at 3 time points: prior to donation (Tpre ), immediately after donation (T0 ), and 10 minutes following completion of donation (T10 ). HR and systolic blood pressure (SBP) were recorded and used to calculate SI at time points Tpre , T0 , and T10 . Packed cell volume (PCV), total plasma protein (TPP), and plasma lactate were evaluated from a peripheral venous blood sample at Tpre and T10. The mean SI was significantly increased at both time points following blood donation as compared to baseline (SIpre = 0.88</w:t>
      </w:r>
      <w:r>
        <w:rPr>
          <w:color w:val="323232"/>
        </w:rPr>
        <w:t xml:space="preserve"> </w:t>
      </w:r>
      <w:r>
        <w:rPr>
          <w:color w:val="323232"/>
        </w:rPr>
        <w:t xml:space="preserve">±</w:t>
      </w:r>
      <w:r>
        <w:rPr>
          <w:color w:val="323232"/>
        </w:rPr>
        <w:t xml:space="preserve"> </w:t>
      </w:r>
      <w:r>
        <w:rPr>
          <w:color w:val="323232"/>
        </w:rPr>
        <w:t xml:space="preserve">0.19 vs SI0 = 1.17</w:t>
      </w:r>
      <w:r>
        <w:rPr>
          <w:color w:val="323232"/>
        </w:rPr>
        <w:t xml:space="preserve"> </w:t>
      </w:r>
      <w:r>
        <w:rPr>
          <w:color w:val="323232"/>
        </w:rPr>
        <w:t xml:space="preserve">±</w:t>
      </w:r>
      <w:r>
        <w:rPr>
          <w:color w:val="323232"/>
        </w:rPr>
        <w:t xml:space="preserve"> </w:t>
      </w:r>
      <w:r>
        <w:rPr>
          <w:color w:val="323232"/>
        </w:rPr>
        <w:t xml:space="preserve">0.21 vs SI10 = 1.12</w:t>
      </w:r>
      <w:r>
        <w:rPr>
          <w:color w:val="323232"/>
        </w:rPr>
        <w:t xml:space="preserve"> </w:t>
      </w:r>
      <w:r>
        <w:rPr>
          <w:color w:val="323232"/>
        </w:rPr>
        <w:t xml:space="preserve">±</w:t>
      </w:r>
      <w:r>
        <w:rPr>
          <w:color w:val="323232"/>
        </w:rPr>
        <w:t xml:space="preserve"> </w:t>
      </w:r>
      <w:r>
        <w:rPr>
          <w:color w:val="323232"/>
        </w:rPr>
        <w:t xml:space="preserve">0.25 (P = 0.0002 and 0.0003, respectively). Following blood donation, the mean SBP was significantly lower (SBPpre = 149</w:t>
      </w:r>
      <w:r>
        <w:rPr>
          <w:color w:val="323232"/>
        </w:rPr>
        <w:t xml:space="preserve"> </w:t>
      </w:r>
      <w:r>
        <w:rPr>
          <w:color w:val="323232"/>
        </w:rPr>
        <w:t xml:space="preserve">±</w:t>
      </w:r>
      <w:r>
        <w:rPr>
          <w:color w:val="323232"/>
        </w:rPr>
        <w:t xml:space="preserve"> </w:t>
      </w:r>
      <w:r>
        <w:rPr>
          <w:color w:val="323232"/>
        </w:rPr>
        <w:t xml:space="preserve">24 mm Hg, SBP0 = 118</w:t>
      </w:r>
      <w:r>
        <w:rPr>
          <w:color w:val="323232"/>
        </w:rPr>
        <w:t xml:space="preserve"> </w:t>
      </w:r>
      <w:r>
        <w:rPr>
          <w:color w:val="323232"/>
        </w:rPr>
        <w:t xml:space="preserve">±</w:t>
      </w:r>
      <w:r>
        <w:rPr>
          <w:color w:val="323232"/>
        </w:rPr>
        <w:t xml:space="preserve"> </w:t>
      </w:r>
      <w:r>
        <w:rPr>
          <w:color w:val="323232"/>
        </w:rPr>
        <w:t xml:space="preserve">20 mm Hg; P = 0.0001, SBP10 = 133</w:t>
      </w:r>
      <w:r>
        <w:rPr>
          <w:color w:val="323232"/>
        </w:rPr>
        <w:t xml:space="preserve"> </w:t>
      </w:r>
      <w:r>
        <w:rPr>
          <w:color w:val="323232"/>
        </w:rPr>
        <w:t xml:space="preserve">±</w:t>
      </w:r>
      <w:r>
        <w:rPr>
          <w:color w:val="323232"/>
        </w:rPr>
        <w:t xml:space="preserve"> </w:t>
      </w:r>
      <w:r>
        <w:rPr>
          <w:color w:val="323232"/>
        </w:rPr>
        <w:t xml:space="preserve">21 mm Hg; P = 0.011). The mean HR was not significantly different at T0 but was significantly increased at T10 (HRpre = 128</w:t>
      </w:r>
      <w:r>
        <w:rPr>
          <w:color w:val="323232"/>
        </w:rPr>
        <w:t xml:space="preserve"> </w:t>
      </w:r>
      <w:r>
        <w:rPr>
          <w:color w:val="323232"/>
        </w:rPr>
        <w:t xml:space="preserve">±</w:t>
      </w:r>
      <w:r>
        <w:rPr>
          <w:color w:val="323232"/>
        </w:rPr>
        <w:t xml:space="preserve"> </w:t>
      </w:r>
      <w:r>
        <w:rPr>
          <w:color w:val="323232"/>
        </w:rPr>
        <w:t xml:space="preserve">21/min, HR0 = 136</w:t>
      </w:r>
      <w:r>
        <w:rPr>
          <w:color w:val="323232"/>
        </w:rPr>
        <w:t xml:space="preserve"> </w:t>
      </w:r>
      <w:r>
        <w:rPr>
          <w:color w:val="323232"/>
        </w:rPr>
        <w:t xml:space="preserve">±</w:t>
      </w:r>
      <w:r>
        <w:rPr>
          <w:color w:val="323232"/>
        </w:rPr>
        <w:t xml:space="preserve"> </w:t>
      </w:r>
      <w:r>
        <w:rPr>
          <w:color w:val="323232"/>
        </w:rPr>
        <w:t xml:space="preserve">25/min, P = 0.193; HR10 = 146</w:t>
      </w:r>
      <w:r>
        <w:rPr>
          <w:color w:val="323232"/>
        </w:rPr>
        <w:t xml:space="preserve"> </w:t>
      </w:r>
      <w:r>
        <w:rPr>
          <w:color w:val="323232"/>
        </w:rPr>
        <w:t xml:space="preserve">±</w:t>
      </w:r>
      <w:r>
        <w:rPr>
          <w:color w:val="323232"/>
        </w:rPr>
        <w:t xml:space="preserve"> </w:t>
      </w:r>
      <w:r>
        <w:rPr>
          <w:color w:val="323232"/>
        </w:rPr>
        <w:t xml:space="preserve">29/min, P = 0.003). There was no significant difference in mean PCV (PCVpre = 50</w:t>
      </w:r>
      <w:r>
        <w:rPr>
          <w:color w:val="323232"/>
        </w:rPr>
        <w:t xml:space="preserve"> </w:t>
      </w:r>
      <w:r>
        <w:rPr>
          <w:color w:val="323232"/>
        </w:rPr>
        <w:t xml:space="preserve">±</w:t>
      </w:r>
      <w:r>
        <w:rPr>
          <w:color w:val="323232"/>
        </w:rPr>
        <w:t xml:space="preserve"> </w:t>
      </w:r>
      <w:r>
        <w:rPr>
          <w:color w:val="323232"/>
        </w:rPr>
        <w:t xml:space="preserve">4%, PCV10 = 48</w:t>
      </w:r>
      <w:r>
        <w:rPr>
          <w:color w:val="323232"/>
        </w:rPr>
        <w:t xml:space="preserve"> </w:t>
      </w:r>
      <w:r>
        <w:rPr>
          <w:color w:val="323232"/>
        </w:rPr>
        <w:t xml:space="preserve">±</w:t>
      </w:r>
      <w:r>
        <w:rPr>
          <w:color w:val="323232"/>
        </w:rPr>
        <w:t xml:space="preserve"> </w:t>
      </w:r>
      <w:r>
        <w:rPr>
          <w:color w:val="323232"/>
        </w:rPr>
        <w:t xml:space="preserve">4%, P = 0.08). The mean TPP and plasma lactate were significantly different following donation but still within the reference interval (TPPpre = 6.8</w:t>
      </w:r>
      <w:r>
        <w:rPr>
          <w:color w:val="323232"/>
        </w:rPr>
        <w:t xml:space="preserve"> </w:t>
      </w:r>
      <w:r>
        <w:rPr>
          <w:color w:val="323232"/>
        </w:rPr>
        <w:t xml:space="preserve">±</w:t>
      </w:r>
      <w:r>
        <w:rPr>
          <w:color w:val="323232"/>
        </w:rPr>
        <w:t xml:space="preserve"> </w:t>
      </w:r>
      <w:r>
        <w:rPr>
          <w:color w:val="323232"/>
        </w:rPr>
        <w:t xml:space="preserve">0.4 g</w:t>
      </w:r>
      <w:r>
        <w:rPr>
          <w:i w:val="1"/>
          <w:color w:val="323232"/>
        </w:rPr>
        <w:t xml:space="preserve">dL, TPP10 = 6.4</w:t>
      </w:r>
      <w:r>
        <w:rPr>
          <w:color w:val="323232"/>
        </w:rPr>
        <w:t xml:space="preserve"> </w:t>
      </w:r>
      <w:r>
        <w:rPr>
          <w:i w:val="1"/>
          <w:color w:val="323232"/>
        </w:rPr>
        <w:t xml:space="preserve">±</w:t>
      </w:r>
      <w:r>
        <w:rPr>
          <w:color w:val="323232"/>
        </w:rPr>
        <w:t xml:space="preserve"> </w:t>
      </w:r>
      <w:r>
        <w:rPr>
          <w:i w:val="1"/>
          <w:color w:val="323232"/>
        </w:rPr>
        <w:t xml:space="preserve">0.4 g</w:t>
      </w:r>
      <w:r>
        <w:rPr>
          <w:color w:val="323232"/>
        </w:rPr>
        <w:t xml:space="preserve">dL, P = 0.0014; Lacpre = 1.7</w:t>
      </w:r>
      <w:r>
        <w:rPr>
          <w:color w:val="323232"/>
        </w:rPr>
        <w:t xml:space="preserve"> </w:t>
      </w:r>
      <w:r>
        <w:rPr>
          <w:color w:val="323232"/>
        </w:rPr>
        <w:t xml:space="preserve">±</w:t>
      </w:r>
      <w:r>
        <w:rPr>
          <w:color w:val="323232"/>
        </w:rPr>
        <w:t xml:space="preserve"> </w:t>
      </w:r>
      <w:r>
        <w:rPr>
          <w:color w:val="323232"/>
        </w:rPr>
        <w:t xml:space="preserve">0.7mmol</w:t>
      </w:r>
      <w:r>
        <w:rPr>
          <w:i w:val="1"/>
          <w:color w:val="323232"/>
        </w:rPr>
        <w:t xml:space="preserve">L, Lac10 = 1.9</w:t>
      </w:r>
      <w:r>
        <w:rPr>
          <w:color w:val="323232"/>
        </w:rPr>
        <w:t xml:space="preserve"> </w:t>
      </w:r>
      <w:r>
        <w:rPr>
          <w:i w:val="1"/>
          <w:color w:val="323232"/>
        </w:rPr>
        <w:t xml:space="preserve">±</w:t>
      </w:r>
      <w:r>
        <w:rPr>
          <w:color w:val="323232"/>
        </w:rPr>
        <w:t xml:space="preserve"> </w:t>
      </w:r>
      <w:r>
        <w:rPr>
          <w:i w:val="1"/>
          <w:color w:val="323232"/>
        </w:rPr>
        <w:t xml:space="preserve">0.8 mmol</w:t>
      </w:r>
      <w:r>
        <w:rPr>
          <w:color w:val="323232"/>
        </w:rPr>
        <w:t xml:space="preserve">L, P = 0.04). A receiver operating characteristic (ROC) analysis comparing area under the curve (AUC) for SI, HR, and SBP at T0 and T10 compared to Tpre found that SI (AUC at T0 : 0.858, CI: 0.730, 0.984 AUC at T10 : 0.769 CI: 0.617, 0.921) was a better indicator of blood loss than SBP at both T0 (AUC 0.165, CI: 0.0384, 0.292, P</w:t>
      </w:r>
      <w:r>
        <w:rPr>
          <w:color w:val="323232"/>
        </w:rPr>
        <w:t xml:space="preserve"> </w:t>
      </w:r>
      <w:r>
        <w:rPr>
          <w:color w:val="323232"/>
        </w:rPr>
        <w:t xml:space="preserve">&lt;</w:t>
      </w:r>
      <w:r>
        <w:rPr>
          <w:color w:val="323232"/>
        </w:rPr>
        <w:t xml:space="preserve"> </w:t>
      </w:r>
      <w:r>
        <w:rPr>
          <w:color w:val="323232"/>
        </w:rPr>
        <w:t xml:space="preserve">0.0001) and T10 (AUC 0.288, CI: 0.124, 0.451, P</w:t>
      </w:r>
      <w:r>
        <w:rPr>
          <w:color w:val="323232"/>
        </w:rPr>
        <w:t xml:space="preserve"> </w:t>
      </w:r>
      <w:r>
        <w:rPr>
          <w:color w:val="323232"/>
        </w:rPr>
        <w:t xml:space="preserve">&lt;</w:t>
      </w:r>
      <w:r>
        <w:rPr>
          <w:color w:val="323232"/>
        </w:rPr>
        <w:t xml:space="preserve"> </w:t>
      </w:r>
      <w:r>
        <w:rPr>
          <w:color w:val="323232"/>
        </w:rPr>
        <w:t xml:space="preserve">0.001) and better than HR at T0 (AUC 0.574, CI: 0.392, 0.756, P</w:t>
      </w:r>
      <w:r>
        <w:rPr>
          <w:color w:val="323232"/>
        </w:rPr>
        <w:t xml:space="preserve"> </w:t>
      </w:r>
      <w:r>
        <w:rPr>
          <w:color w:val="323232"/>
        </w:rPr>
        <w:t xml:space="preserve">&lt;</w:t>
      </w:r>
      <w:r>
        <w:rPr>
          <w:color w:val="323232"/>
        </w:rPr>
        <w:t xml:space="preserve"> </w:t>
      </w:r>
      <w:r>
        <w:rPr>
          <w:color w:val="323232"/>
        </w:rPr>
        <w:t xml:space="preserve">0.001). An SI cut-off of 1.064 was 80% specific and 85% sensitive at T0 for detecting blood loss.</w:t>
      </w:r>
    </w:p>
    <w:p/>
    <w:p>
      <w:pPr>
        <w:pStyle w:val="Normal"/>
      </w:pPr>
      <w:r>
        <w:rPr>
          <w:color w:val="323232"/>
        </w:rPr>
        <w:t xml:space="preserve">CONCLUSIONS:An SI</w:t>
      </w:r>
      <w:r>
        <w:rPr>
          <w:color w:val="323232"/>
        </w:rPr>
        <w:t xml:space="preserve"> </w:t>
      </w:r>
      <w:r>
        <w:rPr>
          <w:color w:val="323232"/>
        </w:rPr>
        <w:t xml:space="preserve">&gt;</w:t>
      </w:r>
      <w:r>
        <w:rPr>
          <w:color w:val="323232"/>
        </w:rPr>
        <w:t xml:space="preserve"> </w:t>
      </w:r>
      <w:r>
        <w:rPr>
          <w:color w:val="323232"/>
        </w:rPr>
        <w:t xml:space="preserve">1.0 is a sensitive and specific tool for detecting acute small volume blood loss in healthy dogs.</w:t>
      </w:r>
    </w:p>
    <w:p/>
    <w:p>
      <w:pPr>
        <w:pStyle w:val="Normal"/>
      </w:pPr>
      <w:r>
        <w:rPr>
          <w:color w:val="323232"/>
        </w:rPr>
        <w:t xml:space="preserve">J Vet Emerg Crit Care (San Antonio), 2017 vol. 27 (5) pp. 524-531.</w:t>
      </w:r>
    </w:p>
    <w:p>
      <w:r>
        <w:rPr>
          <w:rStyle w:val="Hyperlink"/>
        </w:rPr>
        <w:fldChar w:fldCharType="begin"/>
      </w:r>
      <w:r>
        <w:rPr>
          <w:rStyle w:val="Hyperlink"/>
        </w:rPr>
        <w:instrText xml:space="preserve"> HYPERLINK "http://eutils.ncbi.nlm.nih.gov/entrez/eutils/elink.fcgi?dbfrom=pubmed&amp;id=28795781&amp;retmode=ref&amp;cmd=prlinks"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http://eutils.ncbi.nlm.nih.gov/entrez/eutils/elink.fcgi?dbfrom=pubmed&amp;id=28795781&amp;retmode=ref&amp;cmd=prlinks</w:t>
      </w:r>
      <w:r>
        <w:rPr>
          <w:rStyle w:val="Hyperlink"/>
        </w:rPr>
        <w:fldChar w:fldCharType="end"/>
      </w:r>
    </w:p>
    <w:p>
      <w:pPr>
        <w:pStyle w:val="Normal"/>
      </w:pPr>
      <w:r>
        <w:rPr>
          <w:color w:val="323232"/>
        </w:rPr>
        <w:t xml:space="preserve">————————</w:t>
      </w:r>
    </w:p>
    <w:p>
      <w:pPr>
        <w:pStyle w:val="Heading4"/>
      </w:pPr>
      <w:r>
        <w:t xml:space="preserve">Evaluation of gastric and bladder tonometry as indicators of tissue perfusion in induced hypotension in dogs.</w:t>
      </w:r>
    </w:p>
    <w:p/>
    <w:p>
      <w:pPr>
        <w:pStyle w:val="Normal"/>
      </w:pPr>
      <w:r>
        <w:rPr>
          <w:color w:val="323232"/>
        </w:rPr>
        <w:t xml:space="preserve">Juan Morgaz, Lidia Espigares-Rodríguez, Pilar Muñoz-Rascón, Rocío Navarrete, Jose Andrés Fernández-Sarmiento, and María del Mar Granados Machuca.</w:t>
      </w:r>
    </w:p>
    <w:p/>
    <w:p>
      <w:pPr>
        <w:pStyle w:val="Normal"/>
      </w:pPr>
      <w:r>
        <w:rPr>
          <w:color w:val="323232"/>
        </w:rPr>
        <w:t xml:space="preserve">OBJECTIVE:To evaluate the use of gastric (PgCO2 ) and bladder (PbCO2 ) tonometry for assessing tissue hypoperfusion in dogs during sevoflurane-induced hypotension, and to compare these measurements with delivery of oxygen, arterial oxygen content, and plasma lactate concentration.</w:t>
      </w:r>
    </w:p>
    <w:p/>
    <w:p>
      <w:pPr>
        <w:pStyle w:val="Normal"/>
      </w:pPr>
      <w:r>
        <w:rPr>
          <w:color w:val="323232"/>
        </w:rPr>
        <w:t xml:space="preserve">DESIGN:Prospective experimental trial.</w:t>
      </w:r>
    </w:p>
    <w:p/>
    <w:p>
      <w:pPr>
        <w:pStyle w:val="Normal"/>
      </w:pPr>
      <w:r>
        <w:rPr>
          <w:color w:val="323232"/>
        </w:rPr>
        <w:t xml:space="preserve">SETTING:University veterinary teaching hospital.</w:t>
      </w:r>
    </w:p>
    <w:p/>
    <w:p>
      <w:pPr>
        <w:pStyle w:val="Normal"/>
      </w:pPr>
      <w:r>
        <w:rPr>
          <w:color w:val="323232"/>
        </w:rPr>
        <w:t xml:space="preserve">ANIMALS:Fourteen adult Beagle dogs.</w:t>
      </w:r>
    </w:p>
    <w:p/>
    <w:p>
      <w:pPr>
        <w:pStyle w:val="Normal"/>
      </w:pPr>
      <w:r>
        <w:rPr>
          <w:color w:val="323232"/>
        </w:rPr>
        <w:t xml:space="preserve">INTERVENTIONS:Anesthetic induction was performed by mask with sevoflurane and oxygen. Heart rate, direct arterial pressures, respiratory rate, and end-tidal carbon dioxide were recorded; arterial blood samples were taken to measure blood gases, and venous samples were sampled to measure plasma lactate. A tonometric catheter was introduced into the stomach to measure PgCO2 . Samples of saline from the balloon of a Foley catheter placed in the bladder were collected every 10 minutes and used to measure PbCO2 by gas analysis. Tonometry measurements, plasma lactate, and oxygen delivery and consumption were compared at 3 time points: at baseline, during hypotension, and during treatment periods. A hypotensive period (mean arterial pressure (MAP) &lt; 60 mm Hg) of 15 minutes was induced by an overdose of sevoflurane, whereas during the treatment period, a constant-rate infusion of dopamine (10 μg</w:t>
      </w:r>
      <w:r>
        <w:rPr>
          <w:i w:val="1"/>
          <w:color w:val="323232"/>
        </w:rPr>
        <w:t xml:space="preserve">kg</w:t>
      </w:r>
      <w:r>
        <w:rPr>
          <w:color w:val="323232"/>
        </w:rPr>
        <w:t xml:space="preserve">min) was administered intravenously for 40 minutes.</w:t>
      </w:r>
    </w:p>
    <w:p/>
    <w:p>
      <w:pPr>
        <w:pStyle w:val="Normal"/>
      </w:pPr>
      <w:r>
        <w:rPr>
          <w:color w:val="323232"/>
        </w:rPr>
        <w:t xml:space="preserve">MEASUREMENTS AND MAIN RESULTS:Values for PgCO2 and PbCO2 increased significantly during the hypotensive period, and correlations were found between these values and the delivery of oxygen. Gastric tonometry values had stronger correlations compared with bladder tonometry values.</w:t>
      </w:r>
    </w:p>
    <w:p/>
    <w:p>
      <w:pPr>
        <w:pStyle w:val="Normal"/>
      </w:pPr>
      <w:r>
        <w:rPr>
          <w:color w:val="323232"/>
        </w:rPr>
        <w:t xml:space="preserve">CONCLUSIONS:Gastric and bladder tonometry can be used to detect hypoperfusion. Further studies are warranted to determine the potential use of gastric and bladder tonometry in assessing dogs in clinical situations.</w:t>
      </w:r>
    </w:p>
    <w:p/>
    <w:p>
      <w:pPr>
        <w:pStyle w:val="Normal"/>
      </w:pPr>
      <w:r>
        <w:rPr>
          <w:color w:val="323232"/>
        </w:rPr>
        <w:t xml:space="preserve">J Vet Emerg Crit Care (San Antonio), 2017 vol. 27 (5) pp. 532-538.</w:t>
      </w:r>
    </w:p>
    <w:p>
      <w:r>
        <w:rPr>
          <w:rStyle w:val="Hyperlink"/>
        </w:rPr>
        <w:fldChar w:fldCharType="begin"/>
      </w:r>
      <w:r>
        <w:rPr>
          <w:rStyle w:val="Hyperlink"/>
        </w:rPr>
        <w:instrText xml:space="preserve"> HYPERLINK "http://eutils.ncbi.nlm.nih.gov/entrez/eutils/elink.fcgi?dbfrom=pubmed&amp;id=28806492&amp;retmode=ref&amp;cmd=prlinks"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http://eutils.ncbi.nlm.nih.gov/entrez/eutils/elink.fcgi?dbfrom=pubmed&amp;id=28806492&amp;retmode=ref&amp;cmd=prlinks</w:t>
      </w:r>
      <w:r>
        <w:rPr>
          <w:rStyle w:val="Hyperlink"/>
        </w:rPr>
        <w:fldChar w:fldCharType="end"/>
      </w:r>
    </w:p>
    <w:p>
      <w:pPr>
        <w:pStyle w:val="Normal"/>
      </w:pPr>
      <w:r>
        <w:rPr>
          <w:color w:val="323232"/>
        </w:rPr>
        <w:t xml:space="preserve">————————</w:t>
      </w:r>
    </w:p>
    <w:p>
      <w:pPr>
        <w:pStyle w:val="Heading4"/>
      </w:pPr>
      <w:r>
        <w:t xml:space="preserve">Influence of hang time and location on bacterial contamination of intravenous bags in a veterinary emergency and critical care setting.</w:t>
      </w:r>
    </w:p>
    <w:p/>
    <w:p>
      <w:pPr>
        <w:pStyle w:val="Normal"/>
      </w:pPr>
      <w:r>
        <w:rPr>
          <w:color w:val="323232"/>
        </w:rPr>
        <w:t xml:space="preserve">Julien Guillaumin, Nichole M Olp, Karissa D Magnusson, Amy L Butler, and Joshua B Daniels.</w:t>
      </w:r>
    </w:p>
    <w:p/>
    <w:p>
      <w:pPr>
        <w:pStyle w:val="Normal"/>
      </w:pPr>
      <w:r>
        <w:rPr>
          <w:color w:val="323232"/>
        </w:rPr>
        <w:t xml:space="preserve">OBJECTIVE:To assess the rate of bacterial contamination of fluid and ports in intravenous bags in a veterinary emergency room (ER) and intensive care unit (ICU).</w:t>
      </w:r>
    </w:p>
    <w:p/>
    <w:p>
      <w:pPr>
        <w:pStyle w:val="Normal"/>
      </w:pPr>
      <w:r>
        <w:rPr>
          <w:color w:val="323232"/>
        </w:rPr>
        <w:t xml:space="preserve">DESIGN:Experimental model.</w:t>
      </w:r>
    </w:p>
    <w:p/>
    <w:p>
      <w:pPr>
        <w:pStyle w:val="Normal"/>
      </w:pPr>
      <w:r>
        <w:rPr>
          <w:color w:val="323232"/>
        </w:rPr>
        <w:t xml:space="preserve">SETTING:Ninety intravenous fluid bags of lactated balanced-electrolytes solution (1 L) hung in a university hospital.</w:t>
      </w:r>
    </w:p>
    <w:p/>
    <w:p>
      <w:pPr>
        <w:pStyle w:val="Normal"/>
      </w:pPr>
      <w:r>
        <w:rPr>
          <w:color w:val="323232"/>
        </w:rPr>
        <w:t xml:space="preserve">INTERVENTIONS:Bags were hung in 2 different locations in the ER (sink and bins) and one location in the ICU (sink) for 11 days. Bags were punctured 3 times daily with a sterile needle to simulate clinical use. Injection ports were swabbed and 50 mL of fluid were collected in duplicates on days 0, 2, 4, 7, and 10. Aerobic bacterial cultures were performed on the fluid and injection port. Contamination was defined as bacterial growth of a similar phenotype across 2 consecutive times. Increase in the fluid contamination rate from day 0 was tested using an exact binomial test. Port contamination rate between locations was tested using Fisher's exact test.</w:t>
      </w:r>
    </w:p>
    <w:p/>
    <w:p>
      <w:pPr>
        <w:pStyle w:val="Normal"/>
      </w:pPr>
      <w:r>
        <w:rPr>
          <w:color w:val="323232"/>
        </w:rPr>
        <w:t xml:space="preserve">MAIN RESULTS:Combined bacterial growth on injection ports reached a mean (95% confidence interval) of 8.1 (0.005-16.2) cfu/port on day 10. The combined port contamination was 3.3%, 11.1%, 17.8%, and 31.1% on days 0, 2, 4, and 7, respectively. Port contamination was similar between ER and ICU. However, port contamination was higher in the sink versus the bins area (38.3% vs 16.7%, P = 0.032). No fluid bag was contaminated at days 0 and 2. The contamination rate of fluid bag was 1.1% and 4.4% on days 4 and 7, respectively. All bags with contaminated fluid were in the ER (6.7%, 95% exact binomial confidence interval 1.9-16.2%).</w:t>
      </w:r>
    </w:p>
    <w:p/>
    <w:p>
      <w:pPr>
        <w:pStyle w:val="Normal"/>
      </w:pPr>
      <w:r>
        <w:rPr>
          <w:color w:val="323232"/>
        </w:rPr>
        <w:t xml:space="preserve">CONCLUSIONS:Injection port contamination reached 31.1% on day 7. Contamination was more likely when the bags were hung next to a sink. In our model of bag puncture, fluid contamination occurred between days 2 and 4.</w:t>
      </w:r>
    </w:p>
    <w:p/>
    <w:p>
      <w:pPr>
        <w:pStyle w:val="Normal"/>
      </w:pPr>
      <w:r>
        <w:rPr>
          <w:color w:val="323232"/>
        </w:rPr>
        <w:t xml:space="preserve">J Vet Emerg Crit Care (San Antonio), 2017 vol. 27 (5) pp. 548-554.</w:t>
      </w:r>
    </w:p>
    <w:p>
      <w:r>
        <w:rPr>
          <w:rStyle w:val="Hyperlink"/>
        </w:rPr>
        <w:fldChar w:fldCharType="begin"/>
      </w:r>
      <w:r>
        <w:rPr>
          <w:rStyle w:val="Hyperlink"/>
        </w:rPr>
        <w:instrText xml:space="preserve"> HYPERLINK "http://eutils.ncbi.nlm.nih.gov/entrez/eutils/elink.fcgi?dbfrom=pubmed&amp;id=28834108&amp;retmode=ref&amp;cmd=prlinks"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http://eutils.ncbi.nlm.nih.gov/entrez/eutils/elink.fcgi?dbfrom=pubmed&amp;id=28834108&amp;retmode=ref&amp;cmd=prlinks</w:t>
      </w:r>
      <w:r>
        <w:rPr>
          <w:rStyle w:val="Hyperlink"/>
        </w:rPr>
        <w:fldChar w:fldCharType="end"/>
      </w:r>
    </w:p>
    <w:p>
      <w:pPr>
        <w:pStyle w:val="Normal"/>
      </w:pPr>
      <w:r>
        <w:rPr>
          <w:color w:val="323232"/>
        </w:rPr>
        <w:t xml:space="preserve">————————</w:t>
      </w:r>
    </w:p>
    <w:p>
      <w:pPr>
        <w:pStyle w:val="Heading4"/>
      </w:pPr>
      <w:r>
        <w:t xml:space="preserve">Retrospective evaluation of unexpected events during collection of blood donations performed with and without sedation in cats (2010-2013).</w:t>
      </w:r>
    </w:p>
    <w:p/>
    <w:p>
      <w:pPr>
        <w:pStyle w:val="Normal"/>
      </w:pPr>
      <w:r>
        <w:rPr>
          <w:color w:val="323232"/>
        </w:rPr>
        <w:t xml:space="preserve">Kerry S Doolin, Daniel L Chan, Sophie Adamantos, and Karen Humm.</w:t>
      </w:r>
    </w:p>
    <w:p/>
    <w:p>
      <w:pPr>
        <w:pStyle w:val="Normal"/>
      </w:pPr>
      <w:r>
        <w:rPr>
          <w:color w:val="323232"/>
        </w:rPr>
        <w:t xml:space="preserve">OBJECTIVES:Describe unexpected events (UEs) that occurred during blood donation in cats with and without sedation.</w:t>
      </w:r>
    </w:p>
    <w:p/>
    <w:p>
      <w:pPr>
        <w:pStyle w:val="Normal"/>
      </w:pPr>
      <w:r>
        <w:rPr>
          <w:color w:val="323232"/>
        </w:rPr>
        <w:t xml:space="preserve">DESIGN:Retrospective observational study (2010-2013).</w:t>
      </w:r>
    </w:p>
    <w:p/>
    <w:p>
      <w:pPr>
        <w:pStyle w:val="Normal"/>
      </w:pPr>
      <w:r>
        <w:rPr>
          <w:color w:val="323232"/>
        </w:rPr>
        <w:t xml:space="preserve">SETTING:University teaching hospital.</w:t>
      </w:r>
    </w:p>
    <w:p/>
    <w:p>
      <w:pPr>
        <w:pStyle w:val="Normal"/>
      </w:pPr>
      <w:r>
        <w:rPr>
          <w:color w:val="323232"/>
        </w:rPr>
        <w:t xml:space="preserve">ANIMALS:Client-owned healthy cats enrolled in a blood donation program.</w:t>
      </w:r>
    </w:p>
    <w:p/>
    <w:p>
      <w:pPr>
        <w:pStyle w:val="Normal"/>
      </w:pPr>
      <w:r>
        <w:rPr>
          <w:color w:val="323232"/>
        </w:rPr>
        <w:t xml:space="preserve">INTERVENTIONS:None.</w:t>
      </w:r>
    </w:p>
    <w:p/>
    <w:p>
      <w:pPr>
        <w:pStyle w:val="Normal"/>
      </w:pPr>
      <w:r>
        <w:rPr>
          <w:color w:val="323232"/>
        </w:rPr>
        <w:t xml:space="preserve">MEASUREMENTS AND MAIN RESULTS:Blood collection for transfusion was performed 115 times from 32 cats. Seventy donation events were in unsedated cats and 45 in sedated cats. For each collection, the anticipated blood volume to be collected, actual blood volume collected, sedation protocol, and any UE in the peridonation period were recorded. There were 6 categories of UEs: movement during donation, donor anxiety, inadequate collected blood volume, jugular vessel related UEs, additional sedation requirement, and cardiorespiratory distress. Fisher's exact test was used to compare the frequency of UEs between sedated and unsedated cats. UEs were recorded in 54 of 115 collections. In the donor population, movement was reported as an UE in 0 cats that donated under sedation and 24/70 (34.3%) cats that donated without sedation (P</w:t>
      </w:r>
      <w:r>
        <w:rPr>
          <w:color w:val="323232"/>
        </w:rPr>
        <w:t xml:space="preserve"> </w:t>
      </w:r>
      <w:r>
        <w:rPr>
          <w:color w:val="323232"/>
        </w:rPr>
        <w:t xml:space="preserve">&lt;</w:t>
      </w:r>
      <w:r>
        <w:rPr>
          <w:color w:val="323232"/>
        </w:rPr>
        <w:t xml:space="preserve"> </w:t>
      </w:r>
      <w:r>
        <w:rPr>
          <w:color w:val="323232"/>
        </w:rPr>
        <w:t xml:space="preserve">0.001). Donor anxiety occurred in 2/45 (4.4%) cats that donated under sedation and 14/70 (20.0%) cats that donated unsedated (P = 0.014). Unsedated donation did not increase the likelihood of inadequate donation volume, jugular vessel related UEs, or cardiorespiratory distress. Eight of 45 (17.8%) sedated donations required additional sedation.</w:t>
      </w:r>
    </w:p>
    <w:p/>
    <w:p>
      <w:pPr>
        <w:pStyle w:val="Normal"/>
      </w:pPr>
      <w:r>
        <w:rPr>
          <w:color w:val="323232"/>
        </w:rPr>
        <w:t xml:space="preserve">CONCLUSIONS:Movement during donation and signs of donor anxiety were more frequent in unsedated cats. These were considered minor issues, expected in unsedated cats being gently restrained. Blood collection from unsedated feline donors is a viable alternative to sedated donation.</w:t>
      </w:r>
    </w:p>
    <w:p/>
    <w:p>
      <w:pPr>
        <w:pStyle w:val="Normal"/>
      </w:pPr>
      <w:r>
        <w:rPr>
          <w:color w:val="323232"/>
        </w:rPr>
        <w:t xml:space="preserve">J Vet Emerg Crit Care (San Antonio), 2017 vol. 27 (5) pp. 555-560.</w:t>
      </w:r>
    </w:p>
    <w:p>
      <w:r>
        <w:rPr>
          <w:rStyle w:val="Hyperlink"/>
        </w:rPr>
        <w:fldChar w:fldCharType="begin"/>
      </w:r>
      <w:r>
        <w:rPr>
          <w:rStyle w:val="Hyperlink"/>
        </w:rPr>
        <w:instrText xml:space="preserve"> HYPERLINK "http://eutils.ncbi.nlm.nih.gov/entrez/eutils/elink.fcgi?dbfrom=pubmed&amp;id=28795784&amp;retmode=ref&amp;cmd=prlinks"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http://eutils.ncbi.nlm.nih.gov/entrez/eutils/elink.fcgi?dbfrom=pubmed&amp;id=28795784&amp;retmode=ref&amp;cmd=prlinks</w:t>
      </w:r>
      <w:r>
        <w:rPr>
          <w:rStyle w:val="Hyperlink"/>
        </w:rPr>
        <w:fldChar w:fldCharType="end"/>
      </w:r>
    </w:p>
    <w:p>
      <w:pPr>
        <w:pStyle w:val="Normal"/>
      </w:pPr>
      <w:r>
        <w:rPr>
          <w:color w:val="323232"/>
        </w:rPr>
        <w:t xml:space="preserve">————————</w:t>
      </w:r>
    </w:p>
    <w:p>
      <w:pPr>
        <w:pStyle w:val="Heading4"/>
      </w:pPr>
      <w:r>
        <w:t xml:space="preserve">Retrospective evaluation of and risk factor analysis for presumed fluid overload in cats with urethral obstruction: 11 cases (2002-2012).</w:t>
      </w:r>
    </w:p>
    <w:p/>
    <w:p>
      <w:pPr>
        <w:pStyle w:val="Normal"/>
      </w:pPr>
      <w:r>
        <w:rPr>
          <w:color w:val="323232"/>
        </w:rPr>
        <w:t xml:space="preserve">Cassandra J Ostroski, Kenneth J Drobatz, and Erica L Reineke.</w:t>
      </w:r>
    </w:p>
    <w:p/>
    <w:p>
      <w:pPr>
        <w:pStyle w:val="Normal"/>
      </w:pPr>
      <w:r>
        <w:rPr>
          <w:color w:val="323232"/>
        </w:rPr>
        <w:t xml:space="preserve">OBJECTIVE:To describe patient characteristics, treatment, and outcome in male cats with urethral obstruction (UO) and fluid overload (FO), and to determine risk factors for the development of FO.</w:t>
      </w:r>
    </w:p>
    <w:p/>
    <w:p>
      <w:pPr>
        <w:pStyle w:val="Normal"/>
      </w:pPr>
      <w:r>
        <w:rPr>
          <w:color w:val="323232"/>
        </w:rPr>
        <w:t xml:space="preserve">DESIGN:Retrospective case-control study from 2002-2012.</w:t>
      </w:r>
    </w:p>
    <w:p/>
    <w:p>
      <w:pPr>
        <w:pStyle w:val="Normal"/>
      </w:pPr>
      <w:r>
        <w:rPr>
          <w:color w:val="323232"/>
        </w:rPr>
        <w:t xml:space="preserve">ANIMALS:Eleven client-owned cats with UO that developed respiratory distress secondary to suspected FO and 51 control cats with UO without FO.</w:t>
      </w:r>
    </w:p>
    <w:p/>
    <w:p>
      <w:pPr>
        <w:pStyle w:val="Normal"/>
      </w:pPr>
      <w:r>
        <w:rPr>
          <w:color w:val="323232"/>
        </w:rPr>
        <w:t xml:space="preserve">INTERVENTIONS:None.</w:t>
      </w:r>
    </w:p>
    <w:p/>
    <w:p>
      <w:pPr>
        <w:pStyle w:val="Normal"/>
      </w:pPr>
      <w:r>
        <w:rPr>
          <w:color w:val="323232"/>
        </w:rPr>
        <w:t xml:space="preserve">MEASUREMENTS AND MAIN RESULTS:Medical records of cats with UO and FO were identified. FO was defined as the development of respiratory distress secondary to pleural effusion or pulmonary edema while receiving IV fluids. To identify risk factors for FO, variables for cats that developed FO were compared with variables from a randomly selected control group of unaffected UO cats during the same time period. Variables analyzed included patient signalment, previous medical history, serum biochemical data, respiratory rate, cardiac auscultation abnormalities, admission systolic blood pressure, intravenous fluid administration, thoracic imaging, treatment, duration and cost of hospitalization, and outcome. Echocardiogram identified heart disease in 5/6 cats with FO. Cost (2.9 times as much) and median duration of hospitalization (4.1 vs 1.8 days) were significantly greater in cats with FO. Cats with FO were more likely to have received a fluid bolus (odds ratio [OR]: 5.1; 95% confidence interval [CI]: 1.3, 20, P = 0.014), developed a heart murmur (OR: 4.5; 95% CI, 1.1-18, P = 0.028) or a gallop sound (OR: 75; 95% CI, 8.1-694, P &lt; 0.0001).</w:t>
      </w:r>
    </w:p>
    <w:p/>
    <w:p>
      <w:pPr>
        <w:pStyle w:val="Normal"/>
      </w:pPr>
      <w:r>
        <w:rPr>
          <w:color w:val="323232"/>
        </w:rPr>
        <w:t xml:space="preserve">CONCLUSIONS:FO is a possible complication of the treatment of UO. The administration of a fluid bolus on presentation, and the development of a heart murmur or gallop sound during treatment were the most clinically useful risk factors identified. The development of FO is associated with significant increases in both the cost and length of hospitalization, but was not associated with increased mortality.</w:t>
      </w:r>
    </w:p>
    <w:p/>
    <w:p>
      <w:pPr>
        <w:pStyle w:val="Normal"/>
      </w:pPr>
      <w:r>
        <w:rPr>
          <w:color w:val="323232"/>
        </w:rPr>
        <w:t xml:space="preserve">J Vet Emerg Crit Care (San Antonio), 2017 vol. 27 (5) pp. 561-568.</w:t>
      </w:r>
    </w:p>
    <w:p>
      <w:r>
        <w:rPr>
          <w:rStyle w:val="Hyperlink"/>
        </w:rPr>
        <w:fldChar w:fldCharType="begin"/>
      </w:r>
      <w:r>
        <w:rPr>
          <w:rStyle w:val="Hyperlink"/>
        </w:rPr>
        <w:instrText xml:space="preserve"> HYPERLINK "http://eutils.ncbi.nlm.nih.gov/entrez/eutils/elink.fcgi?dbfrom=pubmed&amp;id=28752928&amp;retmode=ref&amp;cmd=prlinks"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http://eutils.ncbi.nlm.nih.gov/entrez/eutils/elink.fcgi?dbfrom=pubmed&amp;id=28752928&amp;retmode=ref&amp;cmd=prlinks</w:t>
      </w:r>
      <w:r>
        <w:rPr>
          <w:rStyle w:val="Hyperlink"/>
        </w:rPr>
        <w:fldChar w:fldCharType="end"/>
      </w:r>
    </w:p>
    <w:p>
      <w:pPr>
        <w:pStyle w:val="Normal"/>
      </w:pPr>
      <w:r>
        <w:rPr>
          <w:color w:val="323232"/>
        </w:rPr>
        <w:t xml:space="preserve">————————</w:t>
      </w:r>
    </w:p>
    <w:p>
      <w:pPr>
        <w:pStyle w:val="Heading4"/>
      </w:pPr>
      <w:r>
        <w:t xml:space="preserve">A pilot study evaluating the prognostic utility of platelet indices in dogs with septic peritonitis.</w:t>
      </w:r>
    </w:p>
    <w:p/>
    <w:p>
      <w:pPr>
        <w:pStyle w:val="Normal"/>
      </w:pPr>
      <w:r>
        <w:rPr>
          <w:color w:val="323232"/>
        </w:rPr>
        <w:t xml:space="preserve">Platelet indices utility canine septic peritonitis.</w:t>
      </w:r>
    </w:p>
    <w:p>
      <w:pPr>
        <w:pStyle w:val="Normal"/>
      </w:pPr>
      <w:r>
        <w:rPr>
          <w:color w:val="323232"/>
        </w:rPr>
        <w:t xml:space="preserve">Efa A Llewellyn, Jeffrey M Todd, Leslie C Sharkey, and Aaron Rendahl.</w:t>
      </w:r>
    </w:p>
    <w:p/>
    <w:p>
      <w:pPr>
        <w:pStyle w:val="Normal"/>
      </w:pPr>
      <w:r>
        <w:rPr>
          <w:color w:val="323232"/>
        </w:rPr>
        <w:t xml:space="preserve">OBJECTIVE:To characterize platelet indices at time of diagnosis of septic peritonitis in dogs and to assess the relationship between platelet parameter data and survival to discharge in dogs treated surgically.</w:t>
      </w:r>
    </w:p>
    <w:p/>
    <w:p>
      <w:pPr>
        <w:pStyle w:val="Normal"/>
      </w:pPr>
      <w:r>
        <w:rPr>
          <w:color w:val="323232"/>
        </w:rPr>
        <w:t xml:space="preserve">DESIGN:Retrospective, observational, descriptive pilot study from 2009 to 2014.</w:t>
      </w:r>
    </w:p>
    <w:p/>
    <w:p>
      <w:pPr>
        <w:pStyle w:val="Normal"/>
      </w:pPr>
      <w:r>
        <w:rPr>
          <w:color w:val="323232"/>
        </w:rPr>
        <w:t xml:space="preserve">SETTING:University teaching hospital.</w:t>
      </w:r>
    </w:p>
    <w:p/>
    <w:p>
      <w:pPr>
        <w:pStyle w:val="Normal"/>
      </w:pPr>
      <w:r>
        <w:rPr>
          <w:color w:val="323232"/>
        </w:rPr>
        <w:t xml:space="preserve">ANIMALS:Forty-eight dogs diagnosed with septic peritonitis were included in this study. Thirty-six dogs had surgical source control. Blood samples from 46 healthy control dogs were used for reference interval (RI) generation.</w:t>
      </w:r>
    </w:p>
    <w:p/>
    <w:p>
      <w:pPr>
        <w:pStyle w:val="Normal"/>
      </w:pPr>
      <w:r>
        <w:rPr>
          <w:color w:val="323232"/>
        </w:rPr>
        <w:t xml:space="preserve">INTERVENTIONS:None.</w:t>
      </w:r>
    </w:p>
    <w:p/>
    <w:p>
      <w:pPr>
        <w:pStyle w:val="Normal"/>
      </w:pPr>
      <w:r>
        <w:rPr>
          <w:color w:val="323232"/>
        </w:rPr>
        <w:t xml:space="preserve">MEASUREMENTS AND MAIN RESULTS:Dogs with septic peritonitis had significantly increased mean values for mean platelet volume (MPV), plateletcrit (PCT), and platelet distribution width (PDW) with increased proportions of dogs having values above the RI compared to healthy dogs. A significantly increased proportion of dogs with septic peritonitis had platelet counts above (12.5%) and below (8.3%) the RI, with no significant difference in mean platelet count compared to healthy dogs. No significant differences in the mean platelet count, MPV, PCT, or PDW were found between survivors and nonsurvivors in dogs with surgical source control; however, dogs with MPV values above the RI had significantly increased mortality compared to dogs within the RI (P = 0.025). Values outside the RI for other platelet parameters were not associated with significant differences in mortality.</w:t>
      </w:r>
    </w:p>
    <w:p/>
    <w:p>
      <w:pPr>
        <w:pStyle w:val="Normal"/>
      </w:pPr>
      <w:r>
        <w:rPr>
          <w:color w:val="323232"/>
        </w:rPr>
        <w:t xml:space="preserve">CONCLUSIONS:Dogs with septic peritonitis have increased frequency of thrombocytosis and thrombocytopenia with increased MPV, PCT, and PDW. An increased MPV may be a useful indicator of increased risk of mortality in dogs treated surgically.</w:t>
      </w:r>
    </w:p>
    <w:p/>
    <w:p>
      <w:pPr>
        <w:pStyle w:val="Normal"/>
      </w:pPr>
      <w:r>
        <w:rPr>
          <w:color w:val="323232"/>
        </w:rPr>
        <w:t xml:space="preserve">J Vet Emerg Crit Care (San Antonio), 2017 vol. 27 (5) pp. 569-578.</w:t>
      </w:r>
    </w:p>
    <w:p>
      <w:r>
        <w:rPr>
          <w:rStyle w:val="Hyperlink"/>
        </w:rPr>
        <w:fldChar w:fldCharType="begin"/>
      </w:r>
      <w:r>
        <w:rPr>
          <w:rStyle w:val="Hyperlink"/>
        </w:rPr>
        <w:instrText xml:space="preserve"> HYPERLINK "http://doi.wiley.com/10.1111/vec.12628" </w:instrText>
      </w:r>
      <w:r>
        <w:rPr>
          <w:rStyle w:val="Hyperlink"/>
        </w:rPr>
      </w:r>
      <w:r>
        <w:rPr>
          <w:rStyle w:val="Hyperlink"/>
        </w:rPr>
        <w:fldChar w:fldCharType="separate"/>
      </w:r>
      <w:pPr>
        <w:pStyle w:val="Normal"/>
      </w:pPr>
      <w:r>
        <w:rPr>
          <w:rStyle w:val="Hyperlink"/>
        </w:rPr>
        <w:t xml:space="preserve">http://doi.wiley.com/10.1111/vec.12628</w:t>
      </w:r>
      <w:r>
        <w:rPr>
          <w:rStyle w:val="Hyperlink"/>
        </w:rPr>
        <w:fldChar w:fldCharType="end"/>
      </w:r>
    </w:p>
    <w:p>
      <w:pPr>
        <w:pStyle w:val="Normal"/>
      </w:pPr>
      <w:r>
        <w:rPr>
          <w:color w:val="323232"/>
        </w:rPr>
        <w:t xml:space="preserve">————————</w:t>
      </w:r>
    </w:p>
    <w:p>
      <w:pPr>
        <w:pStyle w:val="Heading4"/>
      </w:pPr>
      <w:r>
        <w:t xml:space="preserve">Retrospective evaluation of cats with elapid snake envenomation associated neurotoxicity requiring mechanical ventilation: 12 cases (2005-2014).</w:t>
      </w:r>
    </w:p>
    <w:p/>
    <w:p>
      <w:pPr>
        <w:pStyle w:val="Normal"/>
      </w:pPr>
      <w:r>
        <w:rPr>
          <w:color w:val="323232"/>
        </w:rPr>
        <w:t xml:space="preserve">Hui Mei Ong, Kylie Kelers, Dez Hughes, and Manuel Boller.</w:t>
      </w:r>
    </w:p>
    <w:p/>
    <w:p>
      <w:pPr>
        <w:pStyle w:val="Normal"/>
      </w:pPr>
      <w:r>
        <w:rPr>
          <w:color w:val="323232"/>
        </w:rPr>
        <w:t xml:space="preserve">OBJECTIVE:To retrospectively determine the population and outcome characteristics of a cohort of Australian elapid snake envenomed cats requiring mechanical ventilation (MV).</w:t>
      </w:r>
    </w:p>
    <w:p/>
    <w:p>
      <w:pPr>
        <w:pStyle w:val="Normal"/>
      </w:pPr>
      <w:r>
        <w:rPr>
          <w:color w:val="323232"/>
        </w:rPr>
        <w:t xml:space="preserve">DESIGN:Retrospective observational study (2005-2014).</w:t>
      </w:r>
    </w:p>
    <w:p/>
    <w:p>
      <w:pPr>
        <w:pStyle w:val="Normal"/>
      </w:pPr>
      <w:r>
        <w:rPr>
          <w:color w:val="323232"/>
        </w:rPr>
        <w:t xml:space="preserve">SETTING:Academic veterinary emergency and critical care service.</w:t>
      </w:r>
    </w:p>
    <w:p/>
    <w:p>
      <w:pPr>
        <w:pStyle w:val="Normal"/>
      </w:pPr>
      <w:r>
        <w:rPr>
          <w:color w:val="323232"/>
        </w:rPr>
        <w:t xml:space="preserve">ANIMALS:Twelve cats undergoing MV for elapid snake envenomation.</w:t>
      </w:r>
    </w:p>
    <w:p/>
    <w:p>
      <w:pPr>
        <w:pStyle w:val="Normal"/>
      </w:pPr>
      <w:r>
        <w:rPr>
          <w:color w:val="323232"/>
        </w:rPr>
        <w:t xml:space="preserve">INTERVENTIONS:None.</w:t>
      </w:r>
    </w:p>
    <w:p/>
    <w:p>
      <w:pPr>
        <w:pStyle w:val="Normal"/>
      </w:pPr>
      <w:r>
        <w:rPr>
          <w:color w:val="323232"/>
        </w:rPr>
        <w:t xml:space="preserve">MEASUREMENTS AND MAIN RESULTS:The medical records were searched to identify cats requiring MV as part of treatment for elapid snake envenomation. Signalment, the indication for, duration of and complications associated with MV, duration of hospitalization, and survival to hospital discharge were recorded for each of the enrolled cases. Seven cats (58.3%) underwent MV because of presumed unsustainable respiratory effort and 5 cats (41.7%) for respiratory arrest. Eleven cats (91.7%) were successfully weaned from MV and survived to hospital discharge. No cats developed ventilator associated pneumonia or pneumothorax. The median duration of MV was 19.5 hours for the survivors (range 7.0-37.0 hours) and median duration of hospitalization was 3.5 days (range 2.4-14.9 days).</w:t>
      </w:r>
    </w:p>
    <w:p/>
    <w:p>
      <w:pPr>
        <w:pStyle w:val="Normal"/>
      </w:pPr>
      <w:r>
        <w:rPr>
          <w:color w:val="323232"/>
        </w:rPr>
        <w:t xml:space="preserve">CONCLUSIONS:Cats requiring MV for elapid snake envenomation have a favorable outcome and require a relatively short period of MV. Complications encountered are unlikely to influence outcome.</w:t>
      </w:r>
    </w:p>
    <w:p/>
    <w:p>
      <w:pPr>
        <w:pStyle w:val="Normal"/>
      </w:pPr>
      <w:r>
        <w:rPr>
          <w:color w:val="323232"/>
        </w:rPr>
        <w:t xml:space="preserve">J Vet Emerg Crit Care (San Antonio), 2017 vol. 27 (5) pp. 579-585.</w:t>
      </w:r>
    </w:p>
    <w:p>
      <w:r>
        <w:rPr>
          <w:rStyle w:val="Hyperlink"/>
        </w:rPr>
        <w:fldChar w:fldCharType="begin"/>
      </w:r>
      <w:r>
        <w:rPr>
          <w:rStyle w:val="Hyperlink"/>
        </w:rPr>
        <w:instrText xml:space="preserve"> HYPERLINK "http://eutils.ncbi.nlm.nih.gov/entrez/eutils/elink.fcgi?dbfrom=pubmed&amp;id=28799698&amp;retmode=ref&amp;cmd=prlinks"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http://eutils.ncbi.nlm.nih.gov/entrez/eutils/elink.fcgi?dbfrom=pubmed&amp;id=28799698&amp;retmode=ref&amp;cmd=prlinks</w:t>
      </w:r>
      <w:r>
        <w:rPr>
          <w:rStyle w:val="Hyperlink"/>
        </w:rPr>
        <w:fldChar w:fldCharType="end"/>
      </w:r>
    </w:p>
    <w:p>
      <w:pPr>
        <w:pStyle w:val="Normal"/>
      </w:pPr>
      <w:r>
        <w:rPr>
          <w:color w:val="323232"/>
        </w:rPr>
        <w:t xml:space="preserve">————————</w:t>
      </w:r>
    </w:p>
    <w:p>
      <w:pPr>
        <w:pStyle w:val="Heading4"/>
      </w:pPr>
      <w:r>
        <w:t xml:space="preserve">Fecal markers of inflammation, protein loss, and microbial changes in dogs with the acute hemorrhagic diarrhea syndrome (AHDS).</w:t>
      </w:r>
    </w:p>
    <w:p/>
    <w:p>
      <w:pPr>
        <w:pStyle w:val="Normal"/>
      </w:pPr>
      <w:r>
        <w:rPr>
          <w:color w:val="323232"/>
        </w:rPr>
        <w:t xml:space="preserve">Romy M Heilmann, Melissa M Guard, Jörg M Steiner, Jan S Suchodolski, and Stefan Unterer.</w:t>
      </w:r>
    </w:p>
    <w:p/>
    <w:p>
      <w:pPr>
        <w:pStyle w:val="Normal"/>
      </w:pPr>
      <w:r>
        <w:rPr>
          <w:color w:val="323232"/>
        </w:rPr>
        <w:t xml:space="preserve">BACKGROUND:Idiopathic acute hemorrhagic diarrhea syndrome (AHDS) is characterized by acute onset of bloody diarrhea, severe dehydration, and increased vascular and intestinal mucosal permeability. Markers of gastrointestinal inflammation, protein loss, and changes in the intestinal microbiota have not been studied extensively in dogs with AHDS.</w:t>
      </w:r>
    </w:p>
    <w:p/>
    <w:p>
      <w:pPr>
        <w:pStyle w:val="Normal"/>
      </w:pPr>
      <w:r>
        <w:rPr>
          <w:color w:val="323232"/>
        </w:rPr>
        <w:t xml:space="preserve">KEY FINDINGS:For 3 consecutive days, feces were collected from dogs with AHDS, and assayed for calprotectin and S100A12 (both markers of inflammation), α1 -proteinase inhibitor (a marker of gastrointestinal protein loss), and the presence of selected species of bacteria. Concentrations of all assayed markers were significantly greater than the institutional reference intervals at the time of presentation, and all decreased significantly by Day 3 of treatment. Abundances of selected bacterial groups (Ruminococcaceae, Faecalibacterium spp., Bifidobacterium spp., and Proteobacteria) at the time of diagnosis were consistent with an intestinal bacterial dysbiosis. No differences in the abundance of bacterial groups over time was seen, except for a mild but significant decrease in Ruminococcaceae at Day 3.</w:t>
      </w:r>
    </w:p>
    <w:p/>
    <w:p>
      <w:pPr>
        <w:pStyle w:val="Normal"/>
      </w:pPr>
      <w:r>
        <w:rPr>
          <w:color w:val="323232"/>
        </w:rPr>
        <w:t xml:space="preserve">SIGNIFICANCE:These results suggest that canine AHDS is associated with a significant but transient gastrointestinal loss of protein and intestinal inflammation. The intestinal bacterial dysbiosis appears to outlast the protein loss and inflammation.</w:t>
      </w:r>
    </w:p>
    <w:p/>
    <w:p>
      <w:pPr>
        <w:pStyle w:val="Normal"/>
      </w:pPr>
      <w:r>
        <w:rPr>
          <w:color w:val="323232"/>
        </w:rPr>
        <w:t xml:space="preserve">J Vet Emerg Crit Care (San Antonio), 2017 vol. 27 (5) pp. 586-589.</w:t>
      </w:r>
    </w:p>
    <w:p>
      <w:r>
        <w:rPr>
          <w:rStyle w:val="Hyperlink"/>
        </w:rPr>
        <w:fldChar w:fldCharType="begin"/>
      </w:r>
      <w:r>
        <w:rPr>
          <w:rStyle w:val="Hyperlink"/>
        </w:rPr>
        <w:instrText xml:space="preserve"> HYPERLINK "http://eutils.ncbi.nlm.nih.gov/entrez/eutils/elink.fcgi?dbfrom=pubmed&amp;id=28771910&amp;retmode=ref&amp;cmd=prlinks"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http://eutils.ncbi.nlm.nih.gov/entrez/eutils/elink.fcgi?dbfrom=pubmed&amp;id=28771910&amp;retmode=ref&amp;cmd=prlinks</w:t>
      </w:r>
      <w:r>
        <w:rPr>
          <w:rStyle w:val="Hyperlink"/>
        </w:rPr>
        <w:fldChar w:fldCharType="end"/>
      </w:r>
    </w:p>
    <w:p>
      <w:pPr>
        <w:pStyle w:val="Normal"/>
      </w:pPr>
      <w:r>
        <w:rPr>
          <w:color w:val="323232"/>
        </w:rPr>
        <w:t xml:space="preserve">————————</w:t>
      </w:r>
    </w:p>
    <w:p>
      <w:pPr>
        <w:pStyle w:val="Heading4"/>
      </w:pPr>
      <w:r>
        <w:t xml:space="preserve">The use of intravesicular alteplase for thrombolysis in a dog with urinary bladder thrombi.</w:t>
      </w:r>
    </w:p>
    <w:p/>
    <w:p>
      <w:pPr>
        <w:pStyle w:val="Normal"/>
      </w:pPr>
      <w:r>
        <w:rPr>
          <w:color w:val="323232"/>
        </w:rPr>
        <w:t xml:space="preserve">Kimberly S Hooi and Julie D Lemetayer.</w:t>
      </w:r>
    </w:p>
    <w:p/>
    <w:p>
      <w:pPr>
        <w:pStyle w:val="Normal"/>
      </w:pPr>
      <w:r>
        <w:rPr>
          <w:color w:val="323232"/>
        </w:rPr>
        <w:t xml:space="preserve">OBJECTIVE:To describe the use of alteplase for intravesicular thrombolysis in a dog after development of urinary tract obstruction from a blood clot in the urinary bladder.</w:t>
      </w:r>
    </w:p>
    <w:p/>
    <w:p>
      <w:pPr>
        <w:pStyle w:val="Normal"/>
      </w:pPr>
      <w:r>
        <w:rPr>
          <w:color w:val="323232"/>
        </w:rPr>
        <w:t xml:space="preserve">CASE SUMMARY:A 5.8 kg, 6.5-year-old female neutered Bichon Frise was presented for signs of acute hematuria. A complete blood count (CBC) revealed marked thrombocytopenia and leukopenia, and nonregenerative anemia. Bone marrow aspirate cytology revealed mild hypercellularity, mild megakaryocytic hyperplasia, mildly left-shifted erythroid maturation, and moderately left-shifted myeloid maturation, suggesting ongoing recovery from an acute bone marrow insult. Thrombocytopenia and hematuria resolved concurrently; however, stranguria and oliguria developed acutely. Ultrasonography identified two large presumed thrombi within the urinary bladder. A urinary catheter was placed and 4 doses of 0.5 mg of alteplase diluted in 10 mL of 0.9% sodium chloride were instilled into the bladder with a 4-hour dwell time at 12-hour intervals. Prothombin and activated partial thromboplastin times were monitored during therapy and remained within normal limits. One thrombus was successfully dissolved after 48 hours of therapy and the remaining thrombus was reduced in size and was voided upon removal of the urinary catheter.</w:t>
      </w:r>
    </w:p>
    <w:p/>
    <w:p>
      <w:pPr>
        <w:pStyle w:val="Normal"/>
      </w:pPr>
      <w:r>
        <w:rPr>
          <w:color w:val="323232"/>
        </w:rPr>
        <w:t xml:space="preserve">NEW OR UNIQUE INFORMATION PROVIDED:This report describes the use of alteplase in a dog for thrombolysis of intravesicular thrombi. In patients that develop intravesicular thrombi, intravesical instillation of alteplase can be considered as a method for dissolution of these thrombi.</w:t>
      </w:r>
    </w:p>
    <w:p/>
    <w:p>
      <w:pPr>
        <w:pStyle w:val="Normal"/>
      </w:pPr>
      <w:r>
        <w:rPr>
          <w:color w:val="323232"/>
        </w:rPr>
        <w:t xml:space="preserve">J Vet Emerg Crit Care (San Antonio), 2017 vol. 27 (5) pp. 590-595.</w:t>
      </w:r>
    </w:p>
    <w:p>
      <w:r>
        <w:rPr>
          <w:rStyle w:val="Hyperlink"/>
        </w:rPr>
        <w:fldChar w:fldCharType="begin"/>
      </w:r>
      <w:r>
        <w:rPr>
          <w:rStyle w:val="Hyperlink"/>
        </w:rPr>
        <w:instrText xml:space="preserve"> HYPERLINK "http://eutils.ncbi.nlm.nih.gov/entrez/eutils/elink.fcgi?dbfrom=pubmed&amp;id=28749042&amp;retmode=ref&amp;cmd=prlinks"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http://eutils.ncbi.nlm.nih.gov/entrez/eutils/elink.fcgi?dbfrom=pubmed&amp;id=28749042&amp;retmode=ref&amp;cmd=prlinks</w:t>
      </w:r>
      <w:r>
        <w:rPr>
          <w:rStyle w:val="Hyperlink"/>
        </w:rPr>
        <w:fldChar w:fldCharType="end"/>
      </w:r>
    </w:p>
    <w:p>
      <w:pPr>
        <w:pStyle w:val="Normal"/>
      </w:pPr>
      <w:r>
        <w:rPr>
          <w:color w:val="323232"/>
        </w:rPr>
        <w:t xml:space="preserve">————————</w:t>
      </w:r>
    </w:p>
    <w:p>
      <w:pPr>
        <w:pStyle w:val="Heading4"/>
      </w:pPr>
      <w:r>
        <w:t xml:space="preserve">Successful use of digoxin-specific immune Fab in the treatment of severe Nerium oleander toxicosis in a dog.</w:t>
      </w:r>
    </w:p>
    <w:p/>
    <w:p>
      <w:pPr>
        <w:pStyle w:val="Normal"/>
      </w:pPr>
      <w:r>
        <w:rPr>
          <w:color w:val="323232"/>
        </w:rPr>
        <w:t xml:space="preserve">Amaris Pao-Franco, Tara N Hammond, Linda K Weatherton, Camille DeClementi, and Scott D Forney.</w:t>
      </w:r>
    </w:p>
    <w:p/>
    <w:p>
      <w:pPr>
        <w:pStyle w:val="Normal"/>
      </w:pPr>
      <w:r>
        <w:rPr>
          <w:color w:val="323232"/>
        </w:rPr>
        <w:t xml:space="preserve">OBJECTIVE:To describe a case in which digoxin-specific immune Fab was used successfully in a dog with severe oleander toxicosis secondary to ingesting plant material.</w:t>
      </w:r>
    </w:p>
    <w:p/>
    <w:p>
      <w:pPr>
        <w:pStyle w:val="Normal"/>
      </w:pPr>
      <w:r>
        <w:rPr>
          <w:color w:val="323232"/>
        </w:rPr>
        <w:t xml:space="preserve">CASE SUMMARY:A 6-year-old intact female Rhodesian Ridgeback mixed breed dog was presented for severe oleander toxicosis and was refractory to all antiarrhythmic therapies and supportive care. Digoxin-specific immune Fab was successful in treating this dog. The dog recovered but suffered ischemic injuries, the long-term effects of which are unknown.</w:t>
      </w:r>
    </w:p>
    <w:p/>
    <w:p>
      <w:pPr>
        <w:pStyle w:val="Normal"/>
      </w:pPr>
      <w:r>
        <w:rPr>
          <w:color w:val="323232"/>
        </w:rPr>
        <w:t xml:space="preserve">NEW OR UNIQUE INFORMATION PROVIDED:This report describes the successful use of digoxin-specific immune Fab in the treatment of oleander toxicosis in a dog, which has not previously been published in veterinary literature. Oleander poisoning can be associated with permanent cardiac arrhythmias due to the ischemic damage.</w:t>
      </w:r>
    </w:p>
    <w:p/>
    <w:p>
      <w:pPr>
        <w:pStyle w:val="Normal"/>
      </w:pPr>
      <w:r>
        <w:rPr>
          <w:color w:val="323232"/>
        </w:rPr>
        <w:t xml:space="preserve">J Vet Emerg Crit Care (San Antonio), 2017 vol. 27 (5) pp. 596-604.</w:t>
      </w:r>
    </w:p>
    <w:p>
      <w:r>
        <w:rPr>
          <w:rStyle w:val="Hyperlink"/>
        </w:rPr>
        <w:fldChar w:fldCharType="begin"/>
      </w:r>
      <w:r>
        <w:rPr>
          <w:rStyle w:val="Hyperlink"/>
        </w:rPr>
        <w:instrText xml:space="preserve"> HYPERLINK "http://eutils.ncbi.nlm.nih.gov/entrez/eutils/elink.fcgi?dbfrom=pubmed&amp;id=28755414&amp;retmode=ref&amp;cmd=prlinks"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http://eutils.ncbi.nlm.nih.gov/entrez/eutils/elink.fcgi?dbfrom=pubmed&amp;id=28755414&amp;retmode=ref&amp;cmd=prlinks</w:t>
      </w:r>
      <w:r>
        <w:rPr>
          <w:rStyle w:val="Hyperlink"/>
        </w:rPr>
        <w:fldChar w:fldCharType="end"/>
      </w:r>
    </w:p>
    <w:p>
      <w:pPr>
        <w:pStyle w:val="Normal"/>
      </w:pPr>
      <w:r>
        <w:rPr>
          <w:color w:val="323232"/>
        </w:rPr>
        <w:t xml:space="preserve">————————</w:t>
      </w:r>
    </w:p>
    <w:p>
      <w:pPr>
        <w:pStyle w:val="Heading4"/>
      </w:pPr>
      <w:r>
        <w:t xml:space="preserve">Necroulcerative hemorrhagic gastritis in a cat secondary to the administration of 3% hydrogen peroxide as an emetic agent.</w:t>
      </w:r>
    </w:p>
    <w:p/>
    <w:p>
      <w:pPr>
        <w:pStyle w:val="Normal"/>
      </w:pPr>
      <w:r>
        <w:rPr>
          <w:color w:val="323232"/>
        </w:rPr>
        <w:t xml:space="preserve">Teresa D Obr, Joanna K Fry, Justine A Lee, and Heidi A Hottinger.</w:t>
      </w:r>
    </w:p>
    <w:p/>
    <w:p>
      <w:pPr>
        <w:pStyle w:val="Normal"/>
      </w:pPr>
      <w:r>
        <w:rPr>
          <w:color w:val="323232"/>
        </w:rPr>
        <w:t xml:space="preserve">OBJECTIVE:To describe a case of necroulcerative gastritis in a cat secondary to administration of 3% hydrogen peroxide as an emetic agent.</w:t>
      </w:r>
    </w:p>
    <w:p/>
    <w:p>
      <w:pPr>
        <w:pStyle w:val="Normal"/>
      </w:pPr>
      <w:r>
        <w:rPr>
          <w:color w:val="323232"/>
        </w:rPr>
        <w:t xml:space="preserve">CASE SUMMARY:A 10-year-old neutered male domestic shorthair was evaluated for hematemesis less than 24 hours following ingestion of a piece of foam. The pet owner had administered 2 doses of 0.5-1.0 tablespoons (7.5-15 mL) of 3% hydrogen peroxide in an attempt to induce emesis at home; emesis was achieved and produced the foam foreign body. Due to the presence of protracted vomiting and hematemesis, the patient was then presented to an emergency facility for further diagnostics and treatment. Initial blood work was normal on presentation, and advanced imaging of the abdomen was performed. An exploratory laparotomy revealed no foreign material in the gastrointestinal tract; however, severe ulceration of approximately 60% of the gastric mucosa was observed around the cardia and extended from the fundus down through the body of the stomach to the lesser curvature. Due to the severity of ulceration and presumed poor prognosis, the patient was euthanized intraoperatively. Histopathology of the stomach wall was consistent with severe confluent necroulcerative and hemorrhagic pleocellular gastritis, presumed to be secondary to administration of 3% hydrogen peroxide, which was used as the primary emetic agent in this case.</w:t>
      </w:r>
    </w:p>
    <w:p/>
    <w:p>
      <w:pPr>
        <w:pStyle w:val="Normal"/>
      </w:pPr>
      <w:r>
        <w:rPr>
          <w:color w:val="323232"/>
        </w:rPr>
        <w:t xml:space="preserve">NEW OR UNIQUE INFORMATION PROVIDED:The oral administration of 3% hydrogen peroxide solution in cats can result in necroulcerative gastritis as a possible sequel. While hydrogen peroxide is considered a safe emetic agent in dogs, its use in cats is not recommended. As a result, the use of emetic agents in cats should be limited to veterinary administration, using alternative, safer emetic agents such as alpha-adrenergic agonists.</w:t>
      </w:r>
    </w:p>
    <w:p/>
    <w:p>
      <w:pPr>
        <w:pStyle w:val="Normal"/>
      </w:pPr>
      <w:r>
        <w:rPr>
          <w:color w:val="323232"/>
        </w:rPr>
        <w:t xml:space="preserve">J Vet Emerg Crit Care (San Antonio), 2017 vol. 27 (5) pp. 605-608.</w:t>
      </w:r>
    </w:p>
    <w:p>
      <w:r>
        <w:rPr>
          <w:rStyle w:val="Hyperlink"/>
        </w:rPr>
        <w:fldChar w:fldCharType="begin"/>
      </w:r>
      <w:r>
        <w:rPr>
          <w:rStyle w:val="Hyperlink"/>
        </w:rPr>
        <w:instrText xml:space="preserve"> HYPERLINK "http://eutils.ncbi.nlm.nih.gov/entrez/eutils/elink.fcgi?dbfrom=pubmed&amp;id=28795786&amp;retmode=ref&amp;cmd=prlinks"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http://eutils.ncbi.nlm.nih.gov/entrez/eutils/elink.fcgi?dbfrom=pubmed&amp;id=28795786&amp;retmode=ref&amp;cmd=prlinks</w:t>
      </w:r>
      <w:r>
        <w:rPr>
          <w:rStyle w:val="Hyperlink"/>
        </w:rPr>
        <w:fldChar w:fldCharType="end"/>
      </w:r>
    </w:p>
    <w:p>
      <w:pPr>
        <w:pStyle w:val="Normal"/>
      </w:pPr>
      <w:r>
        <w:rPr>
          <w:color w:val="323232"/>
        </w:rPr>
        <w:t xml:space="preserve">————————</w:t>
      </w:r>
    </w:p>
    <w:p>
      <w:pPr>
        <w:pStyle w:val="Heading4"/>
      </w:pPr>
      <w:r>
        <w:t xml:space="preserve">Evaluation of echocardiography and cardiac biomarker concentrations in dogs with gastric dilatation volvulus.</w:t>
      </w:r>
    </w:p>
    <w:p/>
    <w:p>
      <w:pPr>
        <w:pStyle w:val="Normal"/>
      </w:pPr>
      <w:r>
        <w:rPr>
          <w:color w:val="323232"/>
        </w:rPr>
        <w:t xml:space="preserve">Brent D Aona, John E Rush, Elizabeth A Rozanski, Suzanne M Cunningham, Claire R Sharp, and Lisa M Freeman.</w:t>
      </w:r>
    </w:p>
    <w:p/>
    <w:p>
      <w:pPr>
        <w:pStyle w:val="Normal"/>
      </w:pPr>
      <w:r>
        <w:rPr>
          <w:color w:val="323232"/>
        </w:rPr>
        <w:t xml:space="preserve">OBJECTIVE:To assess abnormalities in concentrations of cardiac troponin I (cTnI), lactate, and N-terminal pro-B-type natriuretic peptide (NT-proBNP) in relation to arrhythmias, echocardiographic measurements, and survival in dogs with gastric dilatation volvulus (GDV).</w:t>
      </w:r>
    </w:p>
    <w:p/>
    <w:p>
      <w:pPr>
        <w:pStyle w:val="Normal"/>
      </w:pPr>
      <w:r>
        <w:rPr>
          <w:color w:val="323232"/>
        </w:rPr>
        <w:t xml:space="preserve">DESIGN:Prospective observational study.</w:t>
      </w:r>
    </w:p>
    <w:p/>
    <w:p>
      <w:pPr>
        <w:pStyle w:val="Normal"/>
      </w:pPr>
      <w:r>
        <w:rPr>
          <w:color w:val="323232"/>
        </w:rPr>
        <w:t xml:space="preserve">SETTING:University hospital.</w:t>
      </w:r>
    </w:p>
    <w:p/>
    <w:p>
      <w:pPr>
        <w:pStyle w:val="Normal"/>
      </w:pPr>
      <w:r>
        <w:rPr>
          <w:color w:val="323232"/>
        </w:rPr>
        <w:t xml:space="preserve">ANIMALS:Twenty-two dogs with naturally occurring GDV.</w:t>
      </w:r>
    </w:p>
    <w:p/>
    <w:p>
      <w:pPr>
        <w:pStyle w:val="Normal"/>
      </w:pPr>
      <w:r>
        <w:rPr>
          <w:color w:val="323232"/>
        </w:rPr>
        <w:t xml:space="preserve">SAMPLES:Concentrations of cTnI, plasma lactate, and NT-proBNP were recorded at presentation to the emergency room, the time closest to echocardiography, and the highest recorded concentrations during hospitalization.</w:t>
      </w:r>
    </w:p>
    <w:p/>
    <w:p>
      <w:pPr>
        <w:pStyle w:val="Normal"/>
      </w:pPr>
      <w:r>
        <w:rPr>
          <w:color w:val="323232"/>
        </w:rPr>
        <w:t xml:space="preserve">INTERVENTIONS:None.</w:t>
      </w:r>
    </w:p>
    <w:p/>
    <w:p>
      <w:pPr>
        <w:pStyle w:val="Normal"/>
      </w:pPr>
      <w:r>
        <w:rPr>
          <w:color w:val="323232"/>
        </w:rPr>
        <w:t xml:space="preserve">MEASUREMENTS AND MAIN RESULTS:Cardiac rhythms were categorized on a 0-4 scale (0 = no ventricular premature complexes [VPCs], 1 = single VPCs, 2 = bigeminy or trigeminy, 3 = couplets or triplets, and 4 = R-on-T phenomenon or ventricular tachycardia). Echocardiography was performed 6-18 hours postoperatively. Fifteen dogs had ventricular arrhythmias during hospitalization (Grade 1 [n = 9], Grade 4 [n = 6]). The highest recorded cTnI concentration was significantly higher in the dogs with Grade 4 (P = 0.002) or Grade 1 (P = 0.001) arrhythmias compared to dogs without arrhythmias. Plasma lactate was significantly correlated with left ventricular internal diameter in diastole (r = -0.52, P = 0.01) and systole (r = -0.57, P = 0.006), left ventricular free wall in diastole (LWDd, r = 0.59, P = 0.004), and interventricular septal thickness in diastole (IVDs, r = 0.65, P = 0.001). Dogs that did not survive to 1 week postdischarge (3/22) had a significantly thicker LVWd (P = 0.04) and IVSd (P = 0.05), and received significantly less fluids in the first 24 (P = 0.02) and 48 hours (P = 0.03) of hospitalization.</w:t>
      </w:r>
    </w:p>
    <w:p/>
    <w:p>
      <w:pPr>
        <w:pStyle w:val="Normal"/>
      </w:pPr>
      <w:r>
        <w:rPr>
          <w:color w:val="323232"/>
        </w:rPr>
        <w:t xml:space="preserve">CONCLUSIONS:Concentrations of cTnI and NT-proBNP increased during hospitalization, but only cTnI concentrations were significantly higher in dogs with a higher arrhythmia grade. Additional research on the potential role of serial measurement of biomarkers in dogs with GDV is warranted.</w:t>
      </w:r>
    </w:p>
    <w:p/>
    <w:p>
      <w:pPr>
        <w:pStyle w:val="Normal"/>
      </w:pPr>
      <w:r>
        <w:rPr>
          <w:color w:val="323232"/>
        </w:rPr>
        <w:t xml:space="preserve">J Vet Emerg Crit Care (San Antonio), 2017 vol. 27 (6) pp. 631-637.</w:t>
      </w:r>
    </w:p>
    <w:p>
      <w:r>
        <w:rPr>
          <w:rStyle w:val="Hyperlink"/>
        </w:rPr>
        <w:fldChar w:fldCharType="begin"/>
      </w:r>
      <w:r>
        <w:rPr>
          <w:rStyle w:val="Hyperlink"/>
        </w:rPr>
        <w:instrText xml:space="preserve"> HYPERLINK "http://eutils.ncbi.nlm.nih.gov/entrez/eutils/elink.fcgi?dbfrom=pubmed&amp;id=28960715&amp;retmode=ref&amp;cmd=prlinks"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http://eutils.ncbi.nlm.nih.gov/entrez/eutils/elink.fcgi?dbfrom=pubmed&amp;id=28960715&amp;retmode=ref&amp;cmd=prlinks</w:t>
      </w:r>
      <w:r>
        <w:rPr>
          <w:rStyle w:val="Hyperlink"/>
        </w:rPr>
        <w:fldChar w:fldCharType="end"/>
      </w:r>
    </w:p>
    <w:p>
      <w:pPr>
        <w:pStyle w:val="Normal"/>
      </w:pPr>
      <w:r>
        <w:rPr>
          <w:color w:val="323232"/>
        </w:rPr>
        <w:t xml:space="preserve">————————</w:t>
      </w:r>
    </w:p>
    <w:p>
      <w:pPr>
        <w:pStyle w:val="Heading4"/>
      </w:pPr>
      <w:r>
        <w:t xml:space="preserve">Comparison of albumin, colloid osmotic pressure, von Willebrand factor, and coagulation factors in canine cryopoor plasma, cryoprecipitate, and fresh frozen plasma.</w:t>
      </w:r>
    </w:p>
    <w:p/>
    <w:p>
      <w:pPr>
        <w:pStyle w:val="Normal"/>
      </w:pPr>
      <w:r>
        <w:rPr>
          <w:color w:val="323232"/>
        </w:rPr>
        <w:t xml:space="preserve">Christine A Culler, Cristina Iazbik, and Julien Guillaumin.</w:t>
      </w:r>
    </w:p>
    <w:p/>
    <w:p>
      <w:pPr>
        <w:pStyle w:val="Normal"/>
      </w:pPr>
      <w:r>
        <w:rPr>
          <w:color w:val="323232"/>
        </w:rPr>
        <w:t xml:space="preserve">OBJECTIVE:To compare albumin concentrations, coagulation factors activity, and colloid osmotic pressure (COP) of cryoprecipitate (CRYO) and cryopoor plasma (CPP) to that of source fresh frozen plasma (FFP).</w:t>
      </w:r>
    </w:p>
    <w:p/>
    <w:p>
      <w:pPr>
        <w:pStyle w:val="Normal"/>
      </w:pPr>
      <w:r>
        <w:rPr>
          <w:color w:val="323232"/>
        </w:rPr>
        <w:t xml:space="preserve">DESIGN:Prospective in vitro study.</w:t>
      </w:r>
    </w:p>
    <w:p/>
    <w:p>
      <w:pPr>
        <w:pStyle w:val="Normal"/>
      </w:pPr>
      <w:r>
        <w:rPr>
          <w:color w:val="323232"/>
        </w:rPr>
        <w:t xml:space="preserve">SETTING:University teaching hospital.</w:t>
      </w:r>
    </w:p>
    <w:p/>
    <w:p>
      <w:pPr>
        <w:pStyle w:val="Normal"/>
      </w:pPr>
      <w:r>
        <w:rPr>
          <w:color w:val="323232"/>
        </w:rPr>
        <w:t xml:space="preserve">ANIMALS:Ten healthy, non-Greyhound dogs enrolled in an academic teaching hospital blood donor program.</w:t>
      </w:r>
    </w:p>
    <w:p/>
    <w:p>
      <w:pPr>
        <w:pStyle w:val="Normal"/>
      </w:pPr>
      <w:r>
        <w:rPr>
          <w:color w:val="323232"/>
        </w:rPr>
        <w:t xml:space="preserve">INTERVENTIONS:Fresh blood was obtained from canine blood donors and separated into FFP and packed red blood cells. The source FFP was further separated into CRYO and CPP. Albumin and fibrinogen concentrations, COP, activities of coagulation factors II, V, VII, VIII, IX, X, and von Willebrand factor (vWf) were assessed for each FFP, CRYO, and CPP.</w:t>
      </w:r>
    </w:p>
    <w:p/>
    <w:p>
      <w:pPr>
        <w:pStyle w:val="Normal"/>
      </w:pPr>
      <w:r>
        <w:rPr>
          <w:color w:val="323232"/>
        </w:rPr>
        <w:t xml:space="preserve">MEASUREMENTS AND MAIN RESULTS:The mean albumin concentration and COP in CPP were significantly higher compared with those found in FFP, with 31.7 g</w:t>
      </w:r>
      <w:r>
        <w:rPr>
          <w:i w:val="1"/>
          <w:color w:val="323232"/>
        </w:rPr>
        <w:t xml:space="preserve">L (±6) in CPP compared to 28.9 g</w:t>
      </w:r>
      <w:r>
        <w:rPr>
          <w:color w:val="323232"/>
        </w:rPr>
        <w:t xml:space="preserve">L (±0.5) in FFP (P &lt; 0.001) and 14.5 mm Hg (±0.7) in CPP compared to 12.7 mm Hg (±0.3) in FFP (P = 0.03), respectively. CRYO had significantly higher concentrations of fibrinogen (median 3.46 g/L, 95% CI 2.65-4.27), and higher activities of factor VIII (mean activity 427.0%, ±95.4) and vWf (mean activity 504.7%, ±41.39) as compared to the other products. The activities of vitamin K dependent factors II, VII, and X were similar in CPP compared to FFP, although factor IX activity was lower in CPP. There was no significant difference in factor II or VII activities between the 3 products.</w:t>
      </w:r>
    </w:p>
    <w:p/>
    <w:p>
      <w:pPr>
        <w:pStyle w:val="Normal"/>
      </w:pPr>
      <w:r>
        <w:rPr>
          <w:color w:val="323232"/>
        </w:rPr>
        <w:t xml:space="preserve">CONCLUSIONS:The mean albumin concentration and COP were highest in CPP, suggesting that CPP may be a potential alternative to FFP for oncotic support and albumin replacement. CRYO contained higher activities of vWf and factor VIII than other products and could be used to treat vWf deficiency and hemophilia A. As vitamin K dependent coagulation factors II, VII, and X in CPP were similar to FFP, CPP may be an option for replacement of most of vitamin K dependent factors.</w:t>
      </w:r>
    </w:p>
    <w:p/>
    <w:p>
      <w:pPr>
        <w:pStyle w:val="Normal"/>
      </w:pPr>
      <w:r>
        <w:rPr>
          <w:color w:val="323232"/>
        </w:rPr>
        <w:t xml:space="preserve">J Vet Emerg Crit Care (San Antonio), 2017 vol. 27 (6) pp. 638-644.</w:t>
      </w:r>
    </w:p>
    <w:p>
      <w:r>
        <w:rPr>
          <w:rStyle w:val="Hyperlink"/>
        </w:rPr>
        <w:fldChar w:fldCharType="begin"/>
      </w:r>
      <w:r>
        <w:rPr>
          <w:rStyle w:val="Hyperlink"/>
        </w:rPr>
        <w:instrText xml:space="preserve"> HYPERLINK "http://eutils.ncbi.nlm.nih.gov/entrez/eutils/elink.fcgi?dbfrom=pubmed&amp;id=29064153&amp;retmode=ref&amp;cmd=prlinks"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http://eutils.ncbi.nlm.nih.gov/entrez/eutils/elink.fcgi?dbfrom=pubmed&amp;id=29064153&amp;retmode=ref&amp;cmd=prlinks</w:t>
      </w:r>
      <w:r>
        <w:rPr>
          <w:rStyle w:val="Hyperlink"/>
        </w:rPr>
        <w:fldChar w:fldCharType="end"/>
      </w:r>
    </w:p>
    <w:p>
      <w:pPr>
        <w:pStyle w:val="Normal"/>
      </w:pPr>
      <w:r>
        <w:rPr>
          <w:color w:val="323232"/>
        </w:rPr>
        <w:t xml:space="preserve">————————</w:t>
      </w:r>
    </w:p>
    <w:p>
      <w:pPr>
        <w:pStyle w:val="Heading4"/>
      </w:pPr>
      <w:r>
        <w:t xml:space="preserve">The effect of fasting on gastrointestinal motility in healthy dogs as assessed by sonography.</w:t>
      </w:r>
    </w:p>
    <w:p/>
    <w:p>
      <w:pPr>
        <w:pStyle w:val="Normal"/>
      </w:pPr>
      <w:r>
        <w:rPr>
          <w:color w:val="323232"/>
        </w:rPr>
        <w:t xml:space="preserve">Jillian J Sanderson, Søren R Boysen, Jantina M McMurray, Albert Lee, and Jenefer R Stillion.</w:t>
      </w:r>
    </w:p>
    <w:p/>
    <w:p>
      <w:pPr>
        <w:pStyle w:val="Normal"/>
      </w:pPr>
      <w:r>
        <w:rPr>
          <w:color w:val="323232"/>
        </w:rPr>
        <w:t xml:space="preserve">OBJECTIVE:To evaluate the effect of fasting on gastrointestinal (GI) motility in healthy dogs, as detected by 2D ultrasound.</w:t>
      </w:r>
    </w:p>
    <w:p/>
    <w:p>
      <w:pPr>
        <w:pStyle w:val="Normal"/>
      </w:pPr>
      <w:r>
        <w:rPr>
          <w:color w:val="323232"/>
        </w:rPr>
        <w:t xml:space="preserve">DESIGN:Prospective observational study.</w:t>
      </w:r>
    </w:p>
    <w:p/>
    <w:p>
      <w:pPr>
        <w:pStyle w:val="Normal"/>
      </w:pPr>
      <w:r>
        <w:rPr>
          <w:color w:val="323232"/>
        </w:rPr>
        <w:t xml:space="preserve">SETTING:University Distributed Veterinary Learning Community.</w:t>
      </w:r>
    </w:p>
    <w:p/>
    <w:p>
      <w:pPr>
        <w:pStyle w:val="Normal"/>
      </w:pPr>
      <w:r>
        <w:rPr>
          <w:color w:val="323232"/>
        </w:rPr>
        <w:t xml:space="preserve">ANIMALS:Ten healthy client-owned dogs.</w:t>
      </w:r>
    </w:p>
    <w:p/>
    <w:p>
      <w:pPr>
        <w:pStyle w:val="Normal"/>
      </w:pPr>
      <w:r>
        <w:rPr>
          <w:color w:val="323232"/>
        </w:rPr>
        <w:t xml:space="preserve">INTERVENTIONS:Dogs were fasted 24 hours following regular feeding. After this first feeding and during the 24 hour fasting period, 2D ultrasound was performed to detect sonographically visible GI contractions of the stomach, duodenum, and jejunum/ileum at T = 30 minutes, 6 hours, 12 hours, and 24 hours. Dogs were then fed a second meal after the 24-hour fast and ultrasound was repeated 30 minutes later (T = 24.5 h). Each site was scanned twice at each time point. Each scan lasted 3 minutes. The results were averaged and then divided by 3 to determine contractions per minute. One-way repeated measures ANOVA with post hoc Tukey's comparison test was used to detect statistical differences over time for each site examined.</w:t>
      </w:r>
    </w:p>
    <w:p/>
    <w:p>
      <w:pPr>
        <w:pStyle w:val="Normal"/>
      </w:pPr>
      <w:r>
        <w:rPr>
          <w:color w:val="323232"/>
        </w:rPr>
        <w:t xml:space="preserve">MEASUREMENTS AND MAIN RESULTS:The mean GI contraction rates in the stomach, duodenum, and jejunum</w:t>
      </w:r>
      <w:r>
        <w:rPr>
          <w:i w:val="1"/>
          <w:color w:val="323232"/>
        </w:rPr>
        <w:t xml:space="preserve">ileum at T12 and T24 were significantly lower than the GI contraction rates at T30, T3, T6, and T24.5 (P &lt; 0.05). The mean GI contraction rates in the stomach, duodenum, and jejunum</w:t>
      </w:r>
      <w:r>
        <w:rPr>
          <w:color w:val="323232"/>
        </w:rPr>
        <w:t xml:space="preserve">ileum at T30, T3, T6, and T24.5 were not statistically different from each other.</w:t>
      </w:r>
    </w:p>
    <w:p/>
    <w:p>
      <w:pPr>
        <w:pStyle w:val="Normal"/>
      </w:pPr>
      <w:r>
        <w:rPr>
          <w:color w:val="323232"/>
        </w:rPr>
        <w:t xml:space="preserve">CONCLUSIONS:Results of this study show that 2D sonography can be used to evaluate GI motility in dogs and that GI contraction rate decreases significantly in the stomach, duodenum, and jejunum/ileum after 12-24 hours of fasting.</w:t>
      </w:r>
    </w:p>
    <w:p/>
    <w:p>
      <w:pPr>
        <w:pStyle w:val="Normal"/>
      </w:pPr>
      <w:r>
        <w:rPr>
          <w:color w:val="323232"/>
        </w:rPr>
        <w:t xml:space="preserve">J Vet Emerg Crit Care (San Antonio), 2017 vol. 27 (6) pp. 645-650.</w:t>
      </w:r>
    </w:p>
    <w:p>
      <w:r>
        <w:rPr>
          <w:rStyle w:val="Hyperlink"/>
        </w:rPr>
        <w:fldChar w:fldCharType="begin"/>
      </w:r>
      <w:r>
        <w:rPr>
          <w:rStyle w:val="Hyperlink"/>
        </w:rPr>
        <w:instrText xml:space="preserve"> HYPERLINK "http://eutils.ncbi.nlm.nih.gov/entrez/eutils/elink.fcgidbfrom=pubmed&amp;id=29068561&amp;retmode=ref&amp;cmd=prlinks"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http://eutils.ncbi.nlm.nih.gov/entrez/eutils/elink.fcgidbfrom=pubmed&amp;id=29068561&amp;retmode=ref&amp;cmd=prlinks</w:t>
      </w:r>
      <w:r>
        <w:rPr>
          <w:rStyle w:val="Hyperlink"/>
        </w:rPr>
        <w:fldChar w:fldCharType="end"/>
      </w:r>
    </w:p>
    <w:p>
      <w:pPr>
        <w:pStyle w:val="Normal"/>
      </w:pPr>
      <w:r>
        <w:rPr>
          <w:color w:val="323232"/>
        </w:rPr>
        <w:t xml:space="preserve">————————</w:t>
      </w:r>
    </w:p>
    <w:p>
      <w:pPr>
        <w:pStyle w:val="Heading4"/>
      </w:pPr>
      <w:r>
        <w:t xml:space="preserve">Retrospective evaluation of the effectiveness of xylazine for inducing emesis in cats: 48 cats (2011-2015).</w:t>
      </w:r>
    </w:p>
    <w:p/>
    <w:p>
      <w:pPr>
        <w:pStyle w:val="Normal"/>
      </w:pPr>
      <w:r>
        <w:rPr>
          <w:color w:val="323232"/>
        </w:rPr>
        <w:t xml:space="preserve">Margaret Thies, Kiko Bracker, and Virginia Sinnott.</w:t>
      </w:r>
    </w:p>
    <w:p/>
    <w:p>
      <w:pPr>
        <w:pStyle w:val="Normal"/>
      </w:pPr>
      <w:r>
        <w:rPr>
          <w:color w:val="323232"/>
        </w:rPr>
        <w:t xml:space="preserve">OBJECTIVE:To determine the effectiveness of xylazine for the induction of emesis in cats that were suspected of ingesting potentially toxic substances or foreign objects.</w:t>
      </w:r>
    </w:p>
    <w:p/>
    <w:p>
      <w:pPr>
        <w:pStyle w:val="Normal"/>
      </w:pPr>
      <w:r>
        <w:rPr>
          <w:color w:val="323232"/>
        </w:rPr>
        <w:t xml:space="preserve">DESIGN:Retrospective study.</w:t>
      </w:r>
    </w:p>
    <w:p/>
    <w:p>
      <w:pPr>
        <w:pStyle w:val="Normal"/>
      </w:pPr>
      <w:r>
        <w:rPr>
          <w:color w:val="323232"/>
        </w:rPr>
        <w:t xml:space="preserve">SETTING:Private emergency and specialty referral hospital.</w:t>
      </w:r>
    </w:p>
    <w:p/>
    <w:p>
      <w:pPr>
        <w:pStyle w:val="Normal"/>
      </w:pPr>
      <w:r>
        <w:rPr>
          <w:color w:val="323232"/>
        </w:rPr>
        <w:t xml:space="preserve">ANIMALS:Forty-eight client-owned cats that were administered xylazine to induce emesis for decontamination of a toxic substance or expulsion of an ingested foreign object.</w:t>
      </w:r>
    </w:p>
    <w:p/>
    <w:p>
      <w:pPr>
        <w:pStyle w:val="Normal"/>
      </w:pPr>
      <w:r>
        <w:rPr>
          <w:color w:val="323232"/>
        </w:rPr>
        <w:t xml:space="preserve">INTERVENTIONS:None.</w:t>
      </w:r>
    </w:p>
    <w:p/>
    <w:p>
      <w:pPr>
        <w:pStyle w:val="Normal"/>
      </w:pPr>
      <w:r>
        <w:rPr>
          <w:color w:val="323232"/>
        </w:rPr>
        <w:t xml:space="preserve">MEASUREMENTS AND MAIN RESULTS:The medical records of 48 cats presenting for known or suspected ingestion of foreign material that underwent decontamination with xylazine were reviewed. Signalment, material ingested, dose and route of xylazine administration, success of emesis and recovery of foreign material ingested, use of a reversal agent, and adverse effects were noted. The induction of emesis was successful in 29/48 (60%) of cats. Sedation was the most common adverse effect and was noted in 15/48 (31%) of patients.</w:t>
      </w:r>
    </w:p>
    <w:p/>
    <w:p>
      <w:pPr>
        <w:pStyle w:val="Normal"/>
      </w:pPr>
      <w:r>
        <w:rPr>
          <w:color w:val="323232"/>
        </w:rPr>
        <w:t xml:space="preserve">CONCLUSIONS:Xylazine is safe and reasonably effective at inducing emesis in cats.</w:t>
      </w:r>
    </w:p>
    <w:p/>
    <w:p>
      <w:pPr>
        <w:pStyle w:val="Normal"/>
      </w:pPr>
      <w:r>
        <w:rPr>
          <w:color w:val="323232"/>
        </w:rPr>
        <w:t xml:space="preserve">J Vet Emerg Crit Care (San Antonio), 2017 vol. 27 (6) pp. 658-661.</w:t>
      </w:r>
    </w:p>
    <w:p>
      <w:r>
        <w:rPr>
          <w:rStyle w:val="Hyperlink"/>
        </w:rPr>
        <w:fldChar w:fldCharType="begin"/>
      </w:r>
      <w:r>
        <w:rPr>
          <w:rStyle w:val="Hyperlink"/>
        </w:rPr>
        <w:instrText xml:space="preserve"> HYPERLINK "http://eutils.ncbi.nlm.nih.gov/entrez/eutils/elink.fcgi?dbfrom=pubmed&amp;id=28853243&amp;retmode=ref&amp;cmd=prlinks"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http://eutils.ncbi.nlm.nih.gov/entrez/eutils/elink.fcgi?dbfrom=pubmed&amp;id=28853243&amp;retmode=ref&amp;cmd=prlinks</w:t>
      </w:r>
      <w:r>
        <w:rPr>
          <w:rStyle w:val="Hyperlink"/>
        </w:rPr>
        <w:fldChar w:fldCharType="end"/>
      </w:r>
    </w:p>
    <w:p>
      <w:pPr>
        <w:pStyle w:val="Normal"/>
      </w:pPr>
      <w:r>
        <w:rPr>
          <w:color w:val="323232"/>
        </w:rPr>
        <w:t xml:space="preserve">————————</w:t>
      </w:r>
    </w:p>
    <w:p>
      <w:pPr>
        <w:pStyle w:val="Heading4"/>
      </w:pPr>
      <w:r>
        <w:t xml:space="preserve">Retrospective evaluation of the prevalence, risk factors, management, outcome, and necropsy findings of acute lung injury and acute respiratory distress syndrome in dogs and cats: 29 cases (2011-2013).</w:t>
      </w:r>
    </w:p>
    <w:p/>
    <w:p>
      <w:pPr>
        <w:pStyle w:val="Normal"/>
      </w:pPr>
      <w:r>
        <w:rPr>
          <w:color w:val="323232"/>
        </w:rPr>
        <w:t xml:space="preserve">VetALI and VetARDS in dogs and cats.</w:t>
      </w:r>
    </w:p>
    <w:p>
      <w:pPr>
        <w:pStyle w:val="Normal"/>
      </w:pPr>
      <w:r>
        <w:rPr>
          <w:color w:val="323232"/>
        </w:rPr>
        <w:t xml:space="preserve">Anusha Balakrishnan, Kenneth J Drobatz, and Deborah C Silverstein.</w:t>
      </w:r>
    </w:p>
    <w:p/>
    <w:p>
      <w:pPr>
        <w:pStyle w:val="Normal"/>
      </w:pPr>
      <w:r>
        <w:rPr>
          <w:color w:val="323232"/>
        </w:rPr>
        <w:t xml:space="preserve">OBJECTIVE:To determine the prevalence and risk factors for veterinary acute lung injury (VetALI) and veterinary acute respiratory distress syndrome (VetARDS), assess mechanical ventilation settings and patient outcomes, and to evaluate the relationship of clinical diagnoses with necropsy findings.</w:t>
      </w:r>
    </w:p>
    <w:p/>
    <w:p>
      <w:pPr>
        <w:pStyle w:val="Normal"/>
      </w:pPr>
      <w:r>
        <w:rPr>
          <w:color w:val="323232"/>
        </w:rPr>
        <w:t xml:space="preserve">DESIGN:Retrospective study.</w:t>
      </w:r>
    </w:p>
    <w:p/>
    <w:p>
      <w:pPr>
        <w:pStyle w:val="Normal"/>
      </w:pPr>
      <w:r>
        <w:rPr>
          <w:color w:val="323232"/>
        </w:rPr>
        <w:t xml:space="preserve">SETTING:University teaching hospital.</w:t>
      </w:r>
    </w:p>
    <w:p/>
    <w:p>
      <w:pPr>
        <w:pStyle w:val="Normal"/>
      </w:pPr>
      <w:r>
        <w:rPr>
          <w:color w:val="323232"/>
        </w:rPr>
        <w:t xml:space="preserve">ANIMALS:Twenty-four dogs and 5 cats with a clinical diagnosis of VetALI or VetARDS. Control population includes 24 dogs and 5 cats with a clinical diagnosis of respiratory disease other than VetALI or VetARDS.</w:t>
      </w:r>
    </w:p>
    <w:p/>
    <w:p>
      <w:pPr>
        <w:pStyle w:val="Normal"/>
      </w:pPr>
      <w:r>
        <w:rPr>
          <w:color w:val="323232"/>
        </w:rPr>
        <w:t xml:space="preserve">INTERVENTIONS:None.</w:t>
      </w:r>
    </w:p>
    <w:p/>
    <w:p>
      <w:pPr>
        <w:pStyle w:val="Normal"/>
      </w:pPr>
      <w:r>
        <w:rPr>
          <w:color w:val="323232"/>
        </w:rPr>
        <w:t xml:space="preserve">MEASUREMENTS AND MAIN RESULTS:VetALI and VetARDS were diagnosed in 3.2% of dogs and 1.3% of cats presenting to the ICU. Systemic inflammatory response syndrome was the most common inciting condition (16/24 dogs, 2/5 cats), followed by vomiting and subsequent aspiration of gastric contents (9/24 dogs), sepsis (5/24 dogs, 3/5 cats), multiple transfusions (4/24 dogs), trauma (3/24 dogs), and adverse drug reactions (1/24 dogs, 1/5 cats).</w:t>
      </w:r>
      <w:r>
        <w:rPr>
          <w:color w:val="323232"/>
        </w:rPr>
        <w:t xml:space="preserve"> </w:t>
      </w:r>
      <w:r>
        <w:rPr>
          <w:color w:val="323232"/>
        </w:rPr>
        <w:t xml:space="preserve"> None of these conditions were found to be significantly associated with a risk of development of VetALI or VetARDS when compared to controls. Twelve</w:t>
      </w:r>
      <w:r>
        <w:rPr>
          <w:color w:val="323232"/>
        </w:rPr>
        <w:t xml:space="preserve"> </w:t>
      </w:r>
      <w:r>
        <w:rPr>
          <w:color w:val="323232"/>
        </w:rPr>
        <w:t xml:space="preserve">dogs (50%) and 4 cats (80%) underwent mechanical ventilation for a median duration of 18 hours in dogs (range: 6-174 h) and 15.5 hours in cats (range: 6-91 h). Overall, 3/29 patients survived to discharge including 2/24 dogs and 1/5 cats.</w:t>
      </w:r>
      <w:r>
        <w:rPr>
          <w:color w:val="323232"/>
        </w:rPr>
        <w:t xml:space="preserve"> </w:t>
      </w:r>
      <w:r>
        <w:rPr>
          <w:color w:val="323232"/>
        </w:rPr>
        <w:t xml:space="preserve">Necropsy results were available for 8/22 dogs and 3/4 cats. A total of 6/8 dogs (75%) dogs and 3/3 (100%) cats met the histopathologic criteria for diagnosis of VetALI or VetARDS.</w:t>
      </w:r>
    </w:p>
    <w:p/>
    <w:p>
      <w:pPr>
        <w:pStyle w:val="Normal"/>
      </w:pPr>
      <w:r>
        <w:rPr>
          <w:color w:val="323232"/>
        </w:rPr>
        <w:t xml:space="preserve">CONCLUSIONS:VetALI and VetARDS can cause life-threatening respiratory distress in dogs and cats necessitating mechanical ventilation in 50% of dogs and 80% of cats in this study. These diseases are associated with a poor clinical outcome and a high rate of humane euthanasia.</w:t>
      </w:r>
    </w:p>
    <w:p/>
    <w:p>
      <w:pPr>
        <w:pStyle w:val="Normal"/>
      </w:pPr>
      <w:r>
        <w:rPr>
          <w:color w:val="323232"/>
        </w:rPr>
        <w:t xml:space="preserve">J Vet Emerg Crit Care (San Antonio), 2017 vol. 27 (6) pp. 662-673.</w:t>
      </w:r>
    </w:p>
    <w:p>
      <w:r>
        <w:rPr>
          <w:rStyle w:val="Hyperlink"/>
        </w:rPr>
        <w:fldChar w:fldCharType="begin"/>
      </w:r>
      <w:r>
        <w:rPr>
          <w:rStyle w:val="Hyperlink"/>
        </w:rPr>
        <w:instrText xml:space="preserve"> HYPERLINK "http://doi.wiley.com/10.1111/vec.12648" </w:instrText>
      </w:r>
      <w:r>
        <w:rPr>
          <w:rStyle w:val="Hyperlink"/>
        </w:rPr>
      </w:r>
      <w:r>
        <w:rPr>
          <w:rStyle w:val="Hyperlink"/>
        </w:rPr>
        <w:fldChar w:fldCharType="separate"/>
      </w:r>
      <w:pPr>
        <w:pStyle w:val="Normal"/>
      </w:pPr>
      <w:r>
        <w:rPr>
          <w:rStyle w:val="Hyperlink"/>
        </w:rPr>
        <w:t xml:space="preserve">http://doi.wiley.com/10.1111/vec.12648</w:t>
      </w:r>
      <w:r>
        <w:rPr>
          <w:rStyle w:val="Hyperlink"/>
        </w:rPr>
        <w:fldChar w:fldCharType="end"/>
      </w:r>
    </w:p>
    <w:p>
      <w:pPr>
        <w:pStyle w:val="Normal"/>
      </w:pPr>
      <w:r>
        <w:rPr>
          <w:color w:val="323232"/>
        </w:rPr>
        <w:t xml:space="preserve">————————</w:t>
      </w:r>
    </w:p>
    <w:p>
      <w:pPr>
        <w:pStyle w:val="Heading4"/>
      </w:pPr>
      <w:r>
        <w:t xml:space="preserve">Serum alpha1 -proteinase inhibitor concentrations in dogs with systemic inflammatory response syndrome or sepsis.</w:t>
      </w:r>
    </w:p>
    <w:p/>
    <w:p>
      <w:pPr>
        <w:pStyle w:val="Normal"/>
      </w:pPr>
      <w:r>
        <w:rPr>
          <w:color w:val="323232"/>
        </w:rPr>
        <w:t xml:space="preserve">Romy M Heilmann, Niels Grützner, Brittany E Thames, Jörg M Steiner, and James W Barr.</w:t>
      </w:r>
    </w:p>
    <w:p/>
    <w:p>
      <w:pPr>
        <w:pStyle w:val="Normal"/>
      </w:pPr>
      <w:r>
        <w:rPr>
          <w:color w:val="323232"/>
        </w:rPr>
        <w:t xml:space="preserve">OBJECTIVE:To determine whether the concentration of serum canine alpha1 -proteinase inhibitor (cα1 -PI) has diagnostic or prognostic utility in dogs with sepsis or noninfectious systemic inflammatory response syndrome (SIRS).</w:t>
      </w:r>
    </w:p>
    <w:p/>
    <w:p>
      <w:pPr>
        <w:pStyle w:val="Normal"/>
      </w:pPr>
      <w:r>
        <w:rPr>
          <w:color w:val="323232"/>
        </w:rPr>
        <w:t xml:space="preserve">DESIGN:Prospective, observational study from May to December 2010.</w:t>
      </w:r>
    </w:p>
    <w:p/>
    <w:p>
      <w:pPr>
        <w:pStyle w:val="Normal"/>
      </w:pPr>
      <w:r>
        <w:rPr>
          <w:color w:val="323232"/>
        </w:rPr>
        <w:t xml:space="preserve">SETTING:University teaching hospital ICU.</w:t>
      </w:r>
    </w:p>
    <w:p/>
    <w:p>
      <w:pPr>
        <w:pStyle w:val="Normal"/>
      </w:pPr>
      <w:r>
        <w:rPr>
          <w:color w:val="323232"/>
        </w:rPr>
        <w:t xml:space="preserve">ANIMALS:Sixty-nine client-owned dogs: 19 dogs with SIRS or sepsis and 50 healthy control dogs.</w:t>
      </w:r>
    </w:p>
    <w:p/>
    <w:p>
      <w:pPr>
        <w:pStyle w:val="Normal"/>
      </w:pPr>
      <w:r>
        <w:rPr>
          <w:color w:val="323232"/>
        </w:rPr>
        <w:t xml:space="preserve">INTERVENTIONS:None.</w:t>
      </w:r>
    </w:p>
    <w:p/>
    <w:p>
      <w:pPr>
        <w:pStyle w:val="Normal"/>
      </w:pPr>
      <w:r>
        <w:rPr>
          <w:color w:val="323232"/>
        </w:rPr>
        <w:t xml:space="preserve">MEASUREMENTS AND MAIN RESULTS:Serum and plasma samples were collected from dogs with SIRS or sepsis on the day of hospital admission and once on the following 2 days, and on a single day in healthy controls. Patients were assessed using the 10-parameter Acute Patient Physiologic and Laboratory Evaluation (APPLEfull ) and 5-parameter (APPLEfast ) score. Serum cα1 -PI concentrations were measured, compared among groups of dogs, and evaluated for a correlation with the concentration of serum C-reactive protein, plasma interleukin-6, tumor necrosis factor-α, the APPLE scores, and survival to discharge. Serum cα1 -PI concentrations were significantly lower in dogs with SIRS/sepsis (P &lt; 0.001) than in healthy controls. While day 1 serum cα1 -PI concentrations did not differ between dogs with SIRS and those with sepsis (P = 0.592), septic dogs had significantly lower serum cα1 -PI concentrations on days 2 (P = 0.017) and 3 (P = 0.036) than dogs with SIRS. Serum cα1 -PI concentrations did not differ between survivors and nonsurvivors (P = 1.000), but were inversely correlated with the APPLEfull score (ρ = -0.48; P = 0.040) and plasma interleukin-6 concentrations (ρ = -0.50; P = 0.037).</w:t>
      </w:r>
    </w:p>
    <w:p/>
    <w:p>
      <w:pPr>
        <w:pStyle w:val="Normal"/>
      </w:pPr>
      <w:r>
        <w:rPr>
          <w:color w:val="323232"/>
        </w:rPr>
        <w:t xml:space="preserve">CONCLUSIONS:These results suggest a role of cα1 -PI as a negative acute phase protein in dogs. The concentration of serum cα1 -PI at the time of hospital admission does not have utility to identify dogs with sepsis from those with noninfectious SIRS, but may be a useful surrogate marker for early stratification of illness severity.</w:t>
      </w:r>
    </w:p>
    <w:p/>
    <w:p>
      <w:pPr>
        <w:pStyle w:val="Normal"/>
      </w:pPr>
      <w:r>
        <w:rPr>
          <w:color w:val="323232"/>
        </w:rPr>
        <w:t xml:space="preserve">J Vet Emerg Crit Care (San Antonio), 2017 vol. 27 (6) pp. 674-683.</w:t>
      </w:r>
    </w:p>
    <w:p>
      <w:r>
        <w:rPr>
          <w:rStyle w:val="Hyperlink"/>
        </w:rPr>
        <w:fldChar w:fldCharType="begin"/>
      </w:r>
      <w:r>
        <w:rPr>
          <w:rStyle w:val="Hyperlink"/>
        </w:rPr>
        <w:instrText xml:space="preserve"> HYPERLINK "http://eutils.ncbi.nlm.nih.gov/entrez/eutils/elink.fcgi?dbfrom=pubmed&amp;id=29068553&amp;retmode=ref&amp;cmd=prlinks"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http://eutils.ncbi.nlm.nih.gov/entrez/eutils/elink.fcgi?dbfrom=pubmed&amp;id=29068553&amp;retmode=ref&amp;cmd=prlinks</w:t>
      </w:r>
      <w:r>
        <w:rPr>
          <w:rStyle w:val="Hyperlink"/>
        </w:rPr>
        <w:fldChar w:fldCharType="end"/>
      </w:r>
    </w:p>
    <w:p>
      <w:pPr>
        <w:pStyle w:val="Normal"/>
      </w:pPr>
      <w:r>
        <w:rPr>
          <w:color w:val="323232"/>
        </w:rPr>
        <w:t xml:space="preserve">————————</w:t>
      </w:r>
    </w:p>
    <w:p>
      <w:pPr>
        <w:pStyle w:val="Heading4"/>
      </w:pPr>
      <w:r>
        <w:t xml:space="preserve">Topical flurbiprofen toxicosis in a cat.</w:t>
      </w:r>
    </w:p>
    <w:p/>
    <w:p>
      <w:pPr>
        <w:pStyle w:val="Normal"/>
      </w:pPr>
      <w:r>
        <w:rPr>
          <w:color w:val="323232"/>
        </w:rPr>
        <w:t xml:space="preserve">Elizabeth M Yi and Elizabeth Leech.</w:t>
      </w:r>
    </w:p>
    <w:p/>
    <w:p>
      <w:pPr>
        <w:pStyle w:val="Normal"/>
      </w:pPr>
      <w:r>
        <w:rPr>
          <w:color w:val="323232"/>
        </w:rPr>
        <w:t xml:space="preserve">OBJECTIVE:To describe the clinical presentation and treatment of a cat with flurbiprofen toxicosis due to topical cream exposure.</w:t>
      </w:r>
    </w:p>
    <w:p/>
    <w:p>
      <w:pPr>
        <w:pStyle w:val="Normal"/>
      </w:pPr>
      <w:r>
        <w:rPr>
          <w:color w:val="323232"/>
        </w:rPr>
        <w:t xml:space="preserve">CASE SUMMARY:A 3-year-old castrated male domestic shorthair cat presented to an emergency and referral center for acute lethargy, hematemesis, and anemia. Severe azotemia was observed on serum biochemistry panel. The patient's anemia was treated with packed RBC transfusion, and treatment with crystalloid fluids, famotidine, pantoprazole, ampicillin, and sucralfate were begun on presentation. Anemia became intractable and the patient received multiple packed RBC and whole blood transfusions. Severe gastric ulcerations and duodenal perforation were confirmed via gastroduodenoscopy, and the patient was treated with surgical excision and repair of duodenal perforation. Azotemia resolved with IV fluid therapy, and anemia resolved following surgery. The patient recovered and was discharged after 9 days of hospitalization. The patient had likely been exposed to the owner's compounded pain relief cream containing 10% flurbiprofen. There was confirmation of flurbiprofen exposure via acid extraction urine analysis at a university toxicology laboratory.</w:t>
      </w:r>
    </w:p>
    <w:p/>
    <w:p>
      <w:pPr>
        <w:pStyle w:val="Normal"/>
      </w:pPr>
      <w:r>
        <w:rPr>
          <w:color w:val="323232"/>
        </w:rPr>
        <w:t xml:space="preserve">NEW OR UNIQUE INFORMATION PROVIDED:This is the first described case of flurbiprofen toxicosis due to topical cream exposure in a cat.</w:t>
      </w:r>
    </w:p>
    <w:p/>
    <w:p>
      <w:pPr>
        <w:pStyle w:val="Normal"/>
      </w:pPr>
      <w:r>
        <w:rPr>
          <w:color w:val="323232"/>
        </w:rPr>
        <w:t xml:space="preserve">J Vet Emerg Crit Care (San Antonio), 2017 vol. 27 (6) pp. 707-712.</w:t>
      </w:r>
    </w:p>
    <w:p>
      <w:r>
        <w:rPr>
          <w:rStyle w:val="Hyperlink"/>
        </w:rPr>
        <w:fldChar w:fldCharType="begin"/>
      </w:r>
      <w:r>
        <w:rPr>
          <w:rStyle w:val="Hyperlink"/>
        </w:rPr>
        <w:instrText xml:space="preserve"> HYPERLINK "http://eutils.ncbi.nlm.nih.gov/entrez/eutils/elink.fcgi?dbfrom=pubmed&amp;id=28834579&amp;retmode=ref&amp;cmd=prlinks"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http://eutils.ncbi.nlm.nih.gov/entrez/eutils/elink.fcgi?dbfrom=pubmed&amp;id=28834579&amp;retmode=ref&amp;cmd=prlinks</w:t>
      </w:r>
      <w:r>
        <w:rPr>
          <w:rStyle w:val="Hyperlink"/>
        </w:rPr>
        <w:fldChar w:fldCharType="end"/>
      </w:r>
    </w:p>
    <w:p>
      <w:pPr>
        <w:pStyle w:val="Normal"/>
      </w:pPr>
      <w:r>
        <w:rPr>
          <w:color w:val="323232"/>
        </w:rPr>
        <w:t xml:space="preserve">————————</w:t>
      </w:r>
    </w:p>
    <w:p>
      <w:pPr>
        <w:pStyle w:val="Heading4"/>
      </w:pPr>
      <w:r>
        <w:t xml:space="preserve">Use of urinary bladder measurements from a point-of-care cysto-colic ultrasonographic view to estimate urinary bladder volume in dogs and cats.</w:t>
      </w:r>
    </w:p>
    <w:p/>
    <w:p>
      <w:pPr>
        <w:pStyle w:val="Normal"/>
      </w:pPr>
      <w:r>
        <w:rPr>
          <w:color w:val="323232"/>
        </w:rPr>
        <w:t xml:space="preserve">Gregory R Lisciandro and GEOFFREY T FOSGATE.</w:t>
      </w:r>
    </w:p>
    <w:p/>
    <w:p>
      <w:pPr>
        <w:pStyle w:val="Normal"/>
      </w:pPr>
      <w:r>
        <w:rPr>
          <w:color w:val="323232"/>
        </w:rPr>
        <w:t xml:space="preserve">OBJECTIVE:To develop a point-of-care ultrasound-derived formula to estimate urinary bladder volume noninvasively in dogs and cats.</w:t>
      </w:r>
    </w:p>
    <w:p/>
    <w:p>
      <w:pPr>
        <w:pStyle w:val="Normal"/>
      </w:pPr>
      <w:r>
        <w:rPr>
          <w:color w:val="323232"/>
        </w:rPr>
        <w:t xml:space="preserve">DESIGN:Prospective case series.</w:t>
      </w:r>
    </w:p>
    <w:p/>
    <w:p>
      <w:pPr>
        <w:pStyle w:val="Normal"/>
      </w:pPr>
      <w:r>
        <w:rPr>
          <w:color w:val="323232"/>
        </w:rPr>
        <w:t xml:space="preserve">SETTING:Private 24-hour veterinary emergency center.</w:t>
      </w:r>
    </w:p>
    <w:p/>
    <w:p>
      <w:pPr>
        <w:pStyle w:val="Normal"/>
      </w:pPr>
      <w:r>
        <w:rPr>
          <w:color w:val="323232"/>
        </w:rPr>
        <w:t xml:space="preserve">ANIMALS:Client-owned dogs and cats requiring urethral catheterization.</w:t>
      </w:r>
    </w:p>
    <w:p/>
    <w:p>
      <w:pPr>
        <w:pStyle w:val="Normal"/>
      </w:pPr>
      <w:r>
        <w:rPr>
          <w:color w:val="323232"/>
        </w:rPr>
        <w:t xml:space="preserve">INTERVENTIONS:Ultrasound measurements of length, width, and height of balloons filled with known water volumes were used to develop a formula to estimate urinary bladder volume using linear regression. The formula was then applied to point-of-care ultrasound-derived cysto-colic view measurements, and calculations were compared to total aspirated urine volume.</w:t>
      </w:r>
    </w:p>
    <w:p/>
    <w:p>
      <w:pPr>
        <w:pStyle w:val="Normal"/>
      </w:pPr>
      <w:r>
        <w:rPr>
          <w:color w:val="323232"/>
        </w:rPr>
        <w:t xml:space="preserve">MEASUREMENTS AND MAIN RESULTS:Fifteen balloons with known volumes (median, 126 mL [range, 27-689 mL]) were used to identify length × width × height (cm) × 0.2 × π as the best formula to estimate urinary bladder volume in milliliters. Fourteen cats and 14 dogs were used for comparison of formula-derived volume estimate to actual urinary bladder volume. Median aspirated urine volume, bias (formula-derived minus actual aspirated), and percentage difference were 80 mL, -4.1 mL, and -6.6% for cats, respectively. For dogs, the results were 78 mL, 3.4 mL, and 3.6%, respectively.</w:t>
      </w:r>
    </w:p>
    <w:p/>
    <w:p>
      <w:pPr>
        <w:pStyle w:val="Normal"/>
      </w:pPr>
      <w:r>
        <w:rPr>
          <w:color w:val="323232"/>
        </w:rPr>
        <w:t xml:space="preserve">CONCLUSIONS AND CLINICAL RELEVANCE:The point-of-care ultrasound-derived formula may be useful to estimate urine volume noninvasively in dogs and cats.</w:t>
      </w:r>
    </w:p>
    <w:p/>
    <w:p>
      <w:pPr>
        <w:pStyle w:val="Normal"/>
      </w:pPr>
      <w:r>
        <w:rPr>
          <w:color w:val="323232"/>
        </w:rPr>
        <w:t xml:space="preserve">J Vet Emerg Crit Care (San Antonio), 2017 vol. 27 (6) pp. 713-717.</w:t>
      </w:r>
    </w:p>
    <w:p>
      <w:r>
        <w:rPr>
          <w:rStyle w:val="Hyperlink"/>
        </w:rPr>
        <w:fldChar w:fldCharType="begin"/>
      </w:r>
      <w:r>
        <w:rPr>
          <w:rStyle w:val="Hyperlink"/>
        </w:rPr>
        <w:instrText xml:space="preserve"> HYPERLINK "http://eutils.ncbi.nlm.nih.gov/entrez/eutils/elink.fcgi?dbfrom=pubmed&amp;id=28950423&amp;retmode=ref&amp;cmd=prlinks"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http://eutils.ncbi.nlm.nih.gov/entrez/eutils/elink.fcgi?dbfrom=pubmed&amp;id=28950423&amp;retmode=ref&amp;cmd=prlinks</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