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686AA" w14:textId="42CB3D93" w:rsidR="00AA674F" w:rsidRPr="00B3009A" w:rsidRDefault="009224B0" w:rsidP="009224B0">
      <w:pPr>
        <w:jc w:val="center"/>
      </w:pPr>
      <w:bookmarkStart w:id="0" w:name="_GoBack"/>
      <w:r w:rsidRPr="00B3009A">
        <w:rPr>
          <w:noProof/>
        </w:rPr>
        <w:drawing>
          <wp:inline distT="0" distB="0" distL="0" distR="0" wp14:anchorId="5DDCFEC2" wp14:editId="6165128A">
            <wp:extent cx="4643718" cy="2393300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0-02-06 at 3.38.01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627" cy="239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009A">
        <w:rPr>
          <w:noProof/>
        </w:rPr>
        <w:drawing>
          <wp:inline distT="0" distB="0" distL="0" distR="0" wp14:anchorId="54547E4E" wp14:editId="495EC449">
            <wp:extent cx="5315916" cy="1748118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2-06 at 3.38.14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581" cy="175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009A">
        <w:rPr>
          <w:noProof/>
        </w:rPr>
        <w:drawing>
          <wp:inline distT="0" distB="0" distL="0" distR="0" wp14:anchorId="3E1509FD" wp14:editId="0FBC385F">
            <wp:extent cx="5376756" cy="4482353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0-02-06 at 3.38.24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287" cy="448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F890" w14:textId="221D5CB8" w:rsidR="009224B0" w:rsidRPr="00B3009A" w:rsidRDefault="009224B0" w:rsidP="009224B0">
      <w:pPr>
        <w:jc w:val="center"/>
      </w:pPr>
    </w:p>
    <w:p w14:paraId="5B7ABF5B" w14:textId="0F0BEEF6" w:rsidR="009224B0" w:rsidRPr="00B3009A" w:rsidRDefault="009224B0" w:rsidP="009224B0">
      <w:pPr>
        <w:jc w:val="center"/>
      </w:pPr>
    </w:p>
    <w:p w14:paraId="57DB123B" w14:textId="1575E9B8" w:rsidR="009224B0" w:rsidRPr="00B3009A" w:rsidRDefault="009224B0" w:rsidP="009224B0">
      <w:r w:rsidRPr="00B3009A">
        <w:lastRenderedPageBreak/>
        <w:t>Introduction:</w:t>
      </w:r>
    </w:p>
    <w:p w14:paraId="6793E33A" w14:textId="50EF4B56" w:rsidR="009224B0" w:rsidRPr="00B3009A" w:rsidRDefault="009224B0" w:rsidP="009224B0">
      <w:pPr>
        <w:pStyle w:val="ListParagraph"/>
        <w:numPr>
          <w:ilvl w:val="0"/>
          <w:numId w:val="1"/>
        </w:numPr>
      </w:pPr>
      <w:r w:rsidRPr="00B3009A">
        <w:t>SE requires rapid and effective delivery of anti-seizure meds.</w:t>
      </w:r>
    </w:p>
    <w:p w14:paraId="072A0214" w14:textId="5958E23B" w:rsidR="009224B0" w:rsidRPr="00B3009A" w:rsidRDefault="009224B0" w:rsidP="009224B0">
      <w:pPr>
        <w:pStyle w:val="ListParagraph"/>
        <w:numPr>
          <w:ilvl w:val="0"/>
          <w:numId w:val="1"/>
        </w:numPr>
      </w:pPr>
      <w:r w:rsidRPr="00B3009A">
        <w:t>Intranasal route can circumvent blood brain barrier and anatomical and physiological properties of nasal cavity may make it ideal to deliver drugs to brain</w:t>
      </w:r>
    </w:p>
    <w:p w14:paraId="41EBDD41" w14:textId="70D67AB3" w:rsidR="009224B0" w:rsidRPr="00B3009A" w:rsidRDefault="009224B0" w:rsidP="009224B0">
      <w:pPr>
        <w:pStyle w:val="ListParagraph"/>
        <w:numPr>
          <w:ilvl w:val="0"/>
          <w:numId w:val="1"/>
        </w:numPr>
      </w:pPr>
      <w:r w:rsidRPr="00B3009A">
        <w:t>Benzodiazepines are common first-line management, like midazolam examined IN,IV, or IM</w:t>
      </w:r>
    </w:p>
    <w:p w14:paraId="6F2E22C1" w14:textId="4887B874" w:rsidR="009224B0" w:rsidRPr="00B3009A" w:rsidRDefault="009224B0" w:rsidP="009224B0">
      <w:pPr>
        <w:pStyle w:val="ListParagraph"/>
        <w:numPr>
          <w:ilvl w:val="0"/>
          <w:numId w:val="1"/>
        </w:numPr>
      </w:pPr>
      <w:r w:rsidRPr="00B3009A">
        <w:t>Midazolam water-soluble, so safe if IV access not available</w:t>
      </w:r>
    </w:p>
    <w:p w14:paraId="19BC1555" w14:textId="719CE23E" w:rsidR="009224B0" w:rsidRPr="00B3009A" w:rsidRDefault="009224B0" w:rsidP="009224B0">
      <w:pPr>
        <w:pStyle w:val="ListParagraph"/>
        <w:numPr>
          <w:ilvl w:val="0"/>
          <w:numId w:val="1"/>
        </w:numPr>
      </w:pPr>
      <w:r w:rsidRPr="00B3009A">
        <w:t xml:space="preserve">IN </w:t>
      </w:r>
      <w:proofErr w:type="spellStart"/>
      <w:r w:rsidRPr="00B3009A">
        <w:t>midaz</w:t>
      </w:r>
      <w:proofErr w:type="spellEnd"/>
      <w:r w:rsidRPr="00B3009A">
        <w:t xml:space="preserve"> shown to be superior to rectal diazepam. </w:t>
      </w:r>
    </w:p>
    <w:p w14:paraId="745ACDE4" w14:textId="2AA0549E" w:rsidR="009224B0" w:rsidRPr="00B3009A" w:rsidRDefault="009224B0" w:rsidP="009224B0">
      <w:pPr>
        <w:pStyle w:val="ListParagraph"/>
        <w:numPr>
          <w:ilvl w:val="0"/>
          <w:numId w:val="1"/>
        </w:numPr>
      </w:pPr>
      <w:r w:rsidRPr="00B3009A">
        <w:t>Goal of study is to compare intranasal administration versus IV administration of midazolam</w:t>
      </w:r>
    </w:p>
    <w:p w14:paraId="63DB010C" w14:textId="75039C32" w:rsidR="009224B0" w:rsidRPr="00B3009A" w:rsidRDefault="009224B0" w:rsidP="009224B0"/>
    <w:p w14:paraId="268C1D41" w14:textId="47916305" w:rsidR="009224B0" w:rsidRPr="00B3009A" w:rsidRDefault="009224B0" w:rsidP="009224B0">
      <w:r w:rsidRPr="00B3009A">
        <w:t>Materials/methods</w:t>
      </w:r>
    </w:p>
    <w:p w14:paraId="2F908F4F" w14:textId="4D338192" w:rsidR="00B3009A" w:rsidRPr="00B3009A" w:rsidRDefault="00B3009A" w:rsidP="00B3009A">
      <w:pPr>
        <w:pStyle w:val="ListParagraph"/>
        <w:numPr>
          <w:ilvl w:val="0"/>
          <w:numId w:val="2"/>
        </w:numPr>
      </w:pPr>
      <w:r w:rsidRPr="00B3009A">
        <w:t>Randomized parallel group clinical trial</w:t>
      </w:r>
    </w:p>
    <w:p w14:paraId="4BFE8DC3" w14:textId="09D9E5DA" w:rsidR="00B3009A" w:rsidRPr="00B3009A" w:rsidRDefault="00B3009A" w:rsidP="00B3009A">
      <w:pPr>
        <w:pStyle w:val="ListParagraph"/>
        <w:numPr>
          <w:ilvl w:val="0"/>
          <w:numId w:val="2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Forty-nine dogs initially were included but 5 were excluded because they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were diagnosed with reactive seizures caused by intoxication.</w:t>
      </w:r>
    </w:p>
    <w:p w14:paraId="1BF1FAF7" w14:textId="5A977E16" w:rsidR="00B3009A" w:rsidRPr="00B3009A" w:rsidRDefault="00B3009A" w:rsidP="00B3009A">
      <w:pPr>
        <w:pStyle w:val="ListParagraph"/>
        <w:numPr>
          <w:ilvl w:val="0"/>
          <w:numId w:val="2"/>
        </w:numPr>
      </w:pPr>
      <w:r w:rsidRPr="00B3009A">
        <w:t xml:space="preserve">IN </w:t>
      </w:r>
      <w:proofErr w:type="spellStart"/>
      <w:r w:rsidRPr="00B3009A">
        <w:t>midaz</w:t>
      </w:r>
      <w:proofErr w:type="spellEnd"/>
      <w:r w:rsidRPr="00B3009A">
        <w:t xml:space="preserve"> 21, IV </w:t>
      </w:r>
      <w:proofErr w:type="spellStart"/>
      <w:r w:rsidRPr="00B3009A">
        <w:t>midaz</w:t>
      </w:r>
      <w:proofErr w:type="spellEnd"/>
      <w:r w:rsidRPr="00B3009A">
        <w:t xml:space="preserve"> 23 (0.2mg/kg IV)</w:t>
      </w:r>
    </w:p>
    <w:p w14:paraId="58D5A738" w14:textId="77777777" w:rsidR="00B3009A" w:rsidRPr="00B3009A" w:rsidRDefault="00B3009A" w:rsidP="00B3009A">
      <w:pPr>
        <w:pStyle w:val="ListParagraph"/>
        <w:numPr>
          <w:ilvl w:val="0"/>
          <w:numId w:val="2"/>
        </w:numPr>
      </w:pPr>
      <w:r w:rsidRPr="00B3009A">
        <w:t>Idiopathic epilepsy, structural epilepsy, or epilepsy of unknown origin with SE</w:t>
      </w:r>
    </w:p>
    <w:p w14:paraId="274551F4" w14:textId="69F0E031" w:rsidR="00B3009A" w:rsidRPr="00B3009A" w:rsidRDefault="00B3009A" w:rsidP="00B3009A">
      <w:pPr>
        <w:pStyle w:val="ListParagraph"/>
        <w:numPr>
          <w:ilvl w:val="0"/>
          <w:numId w:val="2"/>
        </w:numPr>
      </w:pPr>
      <w:r w:rsidRPr="00B3009A">
        <w:rPr>
          <w:rFonts w:eastAsia="Times New Roman" w:cs="Times New Roman"/>
          <w:color w:val="000000"/>
        </w:rPr>
        <w:t>Cases were considered successful if “seizure cessation time” was &lt;5 minutes after drug administration and the “seizure relapse time”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was &gt;10 minutes.</w:t>
      </w:r>
    </w:p>
    <w:p w14:paraId="2A377C9E" w14:textId="0B96160C" w:rsidR="00B3009A" w:rsidRPr="00B3009A" w:rsidRDefault="00B3009A" w:rsidP="00B3009A"/>
    <w:p w14:paraId="17D88F1C" w14:textId="0C363EF6" w:rsidR="00B3009A" w:rsidRPr="00B3009A" w:rsidRDefault="00B3009A" w:rsidP="00B3009A">
      <w:r w:rsidRPr="00B3009A">
        <w:t>Results</w:t>
      </w:r>
    </w:p>
    <w:p w14:paraId="5EF050FC" w14:textId="77777777" w:rsidR="00B3009A" w:rsidRPr="00B3009A" w:rsidRDefault="00B3009A" w:rsidP="00B3009A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Status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epilepticus was terminated within 5 minutes by IN-MDZ (n = 21) and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IV-MDZ (n = 23) in 76% and 61% of cases, respectively. This difference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 xml:space="preserve">was not statistically significant (P= .34). </w:t>
      </w:r>
    </w:p>
    <w:p w14:paraId="3A9CFD11" w14:textId="77777777" w:rsidR="00B3009A" w:rsidRPr="00B3009A" w:rsidRDefault="00B3009A" w:rsidP="00B3009A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Seizure cessation time was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not significantly different (IN-MDZ [median, 33 seconds] compared to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 xml:space="preserve">IV-MDZ [median, 64.5 seconds];P= .63). </w:t>
      </w:r>
    </w:p>
    <w:p w14:paraId="4CC9B29B" w14:textId="766ADF73" w:rsidR="00B3009A" w:rsidRPr="00B3009A" w:rsidRDefault="00B3009A" w:rsidP="00B3009A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However, when the time to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place an IV catheter and prepare the medication also was considered (</w:t>
      </w:r>
      <w:proofErr w:type="spellStart"/>
      <w:r w:rsidRPr="00B3009A">
        <w:rPr>
          <w:rFonts w:eastAsia="Times New Roman" w:cs="Times New Roman"/>
          <w:color w:val="000000"/>
        </w:rPr>
        <w:t>ie</w:t>
      </w:r>
      <w:proofErr w:type="spellEnd"/>
      <w:r w:rsidRPr="00B3009A">
        <w:rPr>
          <w:rFonts w:eastAsia="Times New Roman" w:cs="Times New Roman"/>
          <w:color w:val="000000"/>
        </w:rPr>
        <w:t>,</w:t>
      </w:r>
      <w:r w:rsidRPr="00B3009A">
        <w:rPr>
          <w:rFonts w:eastAsia="Times New Roman" w:cs="Times New Roman"/>
          <w:color w:val="000000"/>
        </w:rPr>
        <w:t xml:space="preserve"> t</w:t>
      </w:r>
      <w:r w:rsidRPr="00B3009A">
        <w:rPr>
          <w:rFonts w:eastAsia="Times New Roman" w:cs="Times New Roman"/>
          <w:color w:val="000000"/>
        </w:rPr>
        <w:t>otal seizure cessation time), IN-MDZ (median, 100 seconds) was superior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 xml:space="preserve">(P= .04) to IV-MDZ (median, 270 seconds). </w:t>
      </w:r>
    </w:p>
    <w:p w14:paraId="33061A4F" w14:textId="77777777" w:rsidR="00B3009A" w:rsidRPr="00B3009A" w:rsidRDefault="00B3009A" w:rsidP="00B3009A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For dogs with idiopathic epilepsy, status epilepticus was terminated in 83% and 69% of the cases by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 xml:space="preserve">IN-MDZ and IV-MDZ, respectively (P= .64). </w:t>
      </w:r>
    </w:p>
    <w:p w14:paraId="5763009D" w14:textId="06D642C9" w:rsidR="00B3009A" w:rsidRPr="00B3009A" w:rsidRDefault="00B3009A" w:rsidP="00B3009A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The seizure cessation time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also was not significantly different (IN-MDZ [median, 27 seconds] compared to IV-MDZ [median, 78 seconds];P= .07). However, by adding the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time needed to place an IV catheter and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prepare the medication (total seizure cessation time), IN-MDZ (median, 66 seconds) was superior (P=.02)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to IV-MDZ (median, 314 seconds).</w:t>
      </w:r>
    </w:p>
    <w:p w14:paraId="181A11AD" w14:textId="15222BCC" w:rsidR="00B3009A" w:rsidRPr="00B3009A" w:rsidRDefault="00B3009A" w:rsidP="00B3009A">
      <w:pPr>
        <w:pStyle w:val="ListParagraph"/>
        <w:numPr>
          <w:ilvl w:val="0"/>
          <w:numId w:val="3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In 21% of the successful IV-</w:t>
      </w:r>
      <w:proofErr w:type="spellStart"/>
      <w:r w:rsidRPr="00B3009A">
        <w:rPr>
          <w:rFonts w:eastAsia="Times New Roman" w:cs="Times New Roman"/>
          <w:color w:val="000000"/>
        </w:rPr>
        <w:t>MDZcases</w:t>
      </w:r>
      <w:proofErr w:type="spellEnd"/>
      <w:r w:rsidRPr="00B3009A">
        <w:rPr>
          <w:rFonts w:eastAsia="Times New Roman" w:cs="Times New Roman"/>
          <w:color w:val="000000"/>
        </w:rPr>
        <w:t>, an IV catheter already had been placed before trial initiation</w:t>
      </w:r>
    </w:p>
    <w:p w14:paraId="5AF6FFDC" w14:textId="7318731D" w:rsidR="00B3009A" w:rsidRPr="00B3009A" w:rsidRDefault="00B3009A" w:rsidP="00B3009A">
      <w:pPr>
        <w:rPr>
          <w:rFonts w:eastAsia="Times New Roman" w:cs="Times New Roman"/>
        </w:rPr>
      </w:pPr>
    </w:p>
    <w:p w14:paraId="0C0517B9" w14:textId="5A65E3B8" w:rsidR="00B3009A" w:rsidRPr="00B3009A" w:rsidRDefault="00B3009A" w:rsidP="00B3009A">
      <w:pPr>
        <w:rPr>
          <w:rFonts w:eastAsia="Times New Roman" w:cs="Times New Roman"/>
        </w:rPr>
      </w:pPr>
      <w:r w:rsidRPr="00B3009A">
        <w:rPr>
          <w:rFonts w:eastAsia="Times New Roman" w:cs="Times New Roman"/>
        </w:rPr>
        <w:t>Discussion</w:t>
      </w:r>
    </w:p>
    <w:p w14:paraId="11DDE9C1" w14:textId="00CCF859" w:rsidR="00B3009A" w:rsidRPr="00B3009A" w:rsidRDefault="00B3009A" w:rsidP="00B3009A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B3009A">
        <w:rPr>
          <w:rFonts w:eastAsia="Times New Roman" w:cs="Times New Roman"/>
        </w:rPr>
        <w:t>Both IN and IV safe and effective</w:t>
      </w:r>
    </w:p>
    <w:p w14:paraId="52602674" w14:textId="4E8FE57F" w:rsidR="00B3009A" w:rsidRPr="00B3009A" w:rsidRDefault="00B3009A" w:rsidP="00B3009A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B3009A">
        <w:rPr>
          <w:rFonts w:eastAsia="Times New Roman" w:cs="Times New Roman"/>
        </w:rPr>
        <w:t>IN considered superior when considering time needed to place IV catheter</w:t>
      </w:r>
    </w:p>
    <w:p w14:paraId="01641095" w14:textId="5820436E" w:rsidR="00B3009A" w:rsidRPr="00B3009A" w:rsidRDefault="00B3009A" w:rsidP="00B3009A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B3009A">
        <w:rPr>
          <w:rFonts w:eastAsia="Times New Roman" w:cs="Times New Roman"/>
        </w:rPr>
        <w:t xml:space="preserve">In humans, compare IN </w:t>
      </w:r>
      <w:proofErr w:type="spellStart"/>
      <w:r w:rsidRPr="00B3009A">
        <w:rPr>
          <w:rFonts w:eastAsia="Times New Roman" w:cs="Times New Roman"/>
        </w:rPr>
        <w:t>midaz</w:t>
      </w:r>
      <w:proofErr w:type="spellEnd"/>
      <w:r w:rsidRPr="00B3009A">
        <w:rPr>
          <w:rFonts w:eastAsia="Times New Roman" w:cs="Times New Roman"/>
        </w:rPr>
        <w:t xml:space="preserve"> to IV </w:t>
      </w:r>
      <w:proofErr w:type="spellStart"/>
      <w:r w:rsidRPr="00B3009A">
        <w:rPr>
          <w:rFonts w:eastAsia="Times New Roman" w:cs="Times New Roman"/>
        </w:rPr>
        <w:t>diaz</w:t>
      </w:r>
      <w:proofErr w:type="spellEnd"/>
      <w:r w:rsidRPr="00B3009A">
        <w:rPr>
          <w:rFonts w:eastAsia="Times New Roman" w:cs="Times New Roman"/>
        </w:rPr>
        <w:t xml:space="preserve"> showed IV </w:t>
      </w:r>
      <w:proofErr w:type="spellStart"/>
      <w:r w:rsidRPr="00B3009A">
        <w:rPr>
          <w:rFonts w:eastAsia="Times New Roman" w:cs="Times New Roman"/>
        </w:rPr>
        <w:t>diaz</w:t>
      </w:r>
      <w:proofErr w:type="spellEnd"/>
      <w:r w:rsidRPr="00B3009A">
        <w:rPr>
          <w:rFonts w:eastAsia="Times New Roman" w:cs="Times New Roman"/>
        </w:rPr>
        <w:t xml:space="preserve"> faster without accounting IV catheter time placement</w:t>
      </w:r>
    </w:p>
    <w:p w14:paraId="088E2FBF" w14:textId="53D62846" w:rsidR="00B3009A" w:rsidRPr="00B3009A" w:rsidRDefault="00B3009A" w:rsidP="00B3009A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T</w:t>
      </w:r>
      <w:r w:rsidRPr="00B3009A">
        <w:rPr>
          <w:rFonts w:eastAsia="Times New Roman" w:cs="Times New Roman"/>
          <w:color w:val="000000"/>
        </w:rPr>
        <w:t>he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underlying cause of the seizures could play a role in the response of the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 xml:space="preserve">affected dogs to MDZ. Epileptic seizures related to </w:t>
      </w:r>
      <w:proofErr w:type="spellStart"/>
      <w:r w:rsidRPr="00B3009A">
        <w:rPr>
          <w:rFonts w:eastAsia="Times New Roman" w:cs="Times New Roman"/>
          <w:color w:val="000000"/>
        </w:rPr>
        <w:t>meningo</w:t>
      </w:r>
      <w:proofErr w:type="spellEnd"/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encephalitis</w:t>
      </w:r>
      <w:r w:rsidRPr="00B3009A">
        <w:rPr>
          <w:rFonts w:eastAsia="Times New Roman" w:cs="Times New Roman"/>
          <w:color w:val="000000"/>
        </w:rPr>
        <w:t xml:space="preserve"> </w:t>
      </w:r>
      <w:r w:rsidRPr="00B3009A">
        <w:rPr>
          <w:rFonts w:eastAsia="Times New Roman" w:cs="Times New Roman"/>
          <w:color w:val="000000"/>
        </w:rPr>
        <w:t>of unknown origin, and focal epileptic seizures are negative prognostic fac-tors for status epilepticus in dogs</w:t>
      </w:r>
    </w:p>
    <w:p w14:paraId="47FE4D29" w14:textId="44686873" w:rsidR="00B3009A" w:rsidRPr="00B3009A" w:rsidRDefault="00B3009A" w:rsidP="00B3009A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B3009A">
        <w:rPr>
          <w:rFonts w:eastAsia="Times New Roman" w:cs="Times New Roman"/>
          <w:color w:val="000000"/>
        </w:rPr>
        <w:t>T</w:t>
      </w:r>
      <w:r w:rsidRPr="00B3009A">
        <w:rPr>
          <w:rFonts w:eastAsia="Times New Roman" w:cs="Times New Roman"/>
          <w:color w:val="000000"/>
        </w:rPr>
        <w:t>he waiting period of at least 5 minutes before administering MDZ was crucial in our study because, otherwise, it could be argued that the epileptic seizures ceased because they might have been self-limiting (</w:t>
      </w:r>
      <w:proofErr w:type="spellStart"/>
      <w:r w:rsidRPr="00B3009A">
        <w:rPr>
          <w:rFonts w:eastAsia="Times New Roman" w:cs="Times New Roman"/>
          <w:color w:val="000000"/>
        </w:rPr>
        <w:t>ie</w:t>
      </w:r>
      <w:proofErr w:type="spellEnd"/>
      <w:r w:rsidRPr="00B3009A">
        <w:rPr>
          <w:rFonts w:eastAsia="Times New Roman" w:cs="Times New Roman"/>
          <w:color w:val="000000"/>
        </w:rPr>
        <w:t>, inclusion of non-status epilepticus cases) and not a consequence of the MDZ administration</w:t>
      </w:r>
    </w:p>
    <w:p w14:paraId="68C7B351" w14:textId="77777777" w:rsidR="00B3009A" w:rsidRPr="00B3009A" w:rsidRDefault="00B3009A" w:rsidP="00B3009A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</w:p>
    <w:bookmarkEnd w:id="0"/>
    <w:p w14:paraId="1CACD162" w14:textId="77777777" w:rsidR="009224B0" w:rsidRPr="00B3009A" w:rsidRDefault="009224B0" w:rsidP="009224B0"/>
    <w:sectPr w:rsidR="009224B0" w:rsidRPr="00B3009A" w:rsidSect="009224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D5CFC"/>
    <w:multiLevelType w:val="hybridMultilevel"/>
    <w:tmpl w:val="E388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53C59"/>
    <w:multiLevelType w:val="hybridMultilevel"/>
    <w:tmpl w:val="AE2AE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40F5B"/>
    <w:multiLevelType w:val="hybridMultilevel"/>
    <w:tmpl w:val="81FC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55F3D"/>
    <w:multiLevelType w:val="hybridMultilevel"/>
    <w:tmpl w:val="F8629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B0"/>
    <w:rsid w:val="003F4CFD"/>
    <w:rsid w:val="008308E9"/>
    <w:rsid w:val="009224B0"/>
    <w:rsid w:val="00B3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39CC6"/>
  <w15:chartTrackingRefBased/>
  <w15:docId w15:val="{F89F9101-2DEE-9043-B917-D2E7E973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2</cp:revision>
  <dcterms:created xsi:type="dcterms:W3CDTF">2020-02-06T20:48:00Z</dcterms:created>
  <dcterms:modified xsi:type="dcterms:W3CDTF">2020-02-06T21:39:00Z</dcterms:modified>
</cp:coreProperties>
</file>