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DA715" w14:textId="438F8EA1" w:rsidR="00CD2D72" w:rsidRDefault="00E811DB">
      <w:pPr>
        <w:pBdr>
          <w:bottom w:val="single" w:sz="6" w:space="1" w:color="auto"/>
        </w:pBdr>
      </w:pPr>
      <w:r>
        <w:t>JVIM September 2020</w:t>
      </w:r>
    </w:p>
    <w:p w14:paraId="025E923E" w14:textId="011D1651" w:rsidR="00E811DB" w:rsidRDefault="00E811DB"/>
    <w:p w14:paraId="393CF6D5" w14:textId="77777777" w:rsidR="002008AA" w:rsidRPr="0014181B" w:rsidRDefault="002008AA" w:rsidP="002008AA">
      <w:pPr>
        <w:rPr>
          <w:b/>
          <w:bCs/>
        </w:rPr>
      </w:pPr>
      <w:r w:rsidRPr="0014181B">
        <w:rPr>
          <w:b/>
          <w:bCs/>
        </w:rPr>
        <w:t xml:space="preserve">Efficacy of oral </w:t>
      </w:r>
      <w:proofErr w:type="spellStart"/>
      <w:r w:rsidRPr="0014181B">
        <w:rPr>
          <w:b/>
          <w:bCs/>
        </w:rPr>
        <w:t>torasemide</w:t>
      </w:r>
      <w:proofErr w:type="spellEnd"/>
      <w:r w:rsidRPr="0014181B">
        <w:rPr>
          <w:b/>
          <w:bCs/>
        </w:rPr>
        <w:t xml:space="preserve"> in dogs with degenerative mitral valve disease and new onset congestive heart failure: The CARPODIEM study</w:t>
      </w:r>
    </w:p>
    <w:p w14:paraId="72D628A6" w14:textId="77777777" w:rsidR="002008AA" w:rsidRDefault="002008AA" w:rsidP="002008AA">
      <w:r>
        <w:t xml:space="preserve">Beatrice </w:t>
      </w:r>
      <w:proofErr w:type="spellStart"/>
      <w:r>
        <w:t>Besche</w:t>
      </w:r>
      <w:proofErr w:type="spellEnd"/>
      <w:r>
        <w:t xml:space="preserve"> 1, Thomas Blondel 1, Emilie Guillot 1, Catherine </w:t>
      </w:r>
      <w:proofErr w:type="spellStart"/>
      <w:r>
        <w:t>Garelli-Paar</w:t>
      </w:r>
      <w:proofErr w:type="spellEnd"/>
      <w:r>
        <w:t xml:space="preserve"> 1, Mark </w:t>
      </w:r>
      <w:proofErr w:type="gramStart"/>
      <w:r>
        <w:t>A</w:t>
      </w:r>
      <w:proofErr w:type="gramEnd"/>
      <w:r>
        <w:t xml:space="preserve"> </w:t>
      </w:r>
      <w:proofErr w:type="spellStart"/>
      <w:r>
        <w:t>Oyama</w:t>
      </w:r>
      <w:proofErr w:type="spellEnd"/>
      <w:r>
        <w:t xml:space="preserve"> 2</w:t>
      </w:r>
    </w:p>
    <w:p w14:paraId="2845E3F4" w14:textId="77777777" w:rsidR="002008AA" w:rsidRDefault="002008AA" w:rsidP="002008AA">
      <w:r>
        <w:t xml:space="preserve">J Vet Intern Med. 2020 Aug 7. </w:t>
      </w:r>
      <w:proofErr w:type="spellStart"/>
      <w:r>
        <w:t>doi</w:t>
      </w:r>
      <w:proofErr w:type="spellEnd"/>
      <w:r>
        <w:t>: 10.1111/jvim.15864. Online ahead of print.</w:t>
      </w:r>
    </w:p>
    <w:p w14:paraId="660B7FF1" w14:textId="77777777" w:rsidR="002008AA" w:rsidRDefault="002008AA" w:rsidP="002008AA"/>
    <w:p w14:paraId="152D36F5" w14:textId="1C46DFFC" w:rsidR="002008AA" w:rsidRDefault="002008AA" w:rsidP="002008AA">
      <w:r w:rsidRPr="002008AA">
        <w:rPr>
          <w:b/>
          <w:bCs/>
        </w:rPr>
        <w:t>Background</w:t>
      </w:r>
      <w:r>
        <w:t xml:space="preserve">: </w:t>
      </w:r>
      <w:proofErr w:type="spellStart"/>
      <w:r>
        <w:t>Torasemide</w:t>
      </w:r>
      <w:proofErr w:type="spellEnd"/>
      <w:r>
        <w:t xml:space="preserve"> is a potent loop diuretic with potential to treat congestive heart failure (CHF) in dogs.</w:t>
      </w:r>
    </w:p>
    <w:p w14:paraId="210EBB9C" w14:textId="77777777" w:rsidR="002008AA" w:rsidRDefault="002008AA" w:rsidP="002008AA">
      <w:r w:rsidRPr="002008AA">
        <w:rPr>
          <w:b/>
          <w:bCs/>
        </w:rPr>
        <w:t>Objective</w:t>
      </w:r>
      <w:r>
        <w:t xml:space="preserve">: Evaluate the efficacy and safety of </w:t>
      </w:r>
      <w:proofErr w:type="spellStart"/>
      <w:r>
        <w:t>torasemide</w:t>
      </w:r>
      <w:proofErr w:type="spellEnd"/>
      <w:r>
        <w:t xml:space="preserve"> compared to furosemide in dogs with first occurrence of CHF caused by degenerative mitral valve disease (DMVD).</w:t>
      </w:r>
    </w:p>
    <w:p w14:paraId="307CFB2A" w14:textId="77777777" w:rsidR="002008AA" w:rsidRDefault="002008AA" w:rsidP="002008AA">
      <w:r w:rsidRPr="002008AA">
        <w:rPr>
          <w:b/>
          <w:bCs/>
        </w:rPr>
        <w:t>Animals</w:t>
      </w:r>
      <w:r>
        <w:t>: Three hundred and nineteen dogs with new onset CHF attributable to DMVD.</w:t>
      </w:r>
    </w:p>
    <w:p w14:paraId="62D98CF0" w14:textId="77777777" w:rsidR="002008AA" w:rsidRDefault="002008AA" w:rsidP="002008AA">
      <w:r w:rsidRPr="002008AA">
        <w:rPr>
          <w:b/>
          <w:bCs/>
        </w:rPr>
        <w:t>Methods</w:t>
      </w:r>
      <w:r>
        <w:t xml:space="preserve">: Double-blinded randomized noninferiority study of PO </w:t>
      </w:r>
      <w:proofErr w:type="spellStart"/>
      <w:r>
        <w:t>torasemide</w:t>
      </w:r>
      <w:proofErr w:type="spellEnd"/>
      <w:r>
        <w:t xml:space="preserve"> vs furosemide in addition to standard CHF treatment. The primary efficacy criterion was decreased pulmonary edema and cough and no worsening of dyspnea or exercise tolerance at day 14. Secondary endpoints included clinical response at day 84 and time to death, euthanasia, or premature study withdrawal for cardiac reasons.</w:t>
      </w:r>
    </w:p>
    <w:p w14:paraId="686AD22B" w14:textId="77777777" w:rsidR="002008AA" w:rsidRDefault="002008AA" w:rsidP="002008AA">
      <w:r w:rsidRPr="002008AA">
        <w:rPr>
          <w:b/>
          <w:bCs/>
        </w:rPr>
        <w:t>Results</w:t>
      </w:r>
      <w:r>
        <w:t xml:space="preserve">: </w:t>
      </w:r>
      <w:proofErr w:type="spellStart"/>
      <w:r>
        <w:t>Torasemide</w:t>
      </w:r>
      <w:proofErr w:type="spellEnd"/>
      <w:r>
        <w:t xml:space="preserve"> q24h (n = 161) was noninferior to furosemide q12h (n = 158); percentage of dogs meeting primary efficacy criterion at day 14 was similar between groups (</w:t>
      </w:r>
      <w:proofErr w:type="spellStart"/>
      <w:r>
        <w:t>torasemide</w:t>
      </w:r>
      <w:proofErr w:type="spellEnd"/>
      <w:r>
        <w:t xml:space="preserve">, 74.4% [95% confidence interval (CI), 66.8%-81.0%] vs. furosemide, 73.5% [95% CI, 65.7%-80.4%]; risk ratio [RR], 1.01; 95% CI, 0.89-1.15; P = .87). Efficacy at day 84 showed similar results (RR, 1.05; 95% CI, 0.88-1.25; P = .6). Dogs receiving </w:t>
      </w:r>
      <w:proofErr w:type="spellStart"/>
      <w:r>
        <w:t>torasemide</w:t>
      </w:r>
      <w:proofErr w:type="spellEnd"/>
      <w:r>
        <w:t xml:space="preserve"> had a longer time to endpoint and were less than half as likely to experience death, euthanasia, or premature study withdrawal (hazard ratio, 0.36; 95% CI, 0.19-0.65; P = .001) than dogs receiving furosemide at any time during the study.</w:t>
      </w:r>
    </w:p>
    <w:p w14:paraId="53EDC0F9" w14:textId="113AFA2C" w:rsidR="00E811DB" w:rsidRDefault="002008AA" w:rsidP="002008AA">
      <w:r w:rsidRPr="002008AA">
        <w:rPr>
          <w:b/>
          <w:bCs/>
        </w:rPr>
        <w:t>Conclusion and clinical importance</w:t>
      </w:r>
      <w:r>
        <w:t xml:space="preserve">: </w:t>
      </w:r>
      <w:proofErr w:type="spellStart"/>
      <w:r>
        <w:t>Torasemide</w:t>
      </w:r>
      <w:proofErr w:type="spellEnd"/>
      <w:r>
        <w:t xml:space="preserve"> </w:t>
      </w:r>
      <w:proofErr w:type="gramStart"/>
      <w:r>
        <w:t>was</w:t>
      </w:r>
      <w:proofErr w:type="gramEnd"/>
      <w:r>
        <w:t xml:space="preserve"> noninferior to furosemide as first line PO treatment for new onset CHF caused by DMVD. </w:t>
      </w:r>
      <w:proofErr w:type="spellStart"/>
      <w:r>
        <w:t>Torasemide</w:t>
      </w:r>
      <w:proofErr w:type="spellEnd"/>
      <w:r>
        <w:t xml:space="preserve"> significantly decreased risk of cardiac-related death or premature study withdrawal for cardiac reasons compared to furosemide.</w:t>
      </w:r>
    </w:p>
    <w:p w14:paraId="1E9C1F1C" w14:textId="666246B1" w:rsidR="00396D2C" w:rsidRDefault="00396D2C" w:rsidP="002008AA"/>
    <w:p w14:paraId="633EE61D" w14:textId="6CA0263D" w:rsidR="00396D2C" w:rsidRDefault="00A32D22" w:rsidP="00396D2C">
      <w:pPr>
        <w:pStyle w:val="ListParagraph"/>
        <w:numPr>
          <w:ilvl w:val="0"/>
          <w:numId w:val="1"/>
        </w:numPr>
      </w:pPr>
      <w:r>
        <w:t xml:space="preserve">Torsemide: Pyridine-sulfonylurea loop diuretic, higher half-life, higher PO bioavailability, and greater potency and duration of action compared to furosemide </w:t>
      </w:r>
    </w:p>
    <w:p w14:paraId="56E7DA9C" w14:textId="4CB948A3" w:rsidR="00A32D22" w:rsidRDefault="00A32D22" w:rsidP="00396D2C">
      <w:pPr>
        <w:pStyle w:val="ListParagraph"/>
        <w:numPr>
          <w:ilvl w:val="0"/>
          <w:numId w:val="1"/>
        </w:numPr>
      </w:pPr>
      <w:r>
        <w:t xml:space="preserve">In people, long-term tx w/ torsemide vs furosemide showed lowered rates of hospitalization, severity of heart failure and 59% decrease in cardiac mortality </w:t>
      </w:r>
    </w:p>
    <w:p w14:paraId="7B2468E8" w14:textId="0D54F6E6" w:rsidR="00B16ED7" w:rsidRDefault="00B16ED7" w:rsidP="00396D2C">
      <w:pPr>
        <w:pStyle w:val="ListParagraph"/>
        <w:numPr>
          <w:ilvl w:val="0"/>
          <w:numId w:val="1"/>
        </w:numPr>
      </w:pPr>
      <w:r>
        <w:t xml:space="preserve">Previous studies evaluated torsemide either as an observational study and utilized it as a replacement of furosemide in dogs </w:t>
      </w:r>
    </w:p>
    <w:p w14:paraId="1302E1FA" w14:textId="1DB9B152" w:rsidR="00B16ED7" w:rsidRDefault="00B16ED7" w:rsidP="00396D2C">
      <w:pPr>
        <w:pStyle w:val="ListParagraph"/>
        <w:numPr>
          <w:ilvl w:val="0"/>
          <w:numId w:val="1"/>
        </w:numPr>
      </w:pPr>
      <w:r>
        <w:t>Hypothesis: torsemide PO SID would be non</w:t>
      </w:r>
      <w:r w:rsidR="00895250">
        <w:t>in</w:t>
      </w:r>
      <w:r>
        <w:t>ferior to furosemide BID</w:t>
      </w:r>
    </w:p>
    <w:p w14:paraId="2FEA94F6" w14:textId="65D6C9E1" w:rsidR="00B16ED7" w:rsidRDefault="00B16ED7" w:rsidP="00B16ED7">
      <w:pPr>
        <w:pStyle w:val="ListParagraph"/>
        <w:numPr>
          <w:ilvl w:val="1"/>
          <w:numId w:val="1"/>
        </w:numPr>
      </w:pPr>
      <w:r>
        <w:t>1ry outcome: At 14 days no difference b/w dyspnea, cough, EI, radiographic changes of pulmonary edema</w:t>
      </w:r>
    </w:p>
    <w:p w14:paraId="7C0BB97E" w14:textId="77D458A6" w:rsidR="00B16ED7" w:rsidRDefault="00B16ED7" w:rsidP="00B16ED7">
      <w:pPr>
        <w:pStyle w:val="ListParagraph"/>
        <w:numPr>
          <w:ilvl w:val="1"/>
          <w:numId w:val="1"/>
        </w:numPr>
      </w:pPr>
      <w:r>
        <w:t xml:space="preserve">2ry outcome: Clinical efficacy after 84 days, frequency of adverse effects, owner compliance, and time to cardiac-related death </w:t>
      </w:r>
    </w:p>
    <w:p w14:paraId="2859CB8C" w14:textId="6C315F32" w:rsidR="00895250" w:rsidRDefault="003344F0" w:rsidP="00895250">
      <w:pPr>
        <w:pStyle w:val="ListParagraph"/>
        <w:numPr>
          <w:ilvl w:val="0"/>
          <w:numId w:val="1"/>
        </w:numPr>
      </w:pPr>
      <w:r>
        <w:t xml:space="preserve"> Study design: </w:t>
      </w:r>
      <w:r>
        <w:t xml:space="preserve">Double-blinded randomized noninferiority </w:t>
      </w:r>
      <w:r w:rsidR="000B28FC">
        <w:t xml:space="preserve">1:1 to torsemide vs furosemide </w:t>
      </w:r>
    </w:p>
    <w:p w14:paraId="0B4D1723" w14:textId="5DD12AE4" w:rsidR="003344F0" w:rsidRDefault="003344F0" w:rsidP="003344F0">
      <w:pPr>
        <w:pStyle w:val="ListParagraph"/>
        <w:numPr>
          <w:ilvl w:val="1"/>
          <w:numId w:val="1"/>
        </w:numPr>
      </w:pPr>
      <w:r>
        <w:t>Inclusion: L-sided systolic HM, BW 2.5-60kg, Echo dx of DMVD (c</w:t>
      </w:r>
      <w:r w:rsidRPr="003344F0">
        <w:t xml:space="preserve">haracteristic thickening, prolapse, or elongation of the mitral valve leaflets, </w:t>
      </w:r>
      <w:proofErr w:type="gramStart"/>
      <w:r w:rsidRPr="003344F0">
        <w:t>LA :</w:t>
      </w:r>
      <w:proofErr w:type="gramEnd"/>
      <w:r w:rsidRPr="003344F0">
        <w:t xml:space="preserve"> </w:t>
      </w:r>
      <w:proofErr w:type="spellStart"/>
      <w:r w:rsidRPr="003344F0">
        <w:t>Ao</w:t>
      </w:r>
      <w:proofErr w:type="spellEnd"/>
      <w:r w:rsidRPr="003344F0">
        <w:t xml:space="preserve"> 1.5, </w:t>
      </w:r>
      <w:r>
        <w:t>VHS</w:t>
      </w:r>
      <w:r w:rsidRPr="003344F0">
        <w:t xml:space="preserve"> &gt; </w:t>
      </w:r>
      <w:r w:rsidRPr="003344F0">
        <w:lastRenderedPageBreak/>
        <w:t>10.5</w:t>
      </w:r>
      <w:r>
        <w:t>, radiographic signs of L-sided CHF), 1</w:t>
      </w:r>
      <w:r w:rsidRPr="003344F0">
        <w:rPr>
          <w:vertAlign w:val="superscript"/>
        </w:rPr>
        <w:t>st</w:t>
      </w:r>
      <w:r>
        <w:t xml:space="preserve"> time CHF (i.e. never tx with </w:t>
      </w:r>
      <w:proofErr w:type="spellStart"/>
      <w:r>
        <w:t>diurertics</w:t>
      </w:r>
      <w:proofErr w:type="spellEnd"/>
      <w:r>
        <w:t>)</w:t>
      </w:r>
    </w:p>
    <w:p w14:paraId="3C675414" w14:textId="4E4D2C9E" w:rsidR="003344F0" w:rsidRDefault="003344F0" w:rsidP="003344F0">
      <w:pPr>
        <w:pStyle w:val="ListParagraph"/>
        <w:numPr>
          <w:ilvl w:val="2"/>
          <w:numId w:val="1"/>
        </w:numPr>
      </w:pPr>
      <w:r>
        <w:t xml:space="preserve">ONLY allowed pretrial furosemide </w:t>
      </w:r>
      <w:r>
        <w:rPr>
          <w:u w:val="single"/>
        </w:rPr>
        <w:t>&lt;</w:t>
      </w:r>
      <w:r>
        <w:t xml:space="preserve">48h w/ doses </w:t>
      </w:r>
      <w:r>
        <w:rPr>
          <w:u w:val="single"/>
        </w:rPr>
        <w:t>&lt;</w:t>
      </w:r>
      <w:r>
        <w:t>4 mg/kg/day</w:t>
      </w:r>
    </w:p>
    <w:p w14:paraId="01B57A66" w14:textId="242E16BA" w:rsidR="003344F0" w:rsidRDefault="003344F0" w:rsidP="003344F0">
      <w:pPr>
        <w:pStyle w:val="ListParagraph"/>
        <w:numPr>
          <w:ilvl w:val="2"/>
          <w:numId w:val="1"/>
        </w:numPr>
      </w:pPr>
      <w:r>
        <w:t xml:space="preserve">Allowed </w:t>
      </w:r>
      <w:proofErr w:type="spellStart"/>
      <w:r>
        <w:t>pimo</w:t>
      </w:r>
      <w:proofErr w:type="spellEnd"/>
      <w:r>
        <w:t xml:space="preserve">, spironolactone, and </w:t>
      </w:r>
      <w:proofErr w:type="spellStart"/>
      <w:r>
        <w:t>ACEi</w:t>
      </w:r>
      <w:proofErr w:type="spellEnd"/>
      <w:r>
        <w:t xml:space="preserve"> prior to enrollment as long as not changed w/in 4 weeks </w:t>
      </w:r>
    </w:p>
    <w:p w14:paraId="79355826" w14:textId="5E7B1EBB" w:rsidR="00396D2C" w:rsidRDefault="00C3011F" w:rsidP="002008AA">
      <w:pPr>
        <w:pStyle w:val="ListParagraph"/>
        <w:numPr>
          <w:ilvl w:val="1"/>
          <w:numId w:val="1"/>
        </w:numPr>
      </w:pPr>
      <w:r>
        <w:t xml:space="preserve">Exclusion: pregnant/lactating, congenital heart </w:t>
      </w:r>
      <w:proofErr w:type="spellStart"/>
      <w:r>
        <w:t>dz</w:t>
      </w:r>
      <w:proofErr w:type="spellEnd"/>
      <w:r>
        <w:t xml:space="preserve"> or other acquired heart </w:t>
      </w:r>
      <w:proofErr w:type="spellStart"/>
      <w:r>
        <w:t>dz</w:t>
      </w:r>
      <w:proofErr w:type="spellEnd"/>
      <w:r>
        <w:t xml:space="preserve">, CHF severe enough to require hospitalization or IV diuretics, kidney </w:t>
      </w:r>
      <w:proofErr w:type="spellStart"/>
      <w:r>
        <w:t>dz</w:t>
      </w:r>
      <w:proofErr w:type="spellEnd"/>
      <w:r>
        <w:t xml:space="preserve"> (BUN&gt;47, </w:t>
      </w:r>
      <w:proofErr w:type="spellStart"/>
      <w:r>
        <w:t>Crea</w:t>
      </w:r>
      <w:proofErr w:type="spellEnd"/>
      <w:r>
        <w:t xml:space="preserve"> &gt;1.6), FF in </w:t>
      </w:r>
      <w:proofErr w:type="spellStart"/>
      <w:r>
        <w:t>abd</w:t>
      </w:r>
      <w:proofErr w:type="spellEnd"/>
      <w:r>
        <w:t xml:space="preserve"> and thorax, use of nonallowed meds (sildenafil, non-</w:t>
      </w:r>
      <w:proofErr w:type="spellStart"/>
      <w:r>
        <w:t>ACEi</w:t>
      </w:r>
      <w:proofErr w:type="spellEnd"/>
      <w:r>
        <w:t xml:space="preserve"> vasodilators, digoxin, beta-blockers, CCB, or others that may affect the dogs’ ability to tolerate medications/cause death)</w:t>
      </w:r>
    </w:p>
    <w:p w14:paraId="3456D7FB" w14:textId="1137091C" w:rsidR="000B28FC" w:rsidRDefault="000B28FC" w:rsidP="000B28FC">
      <w:pPr>
        <w:pStyle w:val="ListParagraph"/>
        <w:numPr>
          <w:ilvl w:val="1"/>
          <w:numId w:val="1"/>
        </w:numPr>
      </w:pPr>
      <w:r>
        <w:t xml:space="preserve">Dose of torsemide/furosemide depending on their class (Table 2; class II= mild signs, lass </w:t>
      </w:r>
      <w:proofErr w:type="spellStart"/>
      <w:r>
        <w:t>IIa</w:t>
      </w:r>
      <w:proofErr w:type="spellEnd"/>
      <w:r>
        <w:t xml:space="preserve">= advanced CHF, </w:t>
      </w:r>
      <w:proofErr w:type="spellStart"/>
      <w:r>
        <w:t>IIIb</w:t>
      </w:r>
      <w:proofErr w:type="spellEnd"/>
      <w:r>
        <w:t>=in cardiogenic shock, needs hospitalization)</w:t>
      </w:r>
    </w:p>
    <w:p w14:paraId="076540E8" w14:textId="50006756" w:rsidR="000B28FC" w:rsidRDefault="000B28FC" w:rsidP="000B28FC">
      <w:pPr>
        <w:pStyle w:val="ListParagraph"/>
        <w:numPr>
          <w:ilvl w:val="0"/>
          <w:numId w:val="1"/>
        </w:numPr>
      </w:pPr>
      <w:r>
        <w:t>Enrolled 1</w:t>
      </w:r>
      <w:r w:rsidR="00BD02B3">
        <w:t>61</w:t>
      </w:r>
      <w:r>
        <w:t xml:space="preserve"> dogs to torsemide and 15</w:t>
      </w:r>
      <w:r w:rsidR="00BD02B3">
        <w:t>8</w:t>
      </w:r>
      <w:r>
        <w:t xml:space="preserve"> to furosemide </w:t>
      </w:r>
    </w:p>
    <w:p w14:paraId="3A891BA5" w14:textId="2D9571A8" w:rsidR="00EA4801" w:rsidRDefault="00EA4801" w:rsidP="000B28FC">
      <w:pPr>
        <w:pStyle w:val="ListParagraph"/>
        <w:numPr>
          <w:ilvl w:val="0"/>
          <w:numId w:val="1"/>
        </w:numPr>
      </w:pPr>
      <w:r>
        <w:t>Results/discussion</w:t>
      </w:r>
    </w:p>
    <w:p w14:paraId="47798036" w14:textId="4F43DC30" w:rsidR="00CC60BD" w:rsidRDefault="00CC60BD" w:rsidP="00EA4801">
      <w:pPr>
        <w:pStyle w:val="ListParagraph"/>
        <w:numPr>
          <w:ilvl w:val="1"/>
          <w:numId w:val="1"/>
        </w:numPr>
      </w:pPr>
      <w:r>
        <w:t xml:space="preserve">1ry outcome: Noninferior </w:t>
      </w:r>
    </w:p>
    <w:p w14:paraId="7962FEEB" w14:textId="50036F87" w:rsidR="00CC60BD" w:rsidRDefault="00CC60BD" w:rsidP="00EA4801">
      <w:pPr>
        <w:pStyle w:val="ListParagraph"/>
        <w:numPr>
          <w:ilvl w:val="1"/>
          <w:numId w:val="1"/>
        </w:numPr>
      </w:pPr>
      <w:r>
        <w:t>2ry outcome: torsemide was safe, achieved high owner compliance (SID vs BID), associated w/ decreased risk for combined outcomes of death or euthanasia for cardiac causes or worsening CHF</w:t>
      </w:r>
    </w:p>
    <w:p w14:paraId="0E17A086" w14:textId="77777777" w:rsidR="00CC60BD" w:rsidRDefault="00CC60BD" w:rsidP="00EA4801">
      <w:pPr>
        <w:pStyle w:val="ListParagraph"/>
        <w:numPr>
          <w:ilvl w:val="2"/>
          <w:numId w:val="1"/>
        </w:numPr>
      </w:pPr>
      <w:r>
        <w:t xml:space="preserve">Adverse effect 60% in torsemide and 48.1% in furosemide; most common kidney </w:t>
      </w:r>
    </w:p>
    <w:p w14:paraId="2EDA7718" w14:textId="23E7FF64" w:rsidR="00CC60BD" w:rsidRDefault="0039088B" w:rsidP="00EA4801">
      <w:pPr>
        <w:pStyle w:val="ListParagraph"/>
        <w:numPr>
          <w:ilvl w:val="1"/>
          <w:numId w:val="1"/>
        </w:numPr>
      </w:pPr>
      <w:r>
        <w:t xml:space="preserve">In people, torsemide more likely to be prescribed in those w/ pre-existing increases in renal markers d/t the perceived need to prescribe a more potent diuretic overcome inherent resistance and decreased diuresis in response to loss of tubular function </w:t>
      </w:r>
    </w:p>
    <w:p w14:paraId="5814E9F7" w14:textId="7D3A9D81" w:rsidR="00396D2C" w:rsidRDefault="00396D2C"/>
    <w:p w14:paraId="57B001A4" w14:textId="77777777" w:rsidR="0068267E" w:rsidRDefault="0068267E">
      <w:r>
        <w:br w:type="page"/>
      </w:r>
    </w:p>
    <w:p w14:paraId="34872229" w14:textId="7C5B5A9C" w:rsidR="00396D2C" w:rsidRPr="0014181B" w:rsidRDefault="00396D2C" w:rsidP="00396D2C">
      <w:pPr>
        <w:rPr>
          <w:b/>
          <w:bCs/>
        </w:rPr>
      </w:pPr>
      <w:r w:rsidRPr="0014181B">
        <w:rPr>
          <w:b/>
          <w:bCs/>
        </w:rPr>
        <w:lastRenderedPageBreak/>
        <w:t>Neutrophil extracellular traps in stored canine red blood cell units</w:t>
      </w:r>
    </w:p>
    <w:p w14:paraId="3F363FB5" w14:textId="77777777" w:rsidR="00396D2C" w:rsidRDefault="00396D2C" w:rsidP="00396D2C">
      <w:r>
        <w:t xml:space="preserve">Erin R </w:t>
      </w:r>
      <w:proofErr w:type="spellStart"/>
      <w:r>
        <w:t>McQuinn</w:t>
      </w:r>
      <w:proofErr w:type="spellEnd"/>
      <w:r>
        <w:t xml:space="preserve"> 1, Stephanie A Smith 2, Austin K Viall 3, Chong Wang 4, Dana N </w:t>
      </w:r>
      <w:proofErr w:type="spellStart"/>
      <w:r>
        <w:t>LeVine</w:t>
      </w:r>
      <w:proofErr w:type="spellEnd"/>
      <w:r>
        <w:t xml:space="preserve"> 1</w:t>
      </w:r>
    </w:p>
    <w:p w14:paraId="071AAA66" w14:textId="77777777" w:rsidR="00396D2C" w:rsidRDefault="00396D2C" w:rsidP="00396D2C">
      <w:r>
        <w:t xml:space="preserve">J Vet Intern Med. 2020 Sep 3. </w:t>
      </w:r>
      <w:proofErr w:type="spellStart"/>
      <w:r>
        <w:t>doi</w:t>
      </w:r>
      <w:proofErr w:type="spellEnd"/>
      <w:r>
        <w:t>: 10.1111/jvim.15876. Online ahead of print.</w:t>
      </w:r>
    </w:p>
    <w:p w14:paraId="350E3A1D" w14:textId="77777777" w:rsidR="00396D2C" w:rsidRDefault="00396D2C" w:rsidP="00396D2C"/>
    <w:p w14:paraId="6232E04C" w14:textId="2507BDEF" w:rsidR="00396D2C" w:rsidRDefault="00396D2C" w:rsidP="00396D2C">
      <w:r w:rsidRPr="00396D2C">
        <w:rPr>
          <w:b/>
          <w:bCs/>
        </w:rPr>
        <w:t>Background</w:t>
      </w:r>
      <w:r>
        <w:t xml:space="preserve">: Neutrophil extracellular traps (NETs), webs of DNA and citrullinated histones extruded from activated neutrophils cause transfusion-related acute lung injury. Supernatants of stored red blood cell (RBC) units might promote </w:t>
      </w:r>
      <w:proofErr w:type="spellStart"/>
      <w:r>
        <w:t>NETosis</w:t>
      </w:r>
      <w:proofErr w:type="spellEnd"/>
      <w:r>
        <w:t xml:space="preserve"> in neutrophils from the units or from transfusion recipients.</w:t>
      </w:r>
    </w:p>
    <w:p w14:paraId="5A53DC83" w14:textId="77777777" w:rsidR="00396D2C" w:rsidRDefault="00396D2C" w:rsidP="00396D2C">
      <w:r w:rsidRPr="00396D2C">
        <w:rPr>
          <w:b/>
          <w:bCs/>
        </w:rPr>
        <w:t>Hypotheses</w:t>
      </w:r>
      <w:r>
        <w:t xml:space="preserve">: (1) NETs form during storage of canine RBC, (2) leukoreduction (LR) before storage of RBC reduces </w:t>
      </w:r>
      <w:proofErr w:type="spellStart"/>
      <w:r>
        <w:t>NETosis</w:t>
      </w:r>
      <w:proofErr w:type="spellEnd"/>
      <w:r>
        <w:t xml:space="preserve">, and (3) supernatant from stored, nonleukoreduced (NLR) RBC units induces </w:t>
      </w:r>
      <w:proofErr w:type="spellStart"/>
      <w:r>
        <w:t>NETosis</w:t>
      </w:r>
      <w:proofErr w:type="spellEnd"/>
      <w:r>
        <w:t xml:space="preserve"> in healthy canine neutrophils modeling transfusion recipients.</w:t>
      </w:r>
    </w:p>
    <w:p w14:paraId="40A681B0" w14:textId="77777777" w:rsidR="00396D2C" w:rsidRDefault="00396D2C" w:rsidP="00396D2C">
      <w:r w:rsidRPr="00396D2C">
        <w:rPr>
          <w:b/>
          <w:bCs/>
        </w:rPr>
        <w:t>Animals</w:t>
      </w:r>
      <w:r>
        <w:t>: Six healthy purpose-bred research dogs were utilized for blood donation.</w:t>
      </w:r>
    </w:p>
    <w:p w14:paraId="3704428E" w14:textId="77777777" w:rsidR="00396D2C" w:rsidRDefault="00396D2C" w:rsidP="00396D2C">
      <w:r w:rsidRPr="00396D2C">
        <w:rPr>
          <w:b/>
          <w:bCs/>
        </w:rPr>
        <w:t>Methods</w:t>
      </w:r>
      <w:r>
        <w:t xml:space="preserve">: Prospective controlled study. RBC units were collected from each dog, aseptically divided into 2 equal subunits, 1 of which was </w:t>
      </w:r>
      <w:proofErr w:type="spellStart"/>
      <w:r>
        <w:t>leukoreduced</w:t>
      </w:r>
      <w:proofErr w:type="spellEnd"/>
      <w:r>
        <w:t>, and stored for 42 days. Stored units were sampled biweekly for quantification of NET markers citrullinated histone H3 (Western blot) and cell-free DNA (</w:t>
      </w:r>
      <w:proofErr w:type="spellStart"/>
      <w:r>
        <w:t>cfDNA</w:t>
      </w:r>
      <w:proofErr w:type="spellEnd"/>
      <w:r>
        <w:t xml:space="preserve">) (DNA dye binding). Unit supernatants were applied ex vivo to canine neutrophils and extracellular DNA release representing </w:t>
      </w:r>
      <w:proofErr w:type="spellStart"/>
      <w:r>
        <w:t>NETosis</w:t>
      </w:r>
      <w:proofErr w:type="spellEnd"/>
      <w:r>
        <w:t xml:space="preserve"> was assessed.</w:t>
      </w:r>
    </w:p>
    <w:p w14:paraId="1CD13264" w14:textId="77777777" w:rsidR="00396D2C" w:rsidRDefault="00396D2C" w:rsidP="00396D2C">
      <w:r w:rsidRPr="00396D2C">
        <w:rPr>
          <w:b/>
          <w:bCs/>
        </w:rPr>
        <w:t>Results</w:t>
      </w:r>
      <w:r>
        <w:t>: Markers of NETs increased during RBC storage (</w:t>
      </w:r>
      <w:proofErr w:type="spellStart"/>
      <w:r>
        <w:t>cfDNA</w:t>
      </w:r>
      <w:proofErr w:type="spellEnd"/>
      <w:r>
        <w:t xml:space="preserve"> P &lt; .0001 and citrullinated H3 P = .0002) and were higher in NLR than LR units (day 42 LR </w:t>
      </w:r>
      <w:proofErr w:type="spellStart"/>
      <w:r>
        <w:t>cfDNA</w:t>
      </w:r>
      <w:proofErr w:type="spellEnd"/>
      <w:r>
        <w:t xml:space="preserve"> 0.34 ± 0.82 ng/mL vs day 42 NLR 1361.07 ± 741.00 ng/mL, P &lt; .0001; day 42 LR citrullinated H3 0.19 ± 0.13 AU vs NLR 0.57 ± 0.34 AU, P = .007). Isolated neutrophils did not form NETs when exposed to stored canine RBC supernatant.</w:t>
      </w:r>
    </w:p>
    <w:p w14:paraId="52DFA850" w14:textId="14AA39BE" w:rsidR="00396D2C" w:rsidRDefault="00396D2C" w:rsidP="00396D2C">
      <w:r w:rsidRPr="00396D2C">
        <w:rPr>
          <w:b/>
          <w:bCs/>
        </w:rPr>
        <w:t>Conclusions and clinical importance</w:t>
      </w:r>
      <w:r>
        <w:t xml:space="preserve">: </w:t>
      </w:r>
      <w:proofErr w:type="spellStart"/>
      <w:r>
        <w:t>NETosis</w:t>
      </w:r>
      <w:proofErr w:type="spellEnd"/>
      <w:r>
        <w:t xml:space="preserve"> </w:t>
      </w:r>
      <w:r w:rsidR="0090480E">
        <w:t>occur</w:t>
      </w:r>
      <w:r>
        <w:t xml:space="preserve"> in stored canine NLR RBC units, and is attenuated by LR before storage. NETs might be mediators of transfusion reactions.</w:t>
      </w:r>
    </w:p>
    <w:p w14:paraId="6927C911" w14:textId="365979C7" w:rsidR="00481AB0" w:rsidRDefault="00481AB0" w:rsidP="00396D2C"/>
    <w:p w14:paraId="41CA4918" w14:textId="41002F4B" w:rsidR="00481AB0" w:rsidRDefault="00146011" w:rsidP="00481AB0">
      <w:pPr>
        <w:pStyle w:val="ListParagraph"/>
        <w:numPr>
          <w:ilvl w:val="0"/>
          <w:numId w:val="1"/>
        </w:numPr>
      </w:pPr>
      <w:r>
        <w:t>NETs thought to play a role in mediating nonleukoreduced (NLR) blood induced transfusion rx</w:t>
      </w:r>
    </w:p>
    <w:p w14:paraId="3F231DB9" w14:textId="03A53692" w:rsidR="00146011" w:rsidRDefault="00146011" w:rsidP="00B401D1">
      <w:pPr>
        <w:pStyle w:val="ListParagraph"/>
        <w:numPr>
          <w:ilvl w:val="1"/>
          <w:numId w:val="1"/>
        </w:numPr>
      </w:pPr>
      <w:r>
        <w:t xml:space="preserve">NETs= webs of DNA, nucleosomes, histones and granular proteins extrude from activated neutrophils </w:t>
      </w:r>
    </w:p>
    <w:p w14:paraId="742B374F" w14:textId="5923117F" w:rsidR="00146011" w:rsidRDefault="00146011" w:rsidP="00146011">
      <w:pPr>
        <w:pStyle w:val="ListParagraph"/>
        <w:numPr>
          <w:ilvl w:val="1"/>
          <w:numId w:val="1"/>
        </w:numPr>
      </w:pPr>
      <w:r>
        <w:t xml:space="preserve">Proinflammatory and prothrombotic </w:t>
      </w:r>
      <w:r>
        <w:sym w:font="Wingdings" w:char="F0E0"/>
      </w:r>
      <w:r>
        <w:t xml:space="preserve"> can lead to thrombosis and inflammation in recipient </w:t>
      </w:r>
    </w:p>
    <w:p w14:paraId="31630F6D" w14:textId="69DA7666" w:rsidR="00146011" w:rsidRDefault="00146011" w:rsidP="00146011">
      <w:pPr>
        <w:pStyle w:val="ListParagraph"/>
        <w:numPr>
          <w:ilvl w:val="1"/>
          <w:numId w:val="1"/>
        </w:numPr>
      </w:pPr>
      <w:r>
        <w:t xml:space="preserve">Implicated in murine TRALI </w:t>
      </w:r>
      <w:r w:rsidR="0090480E">
        <w:t>pathogenesis</w:t>
      </w:r>
      <w:r>
        <w:t xml:space="preserve"> and inhibition of NETs result in lung protection in experimental models </w:t>
      </w:r>
    </w:p>
    <w:p w14:paraId="042F9E93" w14:textId="630AD802" w:rsidR="00146011" w:rsidRDefault="00146011" w:rsidP="00146011">
      <w:pPr>
        <w:pStyle w:val="ListParagraph"/>
        <w:numPr>
          <w:ilvl w:val="1"/>
          <w:numId w:val="1"/>
        </w:numPr>
      </w:pPr>
      <w:r>
        <w:t xml:space="preserve">NETs can form in stored human </w:t>
      </w:r>
      <w:proofErr w:type="spellStart"/>
      <w:r>
        <w:t>pRBC</w:t>
      </w:r>
      <w:proofErr w:type="spellEnd"/>
      <w:r>
        <w:t xml:space="preserve"> and LR units via RBC release of neutrophil-activating proinflammatory lipid mediators and heme</w:t>
      </w:r>
    </w:p>
    <w:p w14:paraId="320DABAE" w14:textId="75EA217F" w:rsidR="00B401D1" w:rsidRDefault="00B401D1" w:rsidP="00B401D1">
      <w:pPr>
        <w:pStyle w:val="ListParagraph"/>
        <w:numPr>
          <w:ilvl w:val="0"/>
          <w:numId w:val="1"/>
        </w:numPr>
      </w:pPr>
      <w:r>
        <w:t>Study goals:</w:t>
      </w:r>
    </w:p>
    <w:p w14:paraId="32140D0F" w14:textId="275D86D5" w:rsidR="00B401D1" w:rsidRDefault="00B401D1" w:rsidP="00B401D1">
      <w:pPr>
        <w:pStyle w:val="ListParagraph"/>
        <w:numPr>
          <w:ilvl w:val="1"/>
          <w:numId w:val="1"/>
        </w:numPr>
      </w:pPr>
      <w:r>
        <w:t xml:space="preserve">1) Determine if NETs form during 42 </w:t>
      </w:r>
      <w:r w:rsidR="0090480E">
        <w:t>storage</w:t>
      </w:r>
      <w:r>
        <w:t xml:space="preserve"> of canine RBC and if LR prevented this (analyzed </w:t>
      </w:r>
      <w:proofErr w:type="spellStart"/>
      <w:r>
        <w:t>cfDNA</w:t>
      </w:r>
      <w:proofErr w:type="spellEnd"/>
      <w:r>
        <w:t xml:space="preserve"> and citrullinated histones) </w:t>
      </w:r>
    </w:p>
    <w:p w14:paraId="2313F4AA" w14:textId="3801496D" w:rsidR="00B401D1" w:rsidRDefault="008E5F73" w:rsidP="00B401D1">
      <w:pPr>
        <w:pStyle w:val="ListParagraph"/>
        <w:numPr>
          <w:ilvl w:val="1"/>
          <w:numId w:val="1"/>
        </w:numPr>
      </w:pPr>
      <w:r>
        <w:t xml:space="preserve">2) If application of supernatant from stored canine RBC could induce </w:t>
      </w:r>
      <w:proofErr w:type="spellStart"/>
      <w:r>
        <w:t>NETosis</w:t>
      </w:r>
      <w:proofErr w:type="spellEnd"/>
      <w:r>
        <w:t xml:space="preserve"> in isolated dog neutrophils (</w:t>
      </w:r>
      <w:proofErr w:type="spellStart"/>
      <w:r>
        <w:t>remodelling</w:t>
      </w:r>
      <w:proofErr w:type="spellEnd"/>
      <w:r>
        <w:t xml:space="preserve"> recipient neutrophils)</w:t>
      </w:r>
    </w:p>
    <w:p w14:paraId="246AAAB3" w14:textId="163D5CFF" w:rsidR="00EA4801" w:rsidRDefault="00EA4801" w:rsidP="00EA4801">
      <w:pPr>
        <w:pStyle w:val="ListParagraph"/>
        <w:numPr>
          <w:ilvl w:val="0"/>
          <w:numId w:val="1"/>
        </w:numPr>
      </w:pPr>
      <w:r>
        <w:t>Results/discussion:</w:t>
      </w:r>
    </w:p>
    <w:p w14:paraId="4B2568EB" w14:textId="6AC260E0" w:rsidR="00EA4801" w:rsidRDefault="00EA4801" w:rsidP="00EA4801">
      <w:pPr>
        <w:pStyle w:val="ListParagraph"/>
        <w:numPr>
          <w:ilvl w:val="1"/>
          <w:numId w:val="1"/>
        </w:numPr>
      </w:pPr>
      <w:r>
        <w:t xml:space="preserve">Markers of NETs increased over time in stored NLR canine RBC </w:t>
      </w:r>
      <w:r>
        <w:sym w:font="Wingdings" w:char="F0E0"/>
      </w:r>
      <w:r>
        <w:t xml:space="preserve"> suggest that </w:t>
      </w:r>
      <w:proofErr w:type="spellStart"/>
      <w:r>
        <w:t>NETosis</w:t>
      </w:r>
      <w:proofErr w:type="spellEnd"/>
      <w:r>
        <w:t xml:space="preserve"> occurs and can be attenuated by LR</w:t>
      </w:r>
    </w:p>
    <w:p w14:paraId="3E0B5DF2" w14:textId="5C22A179" w:rsidR="00EA4801" w:rsidRDefault="00EA4801" w:rsidP="00EA4801">
      <w:pPr>
        <w:pStyle w:val="ListParagraph"/>
        <w:numPr>
          <w:ilvl w:val="1"/>
          <w:numId w:val="1"/>
        </w:numPr>
      </w:pPr>
      <w:r>
        <w:lastRenderedPageBreak/>
        <w:t xml:space="preserve">Stored RBC supernatant does not induce </w:t>
      </w:r>
      <w:proofErr w:type="spellStart"/>
      <w:r>
        <w:t>NETosis</w:t>
      </w:r>
      <w:proofErr w:type="spellEnd"/>
      <w:r>
        <w:t xml:space="preserve"> </w:t>
      </w:r>
      <w:r>
        <w:sym w:font="Wingdings" w:char="F0E0"/>
      </w:r>
      <w:r>
        <w:t xml:space="preserve"> stored blood doesn’t induce </w:t>
      </w:r>
      <w:proofErr w:type="spellStart"/>
      <w:r>
        <w:t>NETosis</w:t>
      </w:r>
      <w:proofErr w:type="spellEnd"/>
      <w:r>
        <w:t xml:space="preserve"> in recipient neutrophils </w:t>
      </w:r>
    </w:p>
    <w:p w14:paraId="37999951" w14:textId="5D52B0E2" w:rsidR="007B2886" w:rsidRDefault="007B2886" w:rsidP="00EA4801">
      <w:pPr>
        <w:pStyle w:val="ListParagraph"/>
        <w:numPr>
          <w:ilvl w:val="1"/>
          <w:numId w:val="1"/>
        </w:numPr>
      </w:pPr>
      <w:r>
        <w:t>Provides more support to advocate for the use of LR RBC</w:t>
      </w:r>
    </w:p>
    <w:p w14:paraId="4858C10B" w14:textId="4D4A5C10" w:rsidR="009145E3" w:rsidRDefault="009145E3" w:rsidP="00EA4801">
      <w:pPr>
        <w:pStyle w:val="ListParagraph"/>
        <w:numPr>
          <w:ilvl w:val="1"/>
          <w:numId w:val="1"/>
        </w:numPr>
      </w:pPr>
      <w:r>
        <w:t>Fun fact: If blood is not allowed to cool</w:t>
      </w:r>
      <w:r w:rsidR="00AB3D2B">
        <w:t xml:space="preserve"> (</w:t>
      </w:r>
      <w:r w:rsidR="00AB3D2B" w:rsidRPr="00AB3D2B">
        <w:t>4 hours at 4</w:t>
      </w:r>
      <w:r w:rsidR="00AB3D2B">
        <w:t>C)</w:t>
      </w:r>
      <w:r>
        <w:t xml:space="preserve"> before filtration, marked hemolysis will occur from LR filter</w:t>
      </w:r>
    </w:p>
    <w:p w14:paraId="2544E190" w14:textId="5E8E0E14" w:rsidR="00481AB0" w:rsidRDefault="00481AB0">
      <w:r>
        <w:br w:type="page"/>
      </w:r>
    </w:p>
    <w:p w14:paraId="2E3E1C73" w14:textId="77777777" w:rsidR="00481AB0" w:rsidRPr="00BF5BE7" w:rsidRDefault="00481AB0" w:rsidP="00481AB0">
      <w:pPr>
        <w:rPr>
          <w:b/>
          <w:bCs/>
        </w:rPr>
      </w:pPr>
      <w:r w:rsidRPr="00BF5BE7">
        <w:rPr>
          <w:b/>
          <w:bCs/>
        </w:rPr>
        <w:lastRenderedPageBreak/>
        <w:t>Outcome and treatments of dogs with aortic thrombosis: 100 cases (1997‐2014)</w:t>
      </w:r>
    </w:p>
    <w:p w14:paraId="0ABEFB06" w14:textId="7A43F4B2" w:rsidR="00481AB0" w:rsidRDefault="00481AB0" w:rsidP="00481AB0">
      <w:r>
        <w:t xml:space="preserve">Mackenzie </w:t>
      </w:r>
      <w:proofErr w:type="spellStart"/>
      <w:proofErr w:type="gramStart"/>
      <w:r>
        <w:t>Ruehl</w:t>
      </w:r>
      <w:proofErr w:type="spellEnd"/>
      <w:r>
        <w:t xml:space="preserve">  Alex</w:t>
      </w:r>
      <w:proofErr w:type="gramEnd"/>
      <w:r>
        <w:t xml:space="preserve"> M. Lynch  Therese E. O'Toole  Bari Morris  John Rush  C. Guillermo Couto  Samantha </w:t>
      </w:r>
      <w:proofErr w:type="spellStart"/>
      <w:r>
        <w:t>Hmelo</w:t>
      </w:r>
      <w:proofErr w:type="spellEnd"/>
      <w:r>
        <w:t xml:space="preserve">  Stacey </w:t>
      </w:r>
      <w:proofErr w:type="spellStart"/>
      <w:r>
        <w:t>Sonnenshein</w:t>
      </w:r>
      <w:proofErr w:type="spellEnd"/>
      <w:r>
        <w:t xml:space="preserve">  Amy Butler  Julien </w:t>
      </w:r>
      <w:proofErr w:type="spellStart"/>
      <w:r>
        <w:t>Guillaumin</w:t>
      </w:r>
      <w:proofErr w:type="spellEnd"/>
    </w:p>
    <w:p w14:paraId="1C0F4BB3" w14:textId="11D7CF66" w:rsidR="00481AB0" w:rsidRDefault="00481AB0" w:rsidP="00481AB0"/>
    <w:p w14:paraId="17B05393" w14:textId="2421A5F3" w:rsidR="00481AB0" w:rsidRDefault="00481AB0" w:rsidP="00481AB0">
      <w:r w:rsidRPr="00481AB0">
        <w:rPr>
          <w:b/>
          <w:bCs/>
        </w:rPr>
        <w:t>Background</w:t>
      </w:r>
      <w:r>
        <w:rPr>
          <w:b/>
          <w:bCs/>
        </w:rPr>
        <w:t xml:space="preserve">: </w:t>
      </w:r>
      <w:r>
        <w:t>Aortic thrombosis (</w:t>
      </w:r>
      <w:proofErr w:type="spellStart"/>
      <w:r>
        <w:t>ATh</w:t>
      </w:r>
      <w:proofErr w:type="spellEnd"/>
      <w:r>
        <w:t>) is an uncommon condition in dogs, with limited understanding of risks factors, outcomes, and treatments.</w:t>
      </w:r>
    </w:p>
    <w:p w14:paraId="6FCB3453" w14:textId="52907698" w:rsidR="00481AB0" w:rsidRDefault="00481AB0" w:rsidP="00481AB0">
      <w:r w:rsidRPr="00481AB0">
        <w:rPr>
          <w:b/>
          <w:bCs/>
        </w:rPr>
        <w:t>Objectives/Hypothesis</w:t>
      </w:r>
      <w:r>
        <w:rPr>
          <w:b/>
          <w:bCs/>
        </w:rPr>
        <w:t xml:space="preserve">: </w:t>
      </w:r>
      <w:r>
        <w:t xml:space="preserve">To describe potential risk factors, outcome, and treatments in dogs with </w:t>
      </w:r>
      <w:proofErr w:type="spellStart"/>
      <w:r>
        <w:t>ATh</w:t>
      </w:r>
      <w:proofErr w:type="spellEnd"/>
      <w:r>
        <w:t>.</w:t>
      </w:r>
    </w:p>
    <w:p w14:paraId="66FC35EB" w14:textId="2307ADB0" w:rsidR="00481AB0" w:rsidRDefault="00481AB0" w:rsidP="00481AB0">
      <w:r w:rsidRPr="00481AB0">
        <w:rPr>
          <w:b/>
          <w:bCs/>
        </w:rPr>
        <w:t>Animal</w:t>
      </w:r>
      <w:r w:rsidRPr="00481AB0">
        <w:rPr>
          <w:b/>
          <w:bCs/>
        </w:rPr>
        <w:t>s</w:t>
      </w:r>
      <w:r>
        <w:t xml:space="preserve">: </w:t>
      </w:r>
      <w:r>
        <w:t xml:space="preserve">Client‐owned dogs with a diagnosis of </w:t>
      </w:r>
      <w:proofErr w:type="spellStart"/>
      <w:r>
        <w:t>ATh</w:t>
      </w:r>
      <w:proofErr w:type="spellEnd"/>
      <w:r>
        <w:t xml:space="preserve"> based on ultrasonographic or gross necropsy examination.</w:t>
      </w:r>
    </w:p>
    <w:p w14:paraId="49446491" w14:textId="54B6E38A" w:rsidR="00481AB0" w:rsidRDefault="00481AB0" w:rsidP="00481AB0">
      <w:r w:rsidRPr="00481AB0">
        <w:rPr>
          <w:b/>
          <w:bCs/>
        </w:rPr>
        <w:t>Metho</w:t>
      </w:r>
      <w:r w:rsidRPr="00481AB0">
        <w:rPr>
          <w:b/>
          <w:bCs/>
        </w:rPr>
        <w:t>d</w:t>
      </w:r>
      <w:r>
        <w:t xml:space="preserve">: </w:t>
      </w:r>
      <w:r>
        <w:t>Multicentric retrospective study from 2 academic institutions.</w:t>
      </w:r>
    </w:p>
    <w:p w14:paraId="544BA632" w14:textId="13A840AE" w:rsidR="00481AB0" w:rsidRDefault="00481AB0" w:rsidP="00481AB0">
      <w:r w:rsidRPr="00481AB0">
        <w:rPr>
          <w:b/>
          <w:bCs/>
        </w:rPr>
        <w:t>Results</w:t>
      </w:r>
      <w:r>
        <w:t xml:space="preserve">: </w:t>
      </w:r>
      <w:r>
        <w:t xml:space="preserve">One hundred dogs were identified. Anti‐thrombin diagnosis, 35/100 dogs were nonambulatory. The dogs were classified as acute (n = 27), chronic (n = 72), or unknown (n = 1). Fifty‐four dogs had at least one comorbidity thought to predispose to </w:t>
      </w:r>
      <w:proofErr w:type="spellStart"/>
      <w:r>
        <w:t>ATh</w:t>
      </w:r>
      <w:proofErr w:type="spellEnd"/>
      <w:r>
        <w:t xml:space="preserve">, and 23 others had multiple comorbidities. The remaining 23 dogs with no obvious comorbidities were classified as cryptogenic. Concurrent illnesses potentially related to the development of </w:t>
      </w:r>
      <w:proofErr w:type="spellStart"/>
      <w:r>
        <w:t>ATh</w:t>
      </w:r>
      <w:proofErr w:type="spellEnd"/>
      <w:r>
        <w:t xml:space="preserve"> included protein‐losing nephropathy (PLN) (n = 32), neoplasia (n = 22), exogenous corticosteroid administration (n = 16), endocrine disease (n = 13), and infection (n = 9). Dogs with PLN had lower antithrombin activity than those without PLN (64% and 82%, respectively) (P = .04). Sixty‐five dogs were hospitalized with 41 subsequently discharged. Sixteen were treated as outpatient and 19 euthanized at admission. In‐hospital treatments varied, but included thrombolytics (n = 12), alone or in combination with thrombectomy (n = 9). Fifty‐seven dogs survived to discharge. Sixteen were alive at 180 days. Using regression analysis, ambulation status at the time of presentation was significantly correlated with survival‐to‐discharge (P &lt; .001).</w:t>
      </w:r>
    </w:p>
    <w:p w14:paraId="1F3C2677" w14:textId="04F8C07D" w:rsidR="00481AB0" w:rsidRDefault="00481AB0" w:rsidP="00481AB0">
      <w:r w:rsidRPr="00DB39AB">
        <w:rPr>
          <w:b/>
          <w:bCs/>
        </w:rPr>
        <w:t>Conclusions/Clinical Importance</w:t>
      </w:r>
      <w:r w:rsidR="00DB39AB">
        <w:t xml:space="preserve">: </w:t>
      </w:r>
      <w:r>
        <w:t xml:space="preserve">Dogs with </w:t>
      </w:r>
      <w:proofErr w:type="spellStart"/>
      <w:r>
        <w:t>ATh</w:t>
      </w:r>
      <w:proofErr w:type="spellEnd"/>
      <w:r>
        <w:t xml:space="preserve"> have a poor prognosis, with nonambulatory dogs at the time of presentation having worse outcome. Although the presence of comorbid conditions associated with hypercoagulability is common, an underlying cause for </w:t>
      </w:r>
      <w:proofErr w:type="spellStart"/>
      <w:r>
        <w:t>ATh</w:t>
      </w:r>
      <w:proofErr w:type="spellEnd"/>
      <w:r>
        <w:t xml:space="preserve"> was not always identified.</w:t>
      </w:r>
    </w:p>
    <w:p w14:paraId="55FD2C1D" w14:textId="6C9230EB" w:rsidR="00B201C4" w:rsidRDefault="00B201C4" w:rsidP="00481AB0"/>
    <w:p w14:paraId="3F6BA626" w14:textId="30751055" w:rsidR="00B201C4" w:rsidRDefault="004A55DF" w:rsidP="00B201C4">
      <w:pPr>
        <w:pStyle w:val="ListParagraph"/>
        <w:numPr>
          <w:ilvl w:val="0"/>
          <w:numId w:val="1"/>
        </w:numPr>
      </w:pPr>
      <w:r>
        <w:t xml:space="preserve">Previous study showed 58% of dogs w/ </w:t>
      </w:r>
      <w:proofErr w:type="spellStart"/>
      <w:r>
        <w:t>ATh</w:t>
      </w:r>
      <w:proofErr w:type="spellEnd"/>
      <w:r>
        <w:t xml:space="preserve"> had no identified underlying </w:t>
      </w:r>
      <w:proofErr w:type="spellStart"/>
      <w:r>
        <w:t>dz</w:t>
      </w:r>
      <w:proofErr w:type="spellEnd"/>
    </w:p>
    <w:p w14:paraId="3AFBE6E3" w14:textId="6112A79F" w:rsidR="004A55DF" w:rsidRDefault="004A55DF" w:rsidP="00B201C4">
      <w:pPr>
        <w:pStyle w:val="ListParagraph"/>
        <w:numPr>
          <w:ilvl w:val="0"/>
          <w:numId w:val="1"/>
        </w:numPr>
      </w:pPr>
      <w:r>
        <w:t xml:space="preserve">Study aimed to describe the presenting clinical characteristics of dogs w/ </w:t>
      </w:r>
      <w:proofErr w:type="spellStart"/>
      <w:r>
        <w:t>ATh</w:t>
      </w:r>
      <w:proofErr w:type="spellEnd"/>
      <w:r>
        <w:t xml:space="preserve"> and the underlying cause</w:t>
      </w:r>
    </w:p>
    <w:p w14:paraId="23B55A7A" w14:textId="3D7504CF" w:rsidR="004A55DF" w:rsidRDefault="004A55DF" w:rsidP="00B201C4">
      <w:pPr>
        <w:pStyle w:val="ListParagraph"/>
        <w:numPr>
          <w:ilvl w:val="0"/>
          <w:numId w:val="1"/>
        </w:numPr>
      </w:pPr>
      <w:r>
        <w:t xml:space="preserve">Included if distal </w:t>
      </w:r>
      <w:proofErr w:type="spellStart"/>
      <w:r>
        <w:t>ATh</w:t>
      </w:r>
      <w:proofErr w:type="spellEnd"/>
      <w:r>
        <w:t xml:space="preserve"> determined by visualization of a clot (i.e. lesion affecting BF in the aorta distal to the renal arteries) by AUS or at necropsy.</w:t>
      </w:r>
    </w:p>
    <w:p w14:paraId="4D4650A4" w14:textId="630FF08E" w:rsidR="004A55DF" w:rsidRDefault="004A55DF" w:rsidP="004A55DF">
      <w:pPr>
        <w:pStyle w:val="ListParagraph"/>
        <w:numPr>
          <w:ilvl w:val="1"/>
          <w:numId w:val="1"/>
        </w:numPr>
      </w:pPr>
      <w:r>
        <w:t>&lt;48h acute, &gt;48h chronic clot</w:t>
      </w:r>
    </w:p>
    <w:p w14:paraId="758C6E7F" w14:textId="2CF4B9DD" w:rsidR="004A55DF" w:rsidRDefault="004A55DF" w:rsidP="004A55DF">
      <w:pPr>
        <w:pStyle w:val="ListParagraph"/>
        <w:numPr>
          <w:ilvl w:val="1"/>
          <w:numId w:val="1"/>
        </w:numPr>
      </w:pPr>
      <w:r>
        <w:t>Cryptogenic if no current diagnosis of a medical condition known to predispose to a hypercoagulable state</w:t>
      </w:r>
    </w:p>
    <w:p w14:paraId="438B2242" w14:textId="0B608A47" w:rsidR="004A55DF" w:rsidRDefault="004C3701" w:rsidP="004C3701">
      <w:pPr>
        <w:pStyle w:val="ListParagraph"/>
        <w:numPr>
          <w:ilvl w:val="0"/>
          <w:numId w:val="1"/>
        </w:numPr>
      </w:pPr>
      <w:r>
        <w:t>Results/discussion</w:t>
      </w:r>
    </w:p>
    <w:p w14:paraId="11A58A81" w14:textId="61BC7B44" w:rsidR="004C3701" w:rsidRDefault="004C3701" w:rsidP="004C3701">
      <w:pPr>
        <w:pStyle w:val="ListParagraph"/>
        <w:numPr>
          <w:ilvl w:val="1"/>
          <w:numId w:val="1"/>
        </w:numPr>
      </w:pPr>
      <w:r>
        <w:t xml:space="preserve">Acute signs more likely to be nonambulatory, have PL deficits, bilateral signs and be painful; less likely to survive to discharge </w:t>
      </w:r>
    </w:p>
    <w:p w14:paraId="16D1C9CE" w14:textId="390F734E" w:rsidR="00F97388" w:rsidRDefault="00F97388" w:rsidP="004C3701">
      <w:pPr>
        <w:pStyle w:val="ListParagraph"/>
        <w:numPr>
          <w:ilvl w:val="1"/>
          <w:numId w:val="1"/>
        </w:numPr>
      </w:pPr>
      <w:r>
        <w:t xml:space="preserve">Non-ambulatory status at time of presentation correlated to nonsurvival </w:t>
      </w:r>
    </w:p>
    <w:p w14:paraId="3CF27424" w14:textId="06CCE053" w:rsidR="004C3701" w:rsidRDefault="004C3701" w:rsidP="004C3701">
      <w:pPr>
        <w:pStyle w:val="ListParagraph"/>
        <w:numPr>
          <w:ilvl w:val="1"/>
          <w:numId w:val="1"/>
        </w:numPr>
      </w:pPr>
      <w:r>
        <w:t>Only 50% of those that had a TEG run was hypercoagulable (defined as G above breed-specific reference range)</w:t>
      </w:r>
    </w:p>
    <w:p w14:paraId="7CC6838D" w14:textId="6548AD54" w:rsidR="00C24D2A" w:rsidRDefault="00C24D2A" w:rsidP="004C3701">
      <w:pPr>
        <w:pStyle w:val="ListParagraph"/>
        <w:numPr>
          <w:ilvl w:val="1"/>
          <w:numId w:val="1"/>
        </w:numPr>
      </w:pPr>
      <w:r>
        <w:lastRenderedPageBreak/>
        <w:t xml:space="preserve">None of the dogs had a cardiogenic cause </w:t>
      </w:r>
    </w:p>
    <w:p w14:paraId="02DE52C7" w14:textId="77777777" w:rsidR="00CE1017" w:rsidRDefault="008669F3" w:rsidP="004C3701">
      <w:pPr>
        <w:pStyle w:val="ListParagraph"/>
        <w:numPr>
          <w:ilvl w:val="1"/>
          <w:numId w:val="1"/>
        </w:numPr>
      </w:pPr>
      <w:r>
        <w:t xml:space="preserve">Most common causes: </w:t>
      </w:r>
    </w:p>
    <w:p w14:paraId="56242EBE" w14:textId="43A666A4" w:rsidR="00CE1017" w:rsidRDefault="008669F3" w:rsidP="00CE1017">
      <w:pPr>
        <w:pStyle w:val="ListParagraph"/>
        <w:numPr>
          <w:ilvl w:val="2"/>
          <w:numId w:val="1"/>
        </w:numPr>
      </w:pPr>
      <w:r>
        <w:t xml:space="preserve">PLN, neoplasia, exogenous </w:t>
      </w:r>
      <w:r w:rsidR="00F97388">
        <w:t>steroid</w:t>
      </w:r>
      <w:r>
        <w:t xml:space="preserve"> use, endocrinopathies (DM, HAC, hypothyroid)</w:t>
      </w:r>
    </w:p>
    <w:p w14:paraId="302E5917" w14:textId="4F6DDBA6" w:rsidR="008669F3" w:rsidRDefault="00883C44" w:rsidP="00CE1017">
      <w:pPr>
        <w:pStyle w:val="ListParagraph"/>
        <w:numPr>
          <w:ilvl w:val="2"/>
          <w:numId w:val="1"/>
        </w:numPr>
      </w:pPr>
      <w:r>
        <w:t>23% cryptogenic</w:t>
      </w:r>
      <w:r w:rsidR="00CE1017">
        <w:t>; had slightly higher survival rate (60% vs 55%</w:t>
      </w:r>
      <w:r w:rsidR="00CC7452">
        <w:t>)</w:t>
      </w:r>
    </w:p>
    <w:p w14:paraId="78995F82" w14:textId="3FF4EEB5" w:rsidR="00B201C4" w:rsidRDefault="00CE1017" w:rsidP="00E8537C">
      <w:pPr>
        <w:pStyle w:val="ListParagraph"/>
        <w:numPr>
          <w:ilvl w:val="1"/>
          <w:numId w:val="1"/>
        </w:numPr>
      </w:pPr>
      <w:r>
        <w:t>Those with PLN had lower AT</w:t>
      </w:r>
    </w:p>
    <w:sectPr w:rsidR="00B201C4" w:rsidSect="006E25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92022"/>
    <w:multiLevelType w:val="hybridMultilevel"/>
    <w:tmpl w:val="0A301BDC"/>
    <w:lvl w:ilvl="0" w:tplc="7FF67A94">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DB"/>
    <w:rsid w:val="000B28FC"/>
    <w:rsid w:val="000C6658"/>
    <w:rsid w:val="0014181B"/>
    <w:rsid w:val="00146011"/>
    <w:rsid w:val="002008AA"/>
    <w:rsid w:val="003156B5"/>
    <w:rsid w:val="00315779"/>
    <w:rsid w:val="003344F0"/>
    <w:rsid w:val="00366340"/>
    <w:rsid w:val="0039088B"/>
    <w:rsid w:val="00396D2C"/>
    <w:rsid w:val="003B6EEC"/>
    <w:rsid w:val="003C4C10"/>
    <w:rsid w:val="003C6B05"/>
    <w:rsid w:val="00481AB0"/>
    <w:rsid w:val="004A55DF"/>
    <w:rsid w:val="004C3701"/>
    <w:rsid w:val="00500686"/>
    <w:rsid w:val="0068267E"/>
    <w:rsid w:val="006E2547"/>
    <w:rsid w:val="00730D0E"/>
    <w:rsid w:val="007B2886"/>
    <w:rsid w:val="008669F3"/>
    <w:rsid w:val="00883C44"/>
    <w:rsid w:val="00895250"/>
    <w:rsid w:val="008C2A6E"/>
    <w:rsid w:val="008E5F73"/>
    <w:rsid w:val="0090480E"/>
    <w:rsid w:val="009145E3"/>
    <w:rsid w:val="0095657E"/>
    <w:rsid w:val="00A32D22"/>
    <w:rsid w:val="00AB3D2B"/>
    <w:rsid w:val="00B16ED7"/>
    <w:rsid w:val="00B201C4"/>
    <w:rsid w:val="00B401D1"/>
    <w:rsid w:val="00BD02B3"/>
    <w:rsid w:val="00BF5BE7"/>
    <w:rsid w:val="00C24D2A"/>
    <w:rsid w:val="00C3011F"/>
    <w:rsid w:val="00CC1896"/>
    <w:rsid w:val="00CC60BD"/>
    <w:rsid w:val="00CC7452"/>
    <w:rsid w:val="00CD2D72"/>
    <w:rsid w:val="00CE1017"/>
    <w:rsid w:val="00DB39AB"/>
    <w:rsid w:val="00E811DB"/>
    <w:rsid w:val="00E8537C"/>
    <w:rsid w:val="00EA4801"/>
    <w:rsid w:val="00F973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55A39DB1"/>
  <w15:chartTrackingRefBased/>
  <w15:docId w15:val="{8624338B-50A1-9E41-9C93-FEFAF46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910372">
      <w:bodyDiv w:val="1"/>
      <w:marLeft w:val="0"/>
      <w:marRight w:val="0"/>
      <w:marTop w:val="0"/>
      <w:marBottom w:val="0"/>
      <w:divBdr>
        <w:top w:val="none" w:sz="0" w:space="0" w:color="auto"/>
        <w:left w:val="none" w:sz="0" w:space="0" w:color="auto"/>
        <w:bottom w:val="none" w:sz="0" w:space="0" w:color="auto"/>
        <w:right w:val="none" w:sz="0" w:space="0" w:color="auto"/>
      </w:divBdr>
      <w:divsChild>
        <w:div w:id="319237140">
          <w:marLeft w:val="0"/>
          <w:marRight w:val="0"/>
          <w:marTop w:val="0"/>
          <w:marBottom w:val="0"/>
          <w:divBdr>
            <w:top w:val="none" w:sz="0" w:space="0" w:color="auto"/>
            <w:left w:val="none" w:sz="0" w:space="0" w:color="auto"/>
            <w:bottom w:val="none" w:sz="0" w:space="0" w:color="auto"/>
            <w:right w:val="none" w:sz="0" w:space="0" w:color="auto"/>
          </w:divBdr>
          <w:divsChild>
            <w:div w:id="1709793041">
              <w:marLeft w:val="0"/>
              <w:marRight w:val="0"/>
              <w:marTop w:val="0"/>
              <w:marBottom w:val="0"/>
              <w:divBdr>
                <w:top w:val="none" w:sz="0" w:space="0" w:color="auto"/>
                <w:left w:val="none" w:sz="0" w:space="0" w:color="auto"/>
                <w:bottom w:val="none" w:sz="0" w:space="0" w:color="auto"/>
                <w:right w:val="none" w:sz="0" w:space="0" w:color="auto"/>
              </w:divBdr>
              <w:divsChild>
                <w:div w:id="2018920856">
                  <w:marLeft w:val="0"/>
                  <w:marRight w:val="0"/>
                  <w:marTop w:val="0"/>
                  <w:marBottom w:val="0"/>
                  <w:divBdr>
                    <w:top w:val="none" w:sz="0" w:space="0" w:color="auto"/>
                    <w:left w:val="none" w:sz="0" w:space="0" w:color="auto"/>
                    <w:bottom w:val="none" w:sz="0" w:space="0" w:color="auto"/>
                    <w:right w:val="none" w:sz="0" w:space="0" w:color="auto"/>
                  </w:divBdr>
                  <w:divsChild>
                    <w:div w:id="409540923">
                      <w:marLeft w:val="0"/>
                      <w:marRight w:val="0"/>
                      <w:marTop w:val="0"/>
                      <w:marBottom w:val="0"/>
                      <w:divBdr>
                        <w:top w:val="none" w:sz="0" w:space="0" w:color="auto"/>
                        <w:left w:val="none" w:sz="0" w:space="0" w:color="auto"/>
                        <w:bottom w:val="none" w:sz="0" w:space="0" w:color="auto"/>
                        <w:right w:val="none" w:sz="0" w:space="0" w:color="auto"/>
                      </w:divBdr>
                      <w:divsChild>
                        <w:div w:id="55635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477841">
              <w:marLeft w:val="0"/>
              <w:marRight w:val="0"/>
              <w:marTop w:val="0"/>
              <w:marBottom w:val="0"/>
              <w:divBdr>
                <w:top w:val="none" w:sz="0" w:space="0" w:color="auto"/>
                <w:left w:val="none" w:sz="0" w:space="0" w:color="auto"/>
                <w:bottom w:val="none" w:sz="0" w:space="0" w:color="auto"/>
                <w:right w:val="none" w:sz="0" w:space="0" w:color="auto"/>
              </w:divBdr>
              <w:divsChild>
                <w:div w:id="180360224">
                  <w:marLeft w:val="0"/>
                  <w:marRight w:val="0"/>
                  <w:marTop w:val="0"/>
                  <w:marBottom w:val="0"/>
                  <w:divBdr>
                    <w:top w:val="none" w:sz="0" w:space="0" w:color="auto"/>
                    <w:left w:val="none" w:sz="0" w:space="0" w:color="auto"/>
                    <w:bottom w:val="none" w:sz="0" w:space="0" w:color="auto"/>
                    <w:right w:val="none" w:sz="0" w:space="0" w:color="auto"/>
                  </w:divBdr>
                  <w:divsChild>
                    <w:div w:id="99341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29918">
              <w:marLeft w:val="0"/>
              <w:marRight w:val="0"/>
              <w:marTop w:val="0"/>
              <w:marBottom w:val="0"/>
              <w:divBdr>
                <w:top w:val="none" w:sz="0" w:space="0" w:color="auto"/>
                <w:left w:val="none" w:sz="0" w:space="0" w:color="auto"/>
                <w:bottom w:val="none" w:sz="0" w:space="0" w:color="auto"/>
                <w:right w:val="none" w:sz="0" w:space="0" w:color="auto"/>
              </w:divBdr>
            </w:div>
          </w:divsChild>
        </w:div>
        <w:div w:id="120153076">
          <w:marLeft w:val="0"/>
          <w:marRight w:val="0"/>
          <w:marTop w:val="0"/>
          <w:marBottom w:val="0"/>
          <w:divBdr>
            <w:top w:val="none" w:sz="0" w:space="0" w:color="auto"/>
            <w:left w:val="none" w:sz="0" w:space="0" w:color="auto"/>
            <w:bottom w:val="none" w:sz="0" w:space="0" w:color="auto"/>
            <w:right w:val="none" w:sz="0" w:space="0" w:color="auto"/>
          </w:divBdr>
          <w:divsChild>
            <w:div w:id="51662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5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1603</Words>
  <Characters>9140</Characters>
  <Application>Microsoft Office Word</Application>
  <DocSecurity>0</DocSecurity>
  <Lines>76</Lines>
  <Paragraphs>21</Paragraphs>
  <ScaleCrop>false</ScaleCrop>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Carissa Tong</dc:creator>
  <cp:keywords/>
  <dc:description/>
  <cp:lastModifiedBy>Carissa Tong</cp:lastModifiedBy>
  <cp:revision>42</cp:revision>
  <dcterms:created xsi:type="dcterms:W3CDTF">2020-09-16T02:25:00Z</dcterms:created>
  <dcterms:modified xsi:type="dcterms:W3CDTF">2020-09-16T16:01:00Z</dcterms:modified>
</cp:coreProperties>
</file>