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18C05" w14:textId="5CD5D6A1" w:rsidR="008E7D49" w:rsidRPr="00D37ECA" w:rsidRDefault="00D160C2">
      <w:pPr>
        <w:rPr>
          <w:rFonts w:asciiTheme="majorHAnsi" w:hAnsiTheme="majorHAnsi" w:cstheme="majorHAnsi"/>
          <w:u w:val="single"/>
        </w:rPr>
      </w:pPr>
      <w:r w:rsidRPr="00D37ECA">
        <w:rPr>
          <w:rFonts w:asciiTheme="majorHAnsi" w:hAnsiTheme="majorHAnsi" w:cstheme="majorHAnsi"/>
          <w:u w:val="single"/>
        </w:rPr>
        <w:t xml:space="preserve">JVIM </w:t>
      </w:r>
      <w:r w:rsidR="00E076FF" w:rsidRPr="00D37ECA">
        <w:rPr>
          <w:rFonts w:asciiTheme="majorHAnsi" w:hAnsiTheme="majorHAnsi" w:cstheme="majorHAnsi"/>
          <w:u w:val="single"/>
        </w:rPr>
        <w:t>Oc</w:t>
      </w:r>
      <w:r w:rsidRPr="00D37ECA">
        <w:rPr>
          <w:rFonts w:asciiTheme="majorHAnsi" w:hAnsiTheme="majorHAnsi" w:cstheme="majorHAnsi"/>
          <w:u w:val="single"/>
        </w:rPr>
        <w:t>t-Dec 2020</w:t>
      </w:r>
    </w:p>
    <w:p w14:paraId="62E3108A" w14:textId="77777777" w:rsidR="00315856" w:rsidRPr="00D37ECA" w:rsidRDefault="00315856" w:rsidP="00315856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drawing>
          <wp:inline distT="0" distB="0" distL="0" distR="0" wp14:anchorId="258B0B70" wp14:editId="62427F82">
            <wp:extent cx="5092700" cy="478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E5799" w14:textId="77777777" w:rsidR="00315856" w:rsidRPr="00D37ECA" w:rsidRDefault="00315856" w:rsidP="00315856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Intro</w:t>
      </w:r>
    </w:p>
    <w:p w14:paraId="27735DC7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Mechanism of toxicity unknown</w:t>
      </w:r>
      <w:r w:rsidRPr="00D37ECA">
        <w:rPr>
          <w:rFonts w:asciiTheme="majorHAnsi" w:hAnsiTheme="majorHAnsi" w:cstheme="majorHAnsi"/>
        </w:rPr>
        <w:tab/>
      </w:r>
    </w:p>
    <w:p w14:paraId="0FE162ED" w14:textId="77777777" w:rsidR="00315856" w:rsidRPr="00D37ECA" w:rsidRDefault="00315856" w:rsidP="00315856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Hypothesis: Mycotoxin contamination, heavy metals/pesticide contamination, excessive vitamin D, tannin intolerance or excessive ingestion of monosaccharides, hypovolemic shock or renal ischemia </w:t>
      </w:r>
    </w:p>
    <w:p w14:paraId="549CEA73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Toxic dose reported: 19.6g/kg grapes, 2.8g/kg raisins</w:t>
      </w:r>
    </w:p>
    <w:p w14:paraId="22DB1B24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Cx: vomiting (81% w/in24h, 100% w/in 48h), other signs of acute uremia (anorexia, lethargy, D+, abd pain, 49% has oliguria/anuria) </w:t>
      </w:r>
    </w:p>
    <w:p w14:paraId="4AACF3FE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Seizures and ataxia reported in 23% of dogs, median onset 2 days, associated w/ negative outcome </w:t>
      </w:r>
    </w:p>
    <w:p w14:paraId="68192ECA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GOALS: Evaluate outcome of dogs w/ GRT compared to those w/ AKI of other origins and evaluate for possible risk factors associated w/ developing neuro signs</w:t>
      </w:r>
    </w:p>
    <w:p w14:paraId="2924DB38" w14:textId="77777777" w:rsidR="00315856" w:rsidRPr="00D37ECA" w:rsidRDefault="00315856" w:rsidP="00315856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Results</w:t>
      </w:r>
    </w:p>
    <w:p w14:paraId="05FAB309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89 dogs met criteria (Cr </w:t>
      </w:r>
      <w:r w:rsidRPr="00D37ECA">
        <w:rPr>
          <w:rFonts w:asciiTheme="majorHAnsi" w:hAnsiTheme="majorHAnsi" w:cstheme="majorHAnsi"/>
          <w:u w:val="single"/>
        </w:rPr>
        <w:t>&gt;</w:t>
      </w:r>
      <w:r w:rsidRPr="00D37ECA">
        <w:rPr>
          <w:rFonts w:asciiTheme="majorHAnsi" w:hAnsiTheme="majorHAnsi" w:cstheme="majorHAnsi"/>
        </w:rPr>
        <w:t xml:space="preserve">1.7mg/dL for at least 24h; incr in Cr </w:t>
      </w:r>
      <w:r w:rsidRPr="00D37ECA">
        <w:rPr>
          <w:rFonts w:asciiTheme="majorHAnsi" w:hAnsiTheme="majorHAnsi" w:cstheme="majorHAnsi"/>
          <w:u w:val="single"/>
        </w:rPr>
        <w:t>&gt;</w:t>
      </w:r>
      <w:r w:rsidRPr="00D37ECA">
        <w:rPr>
          <w:rFonts w:asciiTheme="majorHAnsi" w:hAnsiTheme="majorHAnsi" w:cstheme="majorHAnsi"/>
        </w:rPr>
        <w:t>0.3mg/dL during 1</w:t>
      </w:r>
      <w:r w:rsidRPr="00D37ECA">
        <w:rPr>
          <w:rFonts w:asciiTheme="majorHAnsi" w:hAnsiTheme="majorHAnsi" w:cstheme="majorHAnsi"/>
          <w:vertAlign w:val="superscript"/>
        </w:rPr>
        <w:t>st</w:t>
      </w:r>
      <w:r w:rsidRPr="00D37ECA">
        <w:rPr>
          <w:rFonts w:asciiTheme="majorHAnsi" w:hAnsiTheme="majorHAnsi" w:cstheme="majorHAnsi"/>
        </w:rPr>
        <w:t xml:space="preserve"> 48h; persistent oligo-anuria [UOP&lt;1mL/kg/h over 6h] after volume replacement; evidence of tubular injury based on renal glucosuria or granular cast of </w:t>
      </w:r>
      <w:proofErr w:type="gramStart"/>
      <w:r w:rsidRPr="00D37ECA">
        <w:rPr>
          <w:rFonts w:asciiTheme="majorHAnsi" w:hAnsiTheme="majorHAnsi" w:cstheme="majorHAnsi"/>
        </w:rPr>
        <w:t>UA</w:t>
      </w:r>
      <w:proofErr w:type="gramEnd"/>
      <w:r w:rsidRPr="00D37ECA">
        <w:rPr>
          <w:rFonts w:asciiTheme="majorHAnsi" w:hAnsiTheme="majorHAnsi" w:cstheme="majorHAnsi"/>
        </w:rPr>
        <w:t>)</w:t>
      </w:r>
    </w:p>
    <w:p w14:paraId="7DB322E1" w14:textId="77777777" w:rsidR="00315856" w:rsidRPr="00D37ECA" w:rsidRDefault="00315856" w:rsidP="00315856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17% had GRT-AKI and 83% had other-AKI </w:t>
      </w:r>
    </w:p>
    <w:p w14:paraId="5C4DFDEF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lastRenderedPageBreak/>
        <w:t>GRT-AKI 11/15 dogs had neurological signs: change in LOC, kyphosis, pleurothotonus, head tilt, generalized tremor, ataxia, tetraparesis, hypermetric gai, decr menace, anisocoria, positional ventral strabismus, decr nasal sensation, decr segmental reflexes, seizure (1 dog)</w:t>
      </w:r>
    </w:p>
    <w:p w14:paraId="37139EC1" w14:textId="77777777" w:rsidR="00315856" w:rsidRPr="00D37ECA" w:rsidRDefault="00315856" w:rsidP="00315856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Localization multifocal intracranial: Forebrain (thalamus) and/or cerebellum </w:t>
      </w:r>
    </w:p>
    <w:p w14:paraId="06BE1F4B" w14:textId="77777777" w:rsidR="00315856" w:rsidRPr="00D37ECA" w:rsidRDefault="00315856" w:rsidP="00315856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Neuro signs worsened in 6/11 dogs then regressed over 2-20 days </w:t>
      </w:r>
    </w:p>
    <w:p w14:paraId="46C3372B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Hemodialysis: 12/15 (80%) of GRT-AKI and 46/74 (62%) in other-AKI </w:t>
      </w:r>
    </w:p>
    <w:p w14:paraId="4A284BEE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Outcome: 8/15 (53%) in GRT-AKI survived to discharge; 42/74 (57%) in other-AKI survived to discharge</w:t>
      </w:r>
    </w:p>
    <w:p w14:paraId="06F5C51A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Histopath GRT-AKI: Acute renal tubular necrosis = consistent w/ grape toxicity </w:t>
      </w:r>
    </w:p>
    <w:p w14:paraId="1D972F8B" w14:textId="77777777" w:rsidR="00315856" w:rsidRPr="00D37ECA" w:rsidRDefault="00315856" w:rsidP="00315856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Discussion</w:t>
      </w:r>
    </w:p>
    <w:p w14:paraId="4C07AAB5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Possible causes of neuro involvement: severe uremia, systemic hypertension, electrolyte changes, adverse drug effects, structural damage ot CNS w/ hemorrhage/thrombosis </w:t>
      </w:r>
    </w:p>
    <w:p w14:paraId="5D2CB8F8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Uremic encephalopathy</w:t>
      </w:r>
    </w:p>
    <w:p w14:paraId="17C0EC6B" w14:textId="77777777" w:rsidR="00315856" w:rsidRPr="00D37ECA" w:rsidRDefault="00315856" w:rsidP="00315856">
      <w:pPr>
        <w:pStyle w:val="ListParagraph"/>
        <w:numPr>
          <w:ilvl w:val="1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Multifactorial</w:t>
      </w:r>
    </w:p>
    <w:p w14:paraId="5F3A950B" w14:textId="77777777" w:rsidR="00315856" w:rsidRPr="00D37ECA" w:rsidRDefault="00315856" w:rsidP="00315856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Accumulation of protein degradation </w:t>
      </w:r>
      <w:proofErr w:type="gramStart"/>
      <w:r w:rsidRPr="00D37ECA">
        <w:rPr>
          <w:rFonts w:asciiTheme="majorHAnsi" w:hAnsiTheme="majorHAnsi" w:cstheme="majorHAnsi"/>
        </w:rPr>
        <w:t>products(</w:t>
      </w:r>
      <w:proofErr w:type="gramEnd"/>
      <w:r w:rsidRPr="00D37ECA">
        <w:rPr>
          <w:rFonts w:asciiTheme="majorHAnsi" w:hAnsiTheme="majorHAnsi" w:cstheme="majorHAnsi"/>
        </w:rPr>
        <w:t xml:space="preserve">e.g. guanidine and methylguanidine) </w:t>
      </w:r>
      <w:r w:rsidRPr="00D37ECA">
        <w:rPr>
          <w:rFonts w:asciiTheme="majorHAnsi" w:hAnsiTheme="majorHAnsi" w:cstheme="majorHAnsi"/>
        </w:rPr>
        <w:sym w:font="Wingdings" w:char="F0E0"/>
      </w:r>
      <w:r w:rsidRPr="00D37ECA">
        <w:rPr>
          <w:rFonts w:asciiTheme="majorHAnsi" w:hAnsiTheme="majorHAnsi" w:cstheme="majorHAnsi"/>
        </w:rPr>
        <w:t>act as uremic neurotoxins</w:t>
      </w:r>
    </w:p>
    <w:p w14:paraId="6574AE78" w14:textId="77777777" w:rsidR="00315856" w:rsidRPr="00D37ECA" w:rsidRDefault="00315856" w:rsidP="00315856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Malfunction of intermediary metabolism</w:t>
      </w:r>
    </w:p>
    <w:p w14:paraId="48562BE0" w14:textId="77777777" w:rsidR="00315856" w:rsidRPr="00D37ECA" w:rsidRDefault="00315856" w:rsidP="00315856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Hormonal disturbances</w:t>
      </w:r>
    </w:p>
    <w:p w14:paraId="2CDE1B00" w14:textId="77777777" w:rsidR="00315856" w:rsidRPr="00D37ECA" w:rsidRDefault="00315856" w:rsidP="00315856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Imbalance b/w excitatory and inhibitory NTMs</w:t>
      </w:r>
    </w:p>
    <w:p w14:paraId="5FBE94AF" w14:textId="77777777" w:rsidR="00315856" w:rsidRPr="00D37ECA" w:rsidRDefault="00315856" w:rsidP="00315856">
      <w:pPr>
        <w:pStyle w:val="ListParagraph"/>
        <w:numPr>
          <w:ilvl w:val="2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Renal 2ry hyperparathyroidism contribute in people – Elevated [Ca2+] in the brain d/t altered PTH-sensitive Ca2+ transport </w:t>
      </w:r>
      <w:r w:rsidRPr="00D37ECA">
        <w:rPr>
          <w:rFonts w:asciiTheme="majorHAnsi" w:hAnsiTheme="majorHAnsi" w:cstheme="majorHAnsi"/>
        </w:rPr>
        <w:sym w:font="Wingdings" w:char="F0E0"/>
      </w:r>
      <w:r w:rsidRPr="00D37ECA">
        <w:rPr>
          <w:rFonts w:asciiTheme="majorHAnsi" w:hAnsiTheme="majorHAnsi" w:cstheme="majorHAnsi"/>
        </w:rPr>
        <w:t xml:space="preserve"> Incr Ca2+ may incr neuroexcitation and contribute to signs</w:t>
      </w:r>
    </w:p>
    <w:p w14:paraId="2D5AD491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GRT-AKI dog had significantly elevated Ca (total only, not ionized)</w:t>
      </w:r>
    </w:p>
    <w:p w14:paraId="10999419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Neuro signs in GRT-AKI unlikely d/t uremic encephalopathy b/c no histopath changes found</w:t>
      </w:r>
    </w:p>
    <w:p w14:paraId="6ED33941" w14:textId="77777777" w:rsidR="00315856" w:rsidRPr="00D37ECA" w:rsidRDefault="00315856" w:rsidP="0031585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Dialysis-related DDS, AlOH toxicity, systemic hypertension considered less likely</w:t>
      </w:r>
    </w:p>
    <w:p w14:paraId="384858F7" w14:textId="77777777" w:rsidR="00315856" w:rsidRPr="00D37ECA" w:rsidRDefault="00315856" w:rsidP="00315856">
      <w:pPr>
        <w:rPr>
          <w:rFonts w:asciiTheme="majorHAnsi" w:hAnsiTheme="majorHAnsi" w:cstheme="majorHAnsi"/>
          <w:u w:val="single"/>
        </w:rPr>
      </w:pPr>
    </w:p>
    <w:p w14:paraId="4A89DA5D" w14:textId="77777777" w:rsidR="00315856" w:rsidRPr="00D37ECA" w:rsidRDefault="00315856" w:rsidP="00315856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  <w:u w:val="single"/>
        </w:rPr>
        <w:t>Bottomline</w:t>
      </w:r>
      <w:r w:rsidRPr="00D37ECA">
        <w:rPr>
          <w:rFonts w:asciiTheme="majorHAnsi" w:hAnsiTheme="majorHAnsi" w:cstheme="majorHAnsi"/>
        </w:rPr>
        <w:t>: In GRT dogs w/ severe oligoanuric AKI, neuro signs are prevalent (&gt;75%) and is usually multifocal intracranial (forebrain +/- cerebellum), with overall survival of 53%</w:t>
      </w:r>
    </w:p>
    <w:p w14:paraId="1297C166" w14:textId="77777777" w:rsidR="00315856" w:rsidRPr="00D37ECA" w:rsidRDefault="00315856">
      <w:pPr>
        <w:rPr>
          <w:rFonts w:asciiTheme="majorHAnsi" w:hAnsiTheme="majorHAnsi" w:cstheme="majorHAnsi"/>
          <w:u w:val="single"/>
        </w:rPr>
      </w:pPr>
    </w:p>
    <w:p w14:paraId="41852261" w14:textId="4151D30D" w:rsidR="008E7D49" w:rsidRPr="00D37ECA" w:rsidRDefault="008E7D49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lastRenderedPageBreak/>
        <w:drawing>
          <wp:inline distT="0" distB="0" distL="0" distR="0" wp14:anchorId="7641ECA9" wp14:editId="5A210F39">
            <wp:extent cx="5359400" cy="5118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A6F4A" w14:textId="60068068" w:rsidR="008E7D49" w:rsidRPr="00D37ECA" w:rsidRDefault="008E7D49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drawing>
          <wp:inline distT="0" distB="0" distL="0" distR="0" wp14:anchorId="74790319" wp14:editId="6178D6CF">
            <wp:extent cx="5410200" cy="1104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19E5" w14:textId="43998E25" w:rsidR="008E7D49" w:rsidRPr="00D37ECA" w:rsidRDefault="00C04CD6" w:rsidP="00C04CD6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Intro</w:t>
      </w:r>
    </w:p>
    <w:p w14:paraId="74EF053E" w14:textId="5C2E3F91" w:rsidR="00494683" w:rsidRPr="00D37ECA" w:rsidRDefault="00494683" w:rsidP="00494683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Unclear if pimo/Lasix superior to ACEi/lasix</w:t>
      </w:r>
    </w:p>
    <w:p w14:paraId="4164F0BC" w14:textId="77777777" w:rsidR="00F4206F" w:rsidRPr="00D37ECA" w:rsidRDefault="00F4206F" w:rsidP="00F4206F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Ramipril </w:t>
      </w:r>
    </w:p>
    <w:p w14:paraId="557ADD36" w14:textId="77777777" w:rsidR="00F4206F" w:rsidRPr="00D37ECA" w:rsidRDefault="00F4206F" w:rsidP="00F4206F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Prodrug metabolized to active metabolite ramiprilat</w:t>
      </w:r>
    </w:p>
    <w:p w14:paraId="0937C096" w14:textId="28A2EF96" w:rsidR="00F4206F" w:rsidRPr="00D37ECA" w:rsidRDefault="00F4206F" w:rsidP="00F4206F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Excreted by the kidneys; t 1/2 prolonged by heart, liver, and kidney failure</w:t>
      </w:r>
    </w:p>
    <w:p w14:paraId="0A00DA31" w14:textId="3C5FCB94" w:rsidR="00B212F6" w:rsidRPr="00D37ECA" w:rsidRDefault="00B212F6" w:rsidP="00B212F6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Benefits of ACEi in CHF: Decr peripheral + pulmonary vascular resistance, decr MAP + RAP + PCWP with no change in HR, may incr CO/SV and exercise tolerance </w:t>
      </w:r>
    </w:p>
    <w:p w14:paraId="60588381" w14:textId="77777777" w:rsidR="00DD52C5" w:rsidRPr="00D37ECA" w:rsidRDefault="00912BD6" w:rsidP="00DD52C5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STUDY GOAL: Evaluate if ACEi (ramipril) to pimo/Lasix has a +ve effect to mortality </w:t>
      </w:r>
    </w:p>
    <w:p w14:paraId="26B34071" w14:textId="7D3F6F98" w:rsidR="00CF6DEA" w:rsidRPr="00D37ECA" w:rsidRDefault="00CF6DEA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Discussion:</w:t>
      </w:r>
    </w:p>
    <w:p w14:paraId="05A9078B" w14:textId="34E1F38F" w:rsidR="00CF6DEA" w:rsidRPr="00D37ECA" w:rsidRDefault="00CF6DEA" w:rsidP="00CF6DEA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Survival time in this study comparable to QUEST study </w:t>
      </w:r>
    </w:p>
    <w:p w14:paraId="30EC0210" w14:textId="77777777" w:rsidR="001918A5" w:rsidRPr="00D37ECA" w:rsidRDefault="001918A5" w:rsidP="001918A5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lastRenderedPageBreak/>
        <w:t>QUEST study: Randomized pimo vs benazepril in additional to Lasix in MMVD and CHF</w:t>
      </w:r>
    </w:p>
    <w:p w14:paraId="6917F42E" w14:textId="77777777" w:rsidR="001918A5" w:rsidRPr="00D37ECA" w:rsidRDefault="001918A5" w:rsidP="001918A5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Median time to endpoint sig. longer in pimo group (267d) than benazepril (140d) </w:t>
      </w:r>
      <w:r w:rsidRPr="00D37ECA">
        <w:rPr>
          <w:rFonts w:asciiTheme="majorHAnsi" w:hAnsiTheme="majorHAnsi" w:cstheme="majorHAnsi"/>
        </w:rPr>
        <w:sym w:font="Wingdings" w:char="F0E0"/>
      </w:r>
      <w:r w:rsidRPr="00D37ECA">
        <w:rPr>
          <w:rFonts w:asciiTheme="majorHAnsi" w:hAnsiTheme="majorHAnsi" w:cstheme="majorHAnsi"/>
        </w:rPr>
        <w:t xml:space="preserve"> dual therapy w/ pimo/Lasix superior to lasix/ACEi</w:t>
      </w:r>
    </w:p>
    <w:p w14:paraId="45892F21" w14:textId="38605AD0" w:rsidR="00CB3BFF" w:rsidRPr="00D37ECA" w:rsidRDefault="00DA09F9" w:rsidP="00CB3BFF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IMPROVE + COVE studies (short-term trials</w:t>
      </w:r>
      <w:r w:rsidR="00CB3BFF" w:rsidRPr="00D37ECA">
        <w:rPr>
          <w:rFonts w:asciiTheme="majorHAnsi" w:hAnsiTheme="majorHAnsi" w:cstheme="majorHAnsi"/>
        </w:rPr>
        <w:t xml:space="preserve">) </w:t>
      </w:r>
      <w:r w:rsidR="001F7C96" w:rsidRPr="00D37ECA">
        <w:rPr>
          <w:rFonts w:asciiTheme="majorHAnsi" w:hAnsiTheme="majorHAnsi" w:cstheme="majorHAnsi"/>
        </w:rPr>
        <w:t>include</w:t>
      </w:r>
      <w:r w:rsidR="001F7C96">
        <w:rPr>
          <w:rFonts w:asciiTheme="majorHAnsi" w:hAnsiTheme="majorHAnsi" w:cstheme="majorHAnsi"/>
        </w:rPr>
        <w:t>d</w:t>
      </w:r>
      <w:r w:rsidR="00CB3BFF" w:rsidRPr="00D37ECA">
        <w:rPr>
          <w:rFonts w:asciiTheme="majorHAnsi" w:hAnsiTheme="majorHAnsi" w:cstheme="majorHAnsi"/>
        </w:rPr>
        <w:t xml:space="preserve"> dogs w/ DVM + MMVD and had shown short-term benefits in DCM compared to MMVD in CHF class + pulmonary edema scores</w:t>
      </w:r>
    </w:p>
    <w:p w14:paraId="56FF76C8" w14:textId="6E419C08" w:rsidR="001918A5" w:rsidRPr="00D37ECA" w:rsidRDefault="001918A5" w:rsidP="001918A5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LIVE + BENCH study groups</w:t>
      </w:r>
      <w:r w:rsidR="00DA09F9" w:rsidRPr="00D37ECA">
        <w:rPr>
          <w:rFonts w:asciiTheme="majorHAnsi" w:hAnsiTheme="majorHAnsi" w:cstheme="majorHAnsi"/>
        </w:rPr>
        <w:t xml:space="preserve"> (long-term trials)</w:t>
      </w:r>
      <w:r w:rsidRPr="00D37ECA">
        <w:rPr>
          <w:rFonts w:asciiTheme="majorHAnsi" w:hAnsiTheme="majorHAnsi" w:cstheme="majorHAnsi"/>
        </w:rPr>
        <w:t xml:space="preserve"> confirmed prolonged survival times in dogs receiving ACEi + Lasix </w:t>
      </w:r>
    </w:p>
    <w:p w14:paraId="217CA9FB" w14:textId="2E8CF0BC" w:rsidR="001918A5" w:rsidRPr="00D37ECA" w:rsidRDefault="001918A5" w:rsidP="001918A5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BENCH study 1999 Effect of benazepril on survival times + Cx of </w:t>
      </w:r>
      <w:r w:rsidR="005166FE" w:rsidRPr="00D37ECA">
        <w:rPr>
          <w:rFonts w:asciiTheme="majorHAnsi" w:hAnsiTheme="majorHAnsi" w:cstheme="majorHAnsi"/>
        </w:rPr>
        <w:t>MMVD dogs</w:t>
      </w:r>
      <w:r w:rsidR="00CD41FB" w:rsidRPr="00D37ECA">
        <w:rPr>
          <w:rFonts w:asciiTheme="majorHAnsi" w:hAnsiTheme="majorHAnsi" w:cstheme="majorHAnsi"/>
        </w:rPr>
        <w:t xml:space="preserve"> </w:t>
      </w:r>
      <w:r w:rsidRPr="00D37ECA">
        <w:rPr>
          <w:rFonts w:asciiTheme="majorHAnsi" w:hAnsiTheme="majorHAnsi" w:cstheme="majorHAnsi"/>
        </w:rPr>
        <w:t>with CHF -- Benazepril extended lifespan (2.7x longer), reduced risk of worsening CHF, improve exercise tolerance and global clinical condition at day 28</w:t>
      </w:r>
    </w:p>
    <w:p w14:paraId="6FFC26E3" w14:textId="60692F6F" w:rsidR="000B20A2" w:rsidRPr="00D37ECA" w:rsidRDefault="000B20A2" w:rsidP="000B20A2">
      <w:pPr>
        <w:pStyle w:val="ListParagraph"/>
        <w:numPr>
          <w:ilvl w:val="2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Not all dogs in CHF = not all received diuretics </w:t>
      </w:r>
    </w:p>
    <w:p w14:paraId="4691B50F" w14:textId="0D82F07F" w:rsidR="001918A5" w:rsidRPr="00D37ECA" w:rsidRDefault="001918A5" w:rsidP="001918A5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LIVE study 1998 Effects of enalapril on survival of dogs w/ CHF (DMVD or DCM): Enalapril + </w:t>
      </w:r>
      <w:r w:rsidR="004A062A" w:rsidRPr="00D37ECA">
        <w:rPr>
          <w:rFonts w:asciiTheme="majorHAnsi" w:hAnsiTheme="majorHAnsi" w:cstheme="majorHAnsi"/>
        </w:rPr>
        <w:t>lasix</w:t>
      </w:r>
      <w:r w:rsidRPr="00D37ECA">
        <w:rPr>
          <w:rFonts w:asciiTheme="majorHAnsi" w:hAnsiTheme="majorHAnsi" w:cstheme="majorHAnsi"/>
        </w:rPr>
        <w:t xml:space="preserve"> was beneficial </w:t>
      </w:r>
      <w:r w:rsidR="004A062A" w:rsidRPr="00D37ECA">
        <w:rPr>
          <w:rFonts w:asciiTheme="majorHAnsi" w:hAnsiTheme="majorHAnsi" w:cstheme="majorHAnsi"/>
        </w:rPr>
        <w:t>to Lasix alone</w:t>
      </w:r>
    </w:p>
    <w:p w14:paraId="5B499528" w14:textId="0676C586" w:rsidR="001918A5" w:rsidRPr="00D37ECA" w:rsidRDefault="00ED1E11" w:rsidP="00CF6DEA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In people, mostly recommend sx for valve repair/replacement so sparse data for use of medical tx (AC</w:t>
      </w:r>
      <w:r w:rsidR="00CF42CF" w:rsidRPr="00D37ECA">
        <w:rPr>
          <w:rFonts w:asciiTheme="majorHAnsi" w:hAnsiTheme="majorHAnsi" w:cstheme="majorHAnsi"/>
        </w:rPr>
        <w:t>E</w:t>
      </w:r>
      <w:r w:rsidRPr="00D37ECA">
        <w:rPr>
          <w:rFonts w:asciiTheme="majorHAnsi" w:hAnsiTheme="majorHAnsi" w:cstheme="majorHAnsi"/>
        </w:rPr>
        <w:t>i, ARBs)</w:t>
      </w:r>
      <w:r w:rsidR="00CF42CF" w:rsidRPr="00D37ECA">
        <w:rPr>
          <w:rFonts w:asciiTheme="majorHAnsi" w:hAnsiTheme="majorHAnsi" w:cstheme="majorHAnsi"/>
        </w:rPr>
        <w:t xml:space="preserve"> – mainly recc ACEi if systemic hypertension is present </w:t>
      </w:r>
    </w:p>
    <w:p w14:paraId="0CE44ECE" w14:textId="2C39EC5C" w:rsidR="009902D9" w:rsidRPr="00D37ECA" w:rsidRDefault="00C04CD6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Bottomline: </w:t>
      </w:r>
      <w:r w:rsidR="00CF6DEA" w:rsidRPr="00D37ECA">
        <w:rPr>
          <w:rFonts w:asciiTheme="majorHAnsi" w:hAnsiTheme="majorHAnsi" w:cstheme="majorHAnsi"/>
          <w:b/>
          <w:bCs/>
        </w:rPr>
        <w:t xml:space="preserve">VALVE trial = </w:t>
      </w:r>
      <w:r w:rsidR="005D1BE4" w:rsidRPr="00D37ECA">
        <w:rPr>
          <w:rFonts w:asciiTheme="majorHAnsi" w:hAnsiTheme="majorHAnsi" w:cstheme="majorHAnsi"/>
        </w:rPr>
        <w:t xml:space="preserve">Triple therapy (as recommended by ACVIM guidelines) did not have a significant effect on survival time in dogs w/ CHF caused by MMVD. </w:t>
      </w:r>
    </w:p>
    <w:p w14:paraId="452D627C" w14:textId="77777777" w:rsidR="009902D9" w:rsidRPr="00D37ECA" w:rsidRDefault="009902D9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br w:type="page"/>
      </w:r>
    </w:p>
    <w:p w14:paraId="1FEB982E" w14:textId="438AFEA1" w:rsidR="00CF6DEA" w:rsidRPr="00D37ECA" w:rsidRDefault="00D960E1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lastRenderedPageBreak/>
        <w:drawing>
          <wp:inline distT="0" distB="0" distL="0" distR="0" wp14:anchorId="6B819D75" wp14:editId="66827635">
            <wp:extent cx="5194300" cy="5486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7ECA">
        <w:rPr>
          <w:rFonts w:asciiTheme="majorHAnsi" w:hAnsiTheme="majorHAnsi" w:cstheme="majorHAnsi"/>
        </w:rPr>
        <w:drawing>
          <wp:inline distT="0" distB="0" distL="0" distR="0" wp14:anchorId="36D8AF74" wp14:editId="31CFCF95">
            <wp:extent cx="5156200" cy="977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640CC" w14:textId="7FD95596" w:rsidR="00B0188D" w:rsidRPr="00D37ECA" w:rsidRDefault="00B0188D" w:rsidP="00B0188D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Intro</w:t>
      </w:r>
    </w:p>
    <w:p w14:paraId="4FB554A7" w14:textId="4B97B3A0" w:rsidR="00366E91" w:rsidRPr="00D37ECA" w:rsidRDefault="00366E91" w:rsidP="00366E91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Thrombocytopenia prevalence 5-7% and most common indication for plt transfusion </w:t>
      </w:r>
    </w:p>
    <w:p w14:paraId="15D2E95A" w14:textId="7D0B78D3" w:rsidR="00366E91" w:rsidRPr="00D37ECA" w:rsidRDefault="00366E91" w:rsidP="00366E91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Causes of thrombocytopenia: ITP, DIC, bone marrow disorder, neoplasia, rickettsial dz (anaplasma, ehrlichiosis); trauma huge in people </w:t>
      </w:r>
    </w:p>
    <w:p w14:paraId="3C273A9A" w14:textId="3B6EBFC0" w:rsidR="00FA3257" w:rsidRPr="00D37ECA" w:rsidRDefault="00FA3257" w:rsidP="00366E91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Human guidelines for plt transfusion: Plt count &lt;50 x10</w:t>
      </w:r>
      <w:r w:rsidRPr="00D37ECA">
        <w:rPr>
          <w:rFonts w:asciiTheme="majorHAnsi" w:hAnsiTheme="majorHAnsi" w:cstheme="majorHAnsi"/>
          <w:vertAlign w:val="superscript"/>
        </w:rPr>
        <w:t>3</w:t>
      </w:r>
      <w:r w:rsidRPr="00D37ECA">
        <w:rPr>
          <w:rFonts w:asciiTheme="majorHAnsi" w:hAnsiTheme="majorHAnsi" w:cstheme="majorHAnsi"/>
        </w:rPr>
        <w:t>uL undergoing sx/liver bx and those w/ active bleeding and plt count &lt;30x10</w:t>
      </w:r>
      <w:r w:rsidRPr="00D37ECA">
        <w:rPr>
          <w:rFonts w:asciiTheme="majorHAnsi" w:hAnsiTheme="majorHAnsi" w:cstheme="majorHAnsi"/>
          <w:vertAlign w:val="superscript"/>
        </w:rPr>
        <w:t>3</w:t>
      </w:r>
      <w:r w:rsidRPr="00D37ECA">
        <w:rPr>
          <w:rFonts w:asciiTheme="majorHAnsi" w:hAnsiTheme="majorHAnsi" w:cstheme="majorHAnsi"/>
        </w:rPr>
        <w:t>uL</w:t>
      </w:r>
    </w:p>
    <w:p w14:paraId="22BF0151" w14:textId="0474B467" w:rsidR="00074106" w:rsidRPr="00D37ECA" w:rsidRDefault="00074106" w:rsidP="00366E91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STUDY GOAL: Compare </w:t>
      </w:r>
      <w:r w:rsidR="00946938" w:rsidRPr="00D37ECA">
        <w:rPr>
          <w:rFonts w:asciiTheme="majorHAnsi" w:hAnsiTheme="majorHAnsi" w:cstheme="majorHAnsi"/>
        </w:rPr>
        <w:t xml:space="preserve">the safety and efficacy of </w:t>
      </w:r>
      <w:r w:rsidRPr="00D37ECA">
        <w:rPr>
          <w:rFonts w:asciiTheme="majorHAnsi" w:hAnsiTheme="majorHAnsi" w:cstheme="majorHAnsi"/>
        </w:rPr>
        <w:t>canine cryopreserved plt concentrates (CPP) vs</w:t>
      </w:r>
      <w:r w:rsidR="00946938" w:rsidRPr="00D37ECA">
        <w:rPr>
          <w:rFonts w:asciiTheme="majorHAnsi" w:hAnsiTheme="majorHAnsi" w:cstheme="majorHAnsi"/>
        </w:rPr>
        <w:t xml:space="preserve"> trehalose-stabilized</w:t>
      </w:r>
      <w:r w:rsidRPr="00D37ECA">
        <w:rPr>
          <w:rFonts w:asciiTheme="majorHAnsi" w:hAnsiTheme="majorHAnsi" w:cstheme="majorHAnsi"/>
        </w:rPr>
        <w:t xml:space="preserve"> lyophilized (freeze-dried) plt </w:t>
      </w:r>
      <w:r w:rsidR="004F3CB7" w:rsidRPr="00D37ECA">
        <w:rPr>
          <w:rFonts w:asciiTheme="majorHAnsi" w:hAnsiTheme="majorHAnsi" w:cstheme="majorHAnsi"/>
        </w:rPr>
        <w:t>(LP)</w:t>
      </w:r>
    </w:p>
    <w:p w14:paraId="3529DBFA" w14:textId="653AFB9A" w:rsidR="00B0188D" w:rsidRPr="00D37ECA" w:rsidRDefault="00B0188D" w:rsidP="00B0188D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Results</w:t>
      </w:r>
    </w:p>
    <w:p w14:paraId="22D33AC2" w14:textId="50101C2F" w:rsidR="00342112" w:rsidRPr="00D37ECA" w:rsidRDefault="00342112" w:rsidP="00342112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lastRenderedPageBreak/>
        <w:t xml:space="preserve">88 </w:t>
      </w:r>
      <w:proofErr w:type="gramStart"/>
      <w:r w:rsidRPr="00D37ECA">
        <w:rPr>
          <w:rFonts w:asciiTheme="majorHAnsi" w:hAnsiTheme="majorHAnsi" w:cstheme="majorHAnsi"/>
        </w:rPr>
        <w:t>dogs</w:t>
      </w:r>
      <w:proofErr w:type="gramEnd"/>
      <w:r w:rsidRPr="00D37ECA">
        <w:rPr>
          <w:rFonts w:asciiTheme="majorHAnsi" w:hAnsiTheme="majorHAnsi" w:cstheme="majorHAnsi"/>
        </w:rPr>
        <w:t xml:space="preserve"> total: 50 LP and 38 CPP</w:t>
      </w:r>
    </w:p>
    <w:p w14:paraId="15161496" w14:textId="3C77E73C" w:rsidR="0073179E" w:rsidRPr="00D37ECA" w:rsidRDefault="0073179E" w:rsidP="00342112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No diff in change in plt count pre- and post-transfusion b/w 2 groups and LP was non-inferior to CPP at both time points </w:t>
      </w:r>
    </w:p>
    <w:p w14:paraId="5EEEB8F8" w14:textId="3CAF550C" w:rsidR="0073179E" w:rsidRPr="00D37ECA" w:rsidRDefault="0073179E" w:rsidP="00342112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 xml:space="preserve">No diff in </w:t>
      </w:r>
      <w:r w:rsidR="003B5EBB" w:rsidRPr="00D37ECA">
        <w:rPr>
          <w:rFonts w:asciiTheme="majorHAnsi" w:hAnsiTheme="majorHAnsi" w:cstheme="majorHAnsi"/>
        </w:rPr>
        <w:t xml:space="preserve">DOGiBAT scores, </w:t>
      </w:r>
      <w:r w:rsidR="007E1D02" w:rsidRPr="00D37ECA">
        <w:rPr>
          <w:rFonts w:asciiTheme="majorHAnsi" w:hAnsiTheme="majorHAnsi" w:cstheme="majorHAnsi"/>
        </w:rPr>
        <w:t xml:space="preserve">pRBC transfusion requirement, </w:t>
      </w:r>
      <w:r w:rsidR="003B5EBB" w:rsidRPr="00D37ECA">
        <w:rPr>
          <w:rFonts w:asciiTheme="majorHAnsi" w:hAnsiTheme="majorHAnsi" w:cstheme="majorHAnsi"/>
        </w:rPr>
        <w:t xml:space="preserve">case fatality rate, </w:t>
      </w:r>
      <w:r w:rsidR="00A96034" w:rsidRPr="00D37ECA">
        <w:rPr>
          <w:rFonts w:asciiTheme="majorHAnsi" w:hAnsiTheme="majorHAnsi" w:cstheme="majorHAnsi"/>
        </w:rPr>
        <w:t>clinically relevant adverse effects</w:t>
      </w:r>
      <w:r w:rsidR="00BF11CC" w:rsidRPr="00D37ECA">
        <w:rPr>
          <w:rFonts w:asciiTheme="majorHAnsi" w:hAnsiTheme="majorHAnsi" w:cstheme="majorHAnsi"/>
        </w:rPr>
        <w:t>, BMBT or PT/PTT b/w gro</w:t>
      </w:r>
      <w:r w:rsidR="00960CE5" w:rsidRPr="00D37ECA">
        <w:rPr>
          <w:rFonts w:asciiTheme="majorHAnsi" w:hAnsiTheme="majorHAnsi" w:cstheme="majorHAnsi"/>
        </w:rPr>
        <w:t>ups</w:t>
      </w:r>
    </w:p>
    <w:p w14:paraId="2D5E85B4" w14:textId="6E0E3378" w:rsidR="004C43E0" w:rsidRPr="00D37ECA" w:rsidRDefault="004C43E0" w:rsidP="00007B9A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Discussion</w:t>
      </w:r>
    </w:p>
    <w:p w14:paraId="19F4A186" w14:textId="2C871422" w:rsidR="001C7E47" w:rsidRPr="00D37ECA" w:rsidRDefault="001C7E47" w:rsidP="00342112">
      <w:pPr>
        <w:pStyle w:val="ListParagraph"/>
        <w:numPr>
          <w:ilvl w:val="0"/>
          <w:numId w:val="4"/>
        </w:num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t>LP products has logistical benefit: stored at room-temp</w:t>
      </w:r>
      <w:r w:rsidR="00E21DB4" w:rsidRPr="00D37ECA">
        <w:rPr>
          <w:rFonts w:asciiTheme="majorHAnsi" w:hAnsiTheme="majorHAnsi" w:cstheme="majorHAnsi"/>
        </w:rPr>
        <w:t xml:space="preserve"> and doesn’t require thawing</w:t>
      </w:r>
      <w:r w:rsidRPr="00D37ECA">
        <w:rPr>
          <w:rFonts w:asciiTheme="majorHAnsi" w:hAnsiTheme="majorHAnsi" w:cstheme="majorHAnsi"/>
        </w:rPr>
        <w:t>,</w:t>
      </w:r>
      <w:r w:rsidR="00E21DB4" w:rsidRPr="00D37ECA">
        <w:rPr>
          <w:rFonts w:asciiTheme="majorHAnsi" w:hAnsiTheme="majorHAnsi" w:cstheme="majorHAnsi"/>
        </w:rPr>
        <w:t xml:space="preserve"> has a</w:t>
      </w:r>
      <w:r w:rsidRPr="00D37ECA">
        <w:rPr>
          <w:rFonts w:asciiTheme="majorHAnsi" w:hAnsiTheme="majorHAnsi" w:cstheme="majorHAnsi"/>
        </w:rPr>
        <w:t xml:space="preserve"> longer shelf life (24m)</w:t>
      </w:r>
      <w:r w:rsidR="00E21DB4" w:rsidRPr="00D37ECA">
        <w:rPr>
          <w:rFonts w:asciiTheme="majorHAnsi" w:hAnsiTheme="majorHAnsi" w:cstheme="majorHAnsi"/>
        </w:rPr>
        <w:t xml:space="preserve">, </w:t>
      </w:r>
      <w:r w:rsidRPr="00D37ECA">
        <w:rPr>
          <w:rFonts w:asciiTheme="majorHAnsi" w:hAnsiTheme="majorHAnsi" w:cstheme="majorHAnsi"/>
        </w:rPr>
        <w:t xml:space="preserve">and can be prepared rapidly (~15 min prep + rehydration and 30 min administration) </w:t>
      </w:r>
    </w:p>
    <w:p w14:paraId="04FE79E2" w14:textId="05F4055A" w:rsidR="00B0188D" w:rsidRPr="00D37ECA" w:rsidRDefault="00B0188D" w:rsidP="00B0188D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  <w:u w:val="single"/>
        </w:rPr>
        <w:t>Bottomline:</w:t>
      </w:r>
      <w:r w:rsidR="00C554A3" w:rsidRPr="00D37ECA">
        <w:rPr>
          <w:rFonts w:asciiTheme="majorHAnsi" w:hAnsiTheme="majorHAnsi" w:cstheme="majorHAnsi"/>
        </w:rPr>
        <w:t xml:space="preserve"> StablePlate Rx is non inferior to DMSO-stabilized frozen platelet for management of thrombocytopenia in dog, and may be logistically superior </w:t>
      </w:r>
    </w:p>
    <w:p w14:paraId="606D7AA1" w14:textId="33A83F25" w:rsidR="00D160C2" w:rsidRPr="00D37ECA" w:rsidRDefault="00CF6DEA">
      <w:pPr>
        <w:rPr>
          <w:rFonts w:asciiTheme="majorHAnsi" w:hAnsiTheme="majorHAnsi" w:cstheme="majorHAnsi"/>
        </w:rPr>
      </w:pPr>
      <w:r w:rsidRPr="00D37ECA">
        <w:rPr>
          <w:rFonts w:asciiTheme="majorHAnsi" w:hAnsiTheme="majorHAnsi" w:cstheme="majorHAnsi"/>
        </w:rPr>
        <w:br w:type="page"/>
      </w:r>
    </w:p>
    <w:sectPr w:rsidR="00D160C2" w:rsidRPr="00D37ECA" w:rsidSect="006E2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226530"/>
    <w:multiLevelType w:val="hybridMultilevel"/>
    <w:tmpl w:val="7324B934"/>
    <w:lvl w:ilvl="0" w:tplc="DCD4534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21CBE"/>
    <w:multiLevelType w:val="hybridMultilevel"/>
    <w:tmpl w:val="C764F3A8"/>
    <w:lvl w:ilvl="0" w:tplc="1640DC6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E527F"/>
    <w:multiLevelType w:val="hybridMultilevel"/>
    <w:tmpl w:val="97EEFBFC"/>
    <w:lvl w:ilvl="0" w:tplc="A776C4B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D2F06"/>
    <w:multiLevelType w:val="hybridMultilevel"/>
    <w:tmpl w:val="C0D8C644"/>
    <w:lvl w:ilvl="0" w:tplc="D440374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C2"/>
    <w:rsid w:val="00007B9A"/>
    <w:rsid w:val="00060B0E"/>
    <w:rsid w:val="00074106"/>
    <w:rsid w:val="00077045"/>
    <w:rsid w:val="000B20A2"/>
    <w:rsid w:val="000D450E"/>
    <w:rsid w:val="000F4067"/>
    <w:rsid w:val="00183BA3"/>
    <w:rsid w:val="001918A5"/>
    <w:rsid w:val="001C17B4"/>
    <w:rsid w:val="001C7E47"/>
    <w:rsid w:val="001E12C0"/>
    <w:rsid w:val="001F7C96"/>
    <w:rsid w:val="00212470"/>
    <w:rsid w:val="00224F91"/>
    <w:rsid w:val="00251D80"/>
    <w:rsid w:val="00276043"/>
    <w:rsid w:val="002D35D8"/>
    <w:rsid w:val="002F3D04"/>
    <w:rsid w:val="003101EE"/>
    <w:rsid w:val="00315856"/>
    <w:rsid w:val="00330129"/>
    <w:rsid w:val="00342112"/>
    <w:rsid w:val="003462A3"/>
    <w:rsid w:val="00366E91"/>
    <w:rsid w:val="003B5EBB"/>
    <w:rsid w:val="003B6EEC"/>
    <w:rsid w:val="003C6B05"/>
    <w:rsid w:val="003F4536"/>
    <w:rsid w:val="004464BE"/>
    <w:rsid w:val="0045310A"/>
    <w:rsid w:val="00494683"/>
    <w:rsid w:val="004968B0"/>
    <w:rsid w:val="004A062A"/>
    <w:rsid w:val="004B091C"/>
    <w:rsid w:val="004C43E0"/>
    <w:rsid w:val="004F3CB7"/>
    <w:rsid w:val="004F52ED"/>
    <w:rsid w:val="00500686"/>
    <w:rsid w:val="005166FE"/>
    <w:rsid w:val="00536BAF"/>
    <w:rsid w:val="005D1BE4"/>
    <w:rsid w:val="005D459F"/>
    <w:rsid w:val="00634D2C"/>
    <w:rsid w:val="00637011"/>
    <w:rsid w:val="00653A19"/>
    <w:rsid w:val="006A12E7"/>
    <w:rsid w:val="006B2659"/>
    <w:rsid w:val="006E2547"/>
    <w:rsid w:val="006F4C53"/>
    <w:rsid w:val="00726EEC"/>
    <w:rsid w:val="00730D0E"/>
    <w:rsid w:val="0073179E"/>
    <w:rsid w:val="00763461"/>
    <w:rsid w:val="0077095C"/>
    <w:rsid w:val="007E1D02"/>
    <w:rsid w:val="00812D43"/>
    <w:rsid w:val="00852104"/>
    <w:rsid w:val="00861C4D"/>
    <w:rsid w:val="00891EDD"/>
    <w:rsid w:val="00894F10"/>
    <w:rsid w:val="008D2123"/>
    <w:rsid w:val="008E7D49"/>
    <w:rsid w:val="008F4920"/>
    <w:rsid w:val="0090124B"/>
    <w:rsid w:val="00912BD6"/>
    <w:rsid w:val="00922C14"/>
    <w:rsid w:val="00941E3F"/>
    <w:rsid w:val="00946938"/>
    <w:rsid w:val="0095657E"/>
    <w:rsid w:val="00960CE5"/>
    <w:rsid w:val="009902D9"/>
    <w:rsid w:val="00990F0D"/>
    <w:rsid w:val="009A050E"/>
    <w:rsid w:val="009C52ED"/>
    <w:rsid w:val="009E624C"/>
    <w:rsid w:val="00A4473C"/>
    <w:rsid w:val="00A45506"/>
    <w:rsid w:val="00A572E7"/>
    <w:rsid w:val="00A957F3"/>
    <w:rsid w:val="00A96034"/>
    <w:rsid w:val="00AB1C29"/>
    <w:rsid w:val="00B0188D"/>
    <w:rsid w:val="00B212F6"/>
    <w:rsid w:val="00B4221E"/>
    <w:rsid w:val="00B52CE0"/>
    <w:rsid w:val="00BE6008"/>
    <w:rsid w:val="00BF11CC"/>
    <w:rsid w:val="00C04CD6"/>
    <w:rsid w:val="00C100C1"/>
    <w:rsid w:val="00C554A3"/>
    <w:rsid w:val="00CB3BFF"/>
    <w:rsid w:val="00CC1896"/>
    <w:rsid w:val="00CC5637"/>
    <w:rsid w:val="00CD2D72"/>
    <w:rsid w:val="00CD41FB"/>
    <w:rsid w:val="00CF2244"/>
    <w:rsid w:val="00CF42CF"/>
    <w:rsid w:val="00CF5B15"/>
    <w:rsid w:val="00CF6DEA"/>
    <w:rsid w:val="00D160C2"/>
    <w:rsid w:val="00D2799F"/>
    <w:rsid w:val="00D33816"/>
    <w:rsid w:val="00D37ECA"/>
    <w:rsid w:val="00D726AB"/>
    <w:rsid w:val="00D960E1"/>
    <w:rsid w:val="00DA09F9"/>
    <w:rsid w:val="00DC118F"/>
    <w:rsid w:val="00DD52C5"/>
    <w:rsid w:val="00E071F8"/>
    <w:rsid w:val="00E076FF"/>
    <w:rsid w:val="00E21DB4"/>
    <w:rsid w:val="00ED1E11"/>
    <w:rsid w:val="00EE5957"/>
    <w:rsid w:val="00F4206F"/>
    <w:rsid w:val="00F45CD4"/>
    <w:rsid w:val="00F46479"/>
    <w:rsid w:val="00F70F8D"/>
    <w:rsid w:val="00F96C7C"/>
    <w:rsid w:val="00FA3257"/>
    <w:rsid w:val="00FC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8284F0"/>
  <w15:chartTrackingRefBased/>
  <w15:docId w15:val="{32A3B45A-2E71-2744-9ED3-9194A52C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Wilma Tong</dc:creator>
  <cp:keywords/>
  <dc:description/>
  <cp:lastModifiedBy>Carissa Wilma Tong</cp:lastModifiedBy>
  <cp:revision>118</cp:revision>
  <dcterms:created xsi:type="dcterms:W3CDTF">2020-12-08T17:51:00Z</dcterms:created>
  <dcterms:modified xsi:type="dcterms:W3CDTF">2020-12-08T20:10:00Z</dcterms:modified>
</cp:coreProperties>
</file>