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3D7B08" w14:textId="687AA05E" w:rsidR="00CD2D72" w:rsidRDefault="007A45BF">
      <w:r w:rsidRPr="007A45BF">
        <w:rPr>
          <w:u w:val="single"/>
        </w:rPr>
        <w:t>JVIM Jan 2021</w:t>
      </w:r>
    </w:p>
    <w:p w14:paraId="43671BFA" w14:textId="65A919E3" w:rsidR="007A45BF" w:rsidRDefault="007A45BF"/>
    <w:p w14:paraId="15FD8CA2" w14:textId="77777777" w:rsidR="00342129" w:rsidRDefault="007A45BF" w:rsidP="00342129">
      <w:pPr>
        <w:rPr>
          <w:rFonts w:ascii="Calibri" w:hAnsi="Calibri" w:cs="Calibri"/>
          <w:color w:val="000000" w:themeColor="text1"/>
          <w:sz w:val="22"/>
          <w:szCs w:val="22"/>
        </w:rPr>
      </w:pPr>
      <w:r w:rsidRPr="007A45BF">
        <w:drawing>
          <wp:inline distT="0" distB="0" distL="0" distR="0" wp14:anchorId="79C1727D" wp14:editId="58610143">
            <wp:extent cx="5943600" cy="53422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2846"/>
                    <a:stretch/>
                  </pic:blipFill>
                  <pic:spPr bwMode="auto">
                    <a:xfrm>
                      <a:off x="0" y="0"/>
                      <a:ext cx="5943600" cy="5342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54FA47" w14:textId="77777777" w:rsidR="00342129" w:rsidRPr="00342129" w:rsidRDefault="00342129" w:rsidP="00342129">
      <w:pPr>
        <w:pStyle w:val="ListParagraph"/>
        <w:numPr>
          <w:ilvl w:val="0"/>
          <w:numId w:val="2"/>
        </w:numPr>
      </w:pPr>
      <w:r w:rsidRPr="00342129">
        <w:rPr>
          <w:rFonts w:ascii="Calibri" w:hAnsi="Calibri" w:cs="Calibri"/>
          <w:color w:val="000000" w:themeColor="text1"/>
          <w:sz w:val="22"/>
          <w:szCs w:val="22"/>
        </w:rPr>
        <w:t xml:space="preserve">Cats have naturally occurring anti-A and anti-B alloantibodies </w:t>
      </w:r>
      <w:r w:rsidRPr="00BC663A">
        <w:sym w:font="Wingdings" w:char="F0E0"/>
      </w:r>
      <w:r w:rsidRPr="00342129">
        <w:rPr>
          <w:rFonts w:ascii="Calibri" w:hAnsi="Calibri" w:cs="Calibri"/>
          <w:color w:val="000000" w:themeColor="text1"/>
          <w:sz w:val="22"/>
          <w:szCs w:val="22"/>
        </w:rPr>
        <w:t xml:space="preserve"> untyped transfusion can lead to severe acute hemolytic transfusion reaction, especially in type B cats receiving type A blood</w:t>
      </w:r>
    </w:p>
    <w:p w14:paraId="0EFEF764" w14:textId="77777777" w:rsidR="00342129" w:rsidRPr="00342129" w:rsidRDefault="00342129" w:rsidP="00342129">
      <w:pPr>
        <w:pStyle w:val="ListParagraph"/>
        <w:numPr>
          <w:ilvl w:val="0"/>
          <w:numId w:val="2"/>
        </w:numPr>
      </w:pPr>
      <w:r w:rsidRPr="00342129">
        <w:rPr>
          <w:rFonts w:ascii="Calibri" w:hAnsi="Calibri" w:cs="Calibri"/>
          <w:color w:val="000000" w:themeColor="text1"/>
          <w:sz w:val="22"/>
          <w:szCs w:val="22"/>
        </w:rPr>
        <w:t xml:space="preserve">Mik negative cats were only found in type A cats, some of them have NOAb anti-Mik </w:t>
      </w:r>
      <w:r w:rsidRPr="001B3005">
        <w:sym w:font="Wingdings" w:char="F0E0"/>
      </w:r>
      <w:r w:rsidRPr="00342129">
        <w:rPr>
          <w:rFonts w:ascii="Calibri" w:hAnsi="Calibri" w:cs="Calibri"/>
          <w:color w:val="000000" w:themeColor="text1"/>
          <w:sz w:val="22"/>
          <w:szCs w:val="22"/>
        </w:rPr>
        <w:t xml:space="preserve"> transfusion reaction can still occur in typed-matched transfusion </w:t>
      </w:r>
    </w:p>
    <w:p w14:paraId="01C12161" w14:textId="77777777" w:rsidR="00342129" w:rsidRPr="00342129" w:rsidRDefault="00342129" w:rsidP="00342129">
      <w:pPr>
        <w:pStyle w:val="ListParagraph"/>
        <w:numPr>
          <w:ilvl w:val="0"/>
          <w:numId w:val="2"/>
        </w:numPr>
      </w:pPr>
      <w:r w:rsidRPr="00342129">
        <w:rPr>
          <w:rFonts w:ascii="Calibri" w:hAnsi="Calibri" w:cs="Calibri"/>
          <w:color w:val="000000" w:themeColor="text1"/>
          <w:sz w:val="22"/>
          <w:szCs w:val="22"/>
        </w:rPr>
        <w:t xml:space="preserve">Other studies have subsequently reported presence of NOAb outside of the AB system </w:t>
      </w:r>
      <w:r w:rsidRPr="009C4923">
        <w:sym w:font="Wingdings" w:char="F0E0"/>
      </w:r>
      <w:r w:rsidRPr="00342129">
        <w:rPr>
          <w:rFonts w:ascii="Calibri" w:hAnsi="Calibri" w:cs="Calibri"/>
          <w:color w:val="000000" w:themeColor="text1"/>
          <w:sz w:val="22"/>
          <w:szCs w:val="22"/>
        </w:rPr>
        <w:t xml:space="preserve"> 0-29% transfusion-naïve cats showing at least 1 non-Ab related incompatibility </w:t>
      </w:r>
    </w:p>
    <w:p w14:paraId="294CF229" w14:textId="2F3CC9AF" w:rsidR="00342129" w:rsidRPr="00342129" w:rsidRDefault="00342129" w:rsidP="00342129">
      <w:pPr>
        <w:pStyle w:val="ListParagraph"/>
        <w:numPr>
          <w:ilvl w:val="1"/>
          <w:numId w:val="2"/>
        </w:numPr>
      </w:pPr>
      <w:r>
        <w:rPr>
          <w:rFonts w:ascii="Calibri" w:hAnsi="Calibri" w:cs="Calibri"/>
          <w:color w:val="000000" w:themeColor="text1"/>
          <w:sz w:val="22"/>
          <w:szCs w:val="22"/>
        </w:rPr>
        <w:t>They f</w:t>
      </w:r>
      <w:r w:rsidRPr="00342129">
        <w:rPr>
          <w:rFonts w:ascii="Calibri" w:hAnsi="Calibri" w:cs="Calibri"/>
          <w:color w:val="000000" w:themeColor="text1"/>
          <w:sz w:val="22"/>
          <w:szCs w:val="22"/>
        </w:rPr>
        <w:t xml:space="preserve">ocused on efficacy of transfusion (PCV incr) and safety of transfusion (i.e. occurrence of transfusion rx), rather than investigating this unknown antigen </w:t>
      </w:r>
    </w:p>
    <w:p w14:paraId="4A11FA4B" w14:textId="3A2C1A24" w:rsidR="00342129" w:rsidRPr="00AE47F1" w:rsidRDefault="00342129" w:rsidP="00342129">
      <w:pPr>
        <w:pStyle w:val="ListParagraph"/>
        <w:numPr>
          <w:ilvl w:val="0"/>
          <w:numId w:val="2"/>
        </w:numPr>
      </w:pPr>
      <w:r>
        <w:rPr>
          <w:rFonts w:ascii="Calibri" w:hAnsi="Calibri" w:cs="Calibri"/>
          <w:color w:val="000000" w:themeColor="text1"/>
          <w:sz w:val="22"/>
          <w:szCs w:val="22"/>
        </w:rPr>
        <w:t xml:space="preserve">This study evaluated the chance of detecting non-AB incompatible blood types and to evaluate these NOAb </w:t>
      </w:r>
    </w:p>
    <w:p w14:paraId="48F3A83A" w14:textId="3BCF6630" w:rsidR="00AE47F1" w:rsidRPr="00AE47F1" w:rsidRDefault="00AE47F1" w:rsidP="00342129">
      <w:pPr>
        <w:pStyle w:val="ListParagraph"/>
        <w:numPr>
          <w:ilvl w:val="0"/>
          <w:numId w:val="2"/>
        </w:numPr>
      </w:pPr>
      <w:r>
        <w:rPr>
          <w:rFonts w:ascii="Calibri" w:hAnsi="Calibri" w:cs="Calibri"/>
          <w:color w:val="000000" w:themeColor="text1"/>
          <w:sz w:val="22"/>
          <w:szCs w:val="22"/>
        </w:rPr>
        <w:t xml:space="preserve">3.9% overall incompatible crossmatches in type A transfusion naïve cats </w:t>
      </w:r>
    </w:p>
    <w:p w14:paraId="183C648A" w14:textId="77777777" w:rsidR="00AE47F1" w:rsidRPr="00AE47F1" w:rsidRDefault="00AE47F1" w:rsidP="00342129">
      <w:pPr>
        <w:pStyle w:val="ListParagraph"/>
        <w:numPr>
          <w:ilvl w:val="0"/>
          <w:numId w:val="2"/>
        </w:numPr>
      </w:pPr>
      <w:r>
        <w:rPr>
          <w:rFonts w:ascii="Calibri" w:hAnsi="Calibri" w:cs="Calibri"/>
          <w:color w:val="000000" w:themeColor="text1"/>
          <w:sz w:val="22"/>
          <w:szCs w:val="22"/>
        </w:rPr>
        <w:t xml:space="preserve">Found 5 new feline erythrocyte antigen (FEA) types: 1-5 </w:t>
      </w:r>
    </w:p>
    <w:p w14:paraId="57481F8F" w14:textId="77777777" w:rsidR="00AE47F1" w:rsidRPr="00AE47F1" w:rsidRDefault="00AE47F1" w:rsidP="00AE47F1">
      <w:pPr>
        <w:pStyle w:val="ListParagraph"/>
        <w:numPr>
          <w:ilvl w:val="1"/>
          <w:numId w:val="2"/>
        </w:numPr>
      </w:pPr>
      <w:r>
        <w:rPr>
          <w:rFonts w:ascii="Calibri" w:hAnsi="Calibri" w:cs="Calibri"/>
          <w:color w:val="000000" w:themeColor="text1"/>
          <w:sz w:val="22"/>
          <w:szCs w:val="22"/>
        </w:rPr>
        <w:t xml:space="preserve">FEA 1 most likely to have NOAb </w:t>
      </w:r>
      <w:r w:rsidRPr="00AE47F1">
        <w:rPr>
          <w:rFonts w:ascii="Calibri" w:hAnsi="Calibri" w:cs="Calibri"/>
          <w:color w:val="000000" w:themeColor="text1"/>
          <w:sz w:val="22"/>
          <w:szCs w:val="22"/>
        </w:rPr>
        <w:sym w:font="Wingdings" w:char="F0E0"/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maybe this is Mik?</w:t>
      </w:r>
    </w:p>
    <w:p w14:paraId="3EC8EC27" w14:textId="77777777" w:rsidR="00AE47F1" w:rsidRPr="00AE47F1" w:rsidRDefault="00AE47F1" w:rsidP="00AE47F1">
      <w:pPr>
        <w:pStyle w:val="ListParagraph"/>
        <w:numPr>
          <w:ilvl w:val="1"/>
          <w:numId w:val="2"/>
        </w:numPr>
      </w:pPr>
      <w:r>
        <w:rPr>
          <w:rFonts w:ascii="Calibri" w:hAnsi="Calibri" w:cs="Calibri"/>
          <w:color w:val="000000" w:themeColor="text1"/>
          <w:sz w:val="22"/>
          <w:szCs w:val="22"/>
        </w:rPr>
        <w:t xml:space="preserve">FEA 1 and 5 were the most common </w:t>
      </w:r>
    </w:p>
    <w:p w14:paraId="5B7FD447" w14:textId="1FAFDEAE" w:rsidR="008F3F02" w:rsidRDefault="00C9630E" w:rsidP="008B1973">
      <w:r w:rsidRPr="00C9630E">
        <w:lastRenderedPageBreak/>
        <w:drawing>
          <wp:inline distT="0" distB="0" distL="0" distR="0" wp14:anchorId="1429E0BC" wp14:editId="56AC0104">
            <wp:extent cx="5156200" cy="46609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A8C62" w14:textId="73289CA1" w:rsidR="00C9630E" w:rsidRDefault="00D658E4" w:rsidP="00D658E4">
      <w:pPr>
        <w:pStyle w:val="ListParagraph"/>
        <w:numPr>
          <w:ilvl w:val="0"/>
          <w:numId w:val="2"/>
        </w:numPr>
      </w:pPr>
      <w:r>
        <w:t xml:space="preserve">GOAL: To characterize clinicopathologic features, radiographic findings and BAL fluid cytology + culture results in cats with confirmed BP and AP, using </w:t>
      </w:r>
      <w:r w:rsidR="007822A0">
        <w:t>inflammatory</w:t>
      </w:r>
      <w:r>
        <w:t xml:space="preserve"> airway disease (IAD) as control group</w:t>
      </w:r>
    </w:p>
    <w:p w14:paraId="780DC951" w14:textId="404CF8F3" w:rsidR="007822A0" w:rsidRDefault="0064022C" w:rsidP="00D658E4">
      <w:pPr>
        <w:pStyle w:val="ListParagraph"/>
        <w:numPr>
          <w:ilvl w:val="0"/>
          <w:numId w:val="2"/>
        </w:numPr>
      </w:pPr>
      <w:r>
        <w:t xml:space="preserve">Retrospective study over 10 years. Enrolled cats w/ “pneumonia”, “AP” or “BP” as diagnosis, then subdivided into AP vs BP based on detection of risk factors </w:t>
      </w:r>
    </w:p>
    <w:p w14:paraId="63F7664E" w14:textId="3838EA69" w:rsidR="004070CD" w:rsidRDefault="004070CD" w:rsidP="004070CD">
      <w:pPr>
        <w:pStyle w:val="ListParagraph"/>
        <w:numPr>
          <w:ilvl w:val="1"/>
          <w:numId w:val="2"/>
        </w:numPr>
      </w:pPr>
      <w:r>
        <w:t xml:space="preserve">AP = hx of concurrent dz or dz predisposing to aspiration and radiographs showing cranioventral pulmonary pattern </w:t>
      </w:r>
    </w:p>
    <w:p w14:paraId="7A858EEA" w14:textId="3B975BDE" w:rsidR="004070CD" w:rsidRDefault="004070CD" w:rsidP="004070CD">
      <w:pPr>
        <w:pStyle w:val="ListParagraph"/>
        <w:numPr>
          <w:ilvl w:val="1"/>
          <w:numId w:val="2"/>
        </w:numPr>
      </w:pPr>
      <w:r>
        <w:t xml:space="preserve">BP = dx of septic inflammation or clinically relevant bacterial or mycoplasma culture on airway sampling </w:t>
      </w:r>
    </w:p>
    <w:p w14:paraId="38AC14D6" w14:textId="6C422E3A" w:rsidR="00070BEA" w:rsidRDefault="00074C9D" w:rsidP="00070BEA">
      <w:pPr>
        <w:pStyle w:val="ListParagraph"/>
        <w:numPr>
          <w:ilvl w:val="0"/>
          <w:numId w:val="2"/>
        </w:numPr>
      </w:pPr>
      <w:r>
        <w:t>Most common AP risk factor was GI dz (esophageal dz in 60%, acute/chronic vomiting), recent anes</w:t>
      </w:r>
      <w:r w:rsidR="00032BAD">
        <w:t xml:space="preserve">thesia </w:t>
      </w:r>
    </w:p>
    <w:p w14:paraId="41F45C42" w14:textId="2B2A34AF" w:rsidR="001E65C9" w:rsidRDefault="001E65C9" w:rsidP="00070BEA">
      <w:pPr>
        <w:pStyle w:val="ListParagraph"/>
        <w:numPr>
          <w:ilvl w:val="0"/>
          <w:numId w:val="2"/>
        </w:numPr>
      </w:pPr>
      <w:r>
        <w:t>AP cats more likely to have acute hx of dz, median duration of Cx &lt;2 week</w:t>
      </w:r>
      <w:r w:rsidR="008F723A">
        <w:t>s,</w:t>
      </w:r>
      <w:r w:rsidR="003F7813">
        <w:t xml:space="preserve"> more likely to be hypothermic,</w:t>
      </w:r>
      <w:r w:rsidR="008F723A">
        <w:t xml:space="preserve"> less likely to cough, more likely to have hx of tachypnea</w:t>
      </w:r>
      <w:r w:rsidR="003F7813">
        <w:t xml:space="preserve">, more likely to have alveolar pattern </w:t>
      </w:r>
    </w:p>
    <w:p w14:paraId="29C146A1" w14:textId="0BDC3081" w:rsidR="001E65C9" w:rsidRDefault="001E65C9" w:rsidP="00070BEA">
      <w:pPr>
        <w:pStyle w:val="ListParagraph"/>
        <w:numPr>
          <w:ilvl w:val="0"/>
          <w:numId w:val="2"/>
        </w:numPr>
      </w:pPr>
      <w:r>
        <w:t>BP cars more likely to have Cx 6-9 months</w:t>
      </w:r>
      <w:r w:rsidR="00843E10">
        <w:t>, tend to have more severe bronchial pattern in addition to alveolar pattern</w:t>
      </w:r>
    </w:p>
    <w:p w14:paraId="193D702D" w14:textId="4C6032B8" w:rsidR="00A61539" w:rsidRDefault="00A61539" w:rsidP="00070BEA">
      <w:pPr>
        <w:pStyle w:val="ListParagraph"/>
        <w:numPr>
          <w:ilvl w:val="0"/>
          <w:numId w:val="2"/>
        </w:numPr>
      </w:pPr>
      <w:r>
        <w:t>Mycoplasma was most commonly cultured from BP cats, but not found in AP</w:t>
      </w:r>
      <w:r w:rsidR="00D74E55">
        <w:t xml:space="preserve"> cats</w:t>
      </w:r>
    </w:p>
    <w:p w14:paraId="2990EB83" w14:textId="218E543B" w:rsidR="00DD350E" w:rsidRDefault="001E65C9" w:rsidP="00070BEA">
      <w:pPr>
        <w:pStyle w:val="ListParagraph"/>
        <w:numPr>
          <w:ilvl w:val="0"/>
          <w:numId w:val="2"/>
        </w:numPr>
      </w:pPr>
      <w:r>
        <w:t>Overall, a</w:t>
      </w:r>
      <w:r w:rsidR="00DD350E">
        <w:t xml:space="preserve">erobic g-ve more commonly seen compared to aerobic g+ve organisms </w:t>
      </w:r>
    </w:p>
    <w:p w14:paraId="6D89D0C7" w14:textId="67C54D2B" w:rsidR="00342129" w:rsidRDefault="00BC34F4" w:rsidP="008F3F02">
      <w:pPr>
        <w:pStyle w:val="ListParagraph"/>
        <w:numPr>
          <w:ilvl w:val="1"/>
          <w:numId w:val="2"/>
        </w:numPr>
      </w:pPr>
      <w:r>
        <w:t xml:space="preserve">Most common Pasteurella and Streptococcus </w:t>
      </w:r>
      <w:r w:rsidR="00E4376F">
        <w:t>respectively</w:t>
      </w:r>
      <w:r>
        <w:t xml:space="preserve"> </w:t>
      </w:r>
    </w:p>
    <w:p w14:paraId="42A48AA5" w14:textId="716299F0" w:rsidR="00342129" w:rsidRDefault="00342129">
      <w:r w:rsidRPr="00342129">
        <w:lastRenderedPageBreak/>
        <w:drawing>
          <wp:inline distT="0" distB="0" distL="0" distR="0" wp14:anchorId="433A7704" wp14:editId="34F4B0B1">
            <wp:extent cx="5245100" cy="4775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87EFA" w14:textId="3CD3274B" w:rsidR="00944E48" w:rsidRDefault="00974CE4" w:rsidP="00944E48">
      <w:pPr>
        <w:pStyle w:val="ListParagraph"/>
        <w:numPr>
          <w:ilvl w:val="0"/>
          <w:numId w:val="2"/>
        </w:numPr>
      </w:pPr>
      <w:r>
        <w:t xml:space="preserve">30-55% of IMHA dogs </w:t>
      </w:r>
      <w:r w:rsidR="006E41AB">
        <w:t>remain</w:t>
      </w:r>
      <w:r>
        <w:t xml:space="preserve"> nonregenerative w/ corrected reticulocyte % (CR%) </w:t>
      </w:r>
      <w:r>
        <w:rPr>
          <w:u w:val="single"/>
        </w:rPr>
        <w:t>&lt;</w:t>
      </w:r>
      <w:r>
        <w:t xml:space="preserve"> 1, d/t destruction of erythroid progenitors by phagocytes in bone marrow (rubiphagocytosis) </w:t>
      </w:r>
    </w:p>
    <w:p w14:paraId="0B97368D" w14:textId="2229143F" w:rsidR="00F20439" w:rsidRDefault="006300FA" w:rsidP="00944E48">
      <w:pPr>
        <w:pStyle w:val="ListParagraph"/>
        <w:numPr>
          <w:ilvl w:val="0"/>
          <w:numId w:val="2"/>
        </w:numPr>
      </w:pPr>
      <w:r>
        <w:t>D</w:t>
      </w:r>
      <w:r w:rsidR="00F20439">
        <w:t xml:space="preserve">ogs </w:t>
      </w:r>
      <w:r>
        <w:t xml:space="preserve">can have </w:t>
      </w:r>
      <w:r w:rsidR="00F20439">
        <w:t xml:space="preserve">nonregenerative anemia </w:t>
      </w:r>
      <w:r>
        <w:t>+/-</w:t>
      </w:r>
      <w:r w:rsidR="00F20439">
        <w:t xml:space="preserve"> peripheral </w:t>
      </w:r>
      <w:r w:rsidR="00B242E8">
        <w:t>erythroid</w:t>
      </w:r>
      <w:r w:rsidR="00F20439">
        <w:t xml:space="preserve"> destruction or hemolysis </w:t>
      </w:r>
      <w:r w:rsidR="00F20439">
        <w:sym w:font="Wingdings" w:char="F0E0"/>
      </w:r>
      <w:r w:rsidR="00F20439">
        <w:t xml:space="preserve"> precursor-targeted immune mediated an</w:t>
      </w:r>
      <w:r w:rsidR="00324E13">
        <w:t>emia</w:t>
      </w:r>
      <w:r w:rsidR="00F20439">
        <w:t xml:space="preserve"> (PIMA)</w:t>
      </w:r>
    </w:p>
    <w:p w14:paraId="60D5DB35" w14:textId="1E5E73CD" w:rsidR="00186734" w:rsidRDefault="00BC15DE" w:rsidP="00186734">
      <w:pPr>
        <w:pStyle w:val="ListParagraph"/>
        <w:numPr>
          <w:ilvl w:val="1"/>
          <w:numId w:val="2"/>
        </w:numPr>
      </w:pPr>
      <w:r>
        <w:t xml:space="preserve">They respond to immunosuppressive tx </w:t>
      </w:r>
      <w:r w:rsidR="00186734">
        <w:t>just as IMHA</w:t>
      </w:r>
    </w:p>
    <w:p w14:paraId="288D4EAC" w14:textId="0CA20072" w:rsidR="003029CF" w:rsidRDefault="003029CF" w:rsidP="003029CF">
      <w:pPr>
        <w:pStyle w:val="ListParagraph"/>
        <w:numPr>
          <w:ilvl w:val="0"/>
          <w:numId w:val="2"/>
        </w:numPr>
      </w:pPr>
      <w:r>
        <w:t xml:space="preserve">Previous negative prognostic indicator in nrIMA/PIMMA was development of thromboembolic event or presence of BM erythroid hyperplasia w/ concurrent neutropenia and thrombocytopenia </w:t>
      </w:r>
    </w:p>
    <w:p w14:paraId="3574DAB8" w14:textId="475435A5" w:rsidR="0081515A" w:rsidRDefault="00AA49B1" w:rsidP="0081515A">
      <w:pPr>
        <w:pStyle w:val="ListParagraph"/>
        <w:numPr>
          <w:ilvl w:val="0"/>
          <w:numId w:val="2"/>
        </w:numPr>
      </w:pPr>
      <w:r>
        <w:t xml:space="preserve">Investigate clinicopathologic variables, association with survival and breed predispositions with nonregenerative immune-mediated </w:t>
      </w:r>
      <w:r w:rsidR="009D1E7A">
        <w:t>anemia</w:t>
      </w:r>
      <w:r>
        <w:t xml:space="preserve"> (nrIMA)</w:t>
      </w:r>
    </w:p>
    <w:p w14:paraId="6AEE654F" w14:textId="64A66887" w:rsidR="00DC410F" w:rsidRDefault="00E23D88" w:rsidP="00944E48">
      <w:pPr>
        <w:pStyle w:val="ListParagraph"/>
        <w:numPr>
          <w:ilvl w:val="0"/>
          <w:numId w:val="2"/>
        </w:numPr>
      </w:pPr>
      <w:r>
        <w:t>Most common Cx: lethargy, weakness/syncope, inappetence, w</w:t>
      </w:r>
      <w:r w:rsidR="0003534D">
        <w:t>eigh</w:t>
      </w:r>
      <w:r>
        <w:t xml:space="preserve">t loss, PU/PD, pica </w:t>
      </w:r>
    </w:p>
    <w:p w14:paraId="51426C05" w14:textId="69E92F07" w:rsidR="003C0E71" w:rsidRDefault="00926E8A" w:rsidP="00944E48">
      <w:pPr>
        <w:pStyle w:val="ListParagraph"/>
        <w:numPr>
          <w:ilvl w:val="0"/>
          <w:numId w:val="2"/>
        </w:numPr>
      </w:pPr>
      <w:r>
        <w:t xml:space="preserve">Over 60% fulfilled </w:t>
      </w:r>
      <w:r>
        <w:rPr>
          <w:u w:val="single"/>
        </w:rPr>
        <w:t>&gt;</w:t>
      </w:r>
      <w:r>
        <w:t>1 ACVIM IMHA dx crit</w:t>
      </w:r>
      <w:r w:rsidR="00BD2461">
        <w:t>eria (hyperbilirubinemia or peripheral RBC destruction)</w:t>
      </w:r>
    </w:p>
    <w:p w14:paraId="6FE45882" w14:textId="33E7384B" w:rsidR="00926E8A" w:rsidRDefault="00926E8A" w:rsidP="00944E48">
      <w:pPr>
        <w:pStyle w:val="ListParagraph"/>
        <w:numPr>
          <w:ilvl w:val="0"/>
          <w:numId w:val="2"/>
        </w:numPr>
      </w:pPr>
      <w:r>
        <w:t xml:space="preserve">Breeds: Whippets, Lurchers, mini dachshunds </w:t>
      </w:r>
    </w:p>
    <w:p w14:paraId="486757A2" w14:textId="36DB4ED5" w:rsidR="002A5EF8" w:rsidRDefault="002A5EF8" w:rsidP="00944E48">
      <w:pPr>
        <w:pStyle w:val="ListParagraph"/>
        <w:numPr>
          <w:ilvl w:val="0"/>
          <w:numId w:val="2"/>
        </w:numPr>
      </w:pPr>
      <w:r>
        <w:t xml:space="preserve">Most developed a regenerative response w/in 1 month </w:t>
      </w:r>
    </w:p>
    <w:p w14:paraId="36A7BE44" w14:textId="1E36A737" w:rsidR="00727710" w:rsidRDefault="00926E8A" w:rsidP="00944E48">
      <w:pPr>
        <w:pStyle w:val="ListParagraph"/>
        <w:numPr>
          <w:ilvl w:val="0"/>
          <w:numId w:val="2"/>
        </w:numPr>
      </w:pPr>
      <w:r>
        <w:t>Survival: 61% 3-months, 43% 6-months</w:t>
      </w:r>
      <w:r w:rsidR="002A5EF8">
        <w:t xml:space="preserve">; </w:t>
      </w:r>
      <w:r w:rsidR="00727710">
        <w:t>CR% &gt;0.2 associated w/ better survival</w:t>
      </w:r>
    </w:p>
    <w:p w14:paraId="31B9AF31" w14:textId="081EC7D0" w:rsidR="002A5EF8" w:rsidRPr="007A45BF" w:rsidRDefault="0051757C" w:rsidP="0051757C">
      <w:pPr>
        <w:pStyle w:val="ListParagraph"/>
        <w:numPr>
          <w:ilvl w:val="1"/>
          <w:numId w:val="2"/>
        </w:numPr>
      </w:pPr>
      <w:r>
        <w:t xml:space="preserve">Survival in IMHA dependent on bilirubin, not regenerative response </w:t>
      </w:r>
    </w:p>
    <w:sectPr w:rsidR="002A5EF8" w:rsidRPr="007A45BF" w:rsidSect="00362710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950D03"/>
    <w:multiLevelType w:val="hybridMultilevel"/>
    <w:tmpl w:val="CF741156"/>
    <w:lvl w:ilvl="0" w:tplc="485EC792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53BBC"/>
    <w:multiLevelType w:val="hybridMultilevel"/>
    <w:tmpl w:val="9F46BF60"/>
    <w:lvl w:ilvl="0" w:tplc="485EC792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5BF"/>
    <w:rsid w:val="00032BAD"/>
    <w:rsid w:val="0003534D"/>
    <w:rsid w:val="00070BEA"/>
    <w:rsid w:val="00074C9D"/>
    <w:rsid w:val="000E541D"/>
    <w:rsid w:val="00144249"/>
    <w:rsid w:val="00186734"/>
    <w:rsid w:val="001E65C9"/>
    <w:rsid w:val="002A5EF8"/>
    <w:rsid w:val="003029CF"/>
    <w:rsid w:val="00324E13"/>
    <w:rsid w:val="00342129"/>
    <w:rsid w:val="00362710"/>
    <w:rsid w:val="003B6EEC"/>
    <w:rsid w:val="003C0E71"/>
    <w:rsid w:val="003C6B05"/>
    <w:rsid w:val="003F7813"/>
    <w:rsid w:val="004070CD"/>
    <w:rsid w:val="00423BBE"/>
    <w:rsid w:val="00474B6C"/>
    <w:rsid w:val="00500686"/>
    <w:rsid w:val="0051757C"/>
    <w:rsid w:val="006300FA"/>
    <w:rsid w:val="0064022C"/>
    <w:rsid w:val="006E2547"/>
    <w:rsid w:val="006E41AB"/>
    <w:rsid w:val="00727710"/>
    <w:rsid w:val="00730D0E"/>
    <w:rsid w:val="007822A0"/>
    <w:rsid w:val="007A45BF"/>
    <w:rsid w:val="0081515A"/>
    <w:rsid w:val="00836700"/>
    <w:rsid w:val="00843E10"/>
    <w:rsid w:val="008B1973"/>
    <w:rsid w:val="008F3F02"/>
    <w:rsid w:val="008F723A"/>
    <w:rsid w:val="0090124B"/>
    <w:rsid w:val="00926E8A"/>
    <w:rsid w:val="00944E48"/>
    <w:rsid w:val="0095657E"/>
    <w:rsid w:val="00974CE4"/>
    <w:rsid w:val="009D1E7A"/>
    <w:rsid w:val="009F3923"/>
    <w:rsid w:val="00A34BB6"/>
    <w:rsid w:val="00A61539"/>
    <w:rsid w:val="00AA49B1"/>
    <w:rsid w:val="00AE47F1"/>
    <w:rsid w:val="00B17E68"/>
    <w:rsid w:val="00B242E8"/>
    <w:rsid w:val="00B47F9B"/>
    <w:rsid w:val="00BC15DE"/>
    <w:rsid w:val="00BC34F4"/>
    <w:rsid w:val="00BD2461"/>
    <w:rsid w:val="00C951D0"/>
    <w:rsid w:val="00C9630E"/>
    <w:rsid w:val="00CC1896"/>
    <w:rsid w:val="00CD2D72"/>
    <w:rsid w:val="00D658E4"/>
    <w:rsid w:val="00D74E55"/>
    <w:rsid w:val="00DC410F"/>
    <w:rsid w:val="00DD350E"/>
    <w:rsid w:val="00E23D88"/>
    <w:rsid w:val="00E4376F"/>
    <w:rsid w:val="00F20439"/>
    <w:rsid w:val="00FD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8FF88F"/>
  <w15:chartTrackingRefBased/>
  <w15:docId w15:val="{E5CFDA8D-234A-2E49-B492-9727CF2C5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21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Carissa Wilma Tong</dc:creator>
  <cp:keywords/>
  <dc:description/>
  <cp:lastModifiedBy>Carissa Wilma Tong</cp:lastModifiedBy>
  <cp:revision>59</cp:revision>
  <dcterms:created xsi:type="dcterms:W3CDTF">2021-01-02T20:50:00Z</dcterms:created>
  <dcterms:modified xsi:type="dcterms:W3CDTF">2021-01-03T04:04:00Z</dcterms:modified>
</cp:coreProperties>
</file>