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05E82" w14:textId="24B206AF" w:rsidR="00D93EBB" w:rsidRDefault="00D93EBB">
      <w:r w:rsidRPr="00D93EBB">
        <w:drawing>
          <wp:inline distT="0" distB="0" distL="0" distR="0" wp14:anchorId="46755441" wp14:editId="779B819A">
            <wp:extent cx="3695700" cy="1315211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1745" cy="131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F253E" w14:textId="229829FD" w:rsidR="00D93EBB" w:rsidRDefault="00D93EBB">
      <w:r w:rsidRPr="00D93EBB">
        <w:drawing>
          <wp:inline distT="0" distB="0" distL="0" distR="0" wp14:anchorId="56814848" wp14:editId="02046F0E">
            <wp:extent cx="5499100" cy="3669592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0522" cy="3670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CC76B" w14:textId="4A592201" w:rsidR="00D41BDF" w:rsidRDefault="001411E8" w:rsidP="001411E8">
      <w:pPr>
        <w:pStyle w:val="ListParagraph"/>
        <w:numPr>
          <w:ilvl w:val="0"/>
          <w:numId w:val="1"/>
        </w:numPr>
      </w:pPr>
      <w:r>
        <w:t xml:space="preserve">PLE is associated with hypercoagulable state </w:t>
      </w:r>
      <w:r w:rsidR="000D6E5E">
        <w:t xml:space="preserve">(loss of AT III) </w:t>
      </w:r>
      <w:r w:rsidR="00D41BDF">
        <w:t>and may lead to thromboembolism</w:t>
      </w:r>
    </w:p>
    <w:p w14:paraId="428F81F0" w14:textId="4FF45B90" w:rsidR="00D41BDF" w:rsidRDefault="00D41BDF" w:rsidP="001411E8">
      <w:pPr>
        <w:pStyle w:val="ListParagraph"/>
        <w:numPr>
          <w:ilvl w:val="0"/>
          <w:numId w:val="1"/>
        </w:numPr>
      </w:pPr>
      <w:r>
        <w:t>In PLE, f</w:t>
      </w:r>
      <w:r w:rsidR="001411E8">
        <w:t xml:space="preserve">ailure to </w:t>
      </w:r>
      <w:r w:rsidR="00CC7E23">
        <w:t>resolve</w:t>
      </w:r>
      <w:r w:rsidR="001411E8">
        <w:t xml:space="preserve"> hypoalbuminemia in dogs w/ PLE is negatively associated w/ prognosis</w:t>
      </w:r>
    </w:p>
    <w:p w14:paraId="61CC203B" w14:textId="32FE8596" w:rsidR="0098272B" w:rsidRDefault="0098272B" w:rsidP="0098272B">
      <w:pPr>
        <w:pStyle w:val="ListParagraph"/>
        <w:numPr>
          <w:ilvl w:val="0"/>
          <w:numId w:val="1"/>
        </w:numPr>
      </w:pPr>
      <w:r>
        <w:t>In previous studies, degree of hypercoagulability wasn’t associated w/ severity of hypoalbuminemia – hypercoagulability in PLE maybe multifactorial (GI inflammation?)</w:t>
      </w:r>
    </w:p>
    <w:p w14:paraId="69578795" w14:textId="44163363" w:rsidR="0098272B" w:rsidRDefault="0098272B" w:rsidP="0098272B">
      <w:pPr>
        <w:pStyle w:val="ListParagraph"/>
        <w:numPr>
          <w:ilvl w:val="0"/>
          <w:numId w:val="1"/>
        </w:numPr>
      </w:pPr>
      <w:r>
        <w:t>OBJECTIVE: To investigate the prevalence of hypercoagulability</w:t>
      </w:r>
      <w:r w:rsidR="003A7CE0">
        <w:t xml:space="preserve"> (assessed by </w:t>
      </w:r>
      <w:r w:rsidR="00BD3705">
        <w:t xml:space="preserve">kaolin-activated </w:t>
      </w:r>
      <w:r w:rsidR="003A7CE0">
        <w:t>TEG)</w:t>
      </w:r>
      <w:r>
        <w:t xml:space="preserve"> in dogs w/ chronic enteropathy (CE) w/ normal serum albumin compared to those who are hypoalbuminemic. </w:t>
      </w:r>
    </w:p>
    <w:p w14:paraId="745B4B7D" w14:textId="78D630C4" w:rsidR="003A7CE0" w:rsidRDefault="003A7CE0" w:rsidP="0098272B">
      <w:pPr>
        <w:pStyle w:val="ListParagraph"/>
        <w:numPr>
          <w:ilvl w:val="0"/>
          <w:numId w:val="1"/>
        </w:numPr>
      </w:pPr>
      <w:r>
        <w:t>Patient population: Client owned dogs presenting to Bristol vets over 15 months with chronic (</w:t>
      </w:r>
      <w:r>
        <w:rPr>
          <w:u w:val="single"/>
        </w:rPr>
        <w:t>&gt;</w:t>
      </w:r>
      <w:r>
        <w:t xml:space="preserve">2w) GI signs (D and/or vomiting, decr appetite); excluded if received steroids or NSAIDs in 2w prior </w:t>
      </w:r>
    </w:p>
    <w:p w14:paraId="45C9BE8E" w14:textId="5B72B98D" w:rsidR="00515DE9" w:rsidRDefault="00491EA9" w:rsidP="00473395">
      <w:pPr>
        <w:pStyle w:val="ListParagraph"/>
        <w:numPr>
          <w:ilvl w:val="0"/>
          <w:numId w:val="1"/>
        </w:numPr>
      </w:pPr>
      <w:r>
        <w:t>Primary CE dx based on exclusion of infectious enteropathies (neg fecal culture, parasitology, or tx’d with panacur x 5 days) and excluded extra-GI dz (serum biochem, AUS/CT normal)</w:t>
      </w:r>
    </w:p>
    <w:p w14:paraId="5B454591" w14:textId="74993FAD" w:rsidR="00515DE9" w:rsidRDefault="00515DE9" w:rsidP="00473395">
      <w:pPr>
        <w:pStyle w:val="ListParagraph"/>
        <w:numPr>
          <w:ilvl w:val="0"/>
          <w:numId w:val="1"/>
        </w:numPr>
      </w:pPr>
      <w:r>
        <w:t>Results:</w:t>
      </w:r>
    </w:p>
    <w:p w14:paraId="4DD0657D" w14:textId="362B0284" w:rsidR="008B5AAB" w:rsidRDefault="00515DE9" w:rsidP="00C1010E">
      <w:pPr>
        <w:pStyle w:val="ListParagraph"/>
        <w:numPr>
          <w:ilvl w:val="1"/>
          <w:numId w:val="1"/>
        </w:numPr>
      </w:pPr>
      <w:r>
        <w:lastRenderedPageBreak/>
        <w:t xml:space="preserve">58% of hypoalbuminemic </w:t>
      </w:r>
      <w:r w:rsidR="00C1010E">
        <w:t>and 31</w:t>
      </w:r>
      <w:r w:rsidR="008B5AAB">
        <w:t xml:space="preserve">.5% of normoalbuminemic dogs were hypercoagulable </w:t>
      </w:r>
    </w:p>
    <w:p w14:paraId="56231DD3" w14:textId="7C3A35CC" w:rsidR="008B5AAB" w:rsidRDefault="00456DC7" w:rsidP="00515DE9">
      <w:pPr>
        <w:pStyle w:val="ListParagraph"/>
        <w:numPr>
          <w:ilvl w:val="1"/>
          <w:numId w:val="1"/>
        </w:numPr>
      </w:pPr>
      <w:r>
        <w:t xml:space="preserve">Dogs w/ hypercoagulable TEG had shorter duration of Cx </w:t>
      </w:r>
      <w:r>
        <w:sym w:font="Wingdings" w:char="F0E0"/>
      </w:r>
      <w:r>
        <w:t xml:space="preserve"> maybe more severe inflammatory process </w:t>
      </w:r>
    </w:p>
    <w:p w14:paraId="602ED7CE" w14:textId="40A01D1D" w:rsidR="00B32D1D" w:rsidRDefault="00B32D1D" w:rsidP="00515DE9">
      <w:pPr>
        <w:pStyle w:val="ListParagraph"/>
        <w:numPr>
          <w:ilvl w:val="1"/>
          <w:numId w:val="1"/>
        </w:numPr>
      </w:pPr>
      <w:r>
        <w:t xml:space="preserve">G value was negatively correlated w/ HCT, serum album, and duration of signs but +vely correlated w/ age </w:t>
      </w:r>
    </w:p>
    <w:p w14:paraId="391E4427" w14:textId="2BDE22EF" w:rsidR="00451DAD" w:rsidRDefault="00305FF8" w:rsidP="00515DE9">
      <w:pPr>
        <w:pStyle w:val="ListParagraph"/>
        <w:numPr>
          <w:ilvl w:val="1"/>
          <w:numId w:val="1"/>
        </w:numPr>
      </w:pPr>
      <w:r>
        <w:t xml:space="preserve">Study was underpowered to detect difference in hypercoagulability using serum albumin cut off of </w:t>
      </w:r>
      <w:r w:rsidR="00870079">
        <w:t>2.8 g/d</w:t>
      </w:r>
      <w:r w:rsidR="00456DC7">
        <w:t>L</w:t>
      </w:r>
    </w:p>
    <w:p w14:paraId="7C0D9FEB" w14:textId="57D5FAB1" w:rsidR="00D93EBB" w:rsidRDefault="00D93EBB"/>
    <w:p w14:paraId="5F217767" w14:textId="21EE938B" w:rsidR="00D93EBB" w:rsidRDefault="001D2B7C">
      <w:r>
        <w:br w:type="page"/>
      </w:r>
    </w:p>
    <w:p w14:paraId="4DA4AFEF" w14:textId="5C2BDDCB" w:rsidR="00D93EBB" w:rsidRDefault="00D93EBB">
      <w:r w:rsidRPr="00D93EBB">
        <w:lastRenderedPageBreak/>
        <w:drawing>
          <wp:inline distT="0" distB="0" distL="0" distR="0" wp14:anchorId="787BB1B8" wp14:editId="52CB4BE8">
            <wp:extent cx="4102100" cy="1315214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05226" cy="131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89EC6" w14:textId="589F0F44" w:rsidR="00D93EBB" w:rsidRDefault="00D93EBB">
      <w:r w:rsidRPr="00D93EBB">
        <w:drawing>
          <wp:inline distT="0" distB="0" distL="0" distR="0" wp14:anchorId="4F37D1DF" wp14:editId="10E9C9BF">
            <wp:extent cx="5943600" cy="44837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239DB" w14:textId="0DC4CE0A" w:rsidR="000B547B" w:rsidRDefault="000B547B" w:rsidP="001D2B7C">
      <w:pPr>
        <w:pStyle w:val="ListParagraph"/>
        <w:numPr>
          <w:ilvl w:val="0"/>
          <w:numId w:val="1"/>
        </w:numPr>
      </w:pPr>
      <w:r>
        <w:t>Gastroduodenal perforation has NOT been reported in dogs receiving NSAIDs at therapeutic dose</w:t>
      </w:r>
    </w:p>
    <w:p w14:paraId="5220FE8B" w14:textId="2B42050A" w:rsidR="00E7088F" w:rsidRDefault="00E7088F" w:rsidP="001D2B7C">
      <w:pPr>
        <w:pStyle w:val="ListParagraph"/>
        <w:numPr>
          <w:ilvl w:val="0"/>
          <w:numId w:val="1"/>
        </w:numPr>
      </w:pPr>
      <w:r>
        <w:t>Previous studies looking at NSAID-Gi ulceration do not perform pre-tx endoscopy or VCE therefore cannot r/o pre-existing subc</w:t>
      </w:r>
      <w:r w:rsidR="002D6412">
        <w:t>linical GI erosions</w:t>
      </w:r>
    </w:p>
    <w:p w14:paraId="69198063" w14:textId="4D51DC6E" w:rsidR="001D2B7C" w:rsidRDefault="001D2B7C" w:rsidP="001D2B7C">
      <w:pPr>
        <w:pStyle w:val="ListParagraph"/>
        <w:numPr>
          <w:ilvl w:val="0"/>
          <w:numId w:val="1"/>
        </w:numPr>
      </w:pPr>
      <w:r>
        <w:t>OBJECTIVE: To investigate prevalence of GI mucosal ulceration in dogs receiving chronic NSAIDs</w:t>
      </w:r>
      <w:r w:rsidR="00794FD3">
        <w:t xml:space="preserve"> </w:t>
      </w:r>
    </w:p>
    <w:p w14:paraId="0C6F6AD6" w14:textId="7F7DFDF5" w:rsidR="00794FD3" w:rsidRDefault="00794FD3" w:rsidP="001D2B7C">
      <w:pPr>
        <w:pStyle w:val="ListParagraph"/>
        <w:numPr>
          <w:ilvl w:val="0"/>
          <w:numId w:val="1"/>
        </w:numPr>
      </w:pPr>
      <w:r>
        <w:t>1</w:t>
      </w:r>
      <w:r w:rsidR="00CB40EF">
        <w:t>2</w:t>
      </w:r>
      <w:r>
        <w:t xml:space="preserve"> sample and 11 </w:t>
      </w:r>
      <w:r w:rsidR="00CB40EF">
        <w:t>study</w:t>
      </w:r>
      <w:r>
        <w:t xml:space="preserve"> dogs receiving 30d of NSAID underwent video capsule endoscopy (VCE)</w:t>
      </w:r>
      <w:r w:rsidR="00F65B82">
        <w:t>; excluded if received H2RA, PPI, sucralfate, Mg- or AlOH</w:t>
      </w:r>
      <w:r w:rsidR="000A2361">
        <w:t>, steroids w/in 30d</w:t>
      </w:r>
    </w:p>
    <w:p w14:paraId="16C6706D" w14:textId="77777777" w:rsidR="00DE1142" w:rsidRDefault="00CB40EF" w:rsidP="00DE1142">
      <w:pPr>
        <w:pStyle w:val="ListParagraph"/>
        <w:numPr>
          <w:ilvl w:val="0"/>
          <w:numId w:val="1"/>
        </w:numPr>
      </w:pPr>
      <w:r>
        <w:t>10/1</w:t>
      </w:r>
      <w:r w:rsidR="000C2BF8">
        <w:t xml:space="preserve">2 </w:t>
      </w:r>
      <w:r>
        <w:t>(83.3%) study dogs</w:t>
      </w:r>
      <w:r w:rsidR="00CF1572">
        <w:t xml:space="preserve"> and 3/11 (27%) control dogs </w:t>
      </w:r>
      <w:r w:rsidR="001B1709">
        <w:t>had stomach/SI/both erosion</w:t>
      </w:r>
      <w:r w:rsidR="00DE1142">
        <w:t xml:space="preserve">- none had clinical signs </w:t>
      </w:r>
    </w:p>
    <w:p w14:paraId="77B70F8C" w14:textId="0297DB58" w:rsidR="00103919" w:rsidRDefault="00103919" w:rsidP="00DE1142">
      <w:pPr>
        <w:pStyle w:val="ListParagraph"/>
        <w:numPr>
          <w:ilvl w:val="0"/>
          <w:numId w:val="1"/>
        </w:numPr>
      </w:pPr>
      <w:r>
        <w:t>Suggest subclinical chronic GI dz is more common in dogs receiving chronic NSAID</w:t>
      </w:r>
    </w:p>
    <w:p w14:paraId="74561F2F" w14:textId="7FBF1B2E" w:rsidR="00D93EBB" w:rsidRDefault="00D93EBB"/>
    <w:p w14:paraId="6182A274" w14:textId="3E79B6BA" w:rsidR="00D93EBB" w:rsidRDefault="00D93EBB">
      <w:r w:rsidRPr="00D93EBB">
        <w:lastRenderedPageBreak/>
        <w:drawing>
          <wp:inline distT="0" distB="0" distL="0" distR="0" wp14:anchorId="3B68FDCE" wp14:editId="25295A4B">
            <wp:extent cx="4525347" cy="1231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6338" cy="123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3E259" w14:textId="3C56C052" w:rsidR="00C85C5D" w:rsidRDefault="00C85C5D">
      <w:r w:rsidRPr="00C85C5D">
        <w:drawing>
          <wp:inline distT="0" distB="0" distL="0" distR="0" wp14:anchorId="1FA8E240" wp14:editId="573F4E91">
            <wp:extent cx="5943600" cy="3940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CD77D" w14:textId="4257AD4F" w:rsidR="00D2531D" w:rsidRDefault="00D2531D" w:rsidP="00D2531D">
      <w:pPr>
        <w:pStyle w:val="ListParagraph"/>
        <w:numPr>
          <w:ilvl w:val="0"/>
          <w:numId w:val="1"/>
        </w:numPr>
      </w:pPr>
      <w:r>
        <w:t>Aminopenicillins: Excreted by kidneys via renal tubular secretion and partially via GFR</w:t>
      </w:r>
      <w:r w:rsidR="002B1CCD">
        <w:t xml:space="preserve">, concentrated in urine, high index of safety in pets </w:t>
      </w:r>
    </w:p>
    <w:p w14:paraId="38A07E99" w14:textId="1A295C34" w:rsidR="00A66292" w:rsidRDefault="00FB1140" w:rsidP="00D2531D">
      <w:pPr>
        <w:pStyle w:val="ListParagraph"/>
        <w:numPr>
          <w:ilvl w:val="0"/>
          <w:numId w:val="1"/>
        </w:numPr>
      </w:pPr>
      <w:r>
        <w:t xml:space="preserve">OBJECTIVE: To determine plasma clearance after a single IV dose in healthy dogs compared to azotemic dogs </w:t>
      </w:r>
    </w:p>
    <w:p w14:paraId="3FC2F408" w14:textId="25C14DD4" w:rsidR="00D95AAB" w:rsidRDefault="00D95AAB" w:rsidP="00D2531D">
      <w:pPr>
        <w:pStyle w:val="ListParagraph"/>
        <w:numPr>
          <w:ilvl w:val="0"/>
          <w:numId w:val="1"/>
        </w:numPr>
      </w:pPr>
      <w:r>
        <w:t>9 azotemic dogs (</w:t>
      </w:r>
      <w:r w:rsidR="00292C1C">
        <w:t>severe azotemia = Cr &gt;4 mg/dL</w:t>
      </w:r>
      <w:r w:rsidR="00A844CA">
        <w:t>)</w:t>
      </w:r>
      <w:r>
        <w:t xml:space="preserve"> and 10 healthy dogs </w:t>
      </w:r>
    </w:p>
    <w:p w14:paraId="7DAFD0B4" w14:textId="106D3B6D" w:rsidR="008B2293" w:rsidRDefault="008B2293" w:rsidP="008B2293">
      <w:pPr>
        <w:pStyle w:val="ListParagraph"/>
        <w:numPr>
          <w:ilvl w:val="1"/>
          <w:numId w:val="1"/>
        </w:numPr>
      </w:pPr>
      <w:r>
        <w:t>Excluded Dogs &lt;4.5kg, HCT &lt;30%, and Alb &lt;1.5 g/dL</w:t>
      </w:r>
    </w:p>
    <w:p w14:paraId="498D8975" w14:textId="213363EF" w:rsidR="00292C1C" w:rsidRDefault="00292C1C" w:rsidP="00292C1C">
      <w:pPr>
        <w:pStyle w:val="ListParagraph"/>
        <w:numPr>
          <w:ilvl w:val="0"/>
          <w:numId w:val="1"/>
        </w:numPr>
      </w:pPr>
      <w:r>
        <w:t xml:space="preserve">Gave them 22 mg/kg IV one dose – then checked bloods at 1,2,4,12, and 24h after administration </w:t>
      </w:r>
    </w:p>
    <w:p w14:paraId="1AF26C08" w14:textId="2BF9666A" w:rsidR="00FB7B3C" w:rsidRDefault="00FB7B3C" w:rsidP="006B5601">
      <w:pPr>
        <w:pStyle w:val="ListParagraph"/>
        <w:numPr>
          <w:ilvl w:val="0"/>
          <w:numId w:val="1"/>
        </w:numPr>
      </w:pPr>
      <w:r>
        <w:t>Azotemic dogs had lower clearance and lower Vd</w:t>
      </w:r>
    </w:p>
    <w:p w14:paraId="60D4D134" w14:textId="4A018056" w:rsidR="006B5601" w:rsidRDefault="00FB7B3C" w:rsidP="006B5601">
      <w:pPr>
        <w:pStyle w:val="ListParagraph"/>
        <w:numPr>
          <w:ilvl w:val="0"/>
          <w:numId w:val="1"/>
        </w:numPr>
      </w:pPr>
      <w:r>
        <w:t>A</w:t>
      </w:r>
      <w:r w:rsidR="006B5601">
        <w:t xml:space="preserve">zotemic group achieving higher </w:t>
      </w:r>
      <w:r>
        <w:t>ma</w:t>
      </w:r>
      <w:r w:rsidR="006B5601">
        <w:t xml:space="preserve">x plasma concentration than in healthy dogs </w:t>
      </w:r>
      <w:r w:rsidR="009A7867">
        <w:t xml:space="preserve">AND they maintained measurable plasma concentration of ampicillin for the full 24h period </w:t>
      </w:r>
    </w:p>
    <w:p w14:paraId="6A675ED2" w14:textId="626A1E08" w:rsidR="00FB7B3C" w:rsidRDefault="002663B2" w:rsidP="002663B2">
      <w:pPr>
        <w:pStyle w:val="ListParagraph"/>
        <w:numPr>
          <w:ilvl w:val="0"/>
          <w:numId w:val="1"/>
        </w:numPr>
      </w:pPr>
      <w:r>
        <w:t xml:space="preserve">Limitations: ONE dose only – not multiple dosing </w:t>
      </w:r>
    </w:p>
    <w:sectPr w:rsidR="00FB7B3C" w:rsidSect="006E25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0D6FDB"/>
    <w:multiLevelType w:val="hybridMultilevel"/>
    <w:tmpl w:val="54468208"/>
    <w:lvl w:ilvl="0" w:tplc="3F1ED476">
      <w:start w:val="139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BB"/>
    <w:rsid w:val="00017DB0"/>
    <w:rsid w:val="000A2361"/>
    <w:rsid w:val="000B547B"/>
    <w:rsid w:val="000C2BF8"/>
    <w:rsid w:val="000D6E5E"/>
    <w:rsid w:val="00103919"/>
    <w:rsid w:val="001411E8"/>
    <w:rsid w:val="00145650"/>
    <w:rsid w:val="001B1709"/>
    <w:rsid w:val="001D2B7C"/>
    <w:rsid w:val="002663B2"/>
    <w:rsid w:val="00292C1C"/>
    <w:rsid w:val="002B1CCD"/>
    <w:rsid w:val="002D6412"/>
    <w:rsid w:val="00305FF8"/>
    <w:rsid w:val="003164C5"/>
    <w:rsid w:val="003A7CE0"/>
    <w:rsid w:val="003B6EEC"/>
    <w:rsid w:val="003C0676"/>
    <w:rsid w:val="003C6B05"/>
    <w:rsid w:val="00451DAD"/>
    <w:rsid w:val="00456DC7"/>
    <w:rsid w:val="00473395"/>
    <w:rsid w:val="00491EA9"/>
    <w:rsid w:val="00500686"/>
    <w:rsid w:val="00515DE9"/>
    <w:rsid w:val="006241FA"/>
    <w:rsid w:val="006B5601"/>
    <w:rsid w:val="006E2547"/>
    <w:rsid w:val="00730D0E"/>
    <w:rsid w:val="00794FD3"/>
    <w:rsid w:val="00870079"/>
    <w:rsid w:val="008B2293"/>
    <w:rsid w:val="008B5AAB"/>
    <w:rsid w:val="0090124B"/>
    <w:rsid w:val="0095657E"/>
    <w:rsid w:val="0098272B"/>
    <w:rsid w:val="009A7867"/>
    <w:rsid w:val="00A66292"/>
    <w:rsid w:val="00A844CA"/>
    <w:rsid w:val="00B32D1D"/>
    <w:rsid w:val="00BC3A67"/>
    <w:rsid w:val="00BD3705"/>
    <w:rsid w:val="00C1010E"/>
    <w:rsid w:val="00C44659"/>
    <w:rsid w:val="00C85C5D"/>
    <w:rsid w:val="00CB40EF"/>
    <w:rsid w:val="00CC1896"/>
    <w:rsid w:val="00CC7E23"/>
    <w:rsid w:val="00CD2D72"/>
    <w:rsid w:val="00CF1572"/>
    <w:rsid w:val="00D2531D"/>
    <w:rsid w:val="00D41BDF"/>
    <w:rsid w:val="00D93EBB"/>
    <w:rsid w:val="00D95AAB"/>
    <w:rsid w:val="00DE1142"/>
    <w:rsid w:val="00E7088F"/>
    <w:rsid w:val="00F65B82"/>
    <w:rsid w:val="00FB1140"/>
    <w:rsid w:val="00FB6CDB"/>
    <w:rsid w:val="00FB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4E92E7"/>
  <w15:chartTrackingRefBased/>
  <w15:docId w15:val="{85AEDDB5-7C6A-0845-A67B-FC2AFDAE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Wilma Tong</dc:creator>
  <cp:keywords/>
  <dc:description/>
  <cp:lastModifiedBy>Carissa Wilma Tong</cp:lastModifiedBy>
  <cp:revision>50</cp:revision>
  <dcterms:created xsi:type="dcterms:W3CDTF">2021-02-04T15:10:00Z</dcterms:created>
  <dcterms:modified xsi:type="dcterms:W3CDTF">2021-02-04T19:58:00Z</dcterms:modified>
</cp:coreProperties>
</file>