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24E31" w14:textId="77777777" w:rsidR="00066182" w:rsidRPr="00066182" w:rsidRDefault="00066182" w:rsidP="00066182">
      <w:pPr>
        <w:shd w:val="clear" w:color="auto" w:fill="FFFFFF"/>
        <w:spacing w:after="0" w:line="0" w:lineRule="auto"/>
        <w:rPr>
          <w:rFonts w:ascii="ff2" w:eastAsia="Times New Roman" w:hAnsi="ff2" w:cs="Times New Roman"/>
          <w:color w:val="000000"/>
          <w:sz w:val="108"/>
          <w:szCs w:val="108"/>
        </w:rPr>
      </w:pPr>
      <w:r w:rsidRPr="00066182">
        <w:rPr>
          <w:rFonts w:ascii="ff2" w:eastAsia="Times New Roman" w:hAnsi="ff2" w:cs="Times New Roman"/>
          <w:color w:val="000000"/>
          <w:sz w:val="108"/>
          <w:szCs w:val="108"/>
        </w:rPr>
        <w:t>Evaluation of the effects of hydroxyethyl starch (130/0.4)</w:t>
      </w:r>
    </w:p>
    <w:p w14:paraId="68FE9C2B" w14:textId="77777777" w:rsidR="00066182" w:rsidRPr="00066182" w:rsidRDefault="00066182" w:rsidP="00066182">
      <w:pPr>
        <w:shd w:val="clear" w:color="auto" w:fill="FFFFFF"/>
        <w:spacing w:after="0" w:line="0" w:lineRule="auto"/>
        <w:rPr>
          <w:rFonts w:ascii="ff2" w:eastAsia="Times New Roman" w:hAnsi="ff2" w:cs="Times New Roman"/>
          <w:color w:val="000000"/>
          <w:sz w:val="108"/>
          <w:szCs w:val="108"/>
        </w:rPr>
      </w:pPr>
      <w:r w:rsidRPr="00066182">
        <w:rPr>
          <w:rFonts w:ascii="ff2" w:eastAsia="Times New Roman" w:hAnsi="ff2" w:cs="Times New Roman"/>
          <w:color w:val="000000"/>
          <w:sz w:val="108"/>
          <w:szCs w:val="108"/>
        </w:rPr>
        <w:t>administration as a constant rate infusion on plasma colloid</w:t>
      </w:r>
    </w:p>
    <w:p w14:paraId="0ABA0CE5" w14:textId="77777777" w:rsidR="00066182" w:rsidRPr="00066182" w:rsidRDefault="00066182" w:rsidP="00066182">
      <w:pPr>
        <w:shd w:val="clear" w:color="auto" w:fill="FFFFFF"/>
        <w:spacing w:after="0" w:line="0" w:lineRule="auto"/>
        <w:rPr>
          <w:rFonts w:ascii="ff2" w:eastAsia="Times New Roman" w:hAnsi="ff2" w:cs="Times New Roman"/>
          <w:color w:val="000000"/>
          <w:sz w:val="108"/>
          <w:szCs w:val="108"/>
        </w:rPr>
      </w:pPr>
      <w:r w:rsidRPr="00066182">
        <w:rPr>
          <w:rFonts w:ascii="ff2" w:eastAsia="Times New Roman" w:hAnsi="ff2" w:cs="Times New Roman"/>
          <w:color w:val="000000"/>
          <w:sz w:val="108"/>
          <w:szCs w:val="108"/>
        </w:rPr>
        <w:t xml:space="preserve">osmotic pressure in </w:t>
      </w:r>
      <w:proofErr w:type="spellStart"/>
      <w:r w:rsidRPr="00066182">
        <w:rPr>
          <w:rFonts w:ascii="ff2" w:eastAsia="Times New Roman" w:hAnsi="ff2" w:cs="Times New Roman"/>
          <w:color w:val="000000"/>
          <w:sz w:val="108"/>
          <w:szCs w:val="108"/>
        </w:rPr>
        <w:t>hypoabluminemic</w:t>
      </w:r>
      <w:proofErr w:type="spellEnd"/>
      <w:r w:rsidRPr="00066182">
        <w:rPr>
          <w:rFonts w:ascii="ff2" w:eastAsia="Times New Roman" w:hAnsi="ff2" w:cs="Times New Roman"/>
          <w:color w:val="000000"/>
          <w:sz w:val="108"/>
          <w:szCs w:val="108"/>
        </w:rPr>
        <w:t xml:space="preserve"> dogs</w:t>
      </w:r>
    </w:p>
    <w:p w14:paraId="05AD5FAB" w14:textId="77777777" w:rsidR="00066182" w:rsidRPr="00066182" w:rsidRDefault="00066182" w:rsidP="00066182">
      <w:pPr>
        <w:shd w:val="clear" w:color="auto" w:fill="FFFFFF"/>
        <w:spacing w:after="0" w:line="0" w:lineRule="auto"/>
        <w:rPr>
          <w:rFonts w:ascii="ff2" w:eastAsia="Times New Roman" w:hAnsi="ff2" w:cs="Times New Roman"/>
          <w:color w:val="000000"/>
          <w:sz w:val="108"/>
          <w:szCs w:val="108"/>
        </w:rPr>
      </w:pPr>
      <w:r w:rsidRPr="00066182">
        <w:rPr>
          <w:rFonts w:ascii="ff2" w:eastAsia="Times New Roman" w:hAnsi="ff2" w:cs="Times New Roman"/>
          <w:color w:val="000000"/>
          <w:sz w:val="108"/>
          <w:szCs w:val="108"/>
        </w:rPr>
        <w:t>Evaluation of the effects of hydroxyethyl starch (130/0.4)</w:t>
      </w:r>
    </w:p>
    <w:p w14:paraId="673BE62E" w14:textId="77777777" w:rsidR="00066182" w:rsidRPr="00066182" w:rsidRDefault="00066182" w:rsidP="00066182">
      <w:pPr>
        <w:shd w:val="clear" w:color="auto" w:fill="FFFFFF"/>
        <w:spacing w:after="0" w:line="0" w:lineRule="auto"/>
        <w:rPr>
          <w:rFonts w:ascii="ff2" w:eastAsia="Times New Roman" w:hAnsi="ff2" w:cs="Times New Roman"/>
          <w:color w:val="000000"/>
          <w:sz w:val="108"/>
          <w:szCs w:val="108"/>
        </w:rPr>
      </w:pPr>
      <w:r w:rsidRPr="00066182">
        <w:rPr>
          <w:rFonts w:ascii="ff2" w:eastAsia="Times New Roman" w:hAnsi="ff2" w:cs="Times New Roman"/>
          <w:color w:val="000000"/>
          <w:sz w:val="108"/>
          <w:szCs w:val="108"/>
        </w:rPr>
        <w:t>administration as a constant rate infusion on plasma colloid</w:t>
      </w:r>
    </w:p>
    <w:p w14:paraId="7FFA625A" w14:textId="77777777" w:rsidR="00066182" w:rsidRPr="00066182" w:rsidRDefault="00066182" w:rsidP="00066182">
      <w:pPr>
        <w:shd w:val="clear" w:color="auto" w:fill="FFFFFF"/>
        <w:spacing w:after="0" w:line="0" w:lineRule="auto"/>
        <w:rPr>
          <w:rFonts w:ascii="ff2" w:eastAsia="Times New Roman" w:hAnsi="ff2" w:cs="Times New Roman"/>
          <w:color w:val="000000"/>
          <w:sz w:val="108"/>
          <w:szCs w:val="108"/>
        </w:rPr>
      </w:pPr>
      <w:r w:rsidRPr="00066182">
        <w:rPr>
          <w:rFonts w:ascii="ff2" w:eastAsia="Times New Roman" w:hAnsi="ff2" w:cs="Times New Roman"/>
          <w:color w:val="000000"/>
          <w:sz w:val="108"/>
          <w:szCs w:val="108"/>
        </w:rPr>
        <w:t xml:space="preserve">osmotic pressure in </w:t>
      </w:r>
      <w:proofErr w:type="spellStart"/>
      <w:r w:rsidRPr="00066182">
        <w:rPr>
          <w:rFonts w:ascii="ff2" w:eastAsia="Times New Roman" w:hAnsi="ff2" w:cs="Times New Roman"/>
          <w:color w:val="000000"/>
          <w:sz w:val="108"/>
          <w:szCs w:val="108"/>
        </w:rPr>
        <w:t>hypoabluminemic</w:t>
      </w:r>
      <w:proofErr w:type="spellEnd"/>
      <w:r w:rsidRPr="00066182">
        <w:rPr>
          <w:rFonts w:ascii="ff2" w:eastAsia="Times New Roman" w:hAnsi="ff2" w:cs="Times New Roman"/>
          <w:color w:val="000000"/>
          <w:sz w:val="108"/>
          <w:szCs w:val="108"/>
        </w:rPr>
        <w:t xml:space="preserve"> dogs</w:t>
      </w:r>
    </w:p>
    <w:p w14:paraId="19EF5655" w14:textId="77777777" w:rsidR="00066182" w:rsidRPr="00066182" w:rsidRDefault="00066182" w:rsidP="00066182">
      <w:pPr>
        <w:shd w:val="clear" w:color="auto" w:fill="FFFFFF"/>
        <w:spacing w:before="120" w:after="120" w:line="450" w:lineRule="atLeast"/>
        <w:outlineLvl w:val="0"/>
        <w:rPr>
          <w:rFonts w:ascii="Arial" w:eastAsia="Times New Roman" w:hAnsi="Arial" w:cs="Arial"/>
          <w:b/>
          <w:bCs/>
          <w:color w:val="1C1D1E"/>
          <w:kern w:val="36"/>
        </w:rPr>
      </w:pPr>
      <w:r w:rsidRPr="00066182">
        <w:rPr>
          <w:rFonts w:ascii="Arial" w:eastAsia="Times New Roman" w:hAnsi="Arial" w:cs="Arial"/>
          <w:b/>
          <w:bCs/>
          <w:color w:val="1C1D1E"/>
          <w:kern w:val="36"/>
        </w:rPr>
        <w:t xml:space="preserve">Evaluation of the effects of hydroxyethyl starch (130/0.4) administration as a constant rate infusion on plasma colloid osmotic pressure in </w:t>
      </w:r>
      <w:proofErr w:type="spellStart"/>
      <w:r w:rsidRPr="00066182">
        <w:rPr>
          <w:rFonts w:ascii="Arial" w:eastAsia="Times New Roman" w:hAnsi="Arial" w:cs="Arial"/>
          <w:b/>
          <w:bCs/>
          <w:color w:val="1C1D1E"/>
          <w:kern w:val="36"/>
        </w:rPr>
        <w:t>hypoabluminemic</w:t>
      </w:r>
      <w:proofErr w:type="spellEnd"/>
      <w:r w:rsidRPr="00066182">
        <w:rPr>
          <w:rFonts w:ascii="Arial" w:eastAsia="Times New Roman" w:hAnsi="Arial" w:cs="Arial"/>
          <w:b/>
          <w:bCs/>
          <w:color w:val="1C1D1E"/>
          <w:kern w:val="36"/>
        </w:rPr>
        <w:t xml:space="preserve"> dogs</w:t>
      </w:r>
    </w:p>
    <w:p w14:paraId="7B5E3DF7" w14:textId="6DBC56DE" w:rsidR="000F1143" w:rsidRDefault="000F1143"/>
    <w:p w14:paraId="6D5D6F84" w14:textId="348C184F" w:rsidR="00066182" w:rsidRDefault="00066182"/>
    <w:p w14:paraId="514DCD5A" w14:textId="77777777" w:rsidR="00066182" w:rsidRDefault="00066182" w:rsidP="00066182">
      <w:pPr>
        <w:pStyle w:val="Heading3"/>
        <w:spacing w:before="180" w:after="180"/>
        <w:rPr>
          <w:rFonts w:ascii="Arial" w:hAnsi="Arial" w:cs="Arial"/>
          <w:color w:val="1F1F1F"/>
          <w:sz w:val="33"/>
          <w:szCs w:val="33"/>
        </w:rPr>
      </w:pPr>
      <w:r>
        <w:rPr>
          <w:rFonts w:ascii="Arial" w:hAnsi="Arial" w:cs="Arial"/>
          <w:b/>
          <w:bCs/>
          <w:color w:val="1F1F1F"/>
          <w:sz w:val="33"/>
          <w:szCs w:val="33"/>
        </w:rPr>
        <w:t>Objective</w:t>
      </w:r>
    </w:p>
    <w:p w14:paraId="30CBE138" w14:textId="77777777" w:rsidR="00066182" w:rsidRDefault="00066182" w:rsidP="00066182">
      <w:pPr>
        <w:pStyle w:val="NormalWeb"/>
        <w:spacing w:before="75" w:beforeAutospacing="0" w:after="240" w:afterAutospacing="0"/>
      </w:pPr>
      <w:r>
        <w:t xml:space="preserve">To evaluate the effects of 2 constant rate infusions of hydroxyethyl starch (HES) 130/0.4 on plasma colloid osmotic pressure (COP) in </w:t>
      </w:r>
      <w:proofErr w:type="spellStart"/>
      <w:r>
        <w:t>hypoalbuminemic</w:t>
      </w:r>
      <w:proofErr w:type="spellEnd"/>
      <w:r>
        <w:t xml:space="preserve"> dogs.</w:t>
      </w:r>
    </w:p>
    <w:p w14:paraId="188BEDEC" w14:textId="77777777" w:rsidR="00066182" w:rsidRDefault="00066182" w:rsidP="00066182">
      <w:pPr>
        <w:pStyle w:val="Heading3"/>
        <w:spacing w:before="180" w:after="180"/>
        <w:rPr>
          <w:rFonts w:ascii="Arial" w:hAnsi="Arial" w:cs="Arial"/>
          <w:color w:val="1F1F1F"/>
          <w:sz w:val="33"/>
          <w:szCs w:val="33"/>
        </w:rPr>
      </w:pPr>
      <w:r>
        <w:rPr>
          <w:rFonts w:ascii="Arial" w:hAnsi="Arial" w:cs="Arial"/>
          <w:b/>
          <w:bCs/>
          <w:color w:val="1F1F1F"/>
          <w:sz w:val="33"/>
          <w:szCs w:val="33"/>
        </w:rPr>
        <w:t>Design</w:t>
      </w:r>
    </w:p>
    <w:p w14:paraId="4B3342A3" w14:textId="77777777" w:rsidR="00066182" w:rsidRDefault="00066182" w:rsidP="00066182">
      <w:pPr>
        <w:pStyle w:val="NormalWeb"/>
        <w:spacing w:before="75" w:beforeAutospacing="0" w:after="240" w:afterAutospacing="0"/>
      </w:pPr>
      <w:r>
        <w:t>Prospective, randomized clinical trial.</w:t>
      </w:r>
    </w:p>
    <w:p w14:paraId="08904122" w14:textId="77777777" w:rsidR="00066182" w:rsidRDefault="00066182" w:rsidP="00066182">
      <w:pPr>
        <w:pStyle w:val="Heading3"/>
        <w:spacing w:before="180" w:after="180"/>
        <w:rPr>
          <w:rFonts w:ascii="Arial" w:hAnsi="Arial" w:cs="Arial"/>
          <w:color w:val="1F1F1F"/>
          <w:sz w:val="33"/>
          <w:szCs w:val="33"/>
        </w:rPr>
      </w:pPr>
      <w:r>
        <w:rPr>
          <w:rFonts w:ascii="Arial" w:hAnsi="Arial" w:cs="Arial"/>
          <w:b/>
          <w:bCs/>
          <w:color w:val="1F1F1F"/>
          <w:sz w:val="33"/>
          <w:szCs w:val="33"/>
        </w:rPr>
        <w:t>Animals</w:t>
      </w:r>
    </w:p>
    <w:p w14:paraId="211F67A1" w14:textId="77777777" w:rsidR="00066182" w:rsidRDefault="00066182" w:rsidP="00066182">
      <w:pPr>
        <w:pStyle w:val="NormalWeb"/>
        <w:spacing w:before="75" w:beforeAutospacing="0" w:after="240" w:afterAutospacing="0"/>
      </w:pPr>
      <w:r>
        <w:t>A total of 24 client‐owned dogs.</w:t>
      </w:r>
    </w:p>
    <w:p w14:paraId="4CD760C2" w14:textId="77777777" w:rsidR="00066182" w:rsidRDefault="00066182" w:rsidP="00066182">
      <w:pPr>
        <w:pStyle w:val="Heading3"/>
        <w:spacing w:before="180" w:after="180"/>
        <w:rPr>
          <w:rFonts w:ascii="Arial" w:hAnsi="Arial" w:cs="Arial"/>
          <w:color w:val="1F1F1F"/>
          <w:sz w:val="33"/>
          <w:szCs w:val="33"/>
        </w:rPr>
      </w:pPr>
      <w:r>
        <w:rPr>
          <w:rFonts w:ascii="Arial" w:hAnsi="Arial" w:cs="Arial"/>
          <w:b/>
          <w:bCs/>
          <w:color w:val="1F1F1F"/>
          <w:sz w:val="33"/>
          <w:szCs w:val="33"/>
        </w:rPr>
        <w:t>Interventions</w:t>
      </w:r>
    </w:p>
    <w:p w14:paraId="7DA7C113" w14:textId="77777777" w:rsidR="00066182" w:rsidRDefault="00066182" w:rsidP="00066182">
      <w:pPr>
        <w:pStyle w:val="NormalWeb"/>
        <w:spacing w:before="75" w:beforeAutospacing="0" w:after="240" w:afterAutospacing="0"/>
      </w:pPr>
      <w:proofErr w:type="spellStart"/>
      <w:r>
        <w:t>Hypoalbuminemic</w:t>
      </w:r>
      <w:proofErr w:type="spellEnd"/>
      <w:r>
        <w:t xml:space="preserve"> euvolemic dogs (albumin &lt; 20 g/L [&lt;2 g/dL]) with normal perfusion parameters requiring IV fluid therapy were enrolled. In addition to crystalloid, HES 130/0.4 was administered as a constant rate infusion over 24 hours at 1 mL/kg/h (group 1, n = 15) or at 2 mL/kg/h (group 2, n = 9), in order to support plasma COP. Before infusion, a blood sample was collected to perform CBC, serum electrophoresis, and serologic tests for some infective diseases. Plasma COP, albumin concentration, PCV, and total plasma protein concentration were evaluated serially at baseline (T0) and then at 6, 12, and 24 hours after the start of infusion, and a multilevel model was performed for these parameters to detect statistically significant differences between the 2 groups.</w:t>
      </w:r>
    </w:p>
    <w:p w14:paraId="27A6E480" w14:textId="77777777" w:rsidR="00066182" w:rsidRDefault="00066182" w:rsidP="00066182">
      <w:pPr>
        <w:pStyle w:val="Heading3"/>
        <w:spacing w:before="180" w:after="180"/>
        <w:rPr>
          <w:rFonts w:ascii="Arial" w:hAnsi="Arial" w:cs="Arial"/>
          <w:color w:val="1F1F1F"/>
          <w:sz w:val="33"/>
          <w:szCs w:val="33"/>
        </w:rPr>
      </w:pPr>
      <w:r>
        <w:rPr>
          <w:rFonts w:ascii="Arial" w:hAnsi="Arial" w:cs="Arial"/>
          <w:b/>
          <w:bCs/>
          <w:color w:val="1F1F1F"/>
          <w:sz w:val="33"/>
          <w:szCs w:val="33"/>
        </w:rPr>
        <w:t>Measurement and Main Results</w:t>
      </w:r>
    </w:p>
    <w:p w14:paraId="4898B9DF" w14:textId="77777777" w:rsidR="00066182" w:rsidRDefault="00066182" w:rsidP="00066182">
      <w:pPr>
        <w:pStyle w:val="NormalWeb"/>
        <w:spacing w:before="75" w:beforeAutospacing="0" w:after="240" w:afterAutospacing="0"/>
      </w:pPr>
      <w:r>
        <w:t>Twenty‐four dogs were included. No statistically significant differences in COP were found between the 2 groups; however, a high level of variability has been identified within the single individual. Among the other laboratory analyses, PCV was significantly decreased in group 1 at T12 and T24 compared with T0 (</w:t>
      </w:r>
      <w:r>
        <w:rPr>
          <w:i/>
          <w:iCs/>
        </w:rPr>
        <w:t>P</w:t>
      </w:r>
      <w:r>
        <w:t> &lt; 0.001) and total plasma protein concentration was significantly increased in group 2 at T12 and T24 compared with T0 (</w:t>
      </w:r>
      <w:r>
        <w:rPr>
          <w:i/>
          <w:iCs/>
        </w:rPr>
        <w:t>P</w:t>
      </w:r>
      <w:r>
        <w:t> &lt; 0.008).</w:t>
      </w:r>
    </w:p>
    <w:p w14:paraId="261F82C5" w14:textId="77777777" w:rsidR="00066182" w:rsidRDefault="00066182" w:rsidP="00066182">
      <w:pPr>
        <w:pStyle w:val="Heading3"/>
        <w:spacing w:before="180" w:after="180"/>
        <w:rPr>
          <w:rFonts w:ascii="Arial" w:hAnsi="Arial" w:cs="Arial"/>
          <w:color w:val="1F1F1F"/>
          <w:sz w:val="33"/>
          <w:szCs w:val="33"/>
        </w:rPr>
      </w:pPr>
      <w:r>
        <w:rPr>
          <w:rFonts w:ascii="Arial" w:hAnsi="Arial" w:cs="Arial"/>
          <w:b/>
          <w:bCs/>
          <w:color w:val="1F1F1F"/>
          <w:sz w:val="33"/>
          <w:szCs w:val="33"/>
        </w:rPr>
        <w:t>Conclusion</w:t>
      </w:r>
    </w:p>
    <w:p w14:paraId="21E8827B" w14:textId="77777777" w:rsidR="00066182" w:rsidRDefault="00066182" w:rsidP="00066182">
      <w:pPr>
        <w:pStyle w:val="NormalWeb"/>
        <w:spacing w:before="75" w:beforeAutospacing="0" w:after="240" w:afterAutospacing="0"/>
      </w:pPr>
      <w:r>
        <w:t xml:space="preserve">No significant effect on plasma COP was found following infusion with HES 130/0.4 at doses of 1 mL/kg/h and 2 mL/kg/h for 24 hours to </w:t>
      </w:r>
      <w:proofErr w:type="spellStart"/>
      <w:r>
        <w:t>hypoalbuminemic</w:t>
      </w:r>
      <w:proofErr w:type="spellEnd"/>
      <w:r>
        <w:t xml:space="preserve"> dogs. The administered concomitant dose of crystalloids, underlying disease, and small sample size were all potential confounding factors.</w:t>
      </w:r>
    </w:p>
    <w:p w14:paraId="7D8D6430" w14:textId="1E2D2704" w:rsidR="00066182" w:rsidRPr="00066182" w:rsidRDefault="00066182">
      <w:pPr>
        <w:rPr>
          <w:b/>
          <w:bCs/>
        </w:rPr>
      </w:pPr>
      <w:r w:rsidRPr="00066182">
        <w:rPr>
          <w:b/>
          <w:bCs/>
        </w:rPr>
        <w:lastRenderedPageBreak/>
        <w:t>Introduction</w:t>
      </w:r>
    </w:p>
    <w:p w14:paraId="453E8D22" w14:textId="40EEB76F" w:rsidR="00066182" w:rsidRDefault="00066182">
      <w:r>
        <w:t xml:space="preserve">Albumin accounts for 60-70% of COP. The </w:t>
      </w:r>
      <w:proofErr w:type="spellStart"/>
      <w:r>
        <w:t>subglycocalyx</w:t>
      </w:r>
      <w:proofErr w:type="spellEnd"/>
      <w:r>
        <w:t xml:space="preserve"> COP has led to a revision of the Starling equation </w:t>
      </w:r>
    </w:p>
    <w:p w14:paraId="2100039B" w14:textId="17ED9BFA" w:rsidR="00066182" w:rsidRDefault="00066182">
      <w:r>
        <w:t>There is a poor correlation between calculated and measured COP</w:t>
      </w:r>
    </w:p>
    <w:p w14:paraId="571AAA37" w14:textId="5C92A7AD" w:rsidR="00066182" w:rsidRDefault="00066182">
      <w:r>
        <w:t xml:space="preserve">No studies have evaluated the efficacy of HES CRI on increasing COP </w:t>
      </w:r>
    </w:p>
    <w:p w14:paraId="0137773C" w14:textId="6622CD69" w:rsidR="00066182" w:rsidRDefault="00066182">
      <w:pPr>
        <w:rPr>
          <w:b/>
          <w:bCs/>
        </w:rPr>
      </w:pPr>
      <w:r w:rsidRPr="00066182">
        <w:rPr>
          <w:b/>
          <w:bCs/>
        </w:rPr>
        <w:t xml:space="preserve">Results/Discussion </w:t>
      </w:r>
    </w:p>
    <w:p w14:paraId="602F2E27" w14:textId="387FE91D" w:rsidR="00066182" w:rsidRDefault="00066182">
      <w:r>
        <w:t xml:space="preserve">24 dogs were included in the study </w:t>
      </w:r>
    </w:p>
    <w:p w14:paraId="1E1ED50E" w14:textId="718C07B9" w:rsidR="00066182" w:rsidRDefault="00066182">
      <w:r>
        <w:t xml:space="preserve">There was no different in COP measurements between the 2 infusion rates of HES </w:t>
      </w:r>
    </w:p>
    <w:p w14:paraId="24113713" w14:textId="64495FD5" w:rsidR="00066182" w:rsidRPr="00066182" w:rsidRDefault="00066182">
      <w:pPr>
        <w:rPr>
          <w:rFonts w:asciiTheme="majorHAnsi" w:hAnsiTheme="majorHAnsi" w:cstheme="majorHAnsi"/>
        </w:rPr>
      </w:pPr>
      <w:r w:rsidRPr="00066182">
        <w:rPr>
          <w:rFonts w:asciiTheme="majorHAnsi" w:hAnsiTheme="majorHAnsi" w:cstheme="majorHAnsi"/>
        </w:rPr>
        <w:t>Refractive index of tetrastarch is 4.2g/dL</w:t>
      </w:r>
    </w:p>
    <w:p w14:paraId="6DEE6CB5" w14:textId="149E71D4" w:rsidR="00066182" w:rsidRDefault="00066182">
      <w:pPr>
        <w:rPr>
          <w:rFonts w:asciiTheme="majorHAnsi" w:hAnsiTheme="majorHAnsi" w:cstheme="majorHAnsi"/>
          <w:color w:val="1C1D1E"/>
          <w:shd w:val="clear" w:color="auto" w:fill="FFFFFF"/>
        </w:rPr>
      </w:pPr>
      <w:r w:rsidRPr="00066182">
        <w:rPr>
          <w:rFonts w:asciiTheme="majorHAnsi" w:hAnsiTheme="majorHAnsi" w:cstheme="majorHAnsi"/>
          <w:color w:val="1C1D1E"/>
          <w:shd w:val="clear" w:color="auto" w:fill="FFFFFF"/>
        </w:rPr>
        <w:t xml:space="preserve">although COP did not differ before and after HES administration in </w:t>
      </w:r>
      <w:proofErr w:type="spellStart"/>
      <w:r w:rsidRPr="00066182">
        <w:rPr>
          <w:rFonts w:asciiTheme="majorHAnsi" w:hAnsiTheme="majorHAnsi" w:cstheme="majorHAnsi"/>
          <w:color w:val="1C1D1E"/>
          <w:shd w:val="clear" w:color="auto" w:fill="FFFFFF"/>
        </w:rPr>
        <w:t>hypoalbuminemic</w:t>
      </w:r>
      <w:proofErr w:type="spellEnd"/>
      <w:r w:rsidRPr="00066182">
        <w:rPr>
          <w:rFonts w:asciiTheme="majorHAnsi" w:hAnsiTheme="majorHAnsi" w:cstheme="majorHAnsi"/>
          <w:color w:val="1C1D1E"/>
          <w:shd w:val="clear" w:color="auto" w:fill="FFFFFF"/>
        </w:rPr>
        <w:t xml:space="preserve"> dogs, colloid infusion may have helped to maintain COP and fluid volume in the intravascular </w:t>
      </w:r>
      <w:proofErr w:type="gramStart"/>
      <w:r w:rsidRPr="00066182">
        <w:rPr>
          <w:rFonts w:asciiTheme="majorHAnsi" w:hAnsiTheme="majorHAnsi" w:cstheme="majorHAnsi"/>
          <w:color w:val="1C1D1E"/>
          <w:shd w:val="clear" w:color="auto" w:fill="FFFFFF"/>
        </w:rPr>
        <w:t>space, and</w:t>
      </w:r>
      <w:proofErr w:type="gramEnd"/>
      <w:r w:rsidRPr="00066182">
        <w:rPr>
          <w:rFonts w:asciiTheme="majorHAnsi" w:hAnsiTheme="majorHAnsi" w:cstheme="majorHAnsi"/>
          <w:color w:val="1C1D1E"/>
          <w:shd w:val="clear" w:color="auto" w:fill="FFFFFF"/>
        </w:rPr>
        <w:t xml:space="preserve"> decrease the rate and volume of fluid lost to the </w:t>
      </w:r>
      <w:proofErr w:type="spellStart"/>
      <w:r w:rsidRPr="00066182">
        <w:rPr>
          <w:rFonts w:asciiTheme="majorHAnsi" w:hAnsiTheme="majorHAnsi" w:cstheme="majorHAnsi"/>
          <w:color w:val="1C1D1E"/>
          <w:shd w:val="clear" w:color="auto" w:fill="FFFFFF"/>
        </w:rPr>
        <w:t>interstitium</w:t>
      </w:r>
      <w:proofErr w:type="spellEnd"/>
      <w:r w:rsidRPr="00066182">
        <w:rPr>
          <w:rFonts w:asciiTheme="majorHAnsi" w:hAnsiTheme="majorHAnsi" w:cstheme="majorHAnsi"/>
          <w:color w:val="1C1D1E"/>
          <w:shd w:val="clear" w:color="auto" w:fill="FFFFFF"/>
        </w:rPr>
        <w:t>. This statement remains a hypothesis, however, since there was no control group in the present study that received only crystalloid fluids.</w:t>
      </w:r>
    </w:p>
    <w:p w14:paraId="1D819A40" w14:textId="6E74DE21" w:rsidR="00066182" w:rsidRPr="00066182" w:rsidRDefault="00066182">
      <w:pPr>
        <w:rPr>
          <w:rFonts w:asciiTheme="majorHAnsi" w:hAnsiTheme="majorHAnsi" w:cstheme="majorHAnsi"/>
          <w:color w:val="1C1D1E"/>
          <w:shd w:val="clear" w:color="auto" w:fill="FFFFFF"/>
        </w:rPr>
      </w:pPr>
      <w:r w:rsidRPr="00066182">
        <w:rPr>
          <w:rFonts w:asciiTheme="majorHAnsi" w:hAnsiTheme="majorHAnsi" w:cstheme="majorHAnsi"/>
          <w:color w:val="1C1D1E"/>
          <w:shd w:val="clear" w:color="auto" w:fill="FFFFFF"/>
        </w:rPr>
        <w:t xml:space="preserve">In conclusion, the administration of HES 130/0.4 as a CRI in </w:t>
      </w:r>
      <w:proofErr w:type="spellStart"/>
      <w:r w:rsidRPr="00066182">
        <w:rPr>
          <w:rFonts w:asciiTheme="majorHAnsi" w:hAnsiTheme="majorHAnsi" w:cstheme="majorHAnsi"/>
          <w:color w:val="1C1D1E"/>
          <w:shd w:val="clear" w:color="auto" w:fill="FFFFFF"/>
        </w:rPr>
        <w:t>hypoalbuminemic</w:t>
      </w:r>
      <w:proofErr w:type="spellEnd"/>
      <w:r w:rsidRPr="00066182">
        <w:rPr>
          <w:rFonts w:asciiTheme="majorHAnsi" w:hAnsiTheme="majorHAnsi" w:cstheme="majorHAnsi"/>
          <w:color w:val="1C1D1E"/>
          <w:shd w:val="clear" w:color="auto" w:fill="FFFFFF"/>
        </w:rPr>
        <w:t xml:space="preserve"> dogs did not cause significant changes in plasma COP</w:t>
      </w:r>
    </w:p>
    <w:p w14:paraId="0146F685" w14:textId="77777777" w:rsidR="00066182" w:rsidRPr="00066182" w:rsidRDefault="00066182">
      <w:pPr>
        <w:rPr>
          <w:rFonts w:asciiTheme="majorHAnsi" w:hAnsiTheme="majorHAnsi" w:cstheme="majorHAnsi"/>
        </w:rPr>
      </w:pPr>
    </w:p>
    <w:p w14:paraId="559C3ED1" w14:textId="77777777" w:rsidR="00066182" w:rsidRDefault="00066182"/>
    <w:sectPr w:rsidR="000661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f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492"/>
    <w:rsid w:val="00066182"/>
    <w:rsid w:val="000F1143"/>
    <w:rsid w:val="00FF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E509"/>
  <w15:chartTrackingRefBased/>
  <w15:docId w15:val="{A1AC281F-3CE2-46E4-8AB5-E5C0D6B8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6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0661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_"/>
    <w:basedOn w:val="DefaultParagraphFont"/>
    <w:rsid w:val="00066182"/>
  </w:style>
  <w:style w:type="character" w:customStyle="1" w:styleId="fc3">
    <w:name w:val="fc3"/>
    <w:basedOn w:val="DefaultParagraphFont"/>
    <w:rsid w:val="00066182"/>
  </w:style>
  <w:style w:type="character" w:customStyle="1" w:styleId="Heading1Char">
    <w:name w:val="Heading 1 Char"/>
    <w:basedOn w:val="DefaultParagraphFont"/>
    <w:link w:val="Heading1"/>
    <w:uiPriority w:val="9"/>
    <w:rsid w:val="0006618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06618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0661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646742">
      <w:bodyDiv w:val="1"/>
      <w:marLeft w:val="0"/>
      <w:marRight w:val="0"/>
      <w:marTop w:val="0"/>
      <w:marBottom w:val="0"/>
      <w:divBdr>
        <w:top w:val="none" w:sz="0" w:space="0" w:color="auto"/>
        <w:left w:val="none" w:sz="0" w:space="0" w:color="auto"/>
        <w:bottom w:val="none" w:sz="0" w:space="0" w:color="auto"/>
        <w:right w:val="none" w:sz="0" w:space="0" w:color="auto"/>
      </w:divBdr>
      <w:divsChild>
        <w:div w:id="535047202">
          <w:marLeft w:val="0"/>
          <w:marRight w:val="0"/>
          <w:marTop w:val="0"/>
          <w:marBottom w:val="0"/>
          <w:divBdr>
            <w:top w:val="none" w:sz="0" w:space="0" w:color="auto"/>
            <w:left w:val="none" w:sz="0" w:space="0" w:color="auto"/>
            <w:bottom w:val="none" w:sz="0" w:space="0" w:color="auto"/>
            <w:right w:val="none" w:sz="0" w:space="0" w:color="auto"/>
          </w:divBdr>
        </w:div>
        <w:div w:id="410855378">
          <w:marLeft w:val="0"/>
          <w:marRight w:val="0"/>
          <w:marTop w:val="0"/>
          <w:marBottom w:val="0"/>
          <w:divBdr>
            <w:top w:val="none" w:sz="0" w:space="0" w:color="auto"/>
            <w:left w:val="none" w:sz="0" w:space="0" w:color="auto"/>
            <w:bottom w:val="none" w:sz="0" w:space="0" w:color="auto"/>
            <w:right w:val="none" w:sz="0" w:space="0" w:color="auto"/>
          </w:divBdr>
        </w:div>
        <w:div w:id="666514126">
          <w:marLeft w:val="0"/>
          <w:marRight w:val="0"/>
          <w:marTop w:val="0"/>
          <w:marBottom w:val="0"/>
          <w:divBdr>
            <w:top w:val="none" w:sz="0" w:space="0" w:color="auto"/>
            <w:left w:val="none" w:sz="0" w:space="0" w:color="auto"/>
            <w:bottom w:val="none" w:sz="0" w:space="0" w:color="auto"/>
            <w:right w:val="none" w:sz="0" w:space="0" w:color="auto"/>
          </w:divBdr>
        </w:div>
      </w:divsChild>
    </w:div>
    <w:div w:id="638536613">
      <w:bodyDiv w:val="1"/>
      <w:marLeft w:val="0"/>
      <w:marRight w:val="0"/>
      <w:marTop w:val="0"/>
      <w:marBottom w:val="0"/>
      <w:divBdr>
        <w:top w:val="none" w:sz="0" w:space="0" w:color="auto"/>
        <w:left w:val="none" w:sz="0" w:space="0" w:color="auto"/>
        <w:bottom w:val="none" w:sz="0" w:space="0" w:color="auto"/>
        <w:right w:val="none" w:sz="0" w:space="0" w:color="auto"/>
      </w:divBdr>
    </w:div>
    <w:div w:id="1440176053">
      <w:bodyDiv w:val="1"/>
      <w:marLeft w:val="0"/>
      <w:marRight w:val="0"/>
      <w:marTop w:val="0"/>
      <w:marBottom w:val="0"/>
      <w:divBdr>
        <w:top w:val="none" w:sz="0" w:space="0" w:color="auto"/>
        <w:left w:val="none" w:sz="0" w:space="0" w:color="auto"/>
        <w:bottom w:val="none" w:sz="0" w:space="0" w:color="auto"/>
        <w:right w:val="none" w:sz="0" w:space="0" w:color="auto"/>
      </w:divBdr>
    </w:div>
    <w:div w:id="1558131480">
      <w:bodyDiv w:val="1"/>
      <w:marLeft w:val="0"/>
      <w:marRight w:val="0"/>
      <w:marTop w:val="0"/>
      <w:marBottom w:val="0"/>
      <w:divBdr>
        <w:top w:val="none" w:sz="0" w:space="0" w:color="auto"/>
        <w:left w:val="none" w:sz="0" w:space="0" w:color="auto"/>
        <w:bottom w:val="none" w:sz="0" w:space="0" w:color="auto"/>
        <w:right w:val="none" w:sz="0" w:space="0" w:color="auto"/>
      </w:divBdr>
      <w:divsChild>
        <w:div w:id="771434857">
          <w:marLeft w:val="0"/>
          <w:marRight w:val="0"/>
          <w:marTop w:val="0"/>
          <w:marBottom w:val="0"/>
          <w:divBdr>
            <w:top w:val="none" w:sz="0" w:space="0" w:color="auto"/>
            <w:left w:val="none" w:sz="0" w:space="0" w:color="auto"/>
            <w:bottom w:val="none" w:sz="0" w:space="0" w:color="auto"/>
            <w:right w:val="none" w:sz="0" w:space="0" w:color="auto"/>
          </w:divBdr>
        </w:div>
        <w:div w:id="1164932403">
          <w:marLeft w:val="0"/>
          <w:marRight w:val="0"/>
          <w:marTop w:val="0"/>
          <w:marBottom w:val="0"/>
          <w:divBdr>
            <w:top w:val="none" w:sz="0" w:space="0" w:color="auto"/>
            <w:left w:val="none" w:sz="0" w:space="0" w:color="auto"/>
            <w:bottom w:val="none" w:sz="0" w:space="0" w:color="auto"/>
            <w:right w:val="none" w:sz="0" w:space="0" w:color="auto"/>
          </w:divBdr>
        </w:div>
        <w:div w:id="141304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M. Summers</dc:creator>
  <cp:keywords/>
  <dc:description/>
  <cp:lastModifiedBy>April M. Summers</cp:lastModifiedBy>
  <cp:revision>2</cp:revision>
  <dcterms:created xsi:type="dcterms:W3CDTF">2020-09-16T22:45:00Z</dcterms:created>
  <dcterms:modified xsi:type="dcterms:W3CDTF">2020-09-16T22:45:00Z</dcterms:modified>
</cp:coreProperties>
</file>