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1FC10" w14:textId="6C1F4723" w:rsidR="00CD2D72" w:rsidRPr="00AF3F95" w:rsidRDefault="000D23A2" w:rsidP="00150061">
      <w:pPr>
        <w:jc w:val="center"/>
        <w:rPr>
          <w:rFonts w:ascii="Calibri" w:hAnsi="Calibri" w:cs="Calibri"/>
          <w:color w:val="000000" w:themeColor="text1"/>
          <w:sz w:val="28"/>
          <w:szCs w:val="28"/>
        </w:rPr>
      </w:pPr>
      <w:r w:rsidRPr="00AF3F95">
        <w:rPr>
          <w:rFonts w:ascii="Calibri" w:hAnsi="Calibri" w:cs="Calibri"/>
          <w:b/>
          <w:bCs/>
          <w:color w:val="000000" w:themeColor="text1"/>
          <w:sz w:val="28"/>
          <w:szCs w:val="28"/>
          <w:u w:val="single"/>
        </w:rPr>
        <w:t>JAVMA 2020</w:t>
      </w:r>
    </w:p>
    <w:p w14:paraId="28C5E11A"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4"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Jan 1;256(1):85-92. doi: 10.2460/javma.256.1.85.</w:t>
      </w:r>
    </w:p>
    <w:p w14:paraId="4A5962F5"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color w:val="000000" w:themeColor="text1"/>
          <w:kern w:val="36"/>
          <w:sz w:val="22"/>
          <w:szCs w:val="22"/>
        </w:rPr>
        <w:t>Postoperative thrombocytosis and thromboelastographic evidence of hypercoagulability in dogs undergoing splenectomy for splenic masses.</w:t>
      </w:r>
    </w:p>
    <w:p w14:paraId="623639E7"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5" w:history="1">
        <w:r w:rsidR="000D23A2" w:rsidRPr="005A6D9F">
          <w:rPr>
            <w:rFonts w:ascii="Calibri" w:eastAsia="Times New Roman" w:hAnsi="Calibri" w:cs="Calibri"/>
            <w:color w:val="000000" w:themeColor="text1"/>
            <w:sz w:val="22"/>
            <w:szCs w:val="22"/>
            <w:u w:val="single"/>
          </w:rPr>
          <w:t>Phipps WE</w:t>
        </w:r>
      </w:hyperlink>
      <w:r w:rsidR="000D23A2" w:rsidRPr="005A6D9F">
        <w:rPr>
          <w:rFonts w:ascii="Calibri" w:eastAsia="Times New Roman" w:hAnsi="Calibri" w:cs="Calibri"/>
          <w:color w:val="000000" w:themeColor="text1"/>
          <w:sz w:val="22"/>
          <w:szCs w:val="22"/>
        </w:rPr>
        <w:t>, </w:t>
      </w:r>
      <w:hyperlink r:id="rId6" w:history="1">
        <w:r w:rsidR="000D23A2" w:rsidRPr="005A6D9F">
          <w:rPr>
            <w:rFonts w:ascii="Calibri" w:eastAsia="Times New Roman" w:hAnsi="Calibri" w:cs="Calibri"/>
            <w:color w:val="000000" w:themeColor="text1"/>
            <w:sz w:val="22"/>
            <w:szCs w:val="22"/>
            <w:u w:val="single"/>
          </w:rPr>
          <w:t>de Laforcade AM</w:t>
        </w:r>
      </w:hyperlink>
      <w:r w:rsidR="000D23A2" w:rsidRPr="005A6D9F">
        <w:rPr>
          <w:rFonts w:ascii="Calibri" w:eastAsia="Times New Roman" w:hAnsi="Calibri" w:cs="Calibri"/>
          <w:color w:val="000000" w:themeColor="text1"/>
          <w:sz w:val="22"/>
          <w:szCs w:val="22"/>
        </w:rPr>
        <w:t>, </w:t>
      </w:r>
      <w:hyperlink r:id="rId7" w:history="1">
        <w:r w:rsidR="000D23A2" w:rsidRPr="005A6D9F">
          <w:rPr>
            <w:rFonts w:ascii="Calibri" w:eastAsia="Times New Roman" w:hAnsi="Calibri" w:cs="Calibri"/>
            <w:color w:val="000000" w:themeColor="text1"/>
            <w:sz w:val="22"/>
            <w:szCs w:val="22"/>
            <w:u w:val="single"/>
          </w:rPr>
          <w:t>Barton BA</w:t>
        </w:r>
      </w:hyperlink>
      <w:r w:rsidR="000D23A2" w:rsidRPr="005A6D9F">
        <w:rPr>
          <w:rFonts w:ascii="Calibri" w:eastAsia="Times New Roman" w:hAnsi="Calibri" w:cs="Calibri"/>
          <w:color w:val="000000" w:themeColor="text1"/>
          <w:sz w:val="22"/>
          <w:szCs w:val="22"/>
        </w:rPr>
        <w:t>, </w:t>
      </w:r>
      <w:hyperlink r:id="rId8" w:history="1">
        <w:r w:rsidR="000D23A2" w:rsidRPr="005A6D9F">
          <w:rPr>
            <w:rFonts w:ascii="Calibri" w:eastAsia="Times New Roman" w:hAnsi="Calibri" w:cs="Calibri"/>
            <w:color w:val="000000" w:themeColor="text1"/>
            <w:sz w:val="22"/>
            <w:szCs w:val="22"/>
            <w:u w:val="single"/>
          </w:rPr>
          <w:t>Berg J</w:t>
        </w:r>
      </w:hyperlink>
      <w:r w:rsidR="000D23A2" w:rsidRPr="005A6D9F">
        <w:rPr>
          <w:rFonts w:ascii="Calibri" w:eastAsia="Times New Roman" w:hAnsi="Calibri" w:cs="Calibri"/>
          <w:color w:val="000000" w:themeColor="text1"/>
          <w:sz w:val="22"/>
          <w:szCs w:val="22"/>
        </w:rPr>
        <w:t>.</w:t>
      </w:r>
    </w:p>
    <w:p w14:paraId="55583825"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346ECC7E"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OBJECTIVE:</w:t>
      </w:r>
    </w:p>
    <w:p w14:paraId="19A7CA94"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determine the frequency and severity of thrombocytosis and thromboelastographic evidence of hypercoagulability during the first 2 weeks after splenectomy in dogs with splenic masses and to investigate relationships between platelet counts and thromboelastography values.</w:t>
      </w:r>
    </w:p>
    <w:p w14:paraId="55134A35"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6012C72B"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34 dogs undergoing splenectomy for splenic masses.</w:t>
      </w:r>
    </w:p>
    <w:p w14:paraId="4B6F9663"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12E91EAC"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Blood samples for platelet counts and thromboelastography were obtained at induction of anesthesia (day 0) prior to splenectomy and on days 2, 7, and 14.</w:t>
      </w:r>
    </w:p>
    <w:p w14:paraId="144A63A2"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04DD0BB5"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Mean platelet counts were 167.9 × 10</w:t>
      </w:r>
      <w:r w:rsidRPr="005A6D9F">
        <w:rPr>
          <w:rFonts w:ascii="Calibri" w:eastAsia="Times New Roman" w:hAnsi="Calibri" w:cs="Calibri"/>
          <w:color w:val="000000" w:themeColor="text1"/>
          <w:sz w:val="22"/>
          <w:szCs w:val="22"/>
          <w:vertAlign w:val="superscript"/>
        </w:rPr>
        <w:t>3</w:t>
      </w:r>
      <w:r w:rsidRPr="005A6D9F">
        <w:rPr>
          <w:rFonts w:ascii="Calibri" w:eastAsia="Times New Roman" w:hAnsi="Calibri" w:cs="Calibri"/>
          <w:color w:val="000000" w:themeColor="text1"/>
          <w:sz w:val="22"/>
          <w:szCs w:val="22"/>
        </w:rPr>
        <w:t>/μL, 260.4 × 10</w:t>
      </w:r>
      <w:r w:rsidRPr="005A6D9F">
        <w:rPr>
          <w:rFonts w:ascii="Calibri" w:eastAsia="Times New Roman" w:hAnsi="Calibri" w:cs="Calibri"/>
          <w:color w:val="000000" w:themeColor="text1"/>
          <w:sz w:val="22"/>
          <w:szCs w:val="22"/>
          <w:vertAlign w:val="superscript"/>
        </w:rPr>
        <w:t>3</w:t>
      </w:r>
      <w:r w:rsidRPr="005A6D9F">
        <w:rPr>
          <w:rFonts w:ascii="Calibri" w:eastAsia="Times New Roman" w:hAnsi="Calibri" w:cs="Calibri"/>
          <w:color w:val="000000" w:themeColor="text1"/>
          <w:sz w:val="22"/>
          <w:szCs w:val="22"/>
        </w:rPr>
        <w:t> μ/L, 715.9 × 10</w:t>
      </w:r>
      <w:r w:rsidRPr="005A6D9F">
        <w:rPr>
          <w:rFonts w:ascii="Calibri" w:eastAsia="Times New Roman" w:hAnsi="Calibri" w:cs="Calibri"/>
          <w:color w:val="000000" w:themeColor="text1"/>
          <w:sz w:val="22"/>
          <w:szCs w:val="22"/>
          <w:vertAlign w:val="superscript"/>
        </w:rPr>
        <w:t>3</w:t>
      </w:r>
      <w:r w:rsidRPr="005A6D9F">
        <w:rPr>
          <w:rFonts w:ascii="Calibri" w:eastAsia="Times New Roman" w:hAnsi="Calibri" w:cs="Calibri"/>
          <w:color w:val="000000" w:themeColor="text1"/>
          <w:sz w:val="22"/>
          <w:szCs w:val="22"/>
        </w:rPr>
        <w:t>/μL, and 582.2 × 10</w:t>
      </w:r>
      <w:r w:rsidRPr="005A6D9F">
        <w:rPr>
          <w:rFonts w:ascii="Calibri" w:eastAsia="Times New Roman" w:hAnsi="Calibri" w:cs="Calibri"/>
          <w:color w:val="000000" w:themeColor="text1"/>
          <w:sz w:val="22"/>
          <w:szCs w:val="22"/>
          <w:vertAlign w:val="superscript"/>
        </w:rPr>
        <w:t>3</w:t>
      </w:r>
      <w:r w:rsidRPr="005A6D9F">
        <w:rPr>
          <w:rFonts w:ascii="Calibri" w:eastAsia="Times New Roman" w:hAnsi="Calibri" w:cs="Calibri"/>
          <w:color w:val="000000" w:themeColor="text1"/>
          <w:sz w:val="22"/>
          <w:szCs w:val="22"/>
        </w:rPr>
        <w:t>/μL on days 0, 2, 7, and 14, respectively, and were significantly higher at all postoperative assessment points than on day 0. Thrombocytosis was observed in 3% (1/34), 6% (2/33), 81% (21/26), and 69% (18/26) of dogs on days 0, 2, 7, and 14. Platelet counts &gt; 1,000 × 10</w:t>
      </w:r>
      <w:r w:rsidRPr="005A6D9F">
        <w:rPr>
          <w:rFonts w:ascii="Calibri" w:eastAsia="Times New Roman" w:hAnsi="Calibri" w:cs="Calibri"/>
          <w:color w:val="000000" w:themeColor="text1"/>
          <w:sz w:val="22"/>
          <w:szCs w:val="22"/>
          <w:vertAlign w:val="superscript"/>
        </w:rPr>
        <w:t>3</w:t>
      </w:r>
      <w:r w:rsidRPr="005A6D9F">
        <w:rPr>
          <w:rFonts w:ascii="Calibri" w:eastAsia="Times New Roman" w:hAnsi="Calibri" w:cs="Calibri"/>
          <w:color w:val="000000" w:themeColor="text1"/>
          <w:sz w:val="22"/>
          <w:szCs w:val="22"/>
        </w:rPr>
        <w:t>/μL were observed in 1 dog on day 2 and in 5 dogs on day 7. One or more thromboelastography values suggestive of hypercoagulability were observed in 45% (15/33), 84% (26/31), 89% (24/27), and 84% (21/25) of dogs on days 0, 2, 7, and 14. At each assessment point, higher platelet counts were correlated with thromboelastography values suggestive of hypercoagulability.</w:t>
      </w:r>
    </w:p>
    <w:p w14:paraId="2F16C7AB"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17F6A558"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Marked thrombocytosis and thromboelastography values suggestive of hypercoagulability were common during the first 2 weeks after splenectomy for the dogs of this study. If present, hypercoagulability could increase the risk for development of postsplenectomy thrombotic conditions such as portal system thrombosis and pulmonary thromboembolism.</w:t>
      </w:r>
    </w:p>
    <w:p w14:paraId="06F9074C" w14:textId="6C31D99D" w:rsidR="000D23A2" w:rsidRPr="005A6D9F" w:rsidRDefault="000D23A2">
      <w:pPr>
        <w:pBdr>
          <w:bottom w:val="single" w:sz="6" w:space="1" w:color="auto"/>
        </w:pBdr>
        <w:rPr>
          <w:rFonts w:ascii="Calibri" w:hAnsi="Calibri" w:cs="Calibri"/>
          <w:color w:val="000000" w:themeColor="text1"/>
          <w:sz w:val="22"/>
          <w:szCs w:val="22"/>
        </w:rPr>
      </w:pPr>
    </w:p>
    <w:p w14:paraId="757CE43A"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9"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Jan 1;256(1):93-101. doi: 10.2460/javma.256.1.93.</w:t>
      </w:r>
    </w:p>
    <w:p w14:paraId="534C8D97"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color w:val="000000" w:themeColor="text1"/>
          <w:kern w:val="36"/>
          <w:sz w:val="22"/>
          <w:szCs w:val="22"/>
        </w:rPr>
        <w:lastRenderedPageBreak/>
        <w:t>Effects of 2% lidocaine hydrochloride solution as a coinduction agent with propofol on cardiopulmonary variables and administered propofol doses in healthy dogs premedicated with hydromorphone hydrochloride and acepromazine maleate.</w:t>
      </w:r>
    </w:p>
    <w:p w14:paraId="3AE0B1E6"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10" w:history="1">
        <w:r w:rsidR="000D23A2" w:rsidRPr="005A6D9F">
          <w:rPr>
            <w:rFonts w:ascii="Calibri" w:eastAsia="Times New Roman" w:hAnsi="Calibri" w:cs="Calibri"/>
            <w:color w:val="000000" w:themeColor="text1"/>
            <w:sz w:val="22"/>
            <w:szCs w:val="22"/>
            <w:u w:val="single"/>
          </w:rPr>
          <w:t>Cazlan CE</w:t>
        </w:r>
      </w:hyperlink>
      <w:r w:rsidR="000D23A2" w:rsidRPr="005A6D9F">
        <w:rPr>
          <w:rFonts w:ascii="Calibri" w:eastAsia="Times New Roman" w:hAnsi="Calibri" w:cs="Calibri"/>
          <w:color w:val="000000" w:themeColor="text1"/>
          <w:sz w:val="22"/>
          <w:szCs w:val="22"/>
        </w:rPr>
        <w:t>, </w:t>
      </w:r>
      <w:hyperlink r:id="rId11" w:history="1">
        <w:r w:rsidR="000D23A2" w:rsidRPr="005A6D9F">
          <w:rPr>
            <w:rFonts w:ascii="Calibri" w:eastAsia="Times New Roman" w:hAnsi="Calibri" w:cs="Calibri"/>
            <w:color w:val="000000" w:themeColor="text1"/>
            <w:sz w:val="22"/>
            <w:szCs w:val="22"/>
            <w:u w:val="single"/>
          </w:rPr>
          <w:t>Hay Kraus BL</w:t>
        </w:r>
      </w:hyperlink>
      <w:r w:rsidR="000D23A2" w:rsidRPr="005A6D9F">
        <w:rPr>
          <w:rFonts w:ascii="Calibri" w:eastAsia="Times New Roman" w:hAnsi="Calibri" w:cs="Calibri"/>
          <w:color w:val="000000" w:themeColor="text1"/>
          <w:sz w:val="22"/>
          <w:szCs w:val="22"/>
        </w:rPr>
        <w:t>.</w:t>
      </w:r>
    </w:p>
    <w:p w14:paraId="59158870"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2A202042"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OBJECTIVE:</w:t>
      </w:r>
    </w:p>
    <w:p w14:paraId="2D824936"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evaluate the effects of lidocaine as a coinduction agent with propofol on cardiopulmonary variables and administered propofol doses in healthy dogs premedicated with hydromorphone hydrochloride and acepromazine maleate and anesthetized with isoflurane.</w:t>
      </w:r>
    </w:p>
    <w:p w14:paraId="7A3F7029"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6EBEC309"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40 client-owned dogs (American Society of Anesthesiologists physical status classification I or II and age ≥ 6 months) scheduled to undergo anesthesia for elective procedures.</w:t>
      </w:r>
    </w:p>
    <w:p w14:paraId="274D3113"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576062AB"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In a randomized, blinded, controlled clinical trial, dogs received 2% lidocaine hydrochloride solution (2.0 mg/kg [0.9 mg/lb], IV; n = 20) or buffered crystalloid solution (0.1 mL/kg [0.05 mL/lb], IV; 20; control treatment) after premedication with acepromazine (0.005 mg/kg [0.002 mg/lb], IM) and hydromorphone (0.1 mg/kg, IM). Anesthesia was induced with propofol (1 mg/kg [0.45 mg/lb], IV, with additional doses administered as needed) and maintained with isoflurane. Sedation was assessed, and anesthetic and cardiopulmonary variables were measured at various points; values were compared between treatment groups.</w:t>
      </w:r>
    </w:p>
    <w:p w14:paraId="27B61FE0"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10F1A17B"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Propofol doses, total sedation scores, and anesthetic and most cardiopulmonary measurements did not differ significantly between treatment groups over the monitoring period; only oxygen saturation as measured by pulse oximetry differed significantly (lower in the lidocaine group). Mean ± SD propofol dose required for endotracheal intubation was 1.30 ± 0.68 mg/kg (0.59 ± 0.31 mg/lb) and 1.41 ± 0.40 mg/kg (0.64 ± 0.18 mg/lb) for the lidocaine and control groups, respectively.</w:t>
      </w:r>
    </w:p>
    <w:p w14:paraId="20CC9BA4"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647B9FA5"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No propofol-sparing effect was observed with administration of lidocaine as a coinduction agent for the premedicated dogs of this study. Mean propofol doses required for endotracheal intubation were considerably lower than currently recommended doses for premedicated dogs. (</w:t>
      </w:r>
      <w:r w:rsidRPr="005A6D9F">
        <w:rPr>
          <w:rFonts w:ascii="Calibri" w:eastAsia="Times New Roman" w:hAnsi="Calibri" w:cs="Calibri"/>
          <w:i/>
          <w:iCs/>
          <w:color w:val="000000" w:themeColor="text1"/>
          <w:sz w:val="22"/>
          <w:szCs w:val="22"/>
        </w:rPr>
        <w:t>J Am Vet Med Assoc</w:t>
      </w:r>
      <w:r w:rsidRPr="005A6D9F">
        <w:rPr>
          <w:rFonts w:ascii="Calibri" w:eastAsia="Times New Roman" w:hAnsi="Calibri" w:cs="Calibri"/>
          <w:color w:val="000000" w:themeColor="text1"/>
          <w:sz w:val="22"/>
          <w:szCs w:val="22"/>
        </w:rPr>
        <w:t> 2020;256:93-101).</w:t>
      </w:r>
    </w:p>
    <w:p w14:paraId="73DAEC7A" w14:textId="75A85833" w:rsidR="000D23A2" w:rsidRPr="005A6D9F" w:rsidRDefault="000D23A2">
      <w:pPr>
        <w:pBdr>
          <w:bottom w:val="single" w:sz="6" w:space="1" w:color="auto"/>
        </w:pBdr>
        <w:rPr>
          <w:rFonts w:ascii="Calibri" w:hAnsi="Calibri" w:cs="Calibri"/>
          <w:color w:val="000000" w:themeColor="text1"/>
          <w:sz w:val="22"/>
          <w:szCs w:val="22"/>
        </w:rPr>
      </w:pPr>
    </w:p>
    <w:p w14:paraId="2A95949D"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12"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Jan 15;256(2):220-225. doi: 10.2460/javma.256.2.220.</w:t>
      </w:r>
    </w:p>
    <w:p w14:paraId="4773161D"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i/>
          <w:iCs/>
          <w:color w:val="000000" w:themeColor="text1"/>
          <w:kern w:val="36"/>
          <w:sz w:val="22"/>
          <w:szCs w:val="22"/>
        </w:rPr>
        <w:lastRenderedPageBreak/>
        <w:t>Francisella tularensis</w:t>
      </w:r>
      <w:r w:rsidRPr="005A6D9F">
        <w:rPr>
          <w:rFonts w:ascii="Calibri" w:eastAsia="Times New Roman" w:hAnsi="Calibri" w:cs="Calibri"/>
          <w:b/>
          <w:bCs/>
          <w:color w:val="000000" w:themeColor="text1"/>
          <w:kern w:val="36"/>
          <w:sz w:val="22"/>
          <w:szCs w:val="22"/>
        </w:rPr>
        <w:t> infection in dogs: 88 cases (2014-2016).</w:t>
      </w:r>
    </w:p>
    <w:p w14:paraId="25243087"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13" w:history="1">
        <w:r w:rsidR="000D23A2" w:rsidRPr="005A6D9F">
          <w:rPr>
            <w:rFonts w:ascii="Calibri" w:eastAsia="Times New Roman" w:hAnsi="Calibri" w:cs="Calibri"/>
            <w:color w:val="000000" w:themeColor="text1"/>
            <w:sz w:val="22"/>
            <w:szCs w:val="22"/>
            <w:u w:val="single"/>
          </w:rPr>
          <w:t>Kwit NA</w:t>
        </w:r>
      </w:hyperlink>
      <w:r w:rsidR="000D23A2" w:rsidRPr="005A6D9F">
        <w:rPr>
          <w:rFonts w:ascii="Calibri" w:eastAsia="Times New Roman" w:hAnsi="Calibri" w:cs="Calibri"/>
          <w:color w:val="000000" w:themeColor="text1"/>
          <w:sz w:val="22"/>
          <w:szCs w:val="22"/>
        </w:rPr>
        <w:t>, </w:t>
      </w:r>
      <w:hyperlink r:id="rId14" w:history="1">
        <w:r w:rsidR="000D23A2" w:rsidRPr="005A6D9F">
          <w:rPr>
            <w:rFonts w:ascii="Calibri" w:eastAsia="Times New Roman" w:hAnsi="Calibri" w:cs="Calibri"/>
            <w:color w:val="000000" w:themeColor="text1"/>
            <w:sz w:val="22"/>
            <w:szCs w:val="22"/>
            <w:u w:val="single"/>
          </w:rPr>
          <w:t>Middaugh NA</w:t>
        </w:r>
      </w:hyperlink>
      <w:r w:rsidR="000D23A2" w:rsidRPr="005A6D9F">
        <w:rPr>
          <w:rFonts w:ascii="Calibri" w:eastAsia="Times New Roman" w:hAnsi="Calibri" w:cs="Calibri"/>
          <w:color w:val="000000" w:themeColor="text1"/>
          <w:sz w:val="22"/>
          <w:szCs w:val="22"/>
        </w:rPr>
        <w:t>, </w:t>
      </w:r>
      <w:hyperlink r:id="rId15" w:history="1">
        <w:r w:rsidR="000D23A2" w:rsidRPr="005A6D9F">
          <w:rPr>
            <w:rFonts w:ascii="Calibri" w:eastAsia="Times New Roman" w:hAnsi="Calibri" w:cs="Calibri"/>
            <w:color w:val="000000" w:themeColor="text1"/>
            <w:sz w:val="22"/>
            <w:szCs w:val="22"/>
            <w:u w:val="single"/>
          </w:rPr>
          <w:t>VinHatton ES</w:t>
        </w:r>
      </w:hyperlink>
      <w:r w:rsidR="000D23A2" w:rsidRPr="005A6D9F">
        <w:rPr>
          <w:rFonts w:ascii="Calibri" w:eastAsia="Times New Roman" w:hAnsi="Calibri" w:cs="Calibri"/>
          <w:color w:val="000000" w:themeColor="text1"/>
          <w:sz w:val="22"/>
          <w:szCs w:val="22"/>
        </w:rPr>
        <w:t>, </w:t>
      </w:r>
      <w:hyperlink r:id="rId16" w:history="1">
        <w:r w:rsidR="000D23A2" w:rsidRPr="005A6D9F">
          <w:rPr>
            <w:rFonts w:ascii="Calibri" w:eastAsia="Times New Roman" w:hAnsi="Calibri" w:cs="Calibri"/>
            <w:color w:val="000000" w:themeColor="text1"/>
            <w:sz w:val="22"/>
            <w:szCs w:val="22"/>
            <w:u w:val="single"/>
          </w:rPr>
          <w:t>Melman SD</w:t>
        </w:r>
      </w:hyperlink>
      <w:r w:rsidR="000D23A2" w:rsidRPr="005A6D9F">
        <w:rPr>
          <w:rFonts w:ascii="Calibri" w:eastAsia="Times New Roman" w:hAnsi="Calibri" w:cs="Calibri"/>
          <w:color w:val="000000" w:themeColor="text1"/>
          <w:sz w:val="22"/>
          <w:szCs w:val="22"/>
        </w:rPr>
        <w:t>, </w:t>
      </w:r>
      <w:hyperlink r:id="rId17" w:history="1">
        <w:r w:rsidR="000D23A2" w:rsidRPr="005A6D9F">
          <w:rPr>
            <w:rFonts w:ascii="Calibri" w:eastAsia="Times New Roman" w:hAnsi="Calibri" w:cs="Calibri"/>
            <w:color w:val="000000" w:themeColor="text1"/>
            <w:sz w:val="22"/>
            <w:szCs w:val="22"/>
            <w:u w:val="single"/>
          </w:rPr>
          <w:t>Onischuk L</w:t>
        </w:r>
      </w:hyperlink>
      <w:r w:rsidR="000D23A2" w:rsidRPr="005A6D9F">
        <w:rPr>
          <w:rFonts w:ascii="Calibri" w:eastAsia="Times New Roman" w:hAnsi="Calibri" w:cs="Calibri"/>
          <w:color w:val="000000" w:themeColor="text1"/>
          <w:sz w:val="22"/>
          <w:szCs w:val="22"/>
        </w:rPr>
        <w:t>, </w:t>
      </w:r>
      <w:hyperlink r:id="rId18" w:history="1">
        <w:r w:rsidR="000D23A2" w:rsidRPr="005A6D9F">
          <w:rPr>
            <w:rFonts w:ascii="Calibri" w:eastAsia="Times New Roman" w:hAnsi="Calibri" w:cs="Calibri"/>
            <w:color w:val="000000" w:themeColor="text1"/>
            <w:sz w:val="22"/>
            <w:szCs w:val="22"/>
            <w:u w:val="single"/>
          </w:rPr>
          <w:t>Aragon AS</w:t>
        </w:r>
      </w:hyperlink>
      <w:r w:rsidR="000D23A2" w:rsidRPr="005A6D9F">
        <w:rPr>
          <w:rFonts w:ascii="Calibri" w:eastAsia="Times New Roman" w:hAnsi="Calibri" w:cs="Calibri"/>
          <w:color w:val="000000" w:themeColor="text1"/>
          <w:sz w:val="22"/>
          <w:szCs w:val="22"/>
        </w:rPr>
        <w:t>, </w:t>
      </w:r>
      <w:hyperlink r:id="rId19" w:history="1">
        <w:r w:rsidR="000D23A2" w:rsidRPr="005A6D9F">
          <w:rPr>
            <w:rFonts w:ascii="Calibri" w:eastAsia="Times New Roman" w:hAnsi="Calibri" w:cs="Calibri"/>
            <w:color w:val="000000" w:themeColor="text1"/>
            <w:sz w:val="22"/>
            <w:szCs w:val="22"/>
            <w:u w:val="single"/>
          </w:rPr>
          <w:t>Nelson CA</w:t>
        </w:r>
      </w:hyperlink>
      <w:r w:rsidR="000D23A2" w:rsidRPr="005A6D9F">
        <w:rPr>
          <w:rFonts w:ascii="Calibri" w:eastAsia="Times New Roman" w:hAnsi="Calibri" w:cs="Calibri"/>
          <w:color w:val="000000" w:themeColor="text1"/>
          <w:sz w:val="22"/>
          <w:szCs w:val="22"/>
        </w:rPr>
        <w:t>, </w:t>
      </w:r>
      <w:hyperlink r:id="rId20" w:history="1">
        <w:r w:rsidR="000D23A2" w:rsidRPr="005A6D9F">
          <w:rPr>
            <w:rFonts w:ascii="Calibri" w:eastAsia="Times New Roman" w:hAnsi="Calibri" w:cs="Calibri"/>
            <w:color w:val="000000" w:themeColor="text1"/>
            <w:sz w:val="22"/>
            <w:szCs w:val="22"/>
            <w:u w:val="single"/>
          </w:rPr>
          <w:t>Mead PS</w:t>
        </w:r>
      </w:hyperlink>
      <w:r w:rsidR="000D23A2" w:rsidRPr="005A6D9F">
        <w:rPr>
          <w:rFonts w:ascii="Calibri" w:eastAsia="Times New Roman" w:hAnsi="Calibri" w:cs="Calibri"/>
          <w:color w:val="000000" w:themeColor="text1"/>
          <w:sz w:val="22"/>
          <w:szCs w:val="22"/>
        </w:rPr>
        <w:t>, </w:t>
      </w:r>
      <w:hyperlink r:id="rId21" w:history="1">
        <w:r w:rsidR="000D23A2" w:rsidRPr="005A6D9F">
          <w:rPr>
            <w:rFonts w:ascii="Calibri" w:eastAsia="Times New Roman" w:hAnsi="Calibri" w:cs="Calibri"/>
            <w:color w:val="000000" w:themeColor="text1"/>
            <w:sz w:val="22"/>
            <w:szCs w:val="22"/>
            <w:u w:val="single"/>
          </w:rPr>
          <w:t>Ettestad PJ</w:t>
        </w:r>
      </w:hyperlink>
      <w:r w:rsidR="000D23A2" w:rsidRPr="005A6D9F">
        <w:rPr>
          <w:rFonts w:ascii="Calibri" w:eastAsia="Times New Roman" w:hAnsi="Calibri" w:cs="Calibri"/>
          <w:color w:val="000000" w:themeColor="text1"/>
          <w:sz w:val="22"/>
          <w:szCs w:val="22"/>
        </w:rPr>
        <w:t>.</w:t>
      </w:r>
    </w:p>
    <w:p w14:paraId="78666449"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0B223C09"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OBJECTIVE:</w:t>
      </w:r>
    </w:p>
    <w:p w14:paraId="3B65CDF5"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characterize the epidemiology, clinical signs, and treatment of dogs with </w:t>
      </w:r>
      <w:r w:rsidRPr="005A6D9F">
        <w:rPr>
          <w:rFonts w:ascii="Calibri" w:eastAsia="Times New Roman" w:hAnsi="Calibri" w:cs="Calibri"/>
          <w:i/>
          <w:iCs/>
          <w:color w:val="000000" w:themeColor="text1"/>
          <w:sz w:val="22"/>
          <w:szCs w:val="22"/>
        </w:rPr>
        <w:t>Francisella tularensis</w:t>
      </w:r>
      <w:r w:rsidRPr="005A6D9F">
        <w:rPr>
          <w:rFonts w:ascii="Calibri" w:eastAsia="Times New Roman" w:hAnsi="Calibri" w:cs="Calibri"/>
          <w:color w:val="000000" w:themeColor="text1"/>
          <w:sz w:val="22"/>
          <w:szCs w:val="22"/>
        </w:rPr>
        <w:t> infection in New Mexico.</w:t>
      </w:r>
    </w:p>
    <w:p w14:paraId="4B9AFBAE"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13B62D96"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87 dogs in which 88 cases of tularemia (1 dog had 2 distinct cases) were confirmed by the New Mexico Department of Health Scientific Laboratory Division from 2014 through 2016 and for which medical records were available.</w:t>
      </w:r>
    </w:p>
    <w:p w14:paraId="4EFF9222"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3D95F67F"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Dogs were confirmed to have tularemia if they had a 4-fold or greater increase in anti-</w:t>
      </w:r>
      <w:r w:rsidRPr="005A6D9F">
        <w:rPr>
          <w:rFonts w:ascii="Calibri" w:eastAsia="Times New Roman" w:hAnsi="Calibri" w:cs="Calibri"/>
          <w:i/>
          <w:iCs/>
          <w:color w:val="000000" w:themeColor="text1"/>
          <w:sz w:val="22"/>
          <w:szCs w:val="22"/>
        </w:rPr>
        <w:t>F tularensis</w:t>
      </w:r>
      <w:r w:rsidRPr="005A6D9F">
        <w:rPr>
          <w:rFonts w:ascii="Calibri" w:eastAsia="Times New Roman" w:hAnsi="Calibri" w:cs="Calibri"/>
          <w:color w:val="000000" w:themeColor="text1"/>
          <w:sz w:val="22"/>
          <w:szCs w:val="22"/>
        </w:rPr>
        <w:t> antibody titer between acute and convalescent serum samples or </w:t>
      </w:r>
      <w:r w:rsidRPr="005A6D9F">
        <w:rPr>
          <w:rFonts w:ascii="Calibri" w:eastAsia="Times New Roman" w:hAnsi="Calibri" w:cs="Calibri"/>
          <w:i/>
          <w:iCs/>
          <w:color w:val="000000" w:themeColor="text1"/>
          <w:sz w:val="22"/>
          <w:szCs w:val="22"/>
        </w:rPr>
        <w:t>F tularensis</w:t>
      </w:r>
      <w:r w:rsidRPr="005A6D9F">
        <w:rPr>
          <w:rFonts w:ascii="Calibri" w:eastAsia="Times New Roman" w:hAnsi="Calibri" w:cs="Calibri"/>
          <w:color w:val="000000" w:themeColor="text1"/>
          <w:sz w:val="22"/>
          <w:szCs w:val="22"/>
        </w:rPr>
        <w:t> had been isolated from a clinical or necropsy specimen. Epidemiological, clinical, and treatment information were collected from the dogs' medical records and summarized.</w:t>
      </w:r>
    </w:p>
    <w:p w14:paraId="3D1E3F4D"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4C6F4CA8"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All 88 cases of tularemia were confirmed by paired serologic titers; the first (acute) serologic test result was negative for 84 (95%) cases. The most common reported exposure to </w:t>
      </w:r>
      <w:r w:rsidRPr="005A6D9F">
        <w:rPr>
          <w:rFonts w:ascii="Calibri" w:eastAsia="Times New Roman" w:hAnsi="Calibri" w:cs="Calibri"/>
          <w:i/>
          <w:iCs/>
          <w:color w:val="000000" w:themeColor="text1"/>
          <w:sz w:val="22"/>
          <w:szCs w:val="22"/>
        </w:rPr>
        <w:t>F tularensis</w:t>
      </w:r>
      <w:r w:rsidRPr="005A6D9F">
        <w:rPr>
          <w:rFonts w:ascii="Calibri" w:eastAsia="Times New Roman" w:hAnsi="Calibri" w:cs="Calibri"/>
          <w:color w:val="000000" w:themeColor="text1"/>
          <w:sz w:val="22"/>
          <w:szCs w:val="22"/>
        </w:rPr>
        <w:t> was wild rodent or rabbit contact (53/88 [60%]). Dogs had a median number of 3 clinical signs at initial evaluation; lethargy (81/88 [92%]), pyrexia (80/88 [91%]), anorexia (67/88 [76%]), and lymphadenopathy (18/88 [20%]) were most common. For 32 (36%) cases, the dog was hospitalized; all hospitalized dogs survived.</w:t>
      </w:r>
    </w:p>
    <w:p w14:paraId="64DCA125"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7F1EF9A8"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Dogs with </w:t>
      </w:r>
      <w:r w:rsidRPr="005A6D9F">
        <w:rPr>
          <w:rFonts w:ascii="Calibri" w:eastAsia="Times New Roman" w:hAnsi="Calibri" w:cs="Calibri"/>
          <w:i/>
          <w:iCs/>
          <w:color w:val="000000" w:themeColor="text1"/>
          <w:sz w:val="22"/>
          <w:szCs w:val="22"/>
        </w:rPr>
        <w:t>F tularensis</w:t>
      </w:r>
      <w:r w:rsidRPr="005A6D9F">
        <w:rPr>
          <w:rFonts w:ascii="Calibri" w:eastAsia="Times New Roman" w:hAnsi="Calibri" w:cs="Calibri"/>
          <w:color w:val="000000" w:themeColor="text1"/>
          <w:sz w:val="22"/>
          <w:szCs w:val="22"/>
        </w:rPr>
        <w:t> infection often had nonspecific clinical signs and developed moderate to severe illness, sometimes requiring hospitalization. Veterinarians examining dogs from tularemia-enzootic areas should be aware of the epidemiology and clinical signs of tularemia, inquire about potential exposures, and discuss prevention methods with owners, including reducing exposure to reservoir hosts and promptly seeking care for ill animals.</w:t>
      </w:r>
    </w:p>
    <w:p w14:paraId="4BEDB86C" w14:textId="625C8D7A" w:rsidR="000D23A2" w:rsidRPr="005A6D9F" w:rsidRDefault="000D23A2">
      <w:pPr>
        <w:pBdr>
          <w:bottom w:val="single" w:sz="6" w:space="1" w:color="auto"/>
        </w:pBdr>
        <w:rPr>
          <w:rFonts w:ascii="Calibri" w:hAnsi="Calibri" w:cs="Calibri"/>
          <w:color w:val="000000" w:themeColor="text1"/>
          <w:sz w:val="22"/>
          <w:szCs w:val="22"/>
        </w:rPr>
      </w:pPr>
    </w:p>
    <w:p w14:paraId="1ABA0B22"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22"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Jan 15;256(2):210-219. doi: 10.2460/javma.256.2.210.</w:t>
      </w:r>
    </w:p>
    <w:p w14:paraId="6E49C6DB"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color w:val="000000" w:themeColor="text1"/>
          <w:kern w:val="36"/>
          <w:sz w:val="22"/>
          <w:szCs w:val="22"/>
        </w:rPr>
        <w:t>Agreement of surgeon's perception of the effectiveness of spinal cord decompression with findings on postoperative magnetic resonance imaging for dogs surgically treated for intervertebral disk extrusion.</w:t>
      </w:r>
    </w:p>
    <w:p w14:paraId="1F5E9F8B"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23" w:history="1">
        <w:r w:rsidR="000D23A2" w:rsidRPr="005A6D9F">
          <w:rPr>
            <w:rFonts w:ascii="Calibri" w:eastAsia="Times New Roman" w:hAnsi="Calibri" w:cs="Calibri"/>
            <w:color w:val="000000" w:themeColor="text1"/>
            <w:sz w:val="22"/>
            <w:szCs w:val="22"/>
            <w:u w:val="single"/>
          </w:rPr>
          <w:t>Tirrito F</w:t>
        </w:r>
      </w:hyperlink>
      <w:r w:rsidR="000D23A2" w:rsidRPr="005A6D9F">
        <w:rPr>
          <w:rFonts w:ascii="Calibri" w:eastAsia="Times New Roman" w:hAnsi="Calibri" w:cs="Calibri"/>
          <w:color w:val="000000" w:themeColor="text1"/>
          <w:sz w:val="22"/>
          <w:szCs w:val="22"/>
        </w:rPr>
        <w:t>, </w:t>
      </w:r>
      <w:hyperlink r:id="rId24" w:history="1">
        <w:r w:rsidR="000D23A2" w:rsidRPr="005A6D9F">
          <w:rPr>
            <w:rFonts w:ascii="Calibri" w:eastAsia="Times New Roman" w:hAnsi="Calibri" w:cs="Calibri"/>
            <w:color w:val="000000" w:themeColor="text1"/>
            <w:sz w:val="22"/>
            <w:szCs w:val="22"/>
            <w:u w:val="single"/>
          </w:rPr>
          <w:t>Cozzi F</w:t>
        </w:r>
      </w:hyperlink>
      <w:r w:rsidR="000D23A2" w:rsidRPr="005A6D9F">
        <w:rPr>
          <w:rFonts w:ascii="Calibri" w:eastAsia="Times New Roman" w:hAnsi="Calibri" w:cs="Calibri"/>
          <w:color w:val="000000" w:themeColor="text1"/>
          <w:sz w:val="22"/>
          <w:szCs w:val="22"/>
        </w:rPr>
        <w:t>, </w:t>
      </w:r>
      <w:hyperlink r:id="rId25" w:history="1">
        <w:r w:rsidR="000D23A2" w:rsidRPr="005A6D9F">
          <w:rPr>
            <w:rFonts w:ascii="Calibri" w:eastAsia="Times New Roman" w:hAnsi="Calibri" w:cs="Calibri"/>
            <w:color w:val="000000" w:themeColor="text1"/>
            <w:sz w:val="22"/>
            <w:szCs w:val="22"/>
            <w:u w:val="single"/>
          </w:rPr>
          <w:t>Bonaldi M</w:t>
        </w:r>
      </w:hyperlink>
      <w:r w:rsidR="000D23A2" w:rsidRPr="005A6D9F">
        <w:rPr>
          <w:rFonts w:ascii="Calibri" w:eastAsia="Times New Roman" w:hAnsi="Calibri" w:cs="Calibri"/>
          <w:color w:val="000000" w:themeColor="text1"/>
          <w:sz w:val="22"/>
          <w:szCs w:val="22"/>
        </w:rPr>
        <w:t>, </w:t>
      </w:r>
      <w:hyperlink r:id="rId26" w:history="1">
        <w:r w:rsidR="000D23A2" w:rsidRPr="005A6D9F">
          <w:rPr>
            <w:rFonts w:ascii="Calibri" w:eastAsia="Times New Roman" w:hAnsi="Calibri" w:cs="Calibri"/>
            <w:color w:val="000000" w:themeColor="text1"/>
            <w:sz w:val="22"/>
            <w:szCs w:val="22"/>
            <w:u w:val="single"/>
          </w:rPr>
          <w:t>Conti S</w:t>
        </w:r>
      </w:hyperlink>
      <w:r w:rsidR="000D23A2" w:rsidRPr="005A6D9F">
        <w:rPr>
          <w:rFonts w:ascii="Calibri" w:eastAsia="Times New Roman" w:hAnsi="Calibri" w:cs="Calibri"/>
          <w:color w:val="000000" w:themeColor="text1"/>
          <w:sz w:val="22"/>
          <w:szCs w:val="22"/>
        </w:rPr>
        <w:t>, </w:t>
      </w:r>
      <w:hyperlink r:id="rId27" w:history="1">
        <w:r w:rsidR="000D23A2" w:rsidRPr="005A6D9F">
          <w:rPr>
            <w:rFonts w:ascii="Calibri" w:eastAsia="Times New Roman" w:hAnsi="Calibri" w:cs="Calibri"/>
            <w:color w:val="000000" w:themeColor="text1"/>
            <w:sz w:val="22"/>
            <w:szCs w:val="22"/>
            <w:u w:val="single"/>
          </w:rPr>
          <w:t>Lombardo R</w:t>
        </w:r>
      </w:hyperlink>
      <w:r w:rsidR="000D23A2" w:rsidRPr="005A6D9F">
        <w:rPr>
          <w:rFonts w:ascii="Calibri" w:eastAsia="Times New Roman" w:hAnsi="Calibri" w:cs="Calibri"/>
          <w:color w:val="000000" w:themeColor="text1"/>
          <w:sz w:val="22"/>
          <w:szCs w:val="22"/>
        </w:rPr>
        <w:t>.</w:t>
      </w:r>
    </w:p>
    <w:p w14:paraId="0C1B6533"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120616DE"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OBJECTIVE:</w:t>
      </w:r>
    </w:p>
    <w:p w14:paraId="0EA8051D"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determine the accuracy of the surgeon's perception versus postoperative MRI findings in assessing the effectiveness of spinal cord decompression achieved in dogs surgically treated for intervertebral disk extrusion (IVDE) and whether postoperative MRI findings were more likely to be associated with various outcomes.</w:t>
      </w:r>
    </w:p>
    <w:p w14:paraId="5ED8E16E"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414D2622"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68 dogs surgically treated for cervical or thoracolumbar IVDE.</w:t>
      </w:r>
    </w:p>
    <w:p w14:paraId="47BCB2C7"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2D2360A0"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Data on clinical, neurologic, pre- and postoperative MRI, and intraoperative findings as well as outcomes and recovery times (6-month follow-up period) were prospectively collected and compared between various groups.</w:t>
      </w:r>
    </w:p>
    <w:p w14:paraId="413E95EB"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190A3044"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54 (79%) dogs had thoracolumbar IVDE, and 14 (21%) had cervical IVDE. Median degree of spinal cord compression as assessed on transverse T2-weighted MRI images was 45.6% before surgery and 8.8% after surgery. The correlation between surgeons' perception (n = 3) and postoperative MRI findings for the degree of spinal cord decompression achieved was only fair (κ = 0.40). Unsatisfactory spinal cord decompression as assessed via postoperative MRI was associated with severity of preoperative neurologic grade and preoperative compression, thoracolumbar (vs cervical) IVDE, and ventral (vs ventrolateral or dorsolateral) circumferential distribution of extruded material. Satisfactory (vs unsatisfactory) decompression as assessed via MRI was associated with a lower postoperative neurologic grade, greater likelihood of a successful outcome, and lower mean recovery time.</w:t>
      </w:r>
    </w:p>
    <w:p w14:paraId="36EA56A7"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570B161D"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Results suggested that for dogs surgically treated for IVDE, the surgeon's perception of adequate spinal cord decompression may be less reliable than postoperative MRI findings. Postoperative MRI appeared particularly useful for dogs with a severe preoperative neurologic status, severe preoperative spinal cord compression, and thoracolumbar IVDE.</w:t>
      </w:r>
    </w:p>
    <w:p w14:paraId="53570B94" w14:textId="5F5C4162" w:rsidR="000D23A2" w:rsidRPr="005A6D9F" w:rsidRDefault="000D23A2">
      <w:pPr>
        <w:pBdr>
          <w:bottom w:val="single" w:sz="6" w:space="1" w:color="auto"/>
        </w:pBdr>
        <w:rPr>
          <w:rFonts w:ascii="Calibri" w:hAnsi="Calibri" w:cs="Calibri"/>
          <w:color w:val="000000" w:themeColor="text1"/>
          <w:sz w:val="22"/>
          <w:szCs w:val="22"/>
        </w:rPr>
      </w:pPr>
    </w:p>
    <w:p w14:paraId="37CD60BB"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28"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Feb 1;256(3):340-348. doi: 10.2460/javma.256.3.340.</w:t>
      </w:r>
    </w:p>
    <w:p w14:paraId="5D04B92D"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color w:val="000000" w:themeColor="text1"/>
          <w:kern w:val="36"/>
          <w:sz w:val="22"/>
          <w:szCs w:val="22"/>
        </w:rPr>
        <w:t>Evaluation of atrial natriuretic peptide and cardiac troponin I concentrations for assessment of disease severity in dogs with naturally occurring mitral valve disease.</w:t>
      </w:r>
    </w:p>
    <w:p w14:paraId="1940EBFC"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29" w:history="1">
        <w:r w:rsidR="000D23A2" w:rsidRPr="005A6D9F">
          <w:rPr>
            <w:rFonts w:ascii="Calibri" w:eastAsia="Times New Roman" w:hAnsi="Calibri" w:cs="Calibri"/>
            <w:color w:val="000000" w:themeColor="text1"/>
            <w:sz w:val="22"/>
            <w:szCs w:val="22"/>
            <w:u w:val="single"/>
          </w:rPr>
          <w:t>Hori Y</w:t>
        </w:r>
      </w:hyperlink>
      <w:r w:rsidR="000D23A2" w:rsidRPr="005A6D9F">
        <w:rPr>
          <w:rFonts w:ascii="Calibri" w:eastAsia="Times New Roman" w:hAnsi="Calibri" w:cs="Calibri"/>
          <w:color w:val="000000" w:themeColor="text1"/>
          <w:sz w:val="22"/>
          <w:szCs w:val="22"/>
        </w:rPr>
        <w:t>, </w:t>
      </w:r>
      <w:hyperlink r:id="rId30" w:history="1">
        <w:r w:rsidR="000D23A2" w:rsidRPr="005A6D9F">
          <w:rPr>
            <w:rFonts w:ascii="Calibri" w:eastAsia="Times New Roman" w:hAnsi="Calibri" w:cs="Calibri"/>
            <w:color w:val="000000" w:themeColor="text1"/>
            <w:sz w:val="22"/>
            <w:szCs w:val="22"/>
            <w:u w:val="single"/>
          </w:rPr>
          <w:t>Iguchi M</w:t>
        </w:r>
      </w:hyperlink>
      <w:r w:rsidR="000D23A2" w:rsidRPr="005A6D9F">
        <w:rPr>
          <w:rFonts w:ascii="Calibri" w:eastAsia="Times New Roman" w:hAnsi="Calibri" w:cs="Calibri"/>
          <w:color w:val="000000" w:themeColor="text1"/>
          <w:sz w:val="22"/>
          <w:szCs w:val="22"/>
        </w:rPr>
        <w:t>, </w:t>
      </w:r>
      <w:hyperlink r:id="rId31" w:history="1">
        <w:r w:rsidR="000D23A2" w:rsidRPr="005A6D9F">
          <w:rPr>
            <w:rFonts w:ascii="Calibri" w:eastAsia="Times New Roman" w:hAnsi="Calibri" w:cs="Calibri"/>
            <w:color w:val="000000" w:themeColor="text1"/>
            <w:sz w:val="22"/>
            <w:szCs w:val="22"/>
            <w:u w:val="single"/>
          </w:rPr>
          <w:t>Hirakawa A</w:t>
        </w:r>
      </w:hyperlink>
      <w:r w:rsidR="000D23A2" w:rsidRPr="005A6D9F">
        <w:rPr>
          <w:rFonts w:ascii="Calibri" w:eastAsia="Times New Roman" w:hAnsi="Calibri" w:cs="Calibri"/>
          <w:color w:val="000000" w:themeColor="text1"/>
          <w:sz w:val="22"/>
          <w:szCs w:val="22"/>
        </w:rPr>
        <w:t>, </w:t>
      </w:r>
      <w:hyperlink r:id="rId32" w:history="1">
        <w:r w:rsidR="000D23A2" w:rsidRPr="005A6D9F">
          <w:rPr>
            <w:rFonts w:ascii="Calibri" w:eastAsia="Times New Roman" w:hAnsi="Calibri" w:cs="Calibri"/>
            <w:color w:val="000000" w:themeColor="text1"/>
            <w:sz w:val="22"/>
            <w:szCs w:val="22"/>
            <w:u w:val="single"/>
          </w:rPr>
          <w:t>Kamiya Z</w:t>
        </w:r>
      </w:hyperlink>
      <w:r w:rsidR="000D23A2" w:rsidRPr="005A6D9F">
        <w:rPr>
          <w:rFonts w:ascii="Calibri" w:eastAsia="Times New Roman" w:hAnsi="Calibri" w:cs="Calibri"/>
          <w:color w:val="000000" w:themeColor="text1"/>
          <w:sz w:val="22"/>
          <w:szCs w:val="22"/>
        </w:rPr>
        <w:t>, </w:t>
      </w:r>
      <w:hyperlink r:id="rId33" w:history="1">
        <w:r w:rsidR="000D23A2" w:rsidRPr="005A6D9F">
          <w:rPr>
            <w:rFonts w:ascii="Calibri" w:eastAsia="Times New Roman" w:hAnsi="Calibri" w:cs="Calibri"/>
            <w:color w:val="000000" w:themeColor="text1"/>
            <w:sz w:val="22"/>
            <w:szCs w:val="22"/>
            <w:u w:val="single"/>
          </w:rPr>
          <w:t>Yamano S</w:t>
        </w:r>
      </w:hyperlink>
      <w:r w:rsidR="000D23A2" w:rsidRPr="005A6D9F">
        <w:rPr>
          <w:rFonts w:ascii="Calibri" w:eastAsia="Times New Roman" w:hAnsi="Calibri" w:cs="Calibri"/>
          <w:color w:val="000000" w:themeColor="text1"/>
          <w:sz w:val="22"/>
          <w:szCs w:val="22"/>
        </w:rPr>
        <w:t>, </w:t>
      </w:r>
      <w:hyperlink r:id="rId34" w:history="1">
        <w:r w:rsidR="000D23A2" w:rsidRPr="005A6D9F">
          <w:rPr>
            <w:rFonts w:ascii="Calibri" w:eastAsia="Times New Roman" w:hAnsi="Calibri" w:cs="Calibri"/>
            <w:color w:val="000000" w:themeColor="text1"/>
            <w:sz w:val="22"/>
            <w:szCs w:val="22"/>
            <w:u w:val="single"/>
          </w:rPr>
          <w:t>Ibaragi T</w:t>
        </w:r>
      </w:hyperlink>
      <w:r w:rsidR="000D23A2" w:rsidRPr="005A6D9F">
        <w:rPr>
          <w:rFonts w:ascii="Calibri" w:eastAsia="Times New Roman" w:hAnsi="Calibri" w:cs="Calibri"/>
          <w:color w:val="000000" w:themeColor="text1"/>
          <w:sz w:val="22"/>
          <w:szCs w:val="22"/>
        </w:rPr>
        <w:t>, </w:t>
      </w:r>
      <w:hyperlink r:id="rId35" w:history="1">
        <w:r w:rsidR="000D23A2" w:rsidRPr="005A6D9F">
          <w:rPr>
            <w:rFonts w:ascii="Calibri" w:eastAsia="Times New Roman" w:hAnsi="Calibri" w:cs="Calibri"/>
            <w:color w:val="000000" w:themeColor="text1"/>
            <w:sz w:val="22"/>
            <w:szCs w:val="22"/>
            <w:u w:val="single"/>
          </w:rPr>
          <w:t>Isayama N</w:t>
        </w:r>
      </w:hyperlink>
      <w:r w:rsidR="000D23A2" w:rsidRPr="005A6D9F">
        <w:rPr>
          <w:rFonts w:ascii="Calibri" w:eastAsia="Times New Roman" w:hAnsi="Calibri" w:cs="Calibri"/>
          <w:color w:val="000000" w:themeColor="text1"/>
          <w:sz w:val="22"/>
          <w:szCs w:val="22"/>
        </w:rPr>
        <w:t>, </w:t>
      </w:r>
      <w:hyperlink r:id="rId36" w:history="1">
        <w:r w:rsidR="000D23A2" w:rsidRPr="005A6D9F">
          <w:rPr>
            <w:rFonts w:ascii="Calibri" w:eastAsia="Times New Roman" w:hAnsi="Calibri" w:cs="Calibri"/>
            <w:color w:val="000000" w:themeColor="text1"/>
            <w:sz w:val="22"/>
            <w:szCs w:val="22"/>
            <w:u w:val="single"/>
          </w:rPr>
          <w:t>Yamashita Y</w:t>
        </w:r>
      </w:hyperlink>
      <w:r w:rsidR="000D23A2" w:rsidRPr="005A6D9F">
        <w:rPr>
          <w:rFonts w:ascii="Calibri" w:eastAsia="Times New Roman" w:hAnsi="Calibri" w:cs="Calibri"/>
          <w:color w:val="000000" w:themeColor="text1"/>
          <w:sz w:val="22"/>
          <w:szCs w:val="22"/>
        </w:rPr>
        <w:t>, </w:t>
      </w:r>
      <w:hyperlink r:id="rId37" w:history="1">
        <w:r w:rsidR="000D23A2" w:rsidRPr="005A6D9F">
          <w:rPr>
            <w:rFonts w:ascii="Calibri" w:eastAsia="Times New Roman" w:hAnsi="Calibri" w:cs="Calibri"/>
            <w:color w:val="000000" w:themeColor="text1"/>
            <w:sz w:val="22"/>
            <w:szCs w:val="22"/>
            <w:u w:val="single"/>
          </w:rPr>
          <w:t>Iwasa N</w:t>
        </w:r>
      </w:hyperlink>
      <w:r w:rsidR="000D23A2" w:rsidRPr="005A6D9F">
        <w:rPr>
          <w:rFonts w:ascii="Calibri" w:eastAsia="Times New Roman" w:hAnsi="Calibri" w:cs="Calibri"/>
          <w:color w:val="000000" w:themeColor="text1"/>
          <w:sz w:val="22"/>
          <w:szCs w:val="22"/>
        </w:rPr>
        <w:t>, </w:t>
      </w:r>
      <w:hyperlink r:id="rId38" w:history="1">
        <w:r w:rsidR="000D23A2" w:rsidRPr="005A6D9F">
          <w:rPr>
            <w:rFonts w:ascii="Calibri" w:eastAsia="Times New Roman" w:hAnsi="Calibri" w:cs="Calibri"/>
            <w:color w:val="000000" w:themeColor="text1"/>
            <w:sz w:val="22"/>
            <w:szCs w:val="22"/>
            <w:u w:val="single"/>
          </w:rPr>
          <w:t>Inaba H</w:t>
        </w:r>
      </w:hyperlink>
      <w:r w:rsidR="000D23A2" w:rsidRPr="005A6D9F">
        <w:rPr>
          <w:rFonts w:ascii="Calibri" w:eastAsia="Times New Roman" w:hAnsi="Calibri" w:cs="Calibri"/>
          <w:color w:val="000000" w:themeColor="text1"/>
          <w:sz w:val="22"/>
          <w:szCs w:val="22"/>
        </w:rPr>
        <w:t>, </w:t>
      </w:r>
      <w:hyperlink r:id="rId39" w:history="1">
        <w:r w:rsidR="000D23A2" w:rsidRPr="005A6D9F">
          <w:rPr>
            <w:rFonts w:ascii="Calibri" w:eastAsia="Times New Roman" w:hAnsi="Calibri" w:cs="Calibri"/>
            <w:color w:val="000000" w:themeColor="text1"/>
            <w:sz w:val="22"/>
            <w:szCs w:val="22"/>
            <w:u w:val="single"/>
          </w:rPr>
          <w:t>Heishima Y</w:t>
        </w:r>
      </w:hyperlink>
      <w:r w:rsidR="000D23A2" w:rsidRPr="005A6D9F">
        <w:rPr>
          <w:rFonts w:ascii="Calibri" w:eastAsia="Times New Roman" w:hAnsi="Calibri" w:cs="Calibri"/>
          <w:color w:val="000000" w:themeColor="text1"/>
          <w:sz w:val="22"/>
          <w:szCs w:val="22"/>
        </w:rPr>
        <w:t>, </w:t>
      </w:r>
      <w:hyperlink r:id="rId40" w:history="1">
        <w:r w:rsidR="000D23A2" w:rsidRPr="005A6D9F">
          <w:rPr>
            <w:rFonts w:ascii="Calibri" w:eastAsia="Times New Roman" w:hAnsi="Calibri" w:cs="Calibri"/>
            <w:color w:val="000000" w:themeColor="text1"/>
            <w:sz w:val="22"/>
            <w:szCs w:val="22"/>
            <w:u w:val="single"/>
          </w:rPr>
          <w:t>Yuki M</w:t>
        </w:r>
      </w:hyperlink>
      <w:r w:rsidR="000D23A2" w:rsidRPr="005A6D9F">
        <w:rPr>
          <w:rFonts w:ascii="Calibri" w:eastAsia="Times New Roman" w:hAnsi="Calibri" w:cs="Calibri"/>
          <w:color w:val="000000" w:themeColor="text1"/>
          <w:sz w:val="22"/>
          <w:szCs w:val="22"/>
        </w:rPr>
        <w:t>.</w:t>
      </w:r>
    </w:p>
    <w:p w14:paraId="6AA9E6F4"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130E18A0"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OBJECTIVE:</w:t>
      </w:r>
    </w:p>
    <w:p w14:paraId="1ED380E1"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evaluate and compare the clinical usefulness of plasma atrial natriuretic peptide (ANP) and cardiac troponin-I (cTnI) concentrations for assessment of disease severity in dogs with naturally occurring mitral valve disease (MVD).</w:t>
      </w:r>
    </w:p>
    <w:p w14:paraId="3303E78B"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37D694FD"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316 dogs with MVD and 40 healthy control dogs.</w:t>
      </w:r>
    </w:p>
    <w:p w14:paraId="3E1E916A"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35BD71BD"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Each dog underwent a physical examination and echocardiographic and thoracic radiographic assessments. Blood samples were obtained and processed for measurement of plasma ANP and cTnI concentrations. Dogs with MVD were categorized into 3 groups (stages B1 [no clinical signs or evidence of cardiac enlargement], B2 [no clinical signs with evidence of cardiac enlargement], and C [history of congestive heart failure and pulmonary edema]) on the basis of American College of Veterinary Internal Medicine guidelines. Receiver operating characteristic curve analysis was used to evaluate the accuracy of plasma ANP and cTnI concentrations for assessment of MVD severity.</w:t>
      </w:r>
    </w:p>
    <w:p w14:paraId="3FC13E85"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73884C81"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Plasma ANP and cTnI concentrations increased as disease severity increased. Median plasma ANP concentrations for all 3 MVD groups and median plasma cTnI concentrations for the stage B2 and C groups were significantly greater than the corresponding concentrations for the control group. Plasma ANP concentration, but not cTnI concentration, appeared to be useful for detection of dogs with subclinical (stages B1 and B2) MVD, whereas both concentrations appeared useful for detection of dogs with stage C MVD.</w:t>
      </w:r>
    </w:p>
    <w:p w14:paraId="4EEBE90C"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4B5858AF"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Results indicated that plasma ANP and cTnI concentrations should not be used independently to diagnose MVD but can be used to assess MVD severity and supplement echocardiographic findings.</w:t>
      </w:r>
    </w:p>
    <w:p w14:paraId="23A05E4E" w14:textId="174F1DEC" w:rsidR="000D23A2" w:rsidRPr="005A6D9F" w:rsidRDefault="000D23A2">
      <w:pPr>
        <w:pBdr>
          <w:bottom w:val="single" w:sz="6" w:space="1" w:color="auto"/>
        </w:pBdr>
        <w:rPr>
          <w:rFonts w:ascii="Calibri" w:hAnsi="Calibri" w:cs="Calibri"/>
          <w:color w:val="000000" w:themeColor="text1"/>
          <w:sz w:val="22"/>
          <w:szCs w:val="22"/>
        </w:rPr>
      </w:pPr>
    </w:p>
    <w:p w14:paraId="12E8C694" w14:textId="77777777" w:rsidR="000D23A2" w:rsidRPr="005A6D9F" w:rsidRDefault="00150061" w:rsidP="000D23A2">
      <w:pPr>
        <w:shd w:val="clear" w:color="auto" w:fill="FFFFFF"/>
        <w:spacing w:line="348" w:lineRule="atLeast"/>
        <w:rPr>
          <w:rFonts w:ascii="Calibri" w:eastAsia="Times New Roman" w:hAnsi="Calibri" w:cs="Calibri"/>
          <w:color w:val="000000" w:themeColor="text1"/>
          <w:sz w:val="22"/>
          <w:szCs w:val="22"/>
        </w:rPr>
      </w:pPr>
      <w:hyperlink r:id="rId41" w:tooltip="Journal of the American Veterinary Medical Association." w:history="1">
        <w:r w:rsidR="000D23A2" w:rsidRPr="005A6D9F">
          <w:rPr>
            <w:rFonts w:ascii="Calibri" w:eastAsia="Times New Roman" w:hAnsi="Calibri" w:cs="Calibri"/>
            <w:color w:val="000000" w:themeColor="text1"/>
            <w:sz w:val="22"/>
            <w:szCs w:val="22"/>
            <w:u w:val="single"/>
          </w:rPr>
          <w:t>J Am Vet Med Assoc.</w:t>
        </w:r>
      </w:hyperlink>
      <w:r w:rsidR="000D23A2" w:rsidRPr="005A6D9F">
        <w:rPr>
          <w:rFonts w:ascii="Calibri" w:eastAsia="Times New Roman" w:hAnsi="Calibri" w:cs="Calibri"/>
          <w:color w:val="000000" w:themeColor="text1"/>
          <w:sz w:val="22"/>
          <w:szCs w:val="22"/>
        </w:rPr>
        <w:t> 2020 Mar 15;256(6):681-686. doi: 10.2460/javma.256.6.681.</w:t>
      </w:r>
    </w:p>
    <w:p w14:paraId="0716D3E4" w14:textId="77777777" w:rsidR="000D23A2" w:rsidRPr="005A6D9F" w:rsidRDefault="000D23A2" w:rsidP="000D23A2">
      <w:pPr>
        <w:shd w:val="clear" w:color="auto" w:fill="FFFFFF"/>
        <w:spacing w:before="120" w:after="120" w:line="300" w:lineRule="atLeast"/>
        <w:outlineLvl w:val="0"/>
        <w:rPr>
          <w:rFonts w:ascii="Calibri" w:eastAsia="Times New Roman" w:hAnsi="Calibri" w:cs="Calibri"/>
          <w:b/>
          <w:bCs/>
          <w:color w:val="000000" w:themeColor="text1"/>
          <w:kern w:val="36"/>
          <w:sz w:val="22"/>
          <w:szCs w:val="22"/>
        </w:rPr>
      </w:pPr>
      <w:r w:rsidRPr="005A6D9F">
        <w:rPr>
          <w:rFonts w:ascii="Calibri" w:eastAsia="Times New Roman" w:hAnsi="Calibri" w:cs="Calibri"/>
          <w:b/>
          <w:bCs/>
          <w:color w:val="000000" w:themeColor="text1"/>
          <w:kern w:val="36"/>
          <w:sz w:val="22"/>
          <w:szCs w:val="22"/>
        </w:rPr>
        <w:t>Investigation of Schirmer tear test-1 for measurement of tear production in cats in various environmental settings and with different test durations.</w:t>
      </w:r>
    </w:p>
    <w:p w14:paraId="11CB872E" w14:textId="77777777" w:rsidR="000D23A2" w:rsidRPr="005A6D9F" w:rsidRDefault="00150061" w:rsidP="000D23A2">
      <w:pPr>
        <w:shd w:val="clear" w:color="auto" w:fill="FFFFFF"/>
        <w:rPr>
          <w:rFonts w:ascii="Calibri" w:eastAsia="Times New Roman" w:hAnsi="Calibri" w:cs="Calibri"/>
          <w:color w:val="000000" w:themeColor="text1"/>
          <w:sz w:val="22"/>
          <w:szCs w:val="22"/>
        </w:rPr>
      </w:pPr>
      <w:hyperlink r:id="rId42" w:history="1">
        <w:r w:rsidR="000D23A2" w:rsidRPr="005A6D9F">
          <w:rPr>
            <w:rFonts w:ascii="Calibri" w:eastAsia="Times New Roman" w:hAnsi="Calibri" w:cs="Calibri"/>
            <w:color w:val="000000" w:themeColor="text1"/>
            <w:sz w:val="22"/>
            <w:szCs w:val="22"/>
            <w:u w:val="single"/>
          </w:rPr>
          <w:t>Sebbag L</w:t>
        </w:r>
      </w:hyperlink>
      <w:r w:rsidR="000D23A2" w:rsidRPr="005A6D9F">
        <w:rPr>
          <w:rFonts w:ascii="Calibri" w:eastAsia="Times New Roman" w:hAnsi="Calibri" w:cs="Calibri"/>
          <w:color w:val="000000" w:themeColor="text1"/>
          <w:sz w:val="22"/>
          <w:szCs w:val="22"/>
        </w:rPr>
        <w:t>, </w:t>
      </w:r>
      <w:hyperlink r:id="rId43" w:history="1">
        <w:r w:rsidR="000D23A2" w:rsidRPr="005A6D9F">
          <w:rPr>
            <w:rFonts w:ascii="Calibri" w:eastAsia="Times New Roman" w:hAnsi="Calibri" w:cs="Calibri"/>
            <w:color w:val="000000" w:themeColor="text1"/>
            <w:sz w:val="22"/>
            <w:szCs w:val="22"/>
            <w:u w:val="single"/>
          </w:rPr>
          <w:t>Uhl LK</w:t>
        </w:r>
      </w:hyperlink>
      <w:r w:rsidR="000D23A2" w:rsidRPr="005A6D9F">
        <w:rPr>
          <w:rFonts w:ascii="Calibri" w:eastAsia="Times New Roman" w:hAnsi="Calibri" w:cs="Calibri"/>
          <w:color w:val="000000" w:themeColor="text1"/>
          <w:sz w:val="22"/>
          <w:szCs w:val="22"/>
        </w:rPr>
        <w:t>, </w:t>
      </w:r>
      <w:hyperlink r:id="rId44" w:history="1">
        <w:r w:rsidR="000D23A2" w:rsidRPr="005A6D9F">
          <w:rPr>
            <w:rFonts w:ascii="Calibri" w:eastAsia="Times New Roman" w:hAnsi="Calibri" w:cs="Calibri"/>
            <w:color w:val="000000" w:themeColor="text1"/>
            <w:sz w:val="22"/>
            <w:szCs w:val="22"/>
            <w:u w:val="single"/>
          </w:rPr>
          <w:t>Schneider B</w:t>
        </w:r>
      </w:hyperlink>
      <w:r w:rsidR="000D23A2" w:rsidRPr="005A6D9F">
        <w:rPr>
          <w:rFonts w:ascii="Calibri" w:eastAsia="Times New Roman" w:hAnsi="Calibri" w:cs="Calibri"/>
          <w:color w:val="000000" w:themeColor="text1"/>
          <w:sz w:val="22"/>
          <w:szCs w:val="22"/>
        </w:rPr>
        <w:t>, </w:t>
      </w:r>
      <w:hyperlink r:id="rId45" w:history="1">
        <w:r w:rsidR="000D23A2" w:rsidRPr="005A6D9F">
          <w:rPr>
            <w:rFonts w:ascii="Calibri" w:eastAsia="Times New Roman" w:hAnsi="Calibri" w:cs="Calibri"/>
            <w:color w:val="000000" w:themeColor="text1"/>
            <w:sz w:val="22"/>
            <w:szCs w:val="22"/>
            <w:u w:val="single"/>
          </w:rPr>
          <w:t>Hayes B</w:t>
        </w:r>
      </w:hyperlink>
      <w:r w:rsidR="000D23A2" w:rsidRPr="005A6D9F">
        <w:rPr>
          <w:rFonts w:ascii="Calibri" w:eastAsia="Times New Roman" w:hAnsi="Calibri" w:cs="Calibri"/>
          <w:color w:val="000000" w:themeColor="text1"/>
          <w:sz w:val="22"/>
          <w:szCs w:val="22"/>
        </w:rPr>
        <w:t>, </w:t>
      </w:r>
      <w:hyperlink r:id="rId46" w:history="1">
        <w:r w:rsidR="000D23A2" w:rsidRPr="005A6D9F">
          <w:rPr>
            <w:rFonts w:ascii="Calibri" w:eastAsia="Times New Roman" w:hAnsi="Calibri" w:cs="Calibri"/>
            <w:color w:val="000000" w:themeColor="text1"/>
            <w:sz w:val="22"/>
            <w:szCs w:val="22"/>
            <w:u w:val="single"/>
          </w:rPr>
          <w:t>Olds J</w:t>
        </w:r>
      </w:hyperlink>
      <w:r w:rsidR="000D23A2" w:rsidRPr="005A6D9F">
        <w:rPr>
          <w:rFonts w:ascii="Calibri" w:eastAsia="Times New Roman" w:hAnsi="Calibri" w:cs="Calibri"/>
          <w:color w:val="000000" w:themeColor="text1"/>
          <w:sz w:val="22"/>
          <w:szCs w:val="22"/>
        </w:rPr>
        <w:t>, </w:t>
      </w:r>
      <w:hyperlink r:id="rId47" w:history="1">
        <w:r w:rsidR="000D23A2" w:rsidRPr="005A6D9F">
          <w:rPr>
            <w:rFonts w:ascii="Calibri" w:eastAsia="Times New Roman" w:hAnsi="Calibri" w:cs="Calibri"/>
            <w:color w:val="000000" w:themeColor="text1"/>
            <w:sz w:val="22"/>
            <w:szCs w:val="22"/>
            <w:u w:val="single"/>
          </w:rPr>
          <w:t>Mochel JP</w:t>
        </w:r>
      </w:hyperlink>
      <w:r w:rsidR="000D23A2" w:rsidRPr="005A6D9F">
        <w:rPr>
          <w:rFonts w:ascii="Calibri" w:eastAsia="Times New Roman" w:hAnsi="Calibri" w:cs="Calibri"/>
          <w:color w:val="000000" w:themeColor="text1"/>
          <w:sz w:val="22"/>
          <w:szCs w:val="22"/>
        </w:rPr>
        <w:t>.</w:t>
      </w:r>
    </w:p>
    <w:p w14:paraId="480DAFC6" w14:textId="77777777" w:rsidR="000D23A2" w:rsidRPr="005A6D9F" w:rsidRDefault="000D23A2" w:rsidP="000D23A2">
      <w:pPr>
        <w:shd w:val="clear" w:color="auto" w:fill="FFFFFF"/>
        <w:outlineLvl w:val="2"/>
        <w:rPr>
          <w:rFonts w:ascii="Calibri" w:eastAsia="Times New Roman" w:hAnsi="Calibri" w:cs="Calibri"/>
          <w:b/>
          <w:bCs/>
          <w:color w:val="000000" w:themeColor="text1"/>
          <w:sz w:val="22"/>
          <w:szCs w:val="22"/>
        </w:rPr>
      </w:pPr>
      <w:r w:rsidRPr="005A6D9F">
        <w:rPr>
          <w:rFonts w:ascii="Calibri" w:eastAsia="Times New Roman" w:hAnsi="Calibri" w:cs="Calibri"/>
          <w:b/>
          <w:bCs/>
          <w:color w:val="000000" w:themeColor="text1"/>
          <w:sz w:val="22"/>
          <w:szCs w:val="22"/>
        </w:rPr>
        <w:t>Abstract</w:t>
      </w:r>
    </w:p>
    <w:p w14:paraId="501D2462"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lastRenderedPageBreak/>
        <w:t>OBJECTIVE:</w:t>
      </w:r>
    </w:p>
    <w:p w14:paraId="09099B32"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To assess reliability of the Schirmer tear test-1 (STT-1) for measurement of tear production in cats in various environments, investigate whether sympathetic stimulation impacts measurements, and determine whether meaningful conclusions regarding lacrimation in cats can be drawn from STT-1 measurements obtained with STT strip placement for &lt; 1 minute.</w:t>
      </w:r>
    </w:p>
    <w:p w14:paraId="50938D9A"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ANIMALS:</w:t>
      </w:r>
    </w:p>
    <w:p w14:paraId="47AC2EE0"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176 cats examined in a private practice (n = 100), a feral cat clinic (56), or a veterinary teaching hospital (20).</w:t>
      </w:r>
    </w:p>
    <w:p w14:paraId="338F30BA"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PROCEDURES:</w:t>
      </w:r>
    </w:p>
    <w:p w14:paraId="174D11E2"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The STT-1 was performed in both eyes of each cat. Measurements were recorded at 10- or 30-second intervals for 1 minute. Cats at the teaching hospital were tested once in a quiet examination room (unstimulated conditions) and once in the same room with loud prerecorded noises (stimulated conditions), with a 30-minute interval between tests and evaluation of cats' heart rates before and after STT-1. Data were analyzed with parametric statistical tools and a nonlinear mixed-effect model.</w:t>
      </w:r>
    </w:p>
    <w:p w14:paraId="02B3DB6E"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RESULTS:</w:t>
      </w:r>
    </w:p>
    <w:p w14:paraId="48F5B3A6"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30- and 60-second STT-1 measurements were significantly correlated (</w:t>
      </w:r>
      <w:r w:rsidRPr="005A6D9F">
        <w:rPr>
          <w:rFonts w:ascii="Calibri" w:eastAsia="Times New Roman" w:hAnsi="Calibri" w:cs="Calibri"/>
          <w:i/>
          <w:iCs/>
          <w:color w:val="000000" w:themeColor="text1"/>
          <w:sz w:val="22"/>
          <w:szCs w:val="22"/>
        </w:rPr>
        <w:t>r</w:t>
      </w:r>
      <w:r w:rsidRPr="005A6D9F">
        <w:rPr>
          <w:rFonts w:ascii="Calibri" w:eastAsia="Times New Roman" w:hAnsi="Calibri" w:cs="Calibri"/>
          <w:color w:val="000000" w:themeColor="text1"/>
          <w:sz w:val="22"/>
          <w:szCs w:val="22"/>
        </w:rPr>
        <w:t> = 0.94). The STT-1 measurements did not differ under nonstimulated versus stimulated conditions, despite significant changes in heart rates that indicated sympathetic stimulation. A hyperbolic model of STT-1 kinetics was validated, allowing for extrapolation of measurements obtained in &lt; 60 seconds and generation of reference values (95% predictive intervals) for various test durations. Median (95% predictive interval) 30- and 60-second STT-1 measurements were 9.1 mm (4.8 to 15.6 mm) and 14.3 mm (8.2 to 22.3 mm), respectively.</w:t>
      </w:r>
    </w:p>
    <w:p w14:paraId="14F9B2FD" w14:textId="77777777" w:rsidR="000D23A2" w:rsidRPr="005A6D9F" w:rsidRDefault="000D23A2" w:rsidP="000D23A2">
      <w:pPr>
        <w:shd w:val="clear" w:color="auto" w:fill="FFFFFF"/>
        <w:spacing w:line="369" w:lineRule="atLeast"/>
        <w:ind w:right="60"/>
        <w:outlineLvl w:val="3"/>
        <w:rPr>
          <w:rFonts w:ascii="Calibri" w:eastAsia="Times New Roman" w:hAnsi="Calibri" w:cs="Calibri"/>
          <w:b/>
          <w:bCs/>
          <w:caps/>
          <w:color w:val="000000" w:themeColor="text1"/>
          <w:sz w:val="22"/>
          <w:szCs w:val="22"/>
        </w:rPr>
      </w:pPr>
      <w:r w:rsidRPr="005A6D9F">
        <w:rPr>
          <w:rFonts w:ascii="Calibri" w:eastAsia="Times New Roman" w:hAnsi="Calibri" w:cs="Calibri"/>
          <w:b/>
          <w:bCs/>
          <w:caps/>
          <w:color w:val="000000" w:themeColor="text1"/>
          <w:sz w:val="22"/>
          <w:szCs w:val="22"/>
        </w:rPr>
        <w:t>CONCLUSIONS AND CLINICAL RELEVANCE:</w:t>
      </w:r>
    </w:p>
    <w:p w14:paraId="4A54498F" w14:textId="77777777" w:rsidR="000D23A2" w:rsidRPr="005A6D9F" w:rsidRDefault="000D23A2" w:rsidP="000D23A2">
      <w:pPr>
        <w:shd w:val="clear" w:color="auto" w:fill="FFFFFF"/>
        <w:spacing w:after="120" w:line="369" w:lineRule="atLeast"/>
        <w:rPr>
          <w:rFonts w:ascii="Calibri" w:eastAsia="Times New Roman" w:hAnsi="Calibri" w:cs="Calibri"/>
          <w:color w:val="000000" w:themeColor="text1"/>
          <w:sz w:val="22"/>
          <w:szCs w:val="22"/>
        </w:rPr>
      </w:pPr>
      <w:r w:rsidRPr="005A6D9F">
        <w:rPr>
          <w:rFonts w:ascii="Calibri" w:eastAsia="Times New Roman" w:hAnsi="Calibri" w:cs="Calibri"/>
          <w:color w:val="000000" w:themeColor="text1"/>
          <w:sz w:val="22"/>
          <w:szCs w:val="22"/>
        </w:rPr>
        <w:t>The STT-1 was a reliable diagnostic test in all settings; results were not affected by sympathetic stimulation, and a shorter duration of testing could be considered in selected cases.</w:t>
      </w:r>
    </w:p>
    <w:p w14:paraId="75043A1C" w14:textId="1E96CEE3" w:rsidR="000D23A2" w:rsidRPr="005A6D9F" w:rsidRDefault="000D23A2">
      <w:pPr>
        <w:pBdr>
          <w:bottom w:val="single" w:sz="6" w:space="1" w:color="auto"/>
        </w:pBdr>
        <w:rPr>
          <w:rFonts w:ascii="Calibri" w:hAnsi="Calibri" w:cs="Calibri"/>
          <w:color w:val="000000" w:themeColor="text1"/>
          <w:sz w:val="22"/>
          <w:szCs w:val="22"/>
        </w:rPr>
      </w:pPr>
    </w:p>
    <w:p w14:paraId="794BFF57" w14:textId="77777777" w:rsidR="005A6D9F" w:rsidRPr="005A6D9F" w:rsidRDefault="005A6D9F" w:rsidP="005A6D9F">
      <w:pPr>
        <w:shd w:val="clear" w:color="auto" w:fill="FFFFFF"/>
        <w:spacing w:line="348" w:lineRule="atLeast"/>
        <w:rPr>
          <w:rFonts w:ascii="Calibri" w:hAnsi="Calibri" w:cs="Calibri"/>
          <w:color w:val="000000" w:themeColor="text1"/>
          <w:sz w:val="22"/>
          <w:szCs w:val="22"/>
        </w:rPr>
      </w:pPr>
      <w:hyperlink r:id="rId48" w:tooltip="Journal of the American Veterinary Medical Association." w:history="1">
        <w:r w:rsidRPr="005A6D9F">
          <w:rPr>
            <w:rStyle w:val="Hyperlink"/>
            <w:rFonts w:ascii="Calibri" w:hAnsi="Calibri" w:cs="Calibri"/>
            <w:color w:val="000000" w:themeColor="text1"/>
            <w:sz w:val="22"/>
            <w:szCs w:val="22"/>
          </w:rPr>
          <w:t>J Am Vet Med Assoc.</w:t>
        </w:r>
      </w:hyperlink>
      <w:r w:rsidRPr="005A6D9F">
        <w:rPr>
          <w:rFonts w:ascii="Calibri" w:hAnsi="Calibri" w:cs="Calibri"/>
          <w:color w:val="000000" w:themeColor="text1"/>
          <w:sz w:val="22"/>
          <w:szCs w:val="22"/>
        </w:rPr>
        <w:t> 2020 Apr 15;256(8):288-896. doi: 10.2460/javma.256.8.888.</w:t>
      </w:r>
    </w:p>
    <w:p w14:paraId="738F9D4B" w14:textId="77777777" w:rsidR="005A6D9F" w:rsidRPr="005A6D9F" w:rsidRDefault="005A6D9F" w:rsidP="005A6D9F">
      <w:pPr>
        <w:pStyle w:val="Heading1"/>
        <w:shd w:val="clear" w:color="auto" w:fill="FFFFFF"/>
        <w:spacing w:before="120" w:beforeAutospacing="0" w:after="120" w:afterAutospacing="0" w:line="300" w:lineRule="atLeast"/>
        <w:rPr>
          <w:rFonts w:ascii="Calibri" w:hAnsi="Calibri" w:cs="Calibri"/>
          <w:color w:val="000000" w:themeColor="text1"/>
          <w:sz w:val="22"/>
          <w:szCs w:val="22"/>
        </w:rPr>
      </w:pPr>
      <w:r w:rsidRPr="005A6D9F">
        <w:rPr>
          <w:rFonts w:ascii="Calibri" w:hAnsi="Calibri" w:cs="Calibri"/>
          <w:color w:val="000000" w:themeColor="text1"/>
          <w:sz w:val="22"/>
          <w:szCs w:val="22"/>
        </w:rPr>
        <w:t>Use of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sphericity</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index</w:t>
      </w:r>
      <w:r w:rsidRPr="005A6D9F">
        <w:rPr>
          <w:rFonts w:ascii="Calibri" w:hAnsi="Calibri" w:cs="Calibri"/>
          <w:color w:val="000000" w:themeColor="text1"/>
          <w:sz w:val="22"/>
          <w:szCs w:val="22"/>
        </w:rPr>
        <w:t> and </w:t>
      </w:r>
      <w:r w:rsidRPr="005A6D9F">
        <w:rPr>
          <w:rStyle w:val="highlight"/>
          <w:rFonts w:ascii="Calibri" w:hAnsi="Calibri" w:cs="Calibri"/>
          <w:color w:val="000000" w:themeColor="text1"/>
          <w:sz w:val="22"/>
          <w:szCs w:val="22"/>
        </w:rPr>
        <w:t>manubrium</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scores</w:t>
      </w:r>
      <w:r w:rsidRPr="005A6D9F">
        <w:rPr>
          <w:rFonts w:ascii="Calibri" w:hAnsi="Calibri" w:cs="Calibri"/>
          <w:color w:val="000000" w:themeColor="text1"/>
          <w:sz w:val="22"/>
          <w:szCs w:val="22"/>
        </w:rPr>
        <w:t> to </w:t>
      </w:r>
      <w:r w:rsidRPr="005A6D9F">
        <w:rPr>
          <w:rStyle w:val="highlight"/>
          <w:rFonts w:ascii="Calibri" w:hAnsi="Calibri" w:cs="Calibri"/>
          <w:color w:val="000000" w:themeColor="text1"/>
          <w:sz w:val="22"/>
          <w:szCs w:val="22"/>
        </w:rPr>
        <w:t>assess</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radiographic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silhouettes</w:t>
      </w:r>
      <w:r w:rsidRPr="005A6D9F">
        <w:rPr>
          <w:rFonts w:ascii="Calibri" w:hAnsi="Calibri" w:cs="Calibri"/>
          <w:color w:val="000000" w:themeColor="text1"/>
          <w:sz w:val="22"/>
          <w:szCs w:val="22"/>
        </w:rPr>
        <w:t> in </w:t>
      </w:r>
      <w:r w:rsidRPr="005A6D9F">
        <w:rPr>
          <w:rStyle w:val="highlight"/>
          <w:rFonts w:ascii="Calibri" w:hAnsi="Calibri" w:cs="Calibri"/>
          <w:color w:val="000000" w:themeColor="text1"/>
          <w:sz w:val="22"/>
          <w:szCs w:val="22"/>
        </w:rPr>
        <w:t>large-and</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small-breed</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and without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w:t>
      </w:r>
    </w:p>
    <w:p w14:paraId="67924DA4" w14:textId="77777777" w:rsidR="005A6D9F" w:rsidRPr="005A6D9F" w:rsidRDefault="005A6D9F" w:rsidP="005A6D9F">
      <w:pPr>
        <w:shd w:val="clear" w:color="auto" w:fill="FFFFFF"/>
        <w:rPr>
          <w:rFonts w:ascii="Calibri" w:hAnsi="Calibri" w:cs="Calibri"/>
          <w:color w:val="000000" w:themeColor="text1"/>
          <w:sz w:val="22"/>
          <w:szCs w:val="22"/>
        </w:rPr>
      </w:pPr>
      <w:hyperlink r:id="rId49" w:history="1">
        <w:r w:rsidRPr="005A6D9F">
          <w:rPr>
            <w:rStyle w:val="Hyperlink"/>
            <w:rFonts w:ascii="Calibri" w:hAnsi="Calibri" w:cs="Calibri"/>
            <w:color w:val="000000" w:themeColor="text1"/>
            <w:sz w:val="22"/>
            <w:szCs w:val="22"/>
          </w:rPr>
          <w:t>Mostafa AA</w:t>
        </w:r>
      </w:hyperlink>
      <w:r w:rsidRPr="005A6D9F">
        <w:rPr>
          <w:rFonts w:ascii="Calibri" w:hAnsi="Calibri" w:cs="Calibri"/>
          <w:color w:val="000000" w:themeColor="text1"/>
          <w:sz w:val="22"/>
          <w:szCs w:val="22"/>
        </w:rPr>
        <w:t>, </w:t>
      </w:r>
      <w:hyperlink r:id="rId50" w:history="1">
        <w:r w:rsidRPr="005A6D9F">
          <w:rPr>
            <w:rStyle w:val="Hyperlink"/>
            <w:rFonts w:ascii="Calibri" w:hAnsi="Calibri" w:cs="Calibri"/>
            <w:color w:val="000000" w:themeColor="text1"/>
            <w:sz w:val="22"/>
            <w:szCs w:val="22"/>
          </w:rPr>
          <w:t>Peper KE</w:t>
        </w:r>
      </w:hyperlink>
      <w:r w:rsidRPr="005A6D9F">
        <w:rPr>
          <w:rFonts w:ascii="Calibri" w:hAnsi="Calibri" w:cs="Calibri"/>
          <w:color w:val="000000" w:themeColor="text1"/>
          <w:sz w:val="22"/>
          <w:szCs w:val="22"/>
        </w:rPr>
        <w:t>, </w:t>
      </w:r>
      <w:hyperlink r:id="rId51" w:history="1">
        <w:r w:rsidRPr="005A6D9F">
          <w:rPr>
            <w:rStyle w:val="Hyperlink"/>
            <w:rFonts w:ascii="Calibri" w:hAnsi="Calibri" w:cs="Calibri"/>
            <w:color w:val="000000" w:themeColor="text1"/>
            <w:sz w:val="22"/>
            <w:szCs w:val="22"/>
          </w:rPr>
          <w:t>Berry CR</w:t>
        </w:r>
      </w:hyperlink>
      <w:r w:rsidRPr="005A6D9F">
        <w:rPr>
          <w:rFonts w:ascii="Calibri" w:hAnsi="Calibri" w:cs="Calibri"/>
          <w:color w:val="000000" w:themeColor="text1"/>
          <w:sz w:val="22"/>
          <w:szCs w:val="22"/>
        </w:rPr>
        <w:t>.</w:t>
      </w:r>
    </w:p>
    <w:p w14:paraId="72B96F1B" w14:textId="77777777" w:rsidR="005A6D9F" w:rsidRPr="005A6D9F" w:rsidRDefault="005A6D9F" w:rsidP="005A6D9F">
      <w:pPr>
        <w:pStyle w:val="Heading3"/>
        <w:shd w:val="clear" w:color="auto" w:fill="FFFFFF"/>
        <w:spacing w:before="0" w:beforeAutospacing="0" w:after="0" w:afterAutospacing="0"/>
        <w:rPr>
          <w:rFonts w:ascii="Calibri" w:hAnsi="Calibri" w:cs="Calibri"/>
          <w:color w:val="000000" w:themeColor="text1"/>
          <w:sz w:val="22"/>
          <w:szCs w:val="22"/>
        </w:rPr>
      </w:pPr>
      <w:r w:rsidRPr="005A6D9F">
        <w:rPr>
          <w:rFonts w:ascii="Calibri" w:hAnsi="Calibri" w:cs="Calibri"/>
          <w:color w:val="000000" w:themeColor="text1"/>
          <w:sz w:val="22"/>
          <w:szCs w:val="22"/>
        </w:rPr>
        <w:t>Abstract</w:t>
      </w:r>
    </w:p>
    <w:p w14:paraId="4EE8598A"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OBJECTIVE:</w:t>
      </w:r>
    </w:p>
    <w:p w14:paraId="42BFF15A"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lastRenderedPageBreak/>
        <w:t>To evaluate the usefulness of </w:t>
      </w:r>
      <w:r w:rsidRPr="005A6D9F">
        <w:rPr>
          <w:rStyle w:val="highlight"/>
          <w:rFonts w:ascii="Calibri" w:hAnsi="Calibri" w:cs="Calibri"/>
          <w:color w:val="000000" w:themeColor="text1"/>
          <w:sz w:val="22"/>
          <w:szCs w:val="22"/>
        </w:rPr>
        <w:t>manubrium</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scores</w:t>
      </w:r>
      <w:r w:rsidRPr="005A6D9F">
        <w:rPr>
          <w:rFonts w:ascii="Calibri" w:hAnsi="Calibri" w:cs="Calibri"/>
          <w:color w:val="000000" w:themeColor="text1"/>
          <w:sz w:val="22"/>
          <w:szCs w:val="22"/>
        </w:rPr>
        <w:t> (MHSs) in distinguishing between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and without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w:t>
      </w:r>
    </w:p>
    <w:p w14:paraId="589AEAF3"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ANIMALS:</w:t>
      </w:r>
    </w:p>
    <w:p w14:paraId="4A3463A3"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184 client-owned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(n = 64) and without (120)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w:t>
      </w:r>
    </w:p>
    <w:p w14:paraId="56DF4B9D"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PROCEDURES:</w:t>
      </w:r>
    </w:p>
    <w:p w14:paraId="4F64B959"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Medical records, including thoracic </w:t>
      </w:r>
      <w:r w:rsidRPr="005A6D9F">
        <w:rPr>
          <w:rStyle w:val="highlight"/>
          <w:rFonts w:ascii="Calibri" w:hAnsi="Calibri" w:cs="Calibri"/>
          <w:color w:val="000000" w:themeColor="text1"/>
          <w:sz w:val="22"/>
          <w:szCs w:val="22"/>
        </w:rPr>
        <w:t>radiographic</w:t>
      </w:r>
      <w:r w:rsidRPr="005A6D9F">
        <w:rPr>
          <w:rFonts w:ascii="Calibri" w:hAnsi="Calibri" w:cs="Calibri"/>
          <w:color w:val="000000" w:themeColor="text1"/>
          <w:sz w:val="22"/>
          <w:szCs w:val="22"/>
        </w:rPr>
        <w:t> images, of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that either had echocardiographically confirmed moderate to severe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with cardiomegaly (case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or were healthy and without evidence of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(control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were retrospectively reviewed. From right lateral thoracic </w:t>
      </w:r>
      <w:r w:rsidRPr="005A6D9F">
        <w:rPr>
          <w:rStyle w:val="highlight"/>
          <w:rFonts w:ascii="Calibri" w:hAnsi="Calibri" w:cs="Calibri"/>
          <w:color w:val="000000" w:themeColor="text1"/>
          <w:sz w:val="22"/>
          <w:szCs w:val="22"/>
        </w:rPr>
        <w:t>radiographic</w:t>
      </w:r>
      <w:r w:rsidRPr="005A6D9F">
        <w:rPr>
          <w:rFonts w:ascii="Calibri" w:hAnsi="Calibri" w:cs="Calibri"/>
          <w:color w:val="000000" w:themeColor="text1"/>
          <w:sz w:val="22"/>
          <w:szCs w:val="22"/>
        </w:rPr>
        <w:t> images, the lengths of the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short and long axes and the </w:t>
      </w:r>
      <w:r w:rsidRPr="005A6D9F">
        <w:rPr>
          <w:rStyle w:val="highlight"/>
          <w:rFonts w:ascii="Calibri" w:hAnsi="Calibri" w:cs="Calibri"/>
          <w:color w:val="000000" w:themeColor="text1"/>
          <w:sz w:val="22"/>
          <w:szCs w:val="22"/>
        </w:rPr>
        <w:t>manubrium</w:t>
      </w:r>
      <w:r w:rsidRPr="005A6D9F">
        <w:rPr>
          <w:rFonts w:ascii="Calibri" w:hAnsi="Calibri" w:cs="Calibri"/>
          <w:color w:val="000000" w:themeColor="text1"/>
          <w:sz w:val="22"/>
          <w:szCs w:val="22"/>
        </w:rPr>
        <w:t> were measured and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sphericity</w:t>
      </w:r>
      <w:r w:rsidRPr="005A6D9F">
        <w:rPr>
          <w:rFonts w:ascii="Calibri" w:hAnsi="Calibri" w:cs="Calibri"/>
          <w:color w:val="000000" w:themeColor="text1"/>
          <w:sz w:val="22"/>
          <w:szCs w:val="22"/>
        </w:rPr>
        <w:t> indices (CSIs), MHSs, and vertebral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scores</w:t>
      </w:r>
      <w:r w:rsidRPr="005A6D9F">
        <w:rPr>
          <w:rFonts w:ascii="Calibri" w:hAnsi="Calibri" w:cs="Calibri"/>
          <w:color w:val="000000" w:themeColor="text1"/>
          <w:sz w:val="22"/>
          <w:szCs w:val="22"/>
        </w:rPr>
        <w:t> were determined.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were grouped on the basis of whether they did or did not have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(case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vs control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breed size (large-breed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vs </w:t>
      </w:r>
      <w:r w:rsidRPr="005A6D9F">
        <w:rPr>
          <w:rStyle w:val="highlight"/>
          <w:rFonts w:ascii="Calibri" w:hAnsi="Calibri" w:cs="Calibri"/>
          <w:color w:val="000000" w:themeColor="text1"/>
          <w:sz w:val="22"/>
          <w:szCs w:val="22"/>
        </w:rPr>
        <w:t>small-breed</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and whether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affected the right side of the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(right-sided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or the left side of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(left-sided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Results were compared across groups.</w:t>
      </w:r>
    </w:p>
    <w:p w14:paraId="66277A13"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RESULTS:</w:t>
      </w:r>
    </w:p>
    <w:p w14:paraId="13831694"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The mean CSI was greatest in case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right-sided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compared with other groups. In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of the present study, a combination of high short-, long-, and overall-MHSs was more suggestive of left-sided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whereas a high short-MHS without high long- and overall-MHSs was more suggestive of right-sided </w:t>
      </w:r>
      <w:r w:rsidRPr="005A6D9F">
        <w:rPr>
          <w:rStyle w:val="highlight"/>
          <w:rFonts w:ascii="Calibri" w:hAnsi="Calibri" w:cs="Calibri"/>
          <w:color w:val="000000" w:themeColor="text1"/>
          <w:sz w:val="22"/>
          <w:szCs w:val="22"/>
        </w:rPr>
        <w:t>cardiac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w:t>
      </w:r>
    </w:p>
    <w:p w14:paraId="2705DFEB"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CONCLUSIONS AND CLINICAL RELEVANCE:</w:t>
      </w:r>
    </w:p>
    <w:p w14:paraId="276BFE08"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Results indicated that MHSs could be useful, objective values to help </w:t>
      </w:r>
      <w:r w:rsidRPr="005A6D9F">
        <w:rPr>
          <w:rStyle w:val="highlight"/>
          <w:rFonts w:ascii="Calibri" w:hAnsi="Calibri" w:cs="Calibri"/>
          <w:color w:val="000000" w:themeColor="text1"/>
          <w:sz w:val="22"/>
          <w:szCs w:val="22"/>
        </w:rPr>
        <w:t>assess</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for potential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and we recommend that MHSs be added to the diagnostic tools used by veterinarians when screening for </w:t>
      </w:r>
      <w:r w:rsidRPr="005A6D9F">
        <w:rPr>
          <w:rStyle w:val="highlight"/>
          <w:rFonts w:ascii="Calibri" w:hAnsi="Calibri" w:cs="Calibri"/>
          <w:color w:val="000000" w:themeColor="text1"/>
          <w:sz w:val="22"/>
          <w:szCs w:val="22"/>
        </w:rPr>
        <w:t>heart</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disease</w:t>
      </w:r>
      <w:r w:rsidRPr="005A6D9F">
        <w:rPr>
          <w:rFonts w:ascii="Calibri" w:hAnsi="Calibri" w:cs="Calibri"/>
          <w:color w:val="000000" w:themeColor="text1"/>
          <w:sz w:val="22"/>
          <w:szCs w:val="22"/>
        </w:rPr>
        <w:t> in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w:t>
      </w:r>
    </w:p>
    <w:p w14:paraId="169BF597" w14:textId="74FD5391" w:rsidR="000D23A2" w:rsidRPr="005A6D9F" w:rsidRDefault="000D23A2">
      <w:pPr>
        <w:pBdr>
          <w:bottom w:val="single" w:sz="6" w:space="1" w:color="auto"/>
        </w:pBdr>
        <w:rPr>
          <w:rFonts w:ascii="Calibri" w:hAnsi="Calibri" w:cs="Calibri"/>
          <w:color w:val="000000" w:themeColor="text1"/>
          <w:sz w:val="22"/>
          <w:szCs w:val="22"/>
        </w:rPr>
      </w:pPr>
    </w:p>
    <w:p w14:paraId="761A10F5" w14:textId="77777777" w:rsidR="005A6D9F" w:rsidRPr="005A6D9F" w:rsidRDefault="005A6D9F" w:rsidP="005A6D9F">
      <w:pPr>
        <w:shd w:val="clear" w:color="auto" w:fill="FFFFFF"/>
        <w:spacing w:line="348" w:lineRule="atLeast"/>
        <w:rPr>
          <w:rFonts w:ascii="Calibri" w:hAnsi="Calibri" w:cs="Calibri"/>
          <w:color w:val="000000" w:themeColor="text1"/>
          <w:sz w:val="22"/>
          <w:szCs w:val="22"/>
        </w:rPr>
      </w:pPr>
      <w:hyperlink r:id="rId52" w:tooltip="Journal of the American Veterinary Medical Association." w:history="1">
        <w:r w:rsidRPr="005A6D9F">
          <w:rPr>
            <w:rStyle w:val="Hyperlink"/>
            <w:rFonts w:ascii="Calibri" w:hAnsi="Calibri" w:cs="Calibri"/>
            <w:color w:val="000000" w:themeColor="text1"/>
            <w:sz w:val="22"/>
            <w:szCs w:val="22"/>
          </w:rPr>
          <w:t>J Am Vet Med Assoc.</w:t>
        </w:r>
      </w:hyperlink>
      <w:r w:rsidRPr="005A6D9F">
        <w:rPr>
          <w:rFonts w:ascii="Calibri" w:hAnsi="Calibri" w:cs="Calibri"/>
          <w:color w:val="000000" w:themeColor="text1"/>
          <w:sz w:val="22"/>
          <w:szCs w:val="22"/>
        </w:rPr>
        <w:t> 2020 Apr 15;256(8):899-905. doi: 10.2460/javma.256.8.899.</w:t>
      </w:r>
    </w:p>
    <w:p w14:paraId="6109754C" w14:textId="77777777" w:rsidR="005A6D9F" w:rsidRPr="005A6D9F" w:rsidRDefault="005A6D9F" w:rsidP="005A6D9F">
      <w:pPr>
        <w:pStyle w:val="Heading1"/>
        <w:shd w:val="clear" w:color="auto" w:fill="FFFFFF"/>
        <w:spacing w:before="120" w:beforeAutospacing="0" w:after="120" w:afterAutospacing="0" w:line="300" w:lineRule="atLeast"/>
        <w:rPr>
          <w:rFonts w:ascii="Calibri" w:hAnsi="Calibri" w:cs="Calibri"/>
          <w:color w:val="000000" w:themeColor="text1"/>
          <w:sz w:val="22"/>
          <w:szCs w:val="22"/>
        </w:rPr>
      </w:pP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and </w:t>
      </w:r>
      <w:r w:rsidRPr="005A6D9F">
        <w:rPr>
          <w:rStyle w:val="highlight"/>
          <w:rFonts w:ascii="Calibri" w:hAnsi="Calibri" w:cs="Calibri"/>
          <w:color w:val="000000" w:themeColor="text1"/>
          <w:sz w:val="22"/>
          <w:szCs w:val="22"/>
        </w:rPr>
        <w:t>respiratory</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complications</w:t>
      </w:r>
      <w:r w:rsidRPr="005A6D9F">
        <w:rPr>
          <w:rFonts w:ascii="Calibri" w:hAnsi="Calibri" w:cs="Calibri"/>
          <w:color w:val="000000" w:themeColor="text1"/>
          <w:sz w:val="22"/>
          <w:szCs w:val="22"/>
        </w:rPr>
        <w:t> in </w:t>
      </w:r>
      <w:r w:rsidRPr="005A6D9F">
        <w:rPr>
          <w:rStyle w:val="highlight"/>
          <w:rFonts w:ascii="Calibri" w:hAnsi="Calibri" w:cs="Calibri"/>
          <w:color w:val="000000" w:themeColor="text1"/>
          <w:sz w:val="22"/>
          <w:szCs w:val="22"/>
        </w:rPr>
        <w:t>brachycephalic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undergoing</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airway</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surgery</w:t>
      </w:r>
      <w:r w:rsidRPr="005A6D9F">
        <w:rPr>
          <w:rFonts w:ascii="Calibri" w:hAnsi="Calibri" w:cs="Calibri"/>
          <w:color w:val="000000" w:themeColor="text1"/>
          <w:sz w:val="22"/>
          <w:szCs w:val="22"/>
        </w:rPr>
        <w:t> before and </w:t>
      </w:r>
      <w:r w:rsidRPr="005A6D9F">
        <w:rPr>
          <w:rStyle w:val="highlight"/>
          <w:rFonts w:ascii="Calibri" w:hAnsi="Calibri" w:cs="Calibri"/>
          <w:color w:val="000000" w:themeColor="text1"/>
          <w:sz w:val="22"/>
          <w:szCs w:val="22"/>
        </w:rPr>
        <w:t>after</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implementation</w:t>
      </w:r>
      <w:r w:rsidRPr="005A6D9F">
        <w:rPr>
          <w:rFonts w:ascii="Calibri" w:hAnsi="Calibri" w:cs="Calibri"/>
          <w:color w:val="000000" w:themeColor="text1"/>
          <w:sz w:val="22"/>
          <w:szCs w:val="22"/>
        </w:rPr>
        <w:t> of a </w:t>
      </w:r>
      <w:r w:rsidRPr="005A6D9F">
        <w:rPr>
          <w:rStyle w:val="highlight"/>
          <w:rFonts w:ascii="Calibri" w:hAnsi="Calibri" w:cs="Calibri"/>
          <w:color w:val="000000" w:themeColor="text1"/>
          <w:sz w:val="22"/>
          <w:szCs w:val="22"/>
        </w:rPr>
        <w:t>standardized</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perianesthetic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w:t>
      </w:r>
    </w:p>
    <w:p w14:paraId="42E5CCD6" w14:textId="77777777" w:rsidR="005A6D9F" w:rsidRPr="005A6D9F" w:rsidRDefault="005A6D9F" w:rsidP="005A6D9F">
      <w:pPr>
        <w:shd w:val="clear" w:color="auto" w:fill="FFFFFF"/>
        <w:rPr>
          <w:rFonts w:ascii="Calibri" w:hAnsi="Calibri" w:cs="Calibri"/>
          <w:color w:val="000000" w:themeColor="text1"/>
          <w:sz w:val="22"/>
          <w:szCs w:val="22"/>
        </w:rPr>
      </w:pPr>
      <w:hyperlink r:id="rId53" w:history="1">
        <w:r w:rsidRPr="005A6D9F">
          <w:rPr>
            <w:rStyle w:val="Hyperlink"/>
            <w:rFonts w:ascii="Calibri" w:hAnsi="Calibri" w:cs="Calibri"/>
            <w:color w:val="000000" w:themeColor="text1"/>
            <w:sz w:val="22"/>
            <w:szCs w:val="22"/>
          </w:rPr>
          <w:t>Costa RS</w:t>
        </w:r>
      </w:hyperlink>
      <w:r w:rsidRPr="005A6D9F">
        <w:rPr>
          <w:rFonts w:ascii="Calibri" w:hAnsi="Calibri" w:cs="Calibri"/>
          <w:color w:val="000000" w:themeColor="text1"/>
          <w:sz w:val="22"/>
          <w:szCs w:val="22"/>
        </w:rPr>
        <w:t>, </w:t>
      </w:r>
      <w:hyperlink r:id="rId54" w:history="1">
        <w:r w:rsidRPr="005A6D9F">
          <w:rPr>
            <w:rStyle w:val="Hyperlink"/>
            <w:rFonts w:ascii="Calibri" w:hAnsi="Calibri" w:cs="Calibri"/>
            <w:color w:val="000000" w:themeColor="text1"/>
            <w:sz w:val="22"/>
            <w:szCs w:val="22"/>
          </w:rPr>
          <w:t>Abelson AL</w:t>
        </w:r>
      </w:hyperlink>
      <w:r w:rsidRPr="005A6D9F">
        <w:rPr>
          <w:rFonts w:ascii="Calibri" w:hAnsi="Calibri" w:cs="Calibri"/>
          <w:color w:val="000000" w:themeColor="text1"/>
          <w:sz w:val="22"/>
          <w:szCs w:val="22"/>
        </w:rPr>
        <w:t>, </w:t>
      </w:r>
      <w:hyperlink r:id="rId55" w:history="1">
        <w:r w:rsidRPr="005A6D9F">
          <w:rPr>
            <w:rStyle w:val="Hyperlink"/>
            <w:rFonts w:ascii="Calibri" w:hAnsi="Calibri" w:cs="Calibri"/>
            <w:color w:val="000000" w:themeColor="text1"/>
            <w:sz w:val="22"/>
            <w:szCs w:val="22"/>
          </w:rPr>
          <w:t>Lindsey JC</w:t>
        </w:r>
      </w:hyperlink>
      <w:r w:rsidRPr="005A6D9F">
        <w:rPr>
          <w:rFonts w:ascii="Calibri" w:hAnsi="Calibri" w:cs="Calibri"/>
          <w:color w:val="000000" w:themeColor="text1"/>
          <w:sz w:val="22"/>
          <w:szCs w:val="22"/>
        </w:rPr>
        <w:t>, </w:t>
      </w:r>
      <w:hyperlink r:id="rId56" w:history="1">
        <w:r w:rsidRPr="005A6D9F">
          <w:rPr>
            <w:rStyle w:val="Hyperlink"/>
            <w:rFonts w:ascii="Calibri" w:hAnsi="Calibri" w:cs="Calibri"/>
            <w:color w:val="000000" w:themeColor="text1"/>
            <w:sz w:val="22"/>
            <w:szCs w:val="22"/>
          </w:rPr>
          <w:t>Wetmore LA</w:t>
        </w:r>
      </w:hyperlink>
      <w:r w:rsidRPr="005A6D9F">
        <w:rPr>
          <w:rFonts w:ascii="Calibri" w:hAnsi="Calibri" w:cs="Calibri"/>
          <w:color w:val="000000" w:themeColor="text1"/>
          <w:sz w:val="22"/>
          <w:szCs w:val="22"/>
        </w:rPr>
        <w:t>.</w:t>
      </w:r>
    </w:p>
    <w:p w14:paraId="04EFFA9F" w14:textId="77777777" w:rsidR="005A6D9F" w:rsidRPr="005A6D9F" w:rsidRDefault="005A6D9F" w:rsidP="005A6D9F">
      <w:pPr>
        <w:pStyle w:val="Heading3"/>
        <w:shd w:val="clear" w:color="auto" w:fill="FFFFFF"/>
        <w:spacing w:before="0" w:beforeAutospacing="0" w:after="0" w:afterAutospacing="0"/>
        <w:rPr>
          <w:rFonts w:ascii="Calibri" w:hAnsi="Calibri" w:cs="Calibri"/>
          <w:color w:val="000000" w:themeColor="text1"/>
          <w:sz w:val="22"/>
          <w:szCs w:val="22"/>
        </w:rPr>
      </w:pPr>
      <w:r w:rsidRPr="005A6D9F">
        <w:rPr>
          <w:rFonts w:ascii="Calibri" w:hAnsi="Calibri" w:cs="Calibri"/>
          <w:color w:val="000000" w:themeColor="text1"/>
          <w:sz w:val="22"/>
          <w:szCs w:val="22"/>
        </w:rPr>
        <w:t>Abstract</w:t>
      </w:r>
    </w:p>
    <w:p w14:paraId="056E672E"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OBJECTIVE:</w:t>
      </w:r>
    </w:p>
    <w:p w14:paraId="7778F2C6"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To determine whether </w:t>
      </w:r>
      <w:r w:rsidRPr="005A6D9F">
        <w:rPr>
          <w:rStyle w:val="highlight"/>
          <w:rFonts w:ascii="Calibri" w:hAnsi="Calibri" w:cs="Calibri"/>
          <w:color w:val="000000" w:themeColor="text1"/>
          <w:sz w:val="22"/>
          <w:szCs w:val="22"/>
        </w:rPr>
        <w:t>implementation</w:t>
      </w:r>
      <w:r w:rsidRPr="005A6D9F">
        <w:rPr>
          <w:rFonts w:ascii="Calibri" w:hAnsi="Calibri" w:cs="Calibri"/>
          <w:color w:val="000000" w:themeColor="text1"/>
          <w:sz w:val="22"/>
          <w:szCs w:val="22"/>
        </w:rPr>
        <w:t> of a </w:t>
      </w:r>
      <w:r w:rsidRPr="005A6D9F">
        <w:rPr>
          <w:rStyle w:val="highlight"/>
          <w:rFonts w:ascii="Calibri" w:hAnsi="Calibri" w:cs="Calibri"/>
          <w:color w:val="000000" w:themeColor="text1"/>
          <w:sz w:val="22"/>
          <w:szCs w:val="22"/>
        </w:rPr>
        <w:t>standardized</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perianesthetic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 was associated with reduced incidence of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pneumonia, and </w:t>
      </w:r>
      <w:r w:rsidRPr="005A6D9F">
        <w:rPr>
          <w:rStyle w:val="highlight"/>
          <w:rFonts w:ascii="Calibri" w:hAnsi="Calibri" w:cs="Calibri"/>
          <w:color w:val="000000" w:themeColor="text1"/>
          <w:sz w:val="22"/>
          <w:szCs w:val="22"/>
        </w:rPr>
        <w:t>respiratory</w:t>
      </w:r>
      <w:r w:rsidRPr="005A6D9F">
        <w:rPr>
          <w:rFonts w:ascii="Calibri" w:hAnsi="Calibri" w:cs="Calibri"/>
          <w:color w:val="000000" w:themeColor="text1"/>
          <w:sz w:val="22"/>
          <w:szCs w:val="22"/>
        </w:rPr>
        <w:t> distress in </w:t>
      </w:r>
      <w:r w:rsidRPr="005A6D9F">
        <w:rPr>
          <w:rStyle w:val="highlight"/>
          <w:rFonts w:ascii="Calibri" w:hAnsi="Calibri" w:cs="Calibri"/>
          <w:color w:val="000000" w:themeColor="text1"/>
          <w:sz w:val="22"/>
          <w:szCs w:val="22"/>
        </w:rPr>
        <w:t>brachycephalic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undergoing</w:t>
      </w:r>
      <w:r w:rsidRPr="005A6D9F">
        <w:rPr>
          <w:rFonts w:ascii="Calibri" w:hAnsi="Calibri" w:cs="Calibri"/>
          <w:color w:val="000000" w:themeColor="text1"/>
          <w:sz w:val="22"/>
          <w:szCs w:val="22"/>
        </w:rPr>
        <w:t> general anesthesia for </w:t>
      </w:r>
      <w:r w:rsidRPr="005A6D9F">
        <w:rPr>
          <w:rStyle w:val="highlight"/>
          <w:rFonts w:ascii="Calibri" w:hAnsi="Calibri" w:cs="Calibri"/>
          <w:color w:val="000000" w:themeColor="text1"/>
          <w:sz w:val="22"/>
          <w:szCs w:val="22"/>
        </w:rPr>
        <w:t>airway</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surgery</w:t>
      </w:r>
      <w:r w:rsidRPr="005A6D9F">
        <w:rPr>
          <w:rFonts w:ascii="Calibri" w:hAnsi="Calibri" w:cs="Calibri"/>
          <w:color w:val="000000" w:themeColor="text1"/>
          <w:sz w:val="22"/>
          <w:szCs w:val="22"/>
        </w:rPr>
        <w:t>.</w:t>
      </w:r>
    </w:p>
    <w:p w14:paraId="7606966E"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lastRenderedPageBreak/>
        <w:t>ANIMALS:</w:t>
      </w:r>
    </w:p>
    <w:p w14:paraId="75C5E794"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84 client-owned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w:t>
      </w:r>
    </w:p>
    <w:p w14:paraId="44520F14"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PROCEDURES:</w:t>
      </w:r>
    </w:p>
    <w:p w14:paraId="1B1944EA"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A </w:t>
      </w:r>
      <w:r w:rsidRPr="005A6D9F">
        <w:rPr>
          <w:rStyle w:val="highlight"/>
          <w:rFonts w:ascii="Calibri" w:hAnsi="Calibri" w:cs="Calibri"/>
          <w:color w:val="000000" w:themeColor="text1"/>
          <w:sz w:val="22"/>
          <w:szCs w:val="22"/>
        </w:rPr>
        <w:t>perianesthetic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 that included preoperative administration of metoclopramide and famotidine, restrictive use of opioids, and recovery of patients in the intensive care unit was fully implemented for </w:t>
      </w:r>
      <w:r w:rsidRPr="005A6D9F">
        <w:rPr>
          <w:rStyle w:val="highlight"/>
          <w:rFonts w:ascii="Calibri" w:hAnsi="Calibri" w:cs="Calibri"/>
          <w:color w:val="000000" w:themeColor="text1"/>
          <w:sz w:val="22"/>
          <w:szCs w:val="22"/>
        </w:rPr>
        <w:t>brachycephalic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in July 2014. Medical records of </w:t>
      </w:r>
      <w:r w:rsidRPr="005A6D9F">
        <w:rPr>
          <w:rStyle w:val="highlight"/>
          <w:rFonts w:ascii="Calibri" w:hAnsi="Calibri" w:cs="Calibri"/>
          <w:color w:val="000000" w:themeColor="text1"/>
          <w:sz w:val="22"/>
          <w:szCs w:val="22"/>
        </w:rPr>
        <w:t>brachycephalic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(specifically Boston Terriers, French Bulldogs, English Bulldogs, and Pugs) </w:t>
      </w:r>
      <w:r w:rsidRPr="005A6D9F">
        <w:rPr>
          <w:rStyle w:val="highlight"/>
          <w:rFonts w:ascii="Calibri" w:hAnsi="Calibri" w:cs="Calibri"/>
          <w:color w:val="000000" w:themeColor="text1"/>
          <w:sz w:val="22"/>
          <w:szCs w:val="22"/>
        </w:rPr>
        <w:t>undergoing</w:t>
      </w:r>
      <w:r w:rsidRPr="005A6D9F">
        <w:rPr>
          <w:rFonts w:ascii="Calibri" w:hAnsi="Calibri" w:cs="Calibri"/>
          <w:color w:val="000000" w:themeColor="text1"/>
          <w:sz w:val="22"/>
          <w:szCs w:val="22"/>
        </w:rPr>
        <w:t> anesthesia for </w:t>
      </w:r>
      <w:r w:rsidRPr="005A6D9F">
        <w:rPr>
          <w:rStyle w:val="highlight"/>
          <w:rFonts w:ascii="Calibri" w:hAnsi="Calibri" w:cs="Calibri"/>
          <w:color w:val="000000" w:themeColor="text1"/>
          <w:sz w:val="22"/>
          <w:szCs w:val="22"/>
        </w:rPr>
        <w:t>airway</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surgery</w:t>
      </w:r>
      <w:r w:rsidRPr="005A6D9F">
        <w:rPr>
          <w:rFonts w:ascii="Calibri" w:hAnsi="Calibri" w:cs="Calibri"/>
          <w:color w:val="000000" w:themeColor="text1"/>
          <w:sz w:val="22"/>
          <w:szCs w:val="22"/>
        </w:rPr>
        <w:t> before (group A) and </w:t>
      </w:r>
      <w:r w:rsidRPr="005A6D9F">
        <w:rPr>
          <w:rStyle w:val="highlight"/>
          <w:rFonts w:ascii="Calibri" w:hAnsi="Calibri" w:cs="Calibri"/>
          <w:color w:val="000000" w:themeColor="text1"/>
          <w:sz w:val="22"/>
          <w:szCs w:val="22"/>
        </w:rPr>
        <w:t>after</w:t>
      </w:r>
      <w:r w:rsidRPr="005A6D9F">
        <w:rPr>
          <w:rFonts w:ascii="Calibri" w:hAnsi="Calibri" w:cs="Calibri"/>
          <w:color w:val="000000" w:themeColor="text1"/>
          <w:sz w:val="22"/>
          <w:szCs w:val="22"/>
        </w:rPr>
        <w:t> (group B)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implementation</w:t>
      </w:r>
      <w:r w:rsidRPr="005A6D9F">
        <w:rPr>
          <w:rFonts w:ascii="Calibri" w:hAnsi="Calibri" w:cs="Calibri"/>
          <w:color w:val="000000" w:themeColor="text1"/>
          <w:sz w:val="22"/>
          <w:szCs w:val="22"/>
        </w:rPr>
        <w:t> were reviewed. Patient characteristics, administration of medications described in the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 surgical procedures performed, anesthesia duration, recovery location, and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development of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pneumonia, and </w:t>
      </w:r>
      <w:r w:rsidRPr="005A6D9F">
        <w:rPr>
          <w:rStyle w:val="highlight"/>
          <w:rFonts w:ascii="Calibri" w:hAnsi="Calibri" w:cs="Calibri"/>
          <w:color w:val="000000" w:themeColor="text1"/>
          <w:sz w:val="22"/>
          <w:szCs w:val="22"/>
        </w:rPr>
        <w:t>respiratory</w:t>
      </w:r>
      <w:r w:rsidRPr="005A6D9F">
        <w:rPr>
          <w:rFonts w:ascii="Calibri" w:hAnsi="Calibri" w:cs="Calibri"/>
          <w:color w:val="000000" w:themeColor="text1"/>
          <w:sz w:val="22"/>
          <w:szCs w:val="22"/>
        </w:rPr>
        <w:t> distress were recorded. Data were compared between groups.</w:t>
      </w:r>
    </w:p>
    <w:p w14:paraId="337585E6"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RESULTS:</w:t>
      </w:r>
    </w:p>
    <w:p w14:paraId="3E9E8792"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The proportion of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in group B (4/44 [9%]) was significantly lower than that in group A (14/40 [35%]). No intergroup differences in patient characteristics (including history of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procedures performed, or anesthesia duration were found. Rates of development of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pneumonia and </w:t>
      </w:r>
      <w:r w:rsidRPr="005A6D9F">
        <w:rPr>
          <w:rStyle w:val="highlight"/>
          <w:rFonts w:ascii="Calibri" w:hAnsi="Calibri" w:cs="Calibri"/>
          <w:color w:val="000000" w:themeColor="text1"/>
          <w:sz w:val="22"/>
          <w:szCs w:val="22"/>
        </w:rPr>
        <w:t>respiratory</w:t>
      </w:r>
      <w:r w:rsidRPr="005A6D9F">
        <w:rPr>
          <w:rFonts w:ascii="Calibri" w:hAnsi="Calibri" w:cs="Calibri"/>
          <w:color w:val="000000" w:themeColor="text1"/>
          <w:sz w:val="22"/>
          <w:szCs w:val="22"/>
        </w:rPr>
        <w:t> distress did not differ between groups. A history of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was associated with development of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w:t>
      </w:r>
    </w:p>
    <w:p w14:paraId="62C3BCA9"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CONCLUSIONS AND CLINICAL RELEVANCE:</w:t>
      </w:r>
    </w:p>
    <w:p w14:paraId="0A298A52"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Style w:val="highlight"/>
          <w:rFonts w:ascii="Calibri" w:hAnsi="Calibri" w:cs="Calibri"/>
          <w:color w:val="000000" w:themeColor="text1"/>
          <w:sz w:val="22"/>
          <w:szCs w:val="22"/>
        </w:rPr>
        <w:t>Implementation</w:t>
      </w:r>
      <w:r w:rsidRPr="005A6D9F">
        <w:rPr>
          <w:rFonts w:ascii="Calibri" w:hAnsi="Calibri" w:cs="Calibri"/>
          <w:color w:val="000000" w:themeColor="text1"/>
          <w:sz w:val="22"/>
          <w:szCs w:val="22"/>
        </w:rPr>
        <w:t> of the described </w:t>
      </w:r>
      <w:r w:rsidRPr="005A6D9F">
        <w:rPr>
          <w:rStyle w:val="highlight"/>
          <w:rFonts w:ascii="Calibri" w:hAnsi="Calibri" w:cs="Calibri"/>
          <w:color w:val="000000" w:themeColor="text1"/>
          <w:sz w:val="22"/>
          <w:szCs w:val="22"/>
        </w:rPr>
        <w:t>protocol</w:t>
      </w:r>
      <w:r w:rsidRPr="005A6D9F">
        <w:rPr>
          <w:rFonts w:ascii="Calibri" w:hAnsi="Calibri" w:cs="Calibri"/>
          <w:color w:val="000000" w:themeColor="text1"/>
          <w:sz w:val="22"/>
          <w:szCs w:val="22"/>
        </w:rPr>
        <w:t> was associated with decreased incidence of </w:t>
      </w:r>
      <w:r w:rsidRPr="005A6D9F">
        <w:rPr>
          <w:rStyle w:val="highlight"/>
          <w:rFonts w:ascii="Calibri" w:hAnsi="Calibri" w:cs="Calibri"/>
          <w:color w:val="000000" w:themeColor="text1"/>
          <w:sz w:val="22"/>
          <w:szCs w:val="22"/>
        </w:rPr>
        <w:t>postoperative</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regurgitation</w:t>
      </w:r>
      <w:r w:rsidRPr="005A6D9F">
        <w:rPr>
          <w:rFonts w:ascii="Calibri" w:hAnsi="Calibri" w:cs="Calibri"/>
          <w:color w:val="000000" w:themeColor="text1"/>
          <w:sz w:val="22"/>
          <w:szCs w:val="22"/>
        </w:rPr>
        <w:t> in </w:t>
      </w:r>
      <w:r w:rsidRPr="005A6D9F">
        <w:rPr>
          <w:rStyle w:val="highlight"/>
          <w:rFonts w:ascii="Calibri" w:hAnsi="Calibri" w:cs="Calibri"/>
          <w:color w:val="000000" w:themeColor="text1"/>
          <w:sz w:val="22"/>
          <w:szCs w:val="22"/>
        </w:rPr>
        <w:t>brachycephalic</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undergoing</w:t>
      </w:r>
      <w:r w:rsidRPr="005A6D9F">
        <w:rPr>
          <w:rFonts w:ascii="Calibri" w:hAnsi="Calibri" w:cs="Calibri"/>
          <w:color w:val="000000" w:themeColor="text1"/>
          <w:sz w:val="22"/>
          <w:szCs w:val="22"/>
        </w:rPr>
        <w:t> anesthesia. Prospective studies are warranted to elucidate specific causes of this finding.</w:t>
      </w:r>
    </w:p>
    <w:p w14:paraId="3CE74100" w14:textId="76AC26FB" w:rsidR="005A6D9F" w:rsidRPr="005A6D9F" w:rsidRDefault="005A6D9F">
      <w:pPr>
        <w:pBdr>
          <w:bottom w:val="single" w:sz="6" w:space="1" w:color="auto"/>
        </w:pBdr>
        <w:rPr>
          <w:rFonts w:ascii="Calibri" w:hAnsi="Calibri" w:cs="Calibri"/>
          <w:color w:val="000000" w:themeColor="text1"/>
          <w:sz w:val="22"/>
          <w:szCs w:val="22"/>
        </w:rPr>
      </w:pPr>
    </w:p>
    <w:p w14:paraId="01026869" w14:textId="03761FED" w:rsidR="005A6D9F" w:rsidRPr="005A6D9F" w:rsidRDefault="005A6D9F">
      <w:pPr>
        <w:rPr>
          <w:rFonts w:ascii="Calibri" w:hAnsi="Calibri" w:cs="Calibri"/>
          <w:color w:val="000000" w:themeColor="text1"/>
          <w:sz w:val="22"/>
          <w:szCs w:val="22"/>
        </w:rPr>
      </w:pPr>
    </w:p>
    <w:p w14:paraId="0CDD477E" w14:textId="77777777" w:rsidR="005A6D9F" w:rsidRPr="005A6D9F" w:rsidRDefault="005A6D9F" w:rsidP="005A6D9F">
      <w:pPr>
        <w:shd w:val="clear" w:color="auto" w:fill="FFFFFF"/>
        <w:spacing w:line="348" w:lineRule="atLeast"/>
        <w:rPr>
          <w:rFonts w:ascii="Calibri" w:hAnsi="Calibri" w:cs="Calibri"/>
          <w:color w:val="000000" w:themeColor="text1"/>
          <w:sz w:val="22"/>
          <w:szCs w:val="22"/>
        </w:rPr>
      </w:pPr>
      <w:hyperlink r:id="rId57" w:tooltip="Journal of the American Veterinary Medical Association." w:history="1">
        <w:r w:rsidRPr="005A6D9F">
          <w:rPr>
            <w:rStyle w:val="Hyperlink"/>
            <w:rFonts w:ascii="Calibri" w:hAnsi="Calibri" w:cs="Calibri"/>
            <w:color w:val="000000" w:themeColor="text1"/>
            <w:sz w:val="22"/>
            <w:szCs w:val="22"/>
          </w:rPr>
          <w:t>J Am Vet Med Assoc.</w:t>
        </w:r>
      </w:hyperlink>
      <w:r w:rsidRPr="005A6D9F">
        <w:rPr>
          <w:rFonts w:ascii="Calibri" w:hAnsi="Calibri" w:cs="Calibri"/>
          <w:color w:val="000000" w:themeColor="text1"/>
          <w:sz w:val="22"/>
          <w:szCs w:val="22"/>
        </w:rPr>
        <w:t> 2020 Apr 15;256(8):914-920. doi: 10.2460/javma.256.8.914.</w:t>
      </w:r>
    </w:p>
    <w:p w14:paraId="200C6C77" w14:textId="77777777" w:rsidR="005A6D9F" w:rsidRPr="005A6D9F" w:rsidRDefault="005A6D9F" w:rsidP="005A6D9F">
      <w:pPr>
        <w:pStyle w:val="Heading1"/>
        <w:shd w:val="clear" w:color="auto" w:fill="FFFFFF"/>
        <w:spacing w:before="120" w:beforeAutospacing="0" w:after="120" w:afterAutospacing="0" w:line="300" w:lineRule="atLeast"/>
        <w:rPr>
          <w:rFonts w:ascii="Calibri" w:hAnsi="Calibri" w:cs="Calibri"/>
          <w:color w:val="000000" w:themeColor="text1"/>
          <w:sz w:val="22"/>
          <w:szCs w:val="22"/>
        </w:rPr>
      </w:pPr>
      <w:r w:rsidRPr="005A6D9F">
        <w:rPr>
          <w:rStyle w:val="highlight"/>
          <w:rFonts w:ascii="Calibri" w:hAnsi="Calibri" w:cs="Calibri"/>
          <w:color w:val="000000" w:themeColor="text1"/>
          <w:sz w:val="22"/>
          <w:szCs w:val="22"/>
        </w:rPr>
        <w:t>Characteristics</w:t>
      </w:r>
      <w:r w:rsidRPr="005A6D9F">
        <w:rPr>
          <w:rFonts w:ascii="Calibri" w:hAnsi="Calibri" w:cs="Calibri"/>
          <w:color w:val="000000" w:themeColor="text1"/>
          <w:sz w:val="22"/>
          <w:szCs w:val="22"/>
        </w:rPr>
        <w:t> and </w:t>
      </w:r>
      <w:r w:rsidRPr="005A6D9F">
        <w:rPr>
          <w:rStyle w:val="highlight"/>
          <w:rFonts w:ascii="Calibri" w:hAnsi="Calibri" w:cs="Calibri"/>
          <w:color w:val="000000" w:themeColor="text1"/>
          <w:sz w:val="22"/>
          <w:szCs w:val="22"/>
        </w:rPr>
        <w:t>long-term</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outcomes</w:t>
      </w:r>
      <w:r w:rsidRPr="005A6D9F">
        <w:rPr>
          <w:rFonts w:ascii="Calibri" w:hAnsi="Calibri" w:cs="Calibri"/>
          <w:color w:val="000000" w:themeColor="text1"/>
          <w:sz w:val="22"/>
          <w:szCs w:val="22"/>
        </w:rPr>
        <w:t> of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w:t>
      </w:r>
      <w:r w:rsidRPr="005A6D9F">
        <w:rPr>
          <w:rStyle w:val="highlight"/>
          <w:rFonts w:ascii="Calibri" w:hAnsi="Calibri" w:cs="Calibri"/>
          <w:color w:val="000000" w:themeColor="text1"/>
          <w:sz w:val="22"/>
          <w:szCs w:val="22"/>
        </w:rPr>
        <w:t>gastroesophageal</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intussusception</w:t>
      </w:r>
      <w:r w:rsidRPr="005A6D9F">
        <w:rPr>
          <w:rFonts w:ascii="Calibri" w:hAnsi="Calibri" w:cs="Calibri"/>
          <w:color w:val="000000" w:themeColor="text1"/>
          <w:sz w:val="22"/>
          <w:szCs w:val="22"/>
        </w:rPr>
        <w:t>.</w:t>
      </w:r>
    </w:p>
    <w:p w14:paraId="17A9D3D8" w14:textId="77777777" w:rsidR="005A6D9F" w:rsidRPr="005A6D9F" w:rsidRDefault="005A6D9F" w:rsidP="005A6D9F">
      <w:pPr>
        <w:shd w:val="clear" w:color="auto" w:fill="FFFFFF"/>
        <w:rPr>
          <w:rFonts w:ascii="Calibri" w:hAnsi="Calibri" w:cs="Calibri"/>
          <w:color w:val="000000" w:themeColor="text1"/>
          <w:sz w:val="22"/>
          <w:szCs w:val="22"/>
        </w:rPr>
      </w:pPr>
      <w:hyperlink r:id="rId58" w:history="1">
        <w:r w:rsidRPr="005A6D9F">
          <w:rPr>
            <w:rStyle w:val="Hyperlink"/>
            <w:rFonts w:ascii="Calibri" w:hAnsi="Calibri" w:cs="Calibri"/>
            <w:color w:val="000000" w:themeColor="text1"/>
            <w:sz w:val="22"/>
            <w:szCs w:val="22"/>
          </w:rPr>
          <w:t>Grimes JA</w:t>
        </w:r>
      </w:hyperlink>
      <w:r w:rsidRPr="005A6D9F">
        <w:rPr>
          <w:rFonts w:ascii="Calibri" w:hAnsi="Calibri" w:cs="Calibri"/>
          <w:color w:val="000000" w:themeColor="text1"/>
          <w:sz w:val="22"/>
          <w:szCs w:val="22"/>
        </w:rPr>
        <w:t>, </w:t>
      </w:r>
      <w:hyperlink r:id="rId59" w:history="1">
        <w:r w:rsidRPr="005A6D9F">
          <w:rPr>
            <w:rStyle w:val="Hyperlink"/>
            <w:rFonts w:ascii="Calibri" w:hAnsi="Calibri" w:cs="Calibri"/>
            <w:color w:val="000000" w:themeColor="text1"/>
            <w:sz w:val="22"/>
            <w:szCs w:val="22"/>
          </w:rPr>
          <w:t>Fleming JT</w:t>
        </w:r>
      </w:hyperlink>
      <w:r w:rsidRPr="005A6D9F">
        <w:rPr>
          <w:rFonts w:ascii="Calibri" w:hAnsi="Calibri" w:cs="Calibri"/>
          <w:color w:val="000000" w:themeColor="text1"/>
          <w:sz w:val="22"/>
          <w:szCs w:val="22"/>
        </w:rPr>
        <w:t>, </w:t>
      </w:r>
      <w:hyperlink r:id="rId60" w:history="1">
        <w:r w:rsidRPr="005A6D9F">
          <w:rPr>
            <w:rStyle w:val="Hyperlink"/>
            <w:rFonts w:ascii="Calibri" w:hAnsi="Calibri" w:cs="Calibri"/>
            <w:color w:val="000000" w:themeColor="text1"/>
            <w:sz w:val="22"/>
            <w:szCs w:val="22"/>
          </w:rPr>
          <w:t>Singh A</w:t>
        </w:r>
      </w:hyperlink>
      <w:r w:rsidRPr="005A6D9F">
        <w:rPr>
          <w:rFonts w:ascii="Calibri" w:hAnsi="Calibri" w:cs="Calibri"/>
          <w:color w:val="000000" w:themeColor="text1"/>
          <w:sz w:val="22"/>
          <w:szCs w:val="22"/>
        </w:rPr>
        <w:t>, </w:t>
      </w:r>
      <w:hyperlink r:id="rId61" w:history="1">
        <w:r w:rsidRPr="005A6D9F">
          <w:rPr>
            <w:rStyle w:val="Hyperlink"/>
            <w:rFonts w:ascii="Calibri" w:hAnsi="Calibri" w:cs="Calibri"/>
            <w:color w:val="000000" w:themeColor="text1"/>
            <w:sz w:val="22"/>
            <w:szCs w:val="22"/>
          </w:rPr>
          <w:t>Campbell BG</w:t>
        </w:r>
      </w:hyperlink>
      <w:r w:rsidRPr="005A6D9F">
        <w:rPr>
          <w:rFonts w:ascii="Calibri" w:hAnsi="Calibri" w:cs="Calibri"/>
          <w:color w:val="000000" w:themeColor="text1"/>
          <w:sz w:val="22"/>
          <w:szCs w:val="22"/>
        </w:rPr>
        <w:t>, </w:t>
      </w:r>
      <w:hyperlink r:id="rId62" w:history="1">
        <w:r w:rsidRPr="005A6D9F">
          <w:rPr>
            <w:rStyle w:val="Hyperlink"/>
            <w:rFonts w:ascii="Calibri" w:hAnsi="Calibri" w:cs="Calibri"/>
            <w:color w:val="000000" w:themeColor="text1"/>
            <w:sz w:val="22"/>
            <w:szCs w:val="22"/>
          </w:rPr>
          <w:t>Hedlund CS</w:t>
        </w:r>
      </w:hyperlink>
      <w:r w:rsidRPr="005A6D9F">
        <w:rPr>
          <w:rFonts w:ascii="Calibri" w:hAnsi="Calibri" w:cs="Calibri"/>
          <w:color w:val="000000" w:themeColor="text1"/>
          <w:sz w:val="22"/>
          <w:szCs w:val="22"/>
        </w:rPr>
        <w:t>, </w:t>
      </w:r>
      <w:hyperlink r:id="rId63" w:history="1">
        <w:r w:rsidRPr="005A6D9F">
          <w:rPr>
            <w:rStyle w:val="Hyperlink"/>
            <w:rFonts w:ascii="Calibri" w:hAnsi="Calibri" w:cs="Calibri"/>
            <w:color w:val="000000" w:themeColor="text1"/>
            <w:sz w:val="22"/>
            <w:szCs w:val="22"/>
          </w:rPr>
          <w:t>Tobias KM</w:t>
        </w:r>
      </w:hyperlink>
      <w:r w:rsidRPr="005A6D9F">
        <w:rPr>
          <w:rFonts w:ascii="Calibri" w:hAnsi="Calibri" w:cs="Calibri"/>
          <w:color w:val="000000" w:themeColor="text1"/>
          <w:sz w:val="22"/>
          <w:szCs w:val="22"/>
        </w:rPr>
        <w:t>, </w:t>
      </w:r>
      <w:hyperlink r:id="rId64" w:history="1">
        <w:r w:rsidRPr="005A6D9F">
          <w:rPr>
            <w:rStyle w:val="Hyperlink"/>
            <w:rFonts w:ascii="Calibri" w:hAnsi="Calibri" w:cs="Calibri"/>
            <w:color w:val="000000" w:themeColor="text1"/>
            <w:sz w:val="22"/>
            <w:szCs w:val="22"/>
          </w:rPr>
          <w:t>Arai S</w:t>
        </w:r>
      </w:hyperlink>
      <w:r w:rsidRPr="005A6D9F">
        <w:rPr>
          <w:rFonts w:ascii="Calibri" w:hAnsi="Calibri" w:cs="Calibri"/>
          <w:color w:val="000000" w:themeColor="text1"/>
          <w:sz w:val="22"/>
          <w:szCs w:val="22"/>
        </w:rPr>
        <w:t>, </w:t>
      </w:r>
      <w:hyperlink r:id="rId65" w:history="1">
        <w:r w:rsidRPr="005A6D9F">
          <w:rPr>
            <w:rStyle w:val="Hyperlink"/>
            <w:rFonts w:ascii="Calibri" w:hAnsi="Calibri" w:cs="Calibri"/>
            <w:color w:val="000000" w:themeColor="text1"/>
            <w:sz w:val="22"/>
            <w:szCs w:val="22"/>
          </w:rPr>
          <w:t>Ham KM</w:t>
        </w:r>
      </w:hyperlink>
      <w:r w:rsidRPr="005A6D9F">
        <w:rPr>
          <w:rFonts w:ascii="Calibri" w:hAnsi="Calibri" w:cs="Calibri"/>
          <w:color w:val="000000" w:themeColor="text1"/>
          <w:sz w:val="22"/>
          <w:szCs w:val="22"/>
        </w:rPr>
        <w:t>, </w:t>
      </w:r>
      <w:hyperlink r:id="rId66" w:history="1">
        <w:r w:rsidRPr="005A6D9F">
          <w:rPr>
            <w:rStyle w:val="Hyperlink"/>
            <w:rFonts w:ascii="Calibri" w:hAnsi="Calibri" w:cs="Calibri"/>
            <w:color w:val="000000" w:themeColor="text1"/>
            <w:sz w:val="22"/>
            <w:szCs w:val="22"/>
          </w:rPr>
          <w:t>Repellin R</w:t>
        </w:r>
      </w:hyperlink>
      <w:r w:rsidRPr="005A6D9F">
        <w:rPr>
          <w:rFonts w:ascii="Calibri" w:hAnsi="Calibri" w:cs="Calibri"/>
          <w:color w:val="000000" w:themeColor="text1"/>
          <w:sz w:val="22"/>
          <w:szCs w:val="22"/>
        </w:rPr>
        <w:t>, </w:t>
      </w:r>
      <w:hyperlink r:id="rId67" w:history="1">
        <w:r w:rsidRPr="005A6D9F">
          <w:rPr>
            <w:rStyle w:val="Hyperlink"/>
            <w:rFonts w:ascii="Calibri" w:hAnsi="Calibri" w:cs="Calibri"/>
            <w:color w:val="000000" w:themeColor="text1"/>
            <w:sz w:val="22"/>
            <w:szCs w:val="22"/>
          </w:rPr>
          <w:t>Schroeder R</w:t>
        </w:r>
      </w:hyperlink>
      <w:r w:rsidRPr="005A6D9F">
        <w:rPr>
          <w:rFonts w:ascii="Calibri" w:hAnsi="Calibri" w:cs="Calibri"/>
          <w:color w:val="000000" w:themeColor="text1"/>
          <w:sz w:val="22"/>
          <w:szCs w:val="22"/>
        </w:rPr>
        <w:t>, </w:t>
      </w:r>
      <w:hyperlink r:id="rId68" w:history="1">
        <w:r w:rsidRPr="005A6D9F">
          <w:rPr>
            <w:rStyle w:val="Hyperlink"/>
            <w:rFonts w:ascii="Calibri" w:hAnsi="Calibri" w:cs="Calibri"/>
            <w:color w:val="000000" w:themeColor="text1"/>
            <w:sz w:val="22"/>
            <w:szCs w:val="22"/>
          </w:rPr>
          <w:t>Sumner JP</w:t>
        </w:r>
      </w:hyperlink>
      <w:r w:rsidRPr="005A6D9F">
        <w:rPr>
          <w:rFonts w:ascii="Calibri" w:hAnsi="Calibri" w:cs="Calibri"/>
          <w:color w:val="000000" w:themeColor="text1"/>
          <w:sz w:val="22"/>
          <w:szCs w:val="22"/>
        </w:rPr>
        <w:t>, </w:t>
      </w:r>
      <w:hyperlink r:id="rId69" w:history="1">
        <w:r w:rsidRPr="005A6D9F">
          <w:rPr>
            <w:rStyle w:val="Hyperlink"/>
            <w:rFonts w:ascii="Calibri" w:hAnsi="Calibri" w:cs="Calibri"/>
            <w:color w:val="000000" w:themeColor="text1"/>
            <w:sz w:val="22"/>
            <w:szCs w:val="22"/>
          </w:rPr>
          <w:t>Abrams B</w:t>
        </w:r>
      </w:hyperlink>
      <w:r w:rsidRPr="005A6D9F">
        <w:rPr>
          <w:rFonts w:ascii="Calibri" w:hAnsi="Calibri" w:cs="Calibri"/>
          <w:color w:val="000000" w:themeColor="text1"/>
          <w:sz w:val="22"/>
          <w:szCs w:val="22"/>
        </w:rPr>
        <w:t>, </w:t>
      </w:r>
      <w:hyperlink r:id="rId70" w:history="1">
        <w:r w:rsidRPr="005A6D9F">
          <w:rPr>
            <w:rStyle w:val="Hyperlink"/>
            <w:rFonts w:ascii="Calibri" w:hAnsi="Calibri" w:cs="Calibri"/>
            <w:color w:val="000000" w:themeColor="text1"/>
            <w:sz w:val="22"/>
            <w:szCs w:val="22"/>
          </w:rPr>
          <w:t>Boudreau B</w:t>
        </w:r>
      </w:hyperlink>
      <w:r w:rsidRPr="005A6D9F">
        <w:rPr>
          <w:rFonts w:ascii="Calibri" w:hAnsi="Calibri" w:cs="Calibri"/>
          <w:color w:val="000000" w:themeColor="text1"/>
          <w:sz w:val="22"/>
          <w:szCs w:val="22"/>
        </w:rPr>
        <w:t>, </w:t>
      </w:r>
      <w:hyperlink r:id="rId71" w:history="1">
        <w:r w:rsidRPr="005A6D9F">
          <w:rPr>
            <w:rStyle w:val="Hyperlink"/>
            <w:rFonts w:ascii="Calibri" w:hAnsi="Calibri" w:cs="Calibri"/>
            <w:color w:val="000000" w:themeColor="text1"/>
            <w:sz w:val="22"/>
            <w:szCs w:val="22"/>
          </w:rPr>
          <w:t>Lewis B</w:t>
        </w:r>
      </w:hyperlink>
      <w:r w:rsidRPr="005A6D9F">
        <w:rPr>
          <w:rFonts w:ascii="Calibri" w:hAnsi="Calibri" w:cs="Calibri"/>
          <w:color w:val="000000" w:themeColor="text1"/>
          <w:sz w:val="22"/>
          <w:szCs w:val="22"/>
        </w:rPr>
        <w:t>, </w:t>
      </w:r>
      <w:hyperlink r:id="rId72" w:history="1">
        <w:r w:rsidRPr="005A6D9F">
          <w:rPr>
            <w:rStyle w:val="Hyperlink"/>
            <w:rFonts w:ascii="Calibri" w:hAnsi="Calibri" w:cs="Calibri"/>
            <w:color w:val="000000" w:themeColor="text1"/>
            <w:sz w:val="22"/>
            <w:szCs w:val="22"/>
          </w:rPr>
          <w:t>Wallace ML</w:t>
        </w:r>
      </w:hyperlink>
      <w:r w:rsidRPr="005A6D9F">
        <w:rPr>
          <w:rFonts w:ascii="Calibri" w:hAnsi="Calibri" w:cs="Calibri"/>
          <w:color w:val="000000" w:themeColor="text1"/>
          <w:sz w:val="22"/>
          <w:szCs w:val="22"/>
        </w:rPr>
        <w:t>.</w:t>
      </w:r>
    </w:p>
    <w:p w14:paraId="6930CB4D" w14:textId="77777777" w:rsidR="005A6D9F" w:rsidRPr="005A6D9F" w:rsidRDefault="005A6D9F" w:rsidP="005A6D9F">
      <w:pPr>
        <w:pStyle w:val="Heading3"/>
        <w:shd w:val="clear" w:color="auto" w:fill="FFFFFF"/>
        <w:spacing w:before="0" w:beforeAutospacing="0" w:after="0" w:afterAutospacing="0"/>
        <w:rPr>
          <w:rFonts w:ascii="Calibri" w:hAnsi="Calibri" w:cs="Calibri"/>
          <w:color w:val="000000" w:themeColor="text1"/>
          <w:sz w:val="22"/>
          <w:szCs w:val="22"/>
        </w:rPr>
      </w:pPr>
      <w:r w:rsidRPr="005A6D9F">
        <w:rPr>
          <w:rFonts w:ascii="Calibri" w:hAnsi="Calibri" w:cs="Calibri"/>
          <w:color w:val="000000" w:themeColor="text1"/>
          <w:sz w:val="22"/>
          <w:szCs w:val="22"/>
        </w:rPr>
        <w:t>Abstract</w:t>
      </w:r>
    </w:p>
    <w:p w14:paraId="0FF42DE8"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OBJECTIVE:</w:t>
      </w:r>
    </w:p>
    <w:p w14:paraId="2591C419"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To determine </w:t>
      </w:r>
      <w:r w:rsidRPr="005A6D9F">
        <w:rPr>
          <w:rStyle w:val="highlight"/>
          <w:rFonts w:ascii="Calibri" w:hAnsi="Calibri" w:cs="Calibri"/>
          <w:color w:val="000000" w:themeColor="text1"/>
          <w:sz w:val="22"/>
          <w:szCs w:val="22"/>
        </w:rPr>
        <w:t>long-term</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outcomes</w:t>
      </w:r>
      <w:r w:rsidRPr="005A6D9F">
        <w:rPr>
          <w:rFonts w:ascii="Calibri" w:hAnsi="Calibri" w:cs="Calibri"/>
          <w:color w:val="000000" w:themeColor="text1"/>
          <w:sz w:val="22"/>
          <w:szCs w:val="22"/>
        </w:rPr>
        <w:t> and factors associated with those </w:t>
      </w:r>
      <w:r w:rsidRPr="005A6D9F">
        <w:rPr>
          <w:rStyle w:val="highlight"/>
          <w:rFonts w:ascii="Calibri" w:hAnsi="Calibri" w:cs="Calibri"/>
          <w:color w:val="000000" w:themeColor="text1"/>
          <w:sz w:val="22"/>
          <w:szCs w:val="22"/>
        </w:rPr>
        <w:t>outcomes</w:t>
      </w:r>
      <w:r w:rsidRPr="005A6D9F">
        <w:rPr>
          <w:rFonts w:ascii="Calibri" w:hAnsi="Calibri" w:cs="Calibri"/>
          <w:color w:val="000000" w:themeColor="text1"/>
          <w:sz w:val="22"/>
          <w:szCs w:val="22"/>
        </w:rPr>
        <w:t> in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w:t>
      </w:r>
      <w:r w:rsidRPr="005A6D9F">
        <w:rPr>
          <w:rStyle w:val="highlight"/>
          <w:rFonts w:ascii="Calibri" w:hAnsi="Calibri" w:cs="Calibri"/>
          <w:color w:val="000000" w:themeColor="text1"/>
          <w:sz w:val="22"/>
          <w:szCs w:val="22"/>
        </w:rPr>
        <w:t>gastroesophageal</w:t>
      </w:r>
      <w:r w:rsidRPr="005A6D9F">
        <w:rPr>
          <w:rFonts w:ascii="Calibri" w:hAnsi="Calibri" w:cs="Calibri"/>
          <w:color w:val="000000" w:themeColor="text1"/>
          <w:sz w:val="22"/>
          <w:szCs w:val="22"/>
        </w:rPr>
        <w:t> </w:t>
      </w:r>
      <w:r w:rsidRPr="005A6D9F">
        <w:rPr>
          <w:rStyle w:val="highlight"/>
          <w:rFonts w:ascii="Calibri" w:hAnsi="Calibri" w:cs="Calibri"/>
          <w:color w:val="000000" w:themeColor="text1"/>
          <w:sz w:val="22"/>
          <w:szCs w:val="22"/>
        </w:rPr>
        <w:t>intussusception</w:t>
      </w:r>
      <w:r w:rsidRPr="005A6D9F">
        <w:rPr>
          <w:rFonts w:ascii="Calibri" w:hAnsi="Calibri" w:cs="Calibri"/>
          <w:color w:val="000000" w:themeColor="text1"/>
          <w:sz w:val="22"/>
          <w:szCs w:val="22"/>
        </w:rPr>
        <w:t> (GEI).</w:t>
      </w:r>
    </w:p>
    <w:p w14:paraId="641CAA01"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ANIMALS:</w:t>
      </w:r>
    </w:p>
    <w:p w14:paraId="3AB2C7AC"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36 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GEI evaluated at 16 veterinary hospitals from January 2000 through January 2018.</w:t>
      </w:r>
    </w:p>
    <w:p w14:paraId="77A2ED1E"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PROCEDURES:</w:t>
      </w:r>
    </w:p>
    <w:p w14:paraId="406F9DB8"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lastRenderedPageBreak/>
        <w:t>Medical records of included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were reviewed to collect information regarding signalment, clinical signs, physical examination findings, blood work and diagnostic imaging results, surgical findings, and outcome. Factors were evaluated for associations with various </w:t>
      </w:r>
      <w:r w:rsidRPr="005A6D9F">
        <w:rPr>
          <w:rStyle w:val="highlight"/>
          <w:rFonts w:ascii="Calibri" w:hAnsi="Calibri" w:cs="Calibri"/>
          <w:color w:val="000000" w:themeColor="text1"/>
          <w:sz w:val="22"/>
          <w:szCs w:val="22"/>
        </w:rPr>
        <w:t>outcomes</w:t>
      </w:r>
      <w:r w:rsidRPr="005A6D9F">
        <w:rPr>
          <w:rFonts w:ascii="Calibri" w:hAnsi="Calibri" w:cs="Calibri"/>
          <w:color w:val="000000" w:themeColor="text1"/>
          <w:sz w:val="22"/>
          <w:szCs w:val="22"/>
        </w:rPr>
        <w:t>.</w:t>
      </w:r>
    </w:p>
    <w:p w14:paraId="15028592"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RESULTS:</w:t>
      </w:r>
    </w:p>
    <w:p w14:paraId="1CCAF0D5"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Median age of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GEI was 13.2 months, and males (72% [26/36]) and German Shepherd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(33% [12/36]) were most common. Vomiting (67% [24/36]) and regurgitation (33% [12/36]) were the most common clinical signs. Ten of 36 (28%)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were euthanized without treatment, and 26 (72%) underwent treatment (25 surgically and 1 endoscopically). Twenty-three of the 26 (88%) treated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survived to discharge; median survival time was 995 days. At last follow-up, 15 of the 23 (65%) surviving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remained alive and 8 (35%) had died for reasons related to persistent regurgitation (n = 6) or reasons unrelated to GEI (2). Of the 10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for which owners were contacted, 7 had persistent regurgitation, the severity of which was reduced through managed feedings.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acute (≤ 7 days) clinical signs or a previous diagnosis of megaesophagus were more likely to have persistent regurgitation than were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without these factors.</w:t>
      </w:r>
    </w:p>
    <w:p w14:paraId="3085D719" w14:textId="77777777" w:rsidR="005A6D9F" w:rsidRPr="005A6D9F" w:rsidRDefault="005A6D9F" w:rsidP="005A6D9F">
      <w:pPr>
        <w:pStyle w:val="Heading4"/>
        <w:shd w:val="clear" w:color="auto" w:fill="FFFFFF"/>
        <w:spacing w:before="0" w:beforeAutospacing="0" w:after="0" w:afterAutospacing="0" w:line="369" w:lineRule="atLeast"/>
        <w:ind w:right="60"/>
        <w:rPr>
          <w:rFonts w:ascii="Calibri" w:hAnsi="Calibri" w:cs="Calibri"/>
          <w:caps/>
          <w:color w:val="000000" w:themeColor="text1"/>
          <w:sz w:val="22"/>
          <w:szCs w:val="22"/>
        </w:rPr>
      </w:pPr>
      <w:r w:rsidRPr="005A6D9F">
        <w:rPr>
          <w:rFonts w:ascii="Calibri" w:hAnsi="Calibri" w:cs="Calibri"/>
          <w:caps/>
          <w:color w:val="000000" w:themeColor="text1"/>
          <w:sz w:val="22"/>
          <w:szCs w:val="22"/>
        </w:rPr>
        <w:t>CONCLUSIONS AND CLINICAL RELEVANCE:</w:t>
      </w:r>
    </w:p>
    <w:p w14:paraId="1999AB02" w14:textId="77777777" w:rsidR="005A6D9F" w:rsidRPr="005A6D9F" w:rsidRDefault="005A6D9F" w:rsidP="005A6D9F">
      <w:pPr>
        <w:pStyle w:val="NormalWeb"/>
        <w:shd w:val="clear" w:color="auto" w:fill="FFFFFF"/>
        <w:spacing w:before="0" w:beforeAutospacing="0" w:after="120" w:afterAutospacing="0" w:line="369" w:lineRule="atLeast"/>
        <w:rPr>
          <w:rFonts w:ascii="Calibri" w:hAnsi="Calibri" w:cs="Calibri"/>
          <w:color w:val="000000" w:themeColor="text1"/>
          <w:sz w:val="22"/>
          <w:szCs w:val="22"/>
        </w:rPr>
      </w:pPr>
      <w:r w:rsidRPr="005A6D9F">
        <w:rPr>
          <w:rFonts w:ascii="Calibri" w:hAnsi="Calibri" w:cs="Calibri"/>
          <w:color w:val="000000" w:themeColor="text1"/>
          <w:sz w:val="22"/>
          <w:szCs w:val="22"/>
        </w:rPr>
        <w:t>Treatment should be considered for </w:t>
      </w:r>
      <w:r w:rsidRPr="005A6D9F">
        <w:rPr>
          <w:rStyle w:val="highlight"/>
          <w:rFonts w:ascii="Calibri" w:hAnsi="Calibri" w:cs="Calibri"/>
          <w:color w:val="000000" w:themeColor="text1"/>
          <w:sz w:val="22"/>
          <w:szCs w:val="22"/>
        </w:rPr>
        <w:t>dogs</w:t>
      </w:r>
      <w:r w:rsidRPr="005A6D9F">
        <w:rPr>
          <w:rFonts w:ascii="Calibri" w:hAnsi="Calibri" w:cs="Calibri"/>
          <w:color w:val="000000" w:themeColor="text1"/>
          <w:sz w:val="22"/>
          <w:szCs w:val="22"/>
        </w:rPr>
        <w:t> with GEI given the high rate of survival to discharge and median survival time. Although persistent regurgitation was common after treatment, a satisfactory outcome was possible with medical management, including managed feedings and medications.</w:t>
      </w:r>
    </w:p>
    <w:p w14:paraId="65B37267" w14:textId="374225CC" w:rsidR="005A6D9F" w:rsidRPr="005A6D9F" w:rsidRDefault="005A6D9F">
      <w:pPr>
        <w:pBdr>
          <w:bottom w:val="single" w:sz="6" w:space="1" w:color="auto"/>
        </w:pBdr>
        <w:rPr>
          <w:rFonts w:ascii="Calibri" w:hAnsi="Calibri" w:cs="Calibri"/>
          <w:color w:val="000000" w:themeColor="text1"/>
          <w:sz w:val="22"/>
          <w:szCs w:val="22"/>
        </w:rPr>
      </w:pPr>
    </w:p>
    <w:p w14:paraId="12B38AAA" w14:textId="77777777" w:rsidR="005A6D9F" w:rsidRPr="005A6D9F" w:rsidRDefault="005A6D9F">
      <w:pPr>
        <w:rPr>
          <w:rFonts w:ascii="Calibri" w:hAnsi="Calibri" w:cs="Calibri"/>
          <w:color w:val="000000" w:themeColor="text1"/>
          <w:sz w:val="22"/>
          <w:szCs w:val="22"/>
        </w:rPr>
      </w:pPr>
    </w:p>
    <w:sectPr w:rsidR="005A6D9F" w:rsidRPr="005A6D9F" w:rsidSect="006E2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A2"/>
    <w:rsid w:val="000D23A2"/>
    <w:rsid w:val="00150061"/>
    <w:rsid w:val="003B6EEC"/>
    <w:rsid w:val="003C6B05"/>
    <w:rsid w:val="00500686"/>
    <w:rsid w:val="005A6D9F"/>
    <w:rsid w:val="006E2547"/>
    <w:rsid w:val="00730D0E"/>
    <w:rsid w:val="00865D29"/>
    <w:rsid w:val="0095657E"/>
    <w:rsid w:val="00AF3F95"/>
    <w:rsid w:val="00CC1896"/>
    <w:rsid w:val="00CD2D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3EF61D08"/>
  <w15:chartTrackingRefBased/>
  <w15:docId w15:val="{8A0FBEB0-F062-954D-BF0E-68144196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D23A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D23A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D23A2"/>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3A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D23A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D23A2"/>
    <w:rPr>
      <w:rFonts w:ascii="Times New Roman" w:eastAsia="Times New Roman" w:hAnsi="Times New Roman" w:cs="Times New Roman"/>
      <w:b/>
      <w:bCs/>
    </w:rPr>
  </w:style>
  <w:style w:type="character" w:styleId="Hyperlink">
    <w:name w:val="Hyperlink"/>
    <w:basedOn w:val="DefaultParagraphFont"/>
    <w:uiPriority w:val="99"/>
    <w:semiHidden/>
    <w:unhideWhenUsed/>
    <w:rsid w:val="000D23A2"/>
    <w:rPr>
      <w:color w:val="0000FF"/>
      <w:u w:val="single"/>
    </w:rPr>
  </w:style>
  <w:style w:type="character" w:customStyle="1" w:styleId="highlight">
    <w:name w:val="highlight"/>
    <w:basedOn w:val="DefaultParagraphFont"/>
    <w:rsid w:val="000D23A2"/>
  </w:style>
  <w:style w:type="paragraph" w:styleId="NormalWeb">
    <w:name w:val="Normal (Web)"/>
    <w:basedOn w:val="Normal"/>
    <w:uiPriority w:val="99"/>
    <w:semiHidden/>
    <w:unhideWhenUsed/>
    <w:rsid w:val="000D23A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3732">
      <w:bodyDiv w:val="1"/>
      <w:marLeft w:val="0"/>
      <w:marRight w:val="0"/>
      <w:marTop w:val="0"/>
      <w:marBottom w:val="0"/>
      <w:divBdr>
        <w:top w:val="none" w:sz="0" w:space="0" w:color="auto"/>
        <w:left w:val="none" w:sz="0" w:space="0" w:color="auto"/>
        <w:bottom w:val="none" w:sz="0" w:space="0" w:color="auto"/>
        <w:right w:val="none" w:sz="0" w:space="0" w:color="auto"/>
      </w:divBdr>
      <w:divsChild>
        <w:div w:id="1701659843">
          <w:marLeft w:val="0"/>
          <w:marRight w:val="0"/>
          <w:marTop w:val="288"/>
          <w:marBottom w:val="100"/>
          <w:divBdr>
            <w:top w:val="none" w:sz="0" w:space="0" w:color="auto"/>
            <w:left w:val="none" w:sz="0" w:space="0" w:color="auto"/>
            <w:bottom w:val="none" w:sz="0" w:space="0" w:color="auto"/>
            <w:right w:val="none" w:sz="0" w:space="0" w:color="auto"/>
          </w:divBdr>
          <w:divsChild>
            <w:div w:id="5712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6216">
      <w:bodyDiv w:val="1"/>
      <w:marLeft w:val="0"/>
      <w:marRight w:val="0"/>
      <w:marTop w:val="0"/>
      <w:marBottom w:val="0"/>
      <w:divBdr>
        <w:top w:val="none" w:sz="0" w:space="0" w:color="auto"/>
        <w:left w:val="none" w:sz="0" w:space="0" w:color="auto"/>
        <w:bottom w:val="none" w:sz="0" w:space="0" w:color="auto"/>
        <w:right w:val="none" w:sz="0" w:space="0" w:color="auto"/>
      </w:divBdr>
      <w:divsChild>
        <w:div w:id="364790065">
          <w:marLeft w:val="0"/>
          <w:marRight w:val="0"/>
          <w:marTop w:val="288"/>
          <w:marBottom w:val="100"/>
          <w:divBdr>
            <w:top w:val="none" w:sz="0" w:space="0" w:color="auto"/>
            <w:left w:val="none" w:sz="0" w:space="0" w:color="auto"/>
            <w:bottom w:val="none" w:sz="0" w:space="0" w:color="auto"/>
            <w:right w:val="none" w:sz="0" w:space="0" w:color="auto"/>
          </w:divBdr>
          <w:divsChild>
            <w:div w:id="1971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5219">
      <w:bodyDiv w:val="1"/>
      <w:marLeft w:val="0"/>
      <w:marRight w:val="0"/>
      <w:marTop w:val="0"/>
      <w:marBottom w:val="0"/>
      <w:divBdr>
        <w:top w:val="none" w:sz="0" w:space="0" w:color="auto"/>
        <w:left w:val="none" w:sz="0" w:space="0" w:color="auto"/>
        <w:bottom w:val="none" w:sz="0" w:space="0" w:color="auto"/>
        <w:right w:val="none" w:sz="0" w:space="0" w:color="auto"/>
      </w:divBdr>
      <w:divsChild>
        <w:div w:id="542713378">
          <w:marLeft w:val="0"/>
          <w:marRight w:val="0"/>
          <w:marTop w:val="288"/>
          <w:marBottom w:val="100"/>
          <w:divBdr>
            <w:top w:val="none" w:sz="0" w:space="0" w:color="auto"/>
            <w:left w:val="none" w:sz="0" w:space="0" w:color="auto"/>
            <w:bottom w:val="none" w:sz="0" w:space="0" w:color="auto"/>
            <w:right w:val="none" w:sz="0" w:space="0" w:color="auto"/>
          </w:divBdr>
          <w:divsChild>
            <w:div w:id="124630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3064">
      <w:bodyDiv w:val="1"/>
      <w:marLeft w:val="0"/>
      <w:marRight w:val="0"/>
      <w:marTop w:val="0"/>
      <w:marBottom w:val="0"/>
      <w:divBdr>
        <w:top w:val="none" w:sz="0" w:space="0" w:color="auto"/>
        <w:left w:val="none" w:sz="0" w:space="0" w:color="auto"/>
        <w:bottom w:val="none" w:sz="0" w:space="0" w:color="auto"/>
        <w:right w:val="none" w:sz="0" w:space="0" w:color="auto"/>
      </w:divBdr>
      <w:divsChild>
        <w:div w:id="938559861">
          <w:marLeft w:val="0"/>
          <w:marRight w:val="0"/>
          <w:marTop w:val="288"/>
          <w:marBottom w:val="100"/>
          <w:divBdr>
            <w:top w:val="none" w:sz="0" w:space="0" w:color="auto"/>
            <w:left w:val="none" w:sz="0" w:space="0" w:color="auto"/>
            <w:bottom w:val="none" w:sz="0" w:space="0" w:color="auto"/>
            <w:right w:val="none" w:sz="0" w:space="0" w:color="auto"/>
          </w:divBdr>
          <w:divsChild>
            <w:div w:id="11751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357373">
      <w:bodyDiv w:val="1"/>
      <w:marLeft w:val="0"/>
      <w:marRight w:val="0"/>
      <w:marTop w:val="0"/>
      <w:marBottom w:val="0"/>
      <w:divBdr>
        <w:top w:val="none" w:sz="0" w:space="0" w:color="auto"/>
        <w:left w:val="none" w:sz="0" w:space="0" w:color="auto"/>
        <w:bottom w:val="none" w:sz="0" w:space="0" w:color="auto"/>
        <w:right w:val="none" w:sz="0" w:space="0" w:color="auto"/>
      </w:divBdr>
      <w:divsChild>
        <w:div w:id="1913271528">
          <w:marLeft w:val="0"/>
          <w:marRight w:val="0"/>
          <w:marTop w:val="288"/>
          <w:marBottom w:val="100"/>
          <w:divBdr>
            <w:top w:val="none" w:sz="0" w:space="0" w:color="auto"/>
            <w:left w:val="none" w:sz="0" w:space="0" w:color="auto"/>
            <w:bottom w:val="none" w:sz="0" w:space="0" w:color="auto"/>
            <w:right w:val="none" w:sz="0" w:space="0" w:color="auto"/>
          </w:divBdr>
          <w:divsChild>
            <w:div w:id="51107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4134">
      <w:bodyDiv w:val="1"/>
      <w:marLeft w:val="0"/>
      <w:marRight w:val="0"/>
      <w:marTop w:val="0"/>
      <w:marBottom w:val="0"/>
      <w:divBdr>
        <w:top w:val="none" w:sz="0" w:space="0" w:color="auto"/>
        <w:left w:val="none" w:sz="0" w:space="0" w:color="auto"/>
        <w:bottom w:val="none" w:sz="0" w:space="0" w:color="auto"/>
        <w:right w:val="none" w:sz="0" w:space="0" w:color="auto"/>
      </w:divBdr>
      <w:divsChild>
        <w:div w:id="680281985">
          <w:marLeft w:val="0"/>
          <w:marRight w:val="0"/>
          <w:marTop w:val="288"/>
          <w:marBottom w:val="100"/>
          <w:divBdr>
            <w:top w:val="none" w:sz="0" w:space="0" w:color="auto"/>
            <w:left w:val="none" w:sz="0" w:space="0" w:color="auto"/>
            <w:bottom w:val="none" w:sz="0" w:space="0" w:color="auto"/>
            <w:right w:val="none" w:sz="0" w:space="0" w:color="auto"/>
          </w:divBdr>
          <w:divsChild>
            <w:div w:id="105601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6235">
      <w:bodyDiv w:val="1"/>
      <w:marLeft w:val="0"/>
      <w:marRight w:val="0"/>
      <w:marTop w:val="0"/>
      <w:marBottom w:val="0"/>
      <w:divBdr>
        <w:top w:val="none" w:sz="0" w:space="0" w:color="auto"/>
        <w:left w:val="none" w:sz="0" w:space="0" w:color="auto"/>
        <w:bottom w:val="none" w:sz="0" w:space="0" w:color="auto"/>
        <w:right w:val="none" w:sz="0" w:space="0" w:color="auto"/>
      </w:divBdr>
      <w:divsChild>
        <w:div w:id="872304584">
          <w:marLeft w:val="0"/>
          <w:marRight w:val="0"/>
          <w:marTop w:val="288"/>
          <w:marBottom w:val="100"/>
          <w:divBdr>
            <w:top w:val="none" w:sz="0" w:space="0" w:color="auto"/>
            <w:left w:val="none" w:sz="0" w:space="0" w:color="auto"/>
            <w:bottom w:val="none" w:sz="0" w:space="0" w:color="auto"/>
            <w:right w:val="none" w:sz="0" w:space="0" w:color="auto"/>
          </w:divBdr>
          <w:divsChild>
            <w:div w:id="8806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7328">
      <w:bodyDiv w:val="1"/>
      <w:marLeft w:val="0"/>
      <w:marRight w:val="0"/>
      <w:marTop w:val="0"/>
      <w:marBottom w:val="0"/>
      <w:divBdr>
        <w:top w:val="none" w:sz="0" w:space="0" w:color="auto"/>
        <w:left w:val="none" w:sz="0" w:space="0" w:color="auto"/>
        <w:bottom w:val="none" w:sz="0" w:space="0" w:color="auto"/>
        <w:right w:val="none" w:sz="0" w:space="0" w:color="auto"/>
      </w:divBdr>
      <w:divsChild>
        <w:div w:id="1662000416">
          <w:marLeft w:val="0"/>
          <w:marRight w:val="0"/>
          <w:marTop w:val="288"/>
          <w:marBottom w:val="100"/>
          <w:divBdr>
            <w:top w:val="none" w:sz="0" w:space="0" w:color="auto"/>
            <w:left w:val="none" w:sz="0" w:space="0" w:color="auto"/>
            <w:bottom w:val="none" w:sz="0" w:space="0" w:color="auto"/>
            <w:right w:val="none" w:sz="0" w:space="0" w:color="auto"/>
          </w:divBdr>
          <w:divsChild>
            <w:div w:id="1220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7913">
      <w:bodyDiv w:val="1"/>
      <w:marLeft w:val="0"/>
      <w:marRight w:val="0"/>
      <w:marTop w:val="0"/>
      <w:marBottom w:val="0"/>
      <w:divBdr>
        <w:top w:val="none" w:sz="0" w:space="0" w:color="auto"/>
        <w:left w:val="none" w:sz="0" w:space="0" w:color="auto"/>
        <w:bottom w:val="none" w:sz="0" w:space="0" w:color="auto"/>
        <w:right w:val="none" w:sz="0" w:space="0" w:color="auto"/>
      </w:divBdr>
      <w:divsChild>
        <w:div w:id="1473060248">
          <w:marLeft w:val="0"/>
          <w:marRight w:val="0"/>
          <w:marTop w:val="288"/>
          <w:marBottom w:val="100"/>
          <w:divBdr>
            <w:top w:val="none" w:sz="0" w:space="0" w:color="auto"/>
            <w:left w:val="none" w:sz="0" w:space="0" w:color="auto"/>
            <w:bottom w:val="none" w:sz="0" w:space="0" w:color="auto"/>
            <w:right w:val="none" w:sz="0" w:space="0" w:color="auto"/>
          </w:divBdr>
          <w:divsChild>
            <w:div w:id="6920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7754">
      <w:bodyDiv w:val="1"/>
      <w:marLeft w:val="0"/>
      <w:marRight w:val="0"/>
      <w:marTop w:val="0"/>
      <w:marBottom w:val="0"/>
      <w:divBdr>
        <w:top w:val="none" w:sz="0" w:space="0" w:color="auto"/>
        <w:left w:val="none" w:sz="0" w:space="0" w:color="auto"/>
        <w:bottom w:val="none" w:sz="0" w:space="0" w:color="auto"/>
        <w:right w:val="none" w:sz="0" w:space="0" w:color="auto"/>
      </w:divBdr>
      <w:divsChild>
        <w:div w:id="568809594">
          <w:marLeft w:val="0"/>
          <w:marRight w:val="0"/>
          <w:marTop w:val="288"/>
          <w:marBottom w:val="100"/>
          <w:divBdr>
            <w:top w:val="none" w:sz="0" w:space="0" w:color="auto"/>
            <w:left w:val="none" w:sz="0" w:space="0" w:color="auto"/>
            <w:bottom w:val="none" w:sz="0" w:space="0" w:color="auto"/>
            <w:right w:val="none" w:sz="0" w:space="0" w:color="auto"/>
          </w:divBdr>
          <w:divsChild>
            <w:div w:id="2367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Conti%20S%5BAuthor%5D&amp;cauthor=true&amp;cauthor_uid=31910078" TargetMode="External"/><Relationship Id="rId21" Type="http://schemas.openxmlformats.org/officeDocument/2006/relationships/hyperlink" Target="https://www.ncbi.nlm.nih.gov/pubmed/?term=Ettestad%20PJ%5BAuthor%5D&amp;cauthor=true&amp;cauthor_uid=31910083" TargetMode="External"/><Relationship Id="rId42" Type="http://schemas.openxmlformats.org/officeDocument/2006/relationships/hyperlink" Target="https://www.ncbi.nlm.nih.gov/pubmed/?term=Sebbag%20L%5BAuthor%5D&amp;cauthor=true&amp;cauthor_uid=32125244" TargetMode="External"/><Relationship Id="rId47" Type="http://schemas.openxmlformats.org/officeDocument/2006/relationships/hyperlink" Target="https://www.ncbi.nlm.nih.gov/pubmed/?term=Mochel%20JP%5BAuthor%5D&amp;cauthor=true&amp;cauthor_uid=32125244" TargetMode="External"/><Relationship Id="rId63" Type="http://schemas.openxmlformats.org/officeDocument/2006/relationships/hyperlink" Target="https://www.ncbi.nlm.nih.gov/pubmed/?term=Tobias%20KM%5BAuthor%5D&amp;cauthor=true&amp;cauthor_uid=32223709" TargetMode="External"/><Relationship Id="rId68" Type="http://schemas.openxmlformats.org/officeDocument/2006/relationships/hyperlink" Target="https://www.ncbi.nlm.nih.gov/pubmed/?term=Sumner%20JP%5BAuthor%5D&amp;cauthor=true&amp;cauthor_uid=32223709" TargetMode="External"/><Relationship Id="rId2" Type="http://schemas.openxmlformats.org/officeDocument/2006/relationships/settings" Target="settings.xml"/><Relationship Id="rId16" Type="http://schemas.openxmlformats.org/officeDocument/2006/relationships/hyperlink" Target="https://www.ncbi.nlm.nih.gov/pubmed/?term=Melman%20SD%5BAuthor%5D&amp;cauthor=true&amp;cauthor_uid=31910083" TargetMode="External"/><Relationship Id="rId29" Type="http://schemas.openxmlformats.org/officeDocument/2006/relationships/hyperlink" Target="https://www.ncbi.nlm.nih.gov/pubmed/?term=Hori%20Y%5BAuthor%5D&amp;cauthor=true&amp;cauthor_uid=31961274" TargetMode="External"/><Relationship Id="rId11" Type="http://schemas.openxmlformats.org/officeDocument/2006/relationships/hyperlink" Target="https://www.ncbi.nlm.nih.gov/pubmed/?term=Hay%20Kraus%20BL%5BAuthor%5D&amp;cauthor=true&amp;cauthor_uid=31841086" TargetMode="External"/><Relationship Id="rId24" Type="http://schemas.openxmlformats.org/officeDocument/2006/relationships/hyperlink" Target="https://www.ncbi.nlm.nih.gov/pubmed/?term=Cozzi%20F%5BAuthor%5D&amp;cauthor=true&amp;cauthor_uid=31910078" TargetMode="External"/><Relationship Id="rId32" Type="http://schemas.openxmlformats.org/officeDocument/2006/relationships/hyperlink" Target="https://www.ncbi.nlm.nih.gov/pubmed/?term=Kamiya%20Z%5BAuthor%5D&amp;cauthor=true&amp;cauthor_uid=31961274" TargetMode="External"/><Relationship Id="rId37" Type="http://schemas.openxmlformats.org/officeDocument/2006/relationships/hyperlink" Target="https://www.ncbi.nlm.nih.gov/pubmed/?term=Iwasa%20N%5BAuthor%5D&amp;cauthor=true&amp;cauthor_uid=31961274" TargetMode="External"/><Relationship Id="rId40" Type="http://schemas.openxmlformats.org/officeDocument/2006/relationships/hyperlink" Target="https://www.ncbi.nlm.nih.gov/pubmed/?term=Yuki%20M%5BAuthor%5D&amp;cauthor=true&amp;cauthor_uid=31961274" TargetMode="External"/><Relationship Id="rId45" Type="http://schemas.openxmlformats.org/officeDocument/2006/relationships/hyperlink" Target="https://www.ncbi.nlm.nih.gov/pubmed/?term=Hayes%20B%5BAuthor%5D&amp;cauthor=true&amp;cauthor_uid=32125244" TargetMode="External"/><Relationship Id="rId53" Type="http://schemas.openxmlformats.org/officeDocument/2006/relationships/hyperlink" Target="https://www.ncbi.nlm.nih.gov/pubmed/?term=Costa%20RS%5BAuthor%5D&amp;cauthor=true&amp;cauthor_uid=32223703" TargetMode="External"/><Relationship Id="rId58" Type="http://schemas.openxmlformats.org/officeDocument/2006/relationships/hyperlink" Target="https://www.ncbi.nlm.nih.gov/pubmed/?term=Grimes%20JA%5BAuthor%5D&amp;cauthor=true&amp;cauthor_uid=32223709" TargetMode="External"/><Relationship Id="rId66" Type="http://schemas.openxmlformats.org/officeDocument/2006/relationships/hyperlink" Target="https://www.ncbi.nlm.nih.gov/pubmed/?term=Repellin%20R%5BAuthor%5D&amp;cauthor=true&amp;cauthor_uid=32223709" TargetMode="External"/><Relationship Id="rId74" Type="http://schemas.openxmlformats.org/officeDocument/2006/relationships/theme" Target="theme/theme1.xml"/><Relationship Id="rId5" Type="http://schemas.openxmlformats.org/officeDocument/2006/relationships/hyperlink" Target="https://www.ncbi.nlm.nih.gov/pubmed/?term=Phipps%20WE%5BAuthor%5D&amp;cauthor=true&amp;cauthor_uid=31841092" TargetMode="External"/><Relationship Id="rId61" Type="http://schemas.openxmlformats.org/officeDocument/2006/relationships/hyperlink" Target="https://www.ncbi.nlm.nih.gov/pubmed/?term=Campbell%20BG%5BAuthor%5D&amp;cauthor=true&amp;cauthor_uid=32223709" TargetMode="External"/><Relationship Id="rId19" Type="http://schemas.openxmlformats.org/officeDocument/2006/relationships/hyperlink" Target="https://www.ncbi.nlm.nih.gov/pubmed/?term=Nelson%20CA%5BAuthor%5D&amp;cauthor=true&amp;cauthor_uid=31910083" TargetMode="External"/><Relationship Id="rId14" Type="http://schemas.openxmlformats.org/officeDocument/2006/relationships/hyperlink" Target="https://www.ncbi.nlm.nih.gov/pubmed/?term=Middaugh%20NA%5BAuthor%5D&amp;cauthor=true&amp;cauthor_uid=31910083" TargetMode="External"/><Relationship Id="rId22" Type="http://schemas.openxmlformats.org/officeDocument/2006/relationships/hyperlink" Target="https://www.ncbi.nlm.nih.gov/pubmed/?term=Agreement+of+surgeon%27s+perception+of+the+effectiveness+of+spinal+cord+decompression+with+findings+on+postoperative+magnetic+resonance+imaging+for+dogs+surgically+treated+for+intervertebral+disk+extrusion" TargetMode="External"/><Relationship Id="rId27" Type="http://schemas.openxmlformats.org/officeDocument/2006/relationships/hyperlink" Target="https://www.ncbi.nlm.nih.gov/pubmed/?term=Lombardo%20R%5BAuthor%5D&amp;cauthor=true&amp;cauthor_uid=31910078" TargetMode="External"/><Relationship Id="rId30" Type="http://schemas.openxmlformats.org/officeDocument/2006/relationships/hyperlink" Target="https://www.ncbi.nlm.nih.gov/pubmed/?term=Iguchi%20M%5BAuthor%5D&amp;cauthor=true&amp;cauthor_uid=31961274" TargetMode="External"/><Relationship Id="rId35" Type="http://schemas.openxmlformats.org/officeDocument/2006/relationships/hyperlink" Target="https://www.ncbi.nlm.nih.gov/pubmed/?term=Isayama%20N%5BAuthor%5D&amp;cauthor=true&amp;cauthor_uid=31961274" TargetMode="External"/><Relationship Id="rId43" Type="http://schemas.openxmlformats.org/officeDocument/2006/relationships/hyperlink" Target="https://www.ncbi.nlm.nih.gov/pubmed/?term=Uhl%20LK%5BAuthor%5D&amp;cauthor=true&amp;cauthor_uid=32125244" TargetMode="External"/><Relationship Id="rId48" Type="http://schemas.openxmlformats.org/officeDocument/2006/relationships/hyperlink" Target="https://www.ncbi.nlm.nih.gov/pubmed/?term=Use+of+cardiac+sphericity+index+and+manubrium+heart+scores+to+assess+radiographic+cardiac+silhouettes+in+large-and+small-breed+dogs+with+and+without+cardiac+disease" TargetMode="External"/><Relationship Id="rId56" Type="http://schemas.openxmlformats.org/officeDocument/2006/relationships/hyperlink" Target="https://www.ncbi.nlm.nih.gov/pubmed/?term=Wetmore%20LA%5BAuthor%5D&amp;cauthor=true&amp;cauthor_uid=32223703" TargetMode="External"/><Relationship Id="rId64" Type="http://schemas.openxmlformats.org/officeDocument/2006/relationships/hyperlink" Target="https://www.ncbi.nlm.nih.gov/pubmed/?term=Arai%20S%5BAuthor%5D&amp;cauthor=true&amp;cauthor_uid=32223709" TargetMode="External"/><Relationship Id="rId69" Type="http://schemas.openxmlformats.org/officeDocument/2006/relationships/hyperlink" Target="https://www.ncbi.nlm.nih.gov/pubmed/?term=Abrams%20B%5BAuthor%5D&amp;cauthor=true&amp;cauthor_uid=32223709" TargetMode="External"/><Relationship Id="rId8" Type="http://schemas.openxmlformats.org/officeDocument/2006/relationships/hyperlink" Target="https://www.ncbi.nlm.nih.gov/pubmed/?term=Berg%20J%5BAuthor%5D&amp;cauthor=true&amp;cauthor_uid=31841092" TargetMode="External"/><Relationship Id="rId51" Type="http://schemas.openxmlformats.org/officeDocument/2006/relationships/hyperlink" Target="https://www.ncbi.nlm.nih.gov/pubmed/?term=Berry%20CR%5BAuthor%5D&amp;cauthor=true&amp;cauthor_uid=32223705" TargetMode="External"/><Relationship Id="rId72" Type="http://schemas.openxmlformats.org/officeDocument/2006/relationships/hyperlink" Target="https://www.ncbi.nlm.nih.gov/pubmed/?term=Wallace%20ML%5BAuthor%5D&amp;cauthor=true&amp;cauthor_uid=32223709" TargetMode="External"/><Relationship Id="rId3" Type="http://schemas.openxmlformats.org/officeDocument/2006/relationships/webSettings" Target="webSettings.xml"/><Relationship Id="rId12" Type="http://schemas.openxmlformats.org/officeDocument/2006/relationships/hyperlink" Target="https://www.ncbi.nlm.nih.gov/pubmed/?term=Francisella+tularensis+infection+in+dogs%3A+88+cases" TargetMode="External"/><Relationship Id="rId17" Type="http://schemas.openxmlformats.org/officeDocument/2006/relationships/hyperlink" Target="https://www.ncbi.nlm.nih.gov/pubmed/?term=Onischuk%20L%5BAuthor%5D&amp;cauthor=true&amp;cauthor_uid=31910083" TargetMode="External"/><Relationship Id="rId25" Type="http://schemas.openxmlformats.org/officeDocument/2006/relationships/hyperlink" Target="https://www.ncbi.nlm.nih.gov/pubmed/?term=Bonaldi%20M%5BAuthor%5D&amp;cauthor=true&amp;cauthor_uid=31910078" TargetMode="External"/><Relationship Id="rId33" Type="http://schemas.openxmlformats.org/officeDocument/2006/relationships/hyperlink" Target="https://www.ncbi.nlm.nih.gov/pubmed/?term=Yamano%20S%5BAuthor%5D&amp;cauthor=true&amp;cauthor_uid=31961274" TargetMode="External"/><Relationship Id="rId38" Type="http://schemas.openxmlformats.org/officeDocument/2006/relationships/hyperlink" Target="https://www.ncbi.nlm.nih.gov/pubmed/?term=Inaba%20H%5BAuthor%5D&amp;cauthor=true&amp;cauthor_uid=31961274" TargetMode="External"/><Relationship Id="rId46" Type="http://schemas.openxmlformats.org/officeDocument/2006/relationships/hyperlink" Target="https://www.ncbi.nlm.nih.gov/pubmed/?term=Olds%20J%5BAuthor%5D&amp;cauthor=true&amp;cauthor_uid=32125244" TargetMode="External"/><Relationship Id="rId59" Type="http://schemas.openxmlformats.org/officeDocument/2006/relationships/hyperlink" Target="https://www.ncbi.nlm.nih.gov/pubmed/?term=Fleming%20JT%5BAuthor%5D&amp;cauthor=true&amp;cauthor_uid=32223709" TargetMode="External"/><Relationship Id="rId67" Type="http://schemas.openxmlformats.org/officeDocument/2006/relationships/hyperlink" Target="https://www.ncbi.nlm.nih.gov/pubmed/?term=Schroeder%20R%5BAuthor%5D&amp;cauthor=true&amp;cauthor_uid=32223709" TargetMode="External"/><Relationship Id="rId20" Type="http://schemas.openxmlformats.org/officeDocument/2006/relationships/hyperlink" Target="https://www.ncbi.nlm.nih.gov/pubmed/?term=Mead%20PS%5BAuthor%5D&amp;cauthor=true&amp;cauthor_uid=31910083" TargetMode="External"/><Relationship Id="rId41" Type="http://schemas.openxmlformats.org/officeDocument/2006/relationships/hyperlink" Target="https://www.ncbi.nlm.nih.gov/pubmed/?term=Investigation+of+Schirmer+tear+test-1+for+measurement+of+tear+production+in+cats+in+various+environmental+settings+and+with+different+test+durations" TargetMode="External"/><Relationship Id="rId54" Type="http://schemas.openxmlformats.org/officeDocument/2006/relationships/hyperlink" Target="https://www.ncbi.nlm.nih.gov/pubmed/?term=Abelson%20AL%5BAuthor%5D&amp;cauthor=true&amp;cauthor_uid=32223703" TargetMode="External"/><Relationship Id="rId62" Type="http://schemas.openxmlformats.org/officeDocument/2006/relationships/hyperlink" Target="https://www.ncbi.nlm.nih.gov/pubmed/?term=Hedlund%20CS%5BAuthor%5D&amp;cauthor=true&amp;cauthor_uid=32223709" TargetMode="External"/><Relationship Id="rId70" Type="http://schemas.openxmlformats.org/officeDocument/2006/relationships/hyperlink" Target="https://www.ncbi.nlm.nih.gov/pubmed/?term=Boudreau%20B%5BAuthor%5D&amp;cauthor=true&amp;cauthor_uid=32223709" TargetMode="External"/><Relationship Id="rId1" Type="http://schemas.openxmlformats.org/officeDocument/2006/relationships/styles" Target="styles.xml"/><Relationship Id="rId6" Type="http://schemas.openxmlformats.org/officeDocument/2006/relationships/hyperlink" Target="https://www.ncbi.nlm.nih.gov/pubmed/?term=de%20Laforcade%20AM%5BAuthor%5D&amp;cauthor=true&amp;cauthor_uid=31841092" TargetMode="External"/><Relationship Id="rId15" Type="http://schemas.openxmlformats.org/officeDocument/2006/relationships/hyperlink" Target="https://www.ncbi.nlm.nih.gov/pubmed/?term=VinHatton%20ES%5BAuthor%5D&amp;cauthor=true&amp;cauthor_uid=31910083" TargetMode="External"/><Relationship Id="rId23" Type="http://schemas.openxmlformats.org/officeDocument/2006/relationships/hyperlink" Target="https://www.ncbi.nlm.nih.gov/pubmed/?term=Tirrito%20F%5BAuthor%5D&amp;cauthor=true&amp;cauthor_uid=31910078" TargetMode="External"/><Relationship Id="rId28" Type="http://schemas.openxmlformats.org/officeDocument/2006/relationships/hyperlink" Target="https://www.ncbi.nlm.nih.gov/pubmed/?term=Evaluation+of+atrial+natriuretic+peptide+and+cardiac+troponin+I+concentrations+for+assessment+of+disease+severity+in+dogs+with+naturally+occurring+mitral+valve+disease" TargetMode="External"/><Relationship Id="rId36" Type="http://schemas.openxmlformats.org/officeDocument/2006/relationships/hyperlink" Target="https://www.ncbi.nlm.nih.gov/pubmed/?term=Yamashita%20Y%5BAuthor%5D&amp;cauthor=true&amp;cauthor_uid=31961274" TargetMode="External"/><Relationship Id="rId49" Type="http://schemas.openxmlformats.org/officeDocument/2006/relationships/hyperlink" Target="https://www.ncbi.nlm.nih.gov/pubmed/?term=Mostafa%20AA%5BAuthor%5D&amp;cauthor=true&amp;cauthor_uid=32223705" TargetMode="External"/><Relationship Id="rId57" Type="http://schemas.openxmlformats.org/officeDocument/2006/relationships/hyperlink" Target="https://www.ncbi.nlm.nih.gov/pubmed/?term=Characteristics+and+long-term+outcomes+of+dogs+with+gastroesophageal+intussusception" TargetMode="External"/><Relationship Id="rId10" Type="http://schemas.openxmlformats.org/officeDocument/2006/relationships/hyperlink" Target="https://www.ncbi.nlm.nih.gov/pubmed/?term=Cazlan%20CE%5BAuthor%5D&amp;cauthor=true&amp;cauthor_uid=31841086" TargetMode="External"/><Relationship Id="rId31" Type="http://schemas.openxmlformats.org/officeDocument/2006/relationships/hyperlink" Target="https://www.ncbi.nlm.nih.gov/pubmed/?term=Hirakawa%20A%5BAuthor%5D&amp;cauthor=true&amp;cauthor_uid=31961274" TargetMode="External"/><Relationship Id="rId44" Type="http://schemas.openxmlformats.org/officeDocument/2006/relationships/hyperlink" Target="https://www.ncbi.nlm.nih.gov/pubmed/?term=Schneider%20B%5BAuthor%5D&amp;cauthor=true&amp;cauthor_uid=32125244" TargetMode="External"/><Relationship Id="rId52" Type="http://schemas.openxmlformats.org/officeDocument/2006/relationships/hyperlink" Target="https://www.ncbi.nlm.nih.gov/pubmed/?term=Postoperative+regurgitation+and+respiratory+complications+in+brachycephalic+dogs+undergoing+airway+surgery+before+and+after+implementation+of+a+standardized+perianesthetic+protocol" TargetMode="External"/><Relationship Id="rId60" Type="http://schemas.openxmlformats.org/officeDocument/2006/relationships/hyperlink" Target="https://www.ncbi.nlm.nih.gov/pubmed/?term=Singh%20A%5BAuthor%5D&amp;cauthor=true&amp;cauthor_uid=32223709" TargetMode="External"/><Relationship Id="rId65" Type="http://schemas.openxmlformats.org/officeDocument/2006/relationships/hyperlink" Target="https://www.ncbi.nlm.nih.gov/pubmed/?term=Ham%20KM%5BAuthor%5D&amp;cauthor=true&amp;cauthor_uid=32223709" TargetMode="External"/><Relationship Id="rId73" Type="http://schemas.openxmlformats.org/officeDocument/2006/relationships/fontTable" Target="fontTable.xml"/><Relationship Id="rId4" Type="http://schemas.openxmlformats.org/officeDocument/2006/relationships/hyperlink" Target="https://www.ncbi.nlm.nih.gov/pubmed/?term=Postoperative+thrombocytosis+and+thromboelastographic+evidence+of+hypercoagulability+in+dogs+undergoing+splenectomy+for+splenic+masses" TargetMode="External"/><Relationship Id="rId9" Type="http://schemas.openxmlformats.org/officeDocument/2006/relationships/hyperlink" Target="https://www.ncbi.nlm.nih.gov/pubmed/?term=Effects+of+2%25+lidocaine+hydrochloride+solution+as+a+coinduction+agent+with+propofol+on+cardiopulmonary+variables+and+administered+propofol+doses+in+healthy+dogs+premedicated+with+hydromorphone+hydrochloride+and+acepromazine+maleate" TargetMode="External"/><Relationship Id="rId13" Type="http://schemas.openxmlformats.org/officeDocument/2006/relationships/hyperlink" Target="https://www.ncbi.nlm.nih.gov/pubmed/?term=Kwit%20NA%5BAuthor%5D&amp;cauthor=true&amp;cauthor_uid=31910083" TargetMode="External"/><Relationship Id="rId18" Type="http://schemas.openxmlformats.org/officeDocument/2006/relationships/hyperlink" Target="https://www.ncbi.nlm.nih.gov/pubmed/?term=Aragon%20AS%5BAuthor%5D&amp;cauthor=true&amp;cauthor_uid=31910083" TargetMode="External"/><Relationship Id="rId39" Type="http://schemas.openxmlformats.org/officeDocument/2006/relationships/hyperlink" Target="https://www.ncbi.nlm.nih.gov/pubmed/?term=Heishima%20Y%5BAuthor%5D&amp;cauthor=true&amp;cauthor_uid=31961274" TargetMode="External"/><Relationship Id="rId34" Type="http://schemas.openxmlformats.org/officeDocument/2006/relationships/hyperlink" Target="https://www.ncbi.nlm.nih.gov/pubmed/?term=Ibaragi%20T%5BAuthor%5D&amp;cauthor=true&amp;cauthor_uid=31961274" TargetMode="External"/><Relationship Id="rId50" Type="http://schemas.openxmlformats.org/officeDocument/2006/relationships/hyperlink" Target="https://www.ncbi.nlm.nih.gov/pubmed/?term=Peper%20KE%5BAuthor%5D&amp;cauthor=true&amp;cauthor_uid=32223705" TargetMode="External"/><Relationship Id="rId55" Type="http://schemas.openxmlformats.org/officeDocument/2006/relationships/hyperlink" Target="https://www.ncbi.nlm.nih.gov/pubmed/?term=Lindsey%20JC%5BAuthor%5D&amp;cauthor=true&amp;cauthor_uid=32223703" TargetMode="External"/><Relationship Id="rId7" Type="http://schemas.openxmlformats.org/officeDocument/2006/relationships/hyperlink" Target="https://www.ncbi.nlm.nih.gov/pubmed/?term=Barton%20BA%5BAuthor%5D&amp;cauthor=true&amp;cauthor_uid=31841092" TargetMode="External"/><Relationship Id="rId71" Type="http://schemas.openxmlformats.org/officeDocument/2006/relationships/hyperlink" Target="https://www.ncbi.nlm.nih.gov/pubmed/?term=Lewis%20B%5BAuthor%5D&amp;cauthor=true&amp;cauthor_uid=322237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4224</Words>
  <Characters>24078</Characters>
  <Application>Microsoft Office Word</Application>
  <DocSecurity>0</DocSecurity>
  <Lines>200</Lines>
  <Paragraphs>56</Paragraphs>
  <ScaleCrop>false</ScaleCrop>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Tong</dc:creator>
  <cp:keywords/>
  <dc:description/>
  <cp:lastModifiedBy>Carissa Tong</cp:lastModifiedBy>
  <cp:revision>5</cp:revision>
  <dcterms:created xsi:type="dcterms:W3CDTF">2020-03-31T17:58:00Z</dcterms:created>
  <dcterms:modified xsi:type="dcterms:W3CDTF">2020-04-01T15:24:00Z</dcterms:modified>
</cp:coreProperties>
</file>