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CB58F" w14:textId="77777777" w:rsidR="00092A47" w:rsidRPr="00006653" w:rsidRDefault="007604C6">
      <w:pPr>
        <w:rPr>
          <w:b/>
          <w:bCs/>
        </w:rPr>
      </w:pPr>
      <w:r w:rsidRPr="00006653">
        <w:rPr>
          <w:b/>
          <w:bCs/>
        </w:rPr>
        <w:t>Journal of the American Animal Hospital Association</w:t>
      </w:r>
    </w:p>
    <w:p w14:paraId="15ADF875" w14:textId="77777777" w:rsidR="007604C6" w:rsidRDefault="007604C6">
      <w:r>
        <w:t xml:space="preserve">Nov/Dec. 2019 </w:t>
      </w:r>
      <w:r w:rsidR="00006653">
        <w:t>previousl</w:t>
      </w:r>
      <w:r>
        <w:t>y discussed</w:t>
      </w:r>
    </w:p>
    <w:p w14:paraId="4E215B3F" w14:textId="77777777" w:rsidR="007604C6" w:rsidRDefault="00006653">
      <w:r>
        <w:t>Jan/Feb. 2020</w:t>
      </w:r>
    </w:p>
    <w:p w14:paraId="70B6694F" w14:textId="77777777" w:rsidR="00006653" w:rsidRDefault="00006653">
      <w:r w:rsidRPr="00006653">
        <w:drawing>
          <wp:inline distT="0" distB="0" distL="0" distR="0" wp14:anchorId="37B3D622" wp14:editId="092ABA89">
            <wp:extent cx="5752531" cy="3465242"/>
            <wp:effectExtent l="0" t="0" r="635" b="1905"/>
            <wp:docPr id="4" name="Picture 3">
              <a:extLst xmlns:a="http://schemas.openxmlformats.org/drawingml/2006/main">
                <a:ext uri="{FF2B5EF4-FFF2-40B4-BE49-F238E27FC236}">
                  <a16:creationId xmlns:a16="http://schemas.microsoft.com/office/drawing/2014/main" id="{9C03F56A-6148-436C-AD51-A3E193A79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C03F56A-6148-436C-AD51-A3E193A79171}"/>
                        </a:ext>
                      </a:extLst>
                    </pic:cNvPr>
                    <pic:cNvPicPr>
                      <a:picLocks noChangeAspect="1"/>
                    </pic:cNvPicPr>
                  </pic:nvPicPr>
                  <pic:blipFill rotWithShape="1">
                    <a:blip r:embed="rId8"/>
                    <a:srcRect l="13600" t="19735" r="73856" b="57877"/>
                    <a:stretch/>
                  </pic:blipFill>
                  <pic:spPr>
                    <a:xfrm>
                      <a:off x="0" y="0"/>
                      <a:ext cx="5752531" cy="3465242"/>
                    </a:xfrm>
                    <a:prstGeom prst="rect">
                      <a:avLst/>
                    </a:prstGeom>
                  </pic:spPr>
                </pic:pic>
              </a:graphicData>
            </a:graphic>
          </wp:inline>
        </w:drawing>
      </w:r>
    </w:p>
    <w:p w14:paraId="20F2EB58" w14:textId="77777777" w:rsidR="00006653" w:rsidRDefault="00006653">
      <w:r w:rsidRPr="00006653">
        <w:drawing>
          <wp:inline distT="0" distB="0" distL="0" distR="0" wp14:anchorId="4742C7A0" wp14:editId="67F12542">
            <wp:extent cx="4667535" cy="3542324"/>
            <wp:effectExtent l="0" t="0" r="0" b="1270"/>
            <wp:docPr id="5" name="Picture 4">
              <a:extLst xmlns:a="http://schemas.openxmlformats.org/drawingml/2006/main">
                <a:ext uri="{FF2B5EF4-FFF2-40B4-BE49-F238E27FC236}">
                  <a16:creationId xmlns:a16="http://schemas.microsoft.com/office/drawing/2014/main" id="{DA5D36BA-A0D2-4EA5-93B5-2FF5D23CA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A5D36BA-A0D2-4EA5-93B5-2FF5D23CA1ED}"/>
                        </a:ext>
                      </a:extLst>
                    </pic:cNvPr>
                    <pic:cNvPicPr>
                      <a:picLocks noChangeAspect="1"/>
                    </pic:cNvPicPr>
                  </pic:nvPicPr>
                  <pic:blipFill rotWithShape="1">
                    <a:blip r:embed="rId9"/>
                    <a:srcRect l="13601" t="19735" r="73862" b="52073"/>
                    <a:stretch/>
                  </pic:blipFill>
                  <pic:spPr>
                    <a:xfrm>
                      <a:off x="0" y="0"/>
                      <a:ext cx="4667535" cy="3542324"/>
                    </a:xfrm>
                    <a:prstGeom prst="rect">
                      <a:avLst/>
                    </a:prstGeom>
                  </pic:spPr>
                </pic:pic>
              </a:graphicData>
            </a:graphic>
          </wp:inline>
        </w:drawing>
      </w:r>
    </w:p>
    <w:p w14:paraId="223B5B53" w14:textId="77777777" w:rsidR="00006653" w:rsidRPr="00006653" w:rsidRDefault="00006653" w:rsidP="00006653">
      <w:r w:rsidRPr="00006653">
        <w:lastRenderedPageBreak/>
        <w:t>JP drain</w:t>
      </w:r>
    </w:p>
    <w:p w14:paraId="5A2B3626" w14:textId="77777777" w:rsidR="00006653" w:rsidRPr="00006653" w:rsidRDefault="00006653" w:rsidP="00006653">
      <w:r w:rsidRPr="00006653">
        <w:t>Traditional trocar</w:t>
      </w:r>
    </w:p>
    <w:p w14:paraId="46C93615" w14:textId="77777777" w:rsidR="00006653" w:rsidRPr="00006653" w:rsidRDefault="00006653" w:rsidP="00006653">
      <w:proofErr w:type="gramStart"/>
      <w:r w:rsidRPr="00006653">
        <w:t>Guide-wire</w:t>
      </w:r>
      <w:proofErr w:type="gramEnd"/>
    </w:p>
    <w:p w14:paraId="302C9B25" w14:textId="77777777" w:rsidR="00006653" w:rsidRPr="00006653" w:rsidRDefault="00006653" w:rsidP="00006653">
      <w:r w:rsidRPr="00006653">
        <w:t xml:space="preserve">Ten minor and 4 major complications occurred in 65 patients. JP drains were significantly less likely to have complications (2 </w:t>
      </w:r>
      <w:proofErr w:type="gramStart"/>
      <w:r w:rsidRPr="00006653">
        <w:t>minor</w:t>
      </w:r>
      <w:proofErr w:type="gramEnd"/>
      <w:r w:rsidRPr="00006653">
        <w:t xml:space="preserve">, 1 major) than cases with trocar drains (8 minor, 3 major). There was no difference in number of major complications when comparing all three drains individually. </w:t>
      </w:r>
    </w:p>
    <w:p w14:paraId="3A48BA46" w14:textId="77777777" w:rsidR="00006653" w:rsidRPr="00006653" w:rsidRDefault="00006653" w:rsidP="00006653">
      <w:r w:rsidRPr="00006653">
        <w:t xml:space="preserve">In general, the diameter of the thoracostomy drain should be similar in size to the mainstem bronchus of the patient, however smaller-diameter chest drains are associated with less pain in humans and have been shown to be an effective alternative to large-bore tubes. JP drains are potentially advantageous to trocar drains because of increased flexibility, smaller size, and possible increased comfort. They continue to allow for continuous suction and reservoir collection to monitor fluid quantity and quality. Minor complications included pain reported to be associated with the drain requiring additional medications (n=6), serosanguineous discharge from thoracostomy drain insertion site (n=1), and subcutaneous emphysema round the drain (n=1). </w:t>
      </w:r>
    </w:p>
    <w:p w14:paraId="131EF57C" w14:textId="77777777" w:rsidR="00006653" w:rsidRPr="00006653" w:rsidRDefault="00006653" w:rsidP="00006653">
      <w:r w:rsidRPr="00006653">
        <w:t xml:space="preserve">Three major complications were associated with the trocar. First one was a large amount of subcutaneous fluid noted around the incision site of the thoracostomy drain. A leak in the tube was noticed. The second one, the dog was in </w:t>
      </w:r>
      <w:proofErr w:type="spellStart"/>
      <w:r w:rsidRPr="00006653">
        <w:t>respipratory</w:t>
      </w:r>
      <w:proofErr w:type="spellEnd"/>
      <w:r w:rsidRPr="00006653">
        <w:t xml:space="preserve"> distress and there were decreased lung sounds in all fields on auscultation. TFAST revealed the absence of glide. Pneumothorax was suspected but the tube was not productive. The patient was </w:t>
      </w:r>
      <w:proofErr w:type="gramStart"/>
      <w:r w:rsidRPr="00006653">
        <w:t>sedated</w:t>
      </w:r>
      <w:proofErr w:type="gramEnd"/>
      <w:r w:rsidRPr="00006653">
        <w:t xml:space="preserve"> and the tube was repositioned. In the third case, subcutaneous emphysema was noted around the thoracostomy drain site. The patient was sedated. The tube was nonproductive. CXR revealed a pneumothorax. The tube was removed and there was an air leak at the connection between the distal end of the tube and integral funnel end containing the Christmas tree. </w:t>
      </w:r>
    </w:p>
    <w:p w14:paraId="25BC58A9" w14:textId="77777777" w:rsidR="00006653" w:rsidRPr="00006653" w:rsidRDefault="00006653" w:rsidP="00006653">
      <w:r w:rsidRPr="00006653">
        <w:t xml:space="preserve">Three out of 31 cases with JP thoracostomy drains had complications, of which 2 were minor and 1 was major. The minor ones were pain meds. The major one was fracture of the tube on removal. </w:t>
      </w:r>
    </w:p>
    <w:p w14:paraId="45A2113A" w14:textId="77777777" w:rsidR="00006653" w:rsidRPr="00006653" w:rsidRDefault="00006653" w:rsidP="00006653">
      <w:r w:rsidRPr="00006653">
        <w:t xml:space="preserve">None of the 9 patients with </w:t>
      </w:r>
      <w:proofErr w:type="gramStart"/>
      <w:r w:rsidRPr="00006653">
        <w:t>guide-wire</w:t>
      </w:r>
      <w:proofErr w:type="gramEnd"/>
      <w:r w:rsidRPr="00006653">
        <w:t xml:space="preserve"> had reported complications. </w:t>
      </w:r>
    </w:p>
    <w:p w14:paraId="757BC2FF" w14:textId="77777777" w:rsidR="00006653" w:rsidRDefault="00006653"/>
    <w:p w14:paraId="27F4A42E" w14:textId="77777777" w:rsidR="00006653" w:rsidRDefault="00006653">
      <w:r w:rsidRPr="00006653">
        <w:lastRenderedPageBreak/>
        <w:drawing>
          <wp:inline distT="0" distB="0" distL="0" distR="0" wp14:anchorId="292F308A" wp14:editId="1265F6A0">
            <wp:extent cx="4626591" cy="3379334"/>
            <wp:effectExtent l="0" t="0" r="3175" b="0"/>
            <wp:docPr id="1" name="Picture 3">
              <a:extLst xmlns:a="http://schemas.openxmlformats.org/drawingml/2006/main">
                <a:ext uri="{FF2B5EF4-FFF2-40B4-BE49-F238E27FC236}">
                  <a16:creationId xmlns:a16="http://schemas.microsoft.com/office/drawing/2014/main" id="{FC95877A-258A-4BD3-BF5D-3BD5B5BB8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C95877A-258A-4BD3-BF5D-3BD5B5BB8925}"/>
                        </a:ext>
                      </a:extLst>
                    </pic:cNvPr>
                    <pic:cNvPicPr>
                      <a:picLocks noChangeAspect="1"/>
                    </pic:cNvPicPr>
                  </pic:nvPicPr>
                  <pic:blipFill rotWithShape="1">
                    <a:blip r:embed="rId10"/>
                    <a:srcRect l="13825" t="20314" r="74030" b="53400"/>
                    <a:stretch/>
                  </pic:blipFill>
                  <pic:spPr>
                    <a:xfrm>
                      <a:off x="0" y="0"/>
                      <a:ext cx="4626591" cy="3379334"/>
                    </a:xfrm>
                    <a:prstGeom prst="rect">
                      <a:avLst/>
                    </a:prstGeom>
                  </pic:spPr>
                </pic:pic>
              </a:graphicData>
            </a:graphic>
          </wp:inline>
        </w:drawing>
      </w:r>
    </w:p>
    <w:p w14:paraId="6F4B2FC8" w14:textId="77777777" w:rsidR="00006653" w:rsidRPr="00006653" w:rsidRDefault="00006653" w:rsidP="00006653">
      <w:r w:rsidRPr="00006653">
        <w:t xml:space="preserve">Trigeminal neuropathy: </w:t>
      </w:r>
    </w:p>
    <w:p w14:paraId="3274F8E7" w14:textId="77777777" w:rsidR="00006653" w:rsidRPr="00006653" w:rsidRDefault="00006653" w:rsidP="00006653">
      <w:pPr>
        <w:numPr>
          <w:ilvl w:val="0"/>
          <w:numId w:val="1"/>
        </w:numPr>
      </w:pPr>
      <w:r w:rsidRPr="00006653">
        <w:t xml:space="preserve">Cancer: peripheral nerve sheath tumor, lymphoma. Usually have enlargement of the nerve with a compressive mass effect on the brainstem. </w:t>
      </w:r>
    </w:p>
    <w:p w14:paraId="4C7D8976" w14:textId="77777777" w:rsidR="00006653" w:rsidRPr="00006653" w:rsidRDefault="00006653" w:rsidP="00006653">
      <w:pPr>
        <w:numPr>
          <w:ilvl w:val="0"/>
          <w:numId w:val="1"/>
        </w:numPr>
      </w:pPr>
      <w:r w:rsidRPr="00006653">
        <w:t xml:space="preserve">Neuritis: similar as above on MRI but with no contrast enhancement. </w:t>
      </w:r>
    </w:p>
    <w:p w14:paraId="070F6204" w14:textId="77777777" w:rsidR="00006653" w:rsidRPr="00006653" w:rsidRDefault="00006653" w:rsidP="00006653">
      <w:pPr>
        <w:numPr>
          <w:ilvl w:val="0"/>
          <w:numId w:val="1"/>
        </w:numPr>
      </w:pPr>
      <w:r w:rsidRPr="00006653">
        <w:t xml:space="preserve">Idiopathic trigeminal neuropathy: unremarkable nerve on MRI. </w:t>
      </w:r>
    </w:p>
    <w:p w14:paraId="742FE760" w14:textId="77777777" w:rsidR="00006653" w:rsidRPr="00006653" w:rsidRDefault="00006653" w:rsidP="00006653">
      <w:pPr>
        <w:numPr>
          <w:ilvl w:val="0"/>
          <w:numId w:val="1"/>
        </w:numPr>
      </w:pPr>
      <w:r w:rsidRPr="00006653">
        <w:t xml:space="preserve">- or, extracranial tumors or perineural inflammatory processes such as abscess or cellulitis causing a mass effect or infiltration of the trigeminal nerve may induce similar clinical signs. </w:t>
      </w:r>
    </w:p>
    <w:p w14:paraId="6CCC495B" w14:textId="77777777" w:rsidR="00006653" w:rsidRPr="00006653" w:rsidRDefault="00006653" w:rsidP="00006653">
      <w:r w:rsidRPr="00006653">
        <w:t xml:space="preserve">Trigeminal nerve is the largest cranial nerve. It has three branches: mandibular branch (motor and sensory), maxillary branch (sensory), and ophthalmic branch (sensory). Disorders of the trigeminal nerve manifest as unilateral or bilateral masticatory muscle atrophy if the mandibular branch(es) is/are involved. In some cases of bilateral involvement, dogs may present with an inability to close the mouth (dropped jaw). Reduced or absent sensation may be detected in areas innervated by one or more sensory branches of the trigeminal nerve. </w:t>
      </w:r>
    </w:p>
    <w:p w14:paraId="74270F15" w14:textId="77777777" w:rsidR="00006653" w:rsidRPr="00006653" w:rsidRDefault="00006653" w:rsidP="00006653">
      <w:r w:rsidRPr="00006653">
        <w:t xml:space="preserve">Can have ipsilateral middle ear effusion and </w:t>
      </w:r>
      <w:proofErr w:type="spellStart"/>
      <w:r w:rsidRPr="00006653">
        <w:t>horner’s</w:t>
      </w:r>
      <w:proofErr w:type="spellEnd"/>
      <w:r w:rsidRPr="00006653">
        <w:t xml:space="preserve"> syndrome, the latter of which is reported occasionally with various trigeminal diseases such as neoplasia, idiopathic trigeminal neuritis, and </w:t>
      </w:r>
      <w:proofErr w:type="spellStart"/>
      <w:r w:rsidRPr="00006653">
        <w:t>polyradiculoneuritis</w:t>
      </w:r>
      <w:proofErr w:type="spellEnd"/>
      <w:r w:rsidRPr="00006653">
        <w:t xml:space="preserve">. </w:t>
      </w:r>
    </w:p>
    <w:p w14:paraId="197A8F8B" w14:textId="77777777" w:rsidR="00006653" w:rsidRPr="00006653" w:rsidRDefault="00006653" w:rsidP="00006653">
      <w:r w:rsidRPr="00006653">
        <w:t xml:space="preserve">If there was any question from the MRI between neoplasia and neuritis, the dog was classified with neoplasia if neurologic deterioration consistent with ipsilateral brainstem involvement occurred within 2 years after diagnoses. </w:t>
      </w:r>
    </w:p>
    <w:p w14:paraId="0DE1852A" w14:textId="77777777" w:rsidR="00006653" w:rsidRPr="00006653" w:rsidRDefault="00006653" w:rsidP="00006653">
      <w:r w:rsidRPr="00006653">
        <w:t>49 dogs met inclusion criteria – 26 (53%) had ITN, 15 (31%) were presumptively diagnosed with neoplasia, and 8 (16%) with neuritis. Of the neoplasia group, the median survival time was 6 months (2-</w:t>
      </w:r>
      <w:r w:rsidRPr="00006653">
        <w:lastRenderedPageBreak/>
        <w:t xml:space="preserve">24mo). Three dogs (20%) lived &gt;1 year after diagnosis. Most of the dogs (73%) were euthanized because of neurological decompensation and progression of neurological deficits, mainly ipsilateral to the tumor, and </w:t>
      </w:r>
      <w:proofErr w:type="spellStart"/>
      <w:r w:rsidRPr="00006653">
        <w:t>tetraparesis</w:t>
      </w:r>
      <w:proofErr w:type="spellEnd"/>
      <w:r w:rsidRPr="00006653">
        <w:t xml:space="preserve">. </w:t>
      </w:r>
    </w:p>
    <w:p w14:paraId="1FBE628B" w14:textId="77777777" w:rsidR="00006653" w:rsidRPr="00006653" w:rsidRDefault="00006653" w:rsidP="00006653">
      <w:r w:rsidRPr="00006653">
        <w:t xml:space="preserve">No dogs with bilateral trigeminal neuropathy were classified as having neoplasia. </w:t>
      </w:r>
    </w:p>
    <w:p w14:paraId="65D73082" w14:textId="77777777" w:rsidR="00006653" w:rsidRDefault="00006653">
      <w:r w:rsidRPr="00006653">
        <w:drawing>
          <wp:inline distT="0" distB="0" distL="0" distR="0" wp14:anchorId="6CB31F74" wp14:editId="2ECAA259">
            <wp:extent cx="5111087" cy="3615578"/>
            <wp:effectExtent l="0" t="0" r="0" b="4445"/>
            <wp:docPr id="2" name="Picture 4">
              <a:extLst xmlns:a="http://schemas.openxmlformats.org/drawingml/2006/main">
                <a:ext uri="{FF2B5EF4-FFF2-40B4-BE49-F238E27FC236}">
                  <a16:creationId xmlns:a16="http://schemas.microsoft.com/office/drawing/2014/main" id="{708C2308-800A-4054-86EE-39B802136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08C2308-800A-4054-86EE-39B80213625C}"/>
                        </a:ext>
                      </a:extLst>
                    </pic:cNvPr>
                    <pic:cNvPicPr>
                      <a:picLocks noChangeAspect="1"/>
                    </pic:cNvPicPr>
                  </pic:nvPicPr>
                  <pic:blipFill rotWithShape="1">
                    <a:blip r:embed="rId11"/>
                    <a:srcRect l="13714" t="20280" r="74085" b="54146"/>
                    <a:stretch/>
                  </pic:blipFill>
                  <pic:spPr>
                    <a:xfrm>
                      <a:off x="0" y="0"/>
                      <a:ext cx="5111087" cy="3615578"/>
                    </a:xfrm>
                    <a:prstGeom prst="rect">
                      <a:avLst/>
                    </a:prstGeom>
                  </pic:spPr>
                </pic:pic>
              </a:graphicData>
            </a:graphic>
          </wp:inline>
        </w:drawing>
      </w:r>
    </w:p>
    <w:p w14:paraId="0B6CC60B" w14:textId="77777777" w:rsidR="00006653" w:rsidRDefault="00006653">
      <w:r w:rsidRPr="00006653">
        <w:drawing>
          <wp:inline distT="0" distB="0" distL="0" distR="0" wp14:anchorId="2EC2F7E4" wp14:editId="08ACAB37">
            <wp:extent cx="5827594" cy="3470013"/>
            <wp:effectExtent l="0" t="0" r="1905" b="0"/>
            <wp:docPr id="3" name="Picture 3">
              <a:extLst xmlns:a="http://schemas.openxmlformats.org/drawingml/2006/main">
                <a:ext uri="{FF2B5EF4-FFF2-40B4-BE49-F238E27FC236}">
                  <a16:creationId xmlns:a16="http://schemas.microsoft.com/office/drawing/2014/main" id="{EA8DE459-3F9F-48FE-9AAB-398067E30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A8DE459-3F9F-48FE-9AAB-398067E30F23}"/>
                        </a:ext>
                      </a:extLst>
                    </pic:cNvPr>
                    <pic:cNvPicPr>
                      <a:picLocks noChangeAspect="1"/>
                    </pic:cNvPicPr>
                  </pic:nvPicPr>
                  <pic:blipFill rotWithShape="1">
                    <a:blip r:embed="rId12"/>
                    <a:srcRect l="13712" t="19901" r="73974" b="58375"/>
                    <a:stretch/>
                  </pic:blipFill>
                  <pic:spPr>
                    <a:xfrm>
                      <a:off x="0" y="0"/>
                      <a:ext cx="5827594" cy="3470013"/>
                    </a:xfrm>
                    <a:prstGeom prst="rect">
                      <a:avLst/>
                    </a:prstGeom>
                  </pic:spPr>
                </pic:pic>
              </a:graphicData>
            </a:graphic>
          </wp:inline>
        </w:drawing>
      </w:r>
    </w:p>
    <w:p w14:paraId="66F64D2A" w14:textId="77777777" w:rsidR="00006653" w:rsidRDefault="00006653">
      <w:r w:rsidRPr="00006653">
        <w:lastRenderedPageBreak/>
        <w:drawing>
          <wp:inline distT="0" distB="0" distL="0" distR="0" wp14:anchorId="63311819" wp14:editId="6D765CFB">
            <wp:extent cx="5813947" cy="3290160"/>
            <wp:effectExtent l="0" t="0" r="0" b="5715"/>
            <wp:docPr id="6" name="Picture 4">
              <a:extLst xmlns:a="http://schemas.openxmlformats.org/drawingml/2006/main">
                <a:ext uri="{FF2B5EF4-FFF2-40B4-BE49-F238E27FC236}">
                  <a16:creationId xmlns:a16="http://schemas.microsoft.com/office/drawing/2014/main" id="{231DB1F4-E60E-4666-BFAF-3055E71CE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31DB1F4-E60E-4666-BFAF-3055E71CE3AD}"/>
                        </a:ext>
                      </a:extLst>
                    </pic:cNvPr>
                    <pic:cNvPicPr>
                      <a:picLocks noChangeAspect="1"/>
                    </pic:cNvPicPr>
                  </pic:nvPicPr>
                  <pic:blipFill rotWithShape="1">
                    <a:blip r:embed="rId13"/>
                    <a:srcRect l="13712" t="20398" r="73974" b="58955"/>
                    <a:stretch/>
                  </pic:blipFill>
                  <pic:spPr>
                    <a:xfrm>
                      <a:off x="0" y="0"/>
                      <a:ext cx="5813947" cy="3290160"/>
                    </a:xfrm>
                    <a:prstGeom prst="rect">
                      <a:avLst/>
                    </a:prstGeom>
                  </pic:spPr>
                </pic:pic>
              </a:graphicData>
            </a:graphic>
          </wp:inline>
        </w:drawing>
      </w:r>
    </w:p>
    <w:p w14:paraId="11FB34CE" w14:textId="77777777" w:rsidR="00006653" w:rsidRDefault="00006653">
      <w:r w:rsidRPr="00006653">
        <w:drawing>
          <wp:inline distT="0" distB="0" distL="0" distR="0" wp14:anchorId="70DA0A95" wp14:editId="77D4EAA4">
            <wp:extent cx="4988257" cy="3577555"/>
            <wp:effectExtent l="0" t="0" r="3175" b="4445"/>
            <wp:docPr id="7" name="Picture 4">
              <a:extLst xmlns:a="http://schemas.openxmlformats.org/drawingml/2006/main">
                <a:ext uri="{FF2B5EF4-FFF2-40B4-BE49-F238E27FC236}">
                  <a16:creationId xmlns:a16="http://schemas.microsoft.com/office/drawing/2014/main" id="{87F81C75-DAE8-4271-A71A-6687A9358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7F81C75-DAE8-4271-A71A-6687A935814A}"/>
                        </a:ext>
                      </a:extLst>
                    </pic:cNvPr>
                    <pic:cNvPicPr>
                      <a:picLocks noChangeAspect="1"/>
                    </pic:cNvPicPr>
                  </pic:nvPicPr>
                  <pic:blipFill rotWithShape="1">
                    <a:blip r:embed="rId14"/>
                    <a:srcRect l="13713" t="20233" r="73918" b="53482"/>
                    <a:stretch/>
                  </pic:blipFill>
                  <pic:spPr>
                    <a:xfrm>
                      <a:off x="0" y="0"/>
                      <a:ext cx="4988257" cy="3577555"/>
                    </a:xfrm>
                    <a:prstGeom prst="rect">
                      <a:avLst/>
                    </a:prstGeom>
                  </pic:spPr>
                </pic:pic>
              </a:graphicData>
            </a:graphic>
          </wp:inline>
        </w:drawing>
      </w:r>
      <w:bookmarkStart w:id="0" w:name="_GoBack"/>
      <w:bookmarkEnd w:id="0"/>
    </w:p>
    <w:sectPr w:rsidR="00006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82D2A"/>
    <w:multiLevelType w:val="hybridMultilevel"/>
    <w:tmpl w:val="E0D26E82"/>
    <w:lvl w:ilvl="0" w:tplc="DC38DCFE">
      <w:start w:val="1"/>
      <w:numFmt w:val="bullet"/>
      <w:lvlText w:val="-"/>
      <w:lvlJc w:val="left"/>
      <w:pPr>
        <w:tabs>
          <w:tab w:val="num" w:pos="720"/>
        </w:tabs>
        <w:ind w:left="720" w:hanging="360"/>
      </w:pPr>
      <w:rPr>
        <w:rFonts w:ascii="Times New Roman" w:hAnsi="Times New Roman" w:hint="default"/>
      </w:rPr>
    </w:lvl>
    <w:lvl w:ilvl="1" w:tplc="8CB6AEEA" w:tentative="1">
      <w:start w:val="1"/>
      <w:numFmt w:val="bullet"/>
      <w:lvlText w:val="-"/>
      <w:lvlJc w:val="left"/>
      <w:pPr>
        <w:tabs>
          <w:tab w:val="num" w:pos="1440"/>
        </w:tabs>
        <w:ind w:left="1440" w:hanging="360"/>
      </w:pPr>
      <w:rPr>
        <w:rFonts w:ascii="Times New Roman" w:hAnsi="Times New Roman" w:hint="default"/>
      </w:rPr>
    </w:lvl>
    <w:lvl w:ilvl="2" w:tplc="C8364686" w:tentative="1">
      <w:start w:val="1"/>
      <w:numFmt w:val="bullet"/>
      <w:lvlText w:val="-"/>
      <w:lvlJc w:val="left"/>
      <w:pPr>
        <w:tabs>
          <w:tab w:val="num" w:pos="2160"/>
        </w:tabs>
        <w:ind w:left="2160" w:hanging="360"/>
      </w:pPr>
      <w:rPr>
        <w:rFonts w:ascii="Times New Roman" w:hAnsi="Times New Roman" w:hint="default"/>
      </w:rPr>
    </w:lvl>
    <w:lvl w:ilvl="3" w:tplc="FFE6B3E0" w:tentative="1">
      <w:start w:val="1"/>
      <w:numFmt w:val="bullet"/>
      <w:lvlText w:val="-"/>
      <w:lvlJc w:val="left"/>
      <w:pPr>
        <w:tabs>
          <w:tab w:val="num" w:pos="2880"/>
        </w:tabs>
        <w:ind w:left="2880" w:hanging="360"/>
      </w:pPr>
      <w:rPr>
        <w:rFonts w:ascii="Times New Roman" w:hAnsi="Times New Roman" w:hint="default"/>
      </w:rPr>
    </w:lvl>
    <w:lvl w:ilvl="4" w:tplc="431E4D1C" w:tentative="1">
      <w:start w:val="1"/>
      <w:numFmt w:val="bullet"/>
      <w:lvlText w:val="-"/>
      <w:lvlJc w:val="left"/>
      <w:pPr>
        <w:tabs>
          <w:tab w:val="num" w:pos="3600"/>
        </w:tabs>
        <w:ind w:left="3600" w:hanging="360"/>
      </w:pPr>
      <w:rPr>
        <w:rFonts w:ascii="Times New Roman" w:hAnsi="Times New Roman" w:hint="default"/>
      </w:rPr>
    </w:lvl>
    <w:lvl w:ilvl="5" w:tplc="8A8CBBA0" w:tentative="1">
      <w:start w:val="1"/>
      <w:numFmt w:val="bullet"/>
      <w:lvlText w:val="-"/>
      <w:lvlJc w:val="left"/>
      <w:pPr>
        <w:tabs>
          <w:tab w:val="num" w:pos="4320"/>
        </w:tabs>
        <w:ind w:left="4320" w:hanging="360"/>
      </w:pPr>
      <w:rPr>
        <w:rFonts w:ascii="Times New Roman" w:hAnsi="Times New Roman" w:hint="default"/>
      </w:rPr>
    </w:lvl>
    <w:lvl w:ilvl="6" w:tplc="71B460CC" w:tentative="1">
      <w:start w:val="1"/>
      <w:numFmt w:val="bullet"/>
      <w:lvlText w:val="-"/>
      <w:lvlJc w:val="left"/>
      <w:pPr>
        <w:tabs>
          <w:tab w:val="num" w:pos="5040"/>
        </w:tabs>
        <w:ind w:left="5040" w:hanging="360"/>
      </w:pPr>
      <w:rPr>
        <w:rFonts w:ascii="Times New Roman" w:hAnsi="Times New Roman" w:hint="default"/>
      </w:rPr>
    </w:lvl>
    <w:lvl w:ilvl="7" w:tplc="CBC4D99C" w:tentative="1">
      <w:start w:val="1"/>
      <w:numFmt w:val="bullet"/>
      <w:lvlText w:val="-"/>
      <w:lvlJc w:val="left"/>
      <w:pPr>
        <w:tabs>
          <w:tab w:val="num" w:pos="5760"/>
        </w:tabs>
        <w:ind w:left="5760" w:hanging="360"/>
      </w:pPr>
      <w:rPr>
        <w:rFonts w:ascii="Times New Roman" w:hAnsi="Times New Roman" w:hint="default"/>
      </w:rPr>
    </w:lvl>
    <w:lvl w:ilvl="8" w:tplc="D40E9EA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4C6"/>
    <w:rsid w:val="00006653"/>
    <w:rsid w:val="00092A47"/>
    <w:rsid w:val="00760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0F9D"/>
  <w15:chartTrackingRefBased/>
  <w15:docId w15:val="{D1E54E93-4546-4CE5-B61E-A3D6C6FA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331970">
      <w:bodyDiv w:val="1"/>
      <w:marLeft w:val="0"/>
      <w:marRight w:val="0"/>
      <w:marTop w:val="0"/>
      <w:marBottom w:val="0"/>
      <w:divBdr>
        <w:top w:val="none" w:sz="0" w:space="0" w:color="auto"/>
        <w:left w:val="none" w:sz="0" w:space="0" w:color="auto"/>
        <w:bottom w:val="none" w:sz="0" w:space="0" w:color="auto"/>
        <w:right w:val="none" w:sz="0" w:space="0" w:color="auto"/>
      </w:divBdr>
    </w:div>
    <w:div w:id="452478609">
      <w:bodyDiv w:val="1"/>
      <w:marLeft w:val="0"/>
      <w:marRight w:val="0"/>
      <w:marTop w:val="0"/>
      <w:marBottom w:val="0"/>
      <w:divBdr>
        <w:top w:val="none" w:sz="0" w:space="0" w:color="auto"/>
        <w:left w:val="none" w:sz="0" w:space="0" w:color="auto"/>
        <w:bottom w:val="none" w:sz="0" w:space="0" w:color="auto"/>
        <w:right w:val="none" w:sz="0" w:space="0" w:color="auto"/>
      </w:divBdr>
      <w:divsChild>
        <w:div w:id="328758570">
          <w:marLeft w:val="274"/>
          <w:marRight w:val="0"/>
          <w:marTop w:val="0"/>
          <w:marBottom w:val="0"/>
          <w:divBdr>
            <w:top w:val="none" w:sz="0" w:space="0" w:color="auto"/>
            <w:left w:val="none" w:sz="0" w:space="0" w:color="auto"/>
            <w:bottom w:val="none" w:sz="0" w:space="0" w:color="auto"/>
            <w:right w:val="none" w:sz="0" w:space="0" w:color="auto"/>
          </w:divBdr>
        </w:div>
        <w:div w:id="628979660">
          <w:marLeft w:val="274"/>
          <w:marRight w:val="0"/>
          <w:marTop w:val="0"/>
          <w:marBottom w:val="0"/>
          <w:divBdr>
            <w:top w:val="none" w:sz="0" w:space="0" w:color="auto"/>
            <w:left w:val="none" w:sz="0" w:space="0" w:color="auto"/>
            <w:bottom w:val="none" w:sz="0" w:space="0" w:color="auto"/>
            <w:right w:val="none" w:sz="0" w:space="0" w:color="auto"/>
          </w:divBdr>
        </w:div>
        <w:div w:id="779298555">
          <w:marLeft w:val="274"/>
          <w:marRight w:val="0"/>
          <w:marTop w:val="0"/>
          <w:marBottom w:val="0"/>
          <w:divBdr>
            <w:top w:val="none" w:sz="0" w:space="0" w:color="auto"/>
            <w:left w:val="none" w:sz="0" w:space="0" w:color="auto"/>
            <w:bottom w:val="none" w:sz="0" w:space="0" w:color="auto"/>
            <w:right w:val="none" w:sz="0" w:space="0" w:color="auto"/>
          </w:divBdr>
        </w:div>
        <w:div w:id="41806328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62718F4B0894897293A5D0C34F6A2" ma:contentTypeVersion="13" ma:contentTypeDescription="Create a new document." ma:contentTypeScope="" ma:versionID="c0217cdb19715646c0e2bac12615a093">
  <xsd:schema xmlns:xsd="http://www.w3.org/2001/XMLSchema" xmlns:xs="http://www.w3.org/2001/XMLSchema" xmlns:p="http://schemas.microsoft.com/office/2006/metadata/properties" xmlns:ns3="b6f8e720-1faf-4321-a7f0-b8cf699ccded" xmlns:ns4="019bd1a3-a605-4b55-8fd1-b03699884a8a" targetNamespace="http://schemas.microsoft.com/office/2006/metadata/properties" ma:root="true" ma:fieldsID="6b49edfa6d1690a2b270a1d169679cb9" ns3:_="" ns4:_="">
    <xsd:import namespace="b6f8e720-1faf-4321-a7f0-b8cf699ccded"/>
    <xsd:import namespace="019bd1a3-a605-4b55-8fd1-b03699884a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8e720-1faf-4321-a7f0-b8cf699cc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9bd1a3-a605-4b55-8fd1-b03699884a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6B248-1DFA-4ADF-BB09-CA95ECA77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8e720-1faf-4321-a7f0-b8cf699ccded"/>
    <ds:schemaRef ds:uri="019bd1a3-a605-4b55-8fd1-b0369988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CA6EE-D25A-4516-B2CE-A19AF48D73A8}">
  <ds:schemaRefs>
    <ds:schemaRef ds:uri="http://schemas.microsoft.com/sharepoint/v3/contenttype/forms"/>
  </ds:schemaRefs>
</ds:datastoreItem>
</file>

<file path=customXml/itemProps3.xml><?xml version="1.0" encoding="utf-8"?>
<ds:datastoreItem xmlns:ds="http://schemas.openxmlformats.org/officeDocument/2006/customXml" ds:itemID="{FFBC6A1E-1791-4266-A800-784C61DEE42D}">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b6f8e720-1faf-4321-a7f0-b8cf699ccded"/>
    <ds:schemaRef ds:uri="http://purl.org/dc/terms/"/>
    <ds:schemaRef ds:uri="019bd1a3-a605-4b55-8fd1-b03699884a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Herrera</dc:creator>
  <cp:keywords/>
  <dc:description/>
  <cp:lastModifiedBy>Noelle Herrera</cp:lastModifiedBy>
  <cp:revision>1</cp:revision>
  <dcterms:created xsi:type="dcterms:W3CDTF">2020-03-05T21:58:00Z</dcterms:created>
  <dcterms:modified xsi:type="dcterms:W3CDTF">2020-03-05T22:04:00Z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0x010100D7362718F4B0894897293A5D0C34F6A2</vt:lpwstr>
  </property>
</Properties>
</file>