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8D6EA6" w14:textId="77777777" w:rsidR="00553F36" w:rsidRPr="00A76F48" w:rsidRDefault="00553F36">
      <w:pPr>
        <w:rPr>
          <w:rFonts w:ascii="Calibri" w:hAnsi="Calibri" w:cs="Calibri"/>
          <w:sz w:val="22"/>
          <w:szCs w:val="22"/>
          <w:u w:val="single"/>
          <w:lang w:val="en-US"/>
        </w:rPr>
      </w:pPr>
      <w:r w:rsidRPr="00A76F48">
        <w:rPr>
          <w:rFonts w:ascii="Calibri" w:hAnsi="Calibri" w:cs="Calibri"/>
          <w:sz w:val="22"/>
          <w:szCs w:val="22"/>
          <w:u w:val="single"/>
          <w:lang w:val="en-US"/>
        </w:rPr>
        <w:t>Lit Review Oct 1 – Nov 15 2018</w:t>
      </w:r>
    </w:p>
    <w:p w14:paraId="24DAB8D6" w14:textId="77777777" w:rsidR="00E400AA" w:rsidRPr="00A76F48" w:rsidRDefault="00E400AA">
      <w:pPr>
        <w:rPr>
          <w:rFonts w:ascii="Calibri" w:hAnsi="Calibri" w:cs="Calibri"/>
          <w:sz w:val="22"/>
          <w:szCs w:val="22"/>
          <w:lang w:val="en-US"/>
        </w:rPr>
      </w:pPr>
    </w:p>
    <w:p w14:paraId="75F1BE1C" w14:textId="77777777" w:rsidR="00553F36" w:rsidRPr="00BE32D0" w:rsidRDefault="00553F36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BE32D0">
        <w:rPr>
          <w:rFonts w:ascii="Calibri" w:hAnsi="Calibri" w:cs="Calibri"/>
          <w:b/>
          <w:sz w:val="22"/>
          <w:szCs w:val="22"/>
          <w:u w:val="single"/>
          <w:lang w:val="en-US"/>
        </w:rPr>
        <w:t>JAAHA</w:t>
      </w:r>
    </w:p>
    <w:p w14:paraId="5617263E" w14:textId="29F93010" w:rsidR="00030B50" w:rsidRPr="00A76F48" w:rsidRDefault="00030B50" w:rsidP="00030B50">
      <w:p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2BDF8F45" wp14:editId="3C6E673F">
            <wp:extent cx="5016500" cy="33377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23187" cy="33421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5913B" w14:textId="77777777" w:rsidR="00030B50" w:rsidRPr="00A76F48" w:rsidRDefault="00030B50" w:rsidP="00030B50">
      <w:pPr>
        <w:rPr>
          <w:rFonts w:ascii="Calibri" w:hAnsi="Calibri" w:cs="Calibri"/>
          <w:sz w:val="22"/>
          <w:szCs w:val="22"/>
          <w:lang w:val="en-US"/>
        </w:rPr>
      </w:pPr>
    </w:p>
    <w:p w14:paraId="5122EBEB" w14:textId="749B1B9B" w:rsidR="00553F36" w:rsidRPr="00A76F48" w:rsidRDefault="00030B50" w:rsidP="00030B50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 xml:space="preserve">CSU study; blinded, randomized prospective study </w:t>
      </w:r>
      <w:r w:rsidR="001E1DA7" w:rsidRPr="00A76F48">
        <w:rPr>
          <w:rFonts w:ascii="Calibri" w:hAnsi="Calibri" w:cs="Calibri"/>
          <w:sz w:val="22"/>
          <w:szCs w:val="22"/>
          <w:lang w:val="en-US"/>
        </w:rPr>
        <w:t xml:space="preserve">that enrolled 22 dogs </w:t>
      </w:r>
      <w:r w:rsidRPr="00A76F48">
        <w:rPr>
          <w:rFonts w:ascii="Calibri" w:hAnsi="Calibri" w:cs="Calibri"/>
          <w:sz w:val="22"/>
          <w:szCs w:val="22"/>
          <w:lang w:val="en-US"/>
        </w:rPr>
        <w:t>to compare effects of maropitant vs ondansetron on</w:t>
      </w:r>
      <w:r w:rsidR="005F357E" w:rsidRPr="00A76F48">
        <w:rPr>
          <w:rFonts w:ascii="Calibri" w:hAnsi="Calibri" w:cs="Calibri"/>
          <w:sz w:val="22"/>
          <w:szCs w:val="22"/>
          <w:lang w:val="en-US"/>
        </w:rPr>
        <w:t xml:space="preserve"> clinical recovery of dogs with parvo</w:t>
      </w:r>
    </w:p>
    <w:p w14:paraId="1D65B9BC" w14:textId="7D7EEE75" w:rsidR="005F357E" w:rsidRPr="00A76F48" w:rsidRDefault="005F357E" w:rsidP="005F357E">
      <w:pPr>
        <w:pStyle w:val="ListParagraph"/>
        <w:numPr>
          <w:ilvl w:val="1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Evaluated frequency of vomiting, duration of vomiting, day to voluntary food intake, and requirement of rescue antiemetic</w:t>
      </w:r>
      <w:r w:rsidR="008B59C7" w:rsidRPr="00A76F48">
        <w:rPr>
          <w:rFonts w:ascii="Calibri" w:hAnsi="Calibri" w:cs="Calibri"/>
          <w:sz w:val="22"/>
          <w:szCs w:val="22"/>
          <w:lang w:val="en-US"/>
        </w:rPr>
        <w:t xml:space="preserve"> (If vomiting &gt;3+ times during a </w:t>
      </w:r>
      <w:proofErr w:type="gramStart"/>
      <w:r w:rsidR="008B59C7" w:rsidRPr="00A76F48">
        <w:rPr>
          <w:rFonts w:ascii="Calibri" w:hAnsi="Calibri" w:cs="Calibri"/>
          <w:sz w:val="22"/>
          <w:szCs w:val="22"/>
          <w:lang w:val="en-US"/>
        </w:rPr>
        <w:t>6 hour</w:t>
      </w:r>
      <w:proofErr w:type="gramEnd"/>
      <w:r w:rsidR="008B59C7" w:rsidRPr="00A76F48">
        <w:rPr>
          <w:rFonts w:ascii="Calibri" w:hAnsi="Calibri" w:cs="Calibri"/>
          <w:sz w:val="22"/>
          <w:szCs w:val="22"/>
          <w:lang w:val="en-US"/>
        </w:rPr>
        <w:t xml:space="preserve"> period)</w:t>
      </w:r>
    </w:p>
    <w:p w14:paraId="098F071A" w14:textId="0364DFFF" w:rsidR="001E1DA7" w:rsidRPr="00A76F48" w:rsidRDefault="001E1DA7" w:rsidP="001E1DA7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Results: No significant difference found in differences in duration of hospitalization (mean = 3days), duration of vomiting, time to voluntary food intake or mean pain score.  No difference in requirement of rescue antiemetics but both groups required rescues (3/11 in maropitant and 5/11 in ondansetron group)</w:t>
      </w:r>
      <w:r w:rsidR="002528A4" w:rsidRPr="00A76F48">
        <w:rPr>
          <w:rFonts w:ascii="Calibri" w:hAnsi="Calibri" w:cs="Calibri"/>
          <w:sz w:val="22"/>
          <w:szCs w:val="22"/>
          <w:lang w:val="en-US"/>
        </w:rPr>
        <w:t>.</w:t>
      </w:r>
    </w:p>
    <w:p w14:paraId="4FF1D908" w14:textId="4783F264" w:rsidR="00F10FC7" w:rsidRPr="00A76F48" w:rsidRDefault="00F10FC7" w:rsidP="001E1DA7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Interestingly, 100% survival to discharge reported</w:t>
      </w:r>
    </w:p>
    <w:p w14:paraId="0F411EB2" w14:textId="767AECF9" w:rsidR="002528A4" w:rsidRPr="00A76F48" w:rsidRDefault="00650AFF" w:rsidP="001E1DA7">
      <w:pPr>
        <w:pStyle w:val="ListParagraph"/>
        <w:numPr>
          <w:ilvl w:val="0"/>
          <w:numId w:val="2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Study supported in part by Zoetis</w:t>
      </w:r>
    </w:p>
    <w:p w14:paraId="64E204DD" w14:textId="6AE1BF96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717FC078" w14:textId="1D1158D9" w:rsidR="003045CC" w:rsidRPr="00A76F48" w:rsidRDefault="003045CC" w:rsidP="00B46171">
      <w:p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noProof/>
          <w:sz w:val="22"/>
          <w:szCs w:val="22"/>
          <w:lang w:val="en-US"/>
        </w:rPr>
        <w:lastRenderedPageBreak/>
        <w:drawing>
          <wp:inline distT="0" distB="0" distL="0" distR="0" wp14:anchorId="7F55C94F" wp14:editId="642C9307">
            <wp:extent cx="5321300" cy="3279658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27114" cy="32832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75EA6" w14:textId="7901CBFA" w:rsidR="00150E1B" w:rsidRPr="00A76F48" w:rsidRDefault="00150E1B" w:rsidP="00150E1B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Retrospective study performed at Illinois</w:t>
      </w:r>
    </w:p>
    <w:p w14:paraId="6915ECA1" w14:textId="5501CA64" w:rsidR="006F15B5" w:rsidRPr="00A76F48" w:rsidRDefault="00150E1B" w:rsidP="00A76F48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 xml:space="preserve">Goal to evaluate 1) determine NLR in septic peritonitis, </w:t>
      </w:r>
      <w:r w:rsidR="006F15B5" w:rsidRPr="00A76F48">
        <w:rPr>
          <w:rFonts w:ascii="Calibri" w:hAnsi="Calibri" w:cs="Calibri"/>
          <w:sz w:val="22"/>
          <w:szCs w:val="22"/>
          <w:lang w:val="en-US"/>
        </w:rPr>
        <w:t>non-infectious SIRS (NSIRS) and healthy dog; 2) assess for relationship b/w NLR and illness severity, length of hospitalization and outcome (i.e. survival to discharge</w:t>
      </w:r>
      <w:r w:rsidR="00A76F48" w:rsidRPr="00A76F48">
        <w:rPr>
          <w:rFonts w:ascii="Calibri" w:hAnsi="Calibri" w:cs="Calibri"/>
          <w:sz w:val="22"/>
          <w:szCs w:val="22"/>
          <w:lang w:val="en-US"/>
        </w:rPr>
        <w:t>)</w:t>
      </w:r>
    </w:p>
    <w:p w14:paraId="40BE31B9" w14:textId="44950EDC" w:rsidR="00A76F48" w:rsidRPr="00A76F48" w:rsidRDefault="00A76F48" w:rsidP="00A76F48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color w:val="000000"/>
          <w:sz w:val="22"/>
          <w:szCs w:val="22"/>
          <w:lang w:val="en-US"/>
        </w:rPr>
        <w:t xml:space="preserve">An NLR </w:t>
      </w:r>
      <w:r>
        <w:rPr>
          <w:rFonts w:ascii="Calibri" w:hAnsi="Calibri" w:cs="Calibri"/>
          <w:color w:val="000000"/>
          <w:sz w:val="22"/>
          <w:szCs w:val="22"/>
          <w:u w:val="single"/>
          <w:lang w:val="en-US"/>
        </w:rPr>
        <w:t>&gt;</w:t>
      </w:r>
      <w:r w:rsidRPr="00A76F48">
        <w:rPr>
          <w:rFonts w:ascii="Calibri" w:hAnsi="Calibri" w:cs="Calibri"/>
          <w:color w:val="000000"/>
          <w:sz w:val="22"/>
          <w:szCs w:val="22"/>
          <w:lang w:val="en-US"/>
        </w:rPr>
        <w:t>6 had an 84.39% sensitivity and 86.95% specificity to identify dogs with systemic inflammatory states; however, no ratio distinguished septic and nonseptic causes.</w:t>
      </w:r>
    </w:p>
    <w:p w14:paraId="2567E72A" w14:textId="0C855CBE" w:rsidR="00A76F48" w:rsidRPr="00A76F48" w:rsidRDefault="00A76F48" w:rsidP="00A76F48">
      <w:pPr>
        <w:pStyle w:val="ListParagraph"/>
        <w:numPr>
          <w:ilvl w:val="0"/>
          <w:numId w:val="4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NLR not associated w/ length of hospitalization, morbidity or mortality </w:t>
      </w:r>
    </w:p>
    <w:p w14:paraId="4AFEF2C9" w14:textId="31B4F1EC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05B1A99A" w14:textId="0BC43BA3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023082A8" w14:textId="1A11217A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1E3E12E0" w14:textId="4E66E5C7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5C89EB4B" w14:textId="32147A95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56AF73E7" w14:textId="23FE5397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6ED98631" w14:textId="29FE0ACD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11F11DD6" w14:textId="6A125988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5D01987C" w14:textId="2143C456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</w:p>
    <w:p w14:paraId="3FCFD150" w14:textId="727BB0ED" w:rsidR="00B46171" w:rsidRPr="00A76F48" w:rsidRDefault="00B46171" w:rsidP="00B46171">
      <w:p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noProof/>
          <w:sz w:val="22"/>
          <w:szCs w:val="22"/>
          <w:lang w:val="en-US"/>
        </w:rPr>
        <w:lastRenderedPageBreak/>
        <w:drawing>
          <wp:inline distT="0" distB="0" distL="0" distR="0" wp14:anchorId="56EE07CE" wp14:editId="6F920246">
            <wp:extent cx="5778500" cy="3677227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85689" cy="36818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F7A86" w14:textId="49C9E628" w:rsidR="00B46171" w:rsidRPr="00A76F48" w:rsidRDefault="006B14D7" w:rsidP="00B4617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 xml:space="preserve">U of Tennessee:  prospective study </w:t>
      </w:r>
      <w:r w:rsidR="00396A12" w:rsidRPr="00A76F48">
        <w:rPr>
          <w:rFonts w:ascii="Calibri" w:hAnsi="Calibri" w:cs="Calibri"/>
          <w:sz w:val="22"/>
          <w:szCs w:val="22"/>
          <w:lang w:val="en-US"/>
        </w:rPr>
        <w:t xml:space="preserve">to compared SpO2, SpO2/FiO2 (SF) ratio, PaO2, PaO2/FiO2 (PF) ratio), and SaO2 values between healthy BD and MDD dogs </w:t>
      </w:r>
    </w:p>
    <w:p w14:paraId="618F79DA" w14:textId="036E7E92" w:rsidR="00396A12" w:rsidRPr="00A76F48" w:rsidRDefault="00C21751" w:rsidP="00396A12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 xml:space="preserve">BD had a significantly lower SpO2 and SF (pre and post sedation) </w:t>
      </w:r>
      <w:r w:rsidR="008A21A5" w:rsidRPr="00A76F48">
        <w:rPr>
          <w:rFonts w:ascii="Calibri" w:hAnsi="Calibri" w:cs="Calibri"/>
          <w:sz w:val="22"/>
          <w:szCs w:val="22"/>
          <w:lang w:val="en-US"/>
        </w:rPr>
        <w:t>when compared to MDD</w:t>
      </w:r>
      <w:r w:rsidR="00772526" w:rsidRPr="00A76F48">
        <w:rPr>
          <w:rFonts w:ascii="Calibri" w:hAnsi="Calibri" w:cs="Calibri"/>
          <w:sz w:val="22"/>
          <w:szCs w:val="22"/>
          <w:lang w:val="en-US"/>
        </w:rPr>
        <w:t>, though still w/in</w:t>
      </w:r>
      <w:r w:rsidR="00085961" w:rsidRPr="00A76F48">
        <w:rPr>
          <w:rFonts w:ascii="Calibri" w:hAnsi="Calibri" w:cs="Calibri"/>
          <w:sz w:val="22"/>
          <w:szCs w:val="22"/>
          <w:lang w:val="en-US"/>
        </w:rPr>
        <w:t xml:space="preserve"> SpO2 re</w:t>
      </w:r>
      <w:r w:rsidR="00E65E01">
        <w:rPr>
          <w:rFonts w:ascii="Calibri" w:hAnsi="Calibri" w:cs="Calibri"/>
          <w:sz w:val="22"/>
          <w:szCs w:val="22"/>
          <w:lang w:val="en-US"/>
        </w:rPr>
        <w:t>f</w:t>
      </w:r>
      <w:bookmarkStart w:id="0" w:name="_GoBack"/>
      <w:bookmarkEnd w:id="0"/>
      <w:r w:rsidR="00085961" w:rsidRPr="00A76F48">
        <w:rPr>
          <w:rFonts w:ascii="Calibri" w:hAnsi="Calibri" w:cs="Calibri"/>
          <w:sz w:val="22"/>
          <w:szCs w:val="22"/>
          <w:lang w:val="en-US"/>
        </w:rPr>
        <w:t xml:space="preserve"> range</w:t>
      </w:r>
    </w:p>
    <w:p w14:paraId="5F04D3CA" w14:textId="294D03FC" w:rsidR="00850E02" w:rsidRPr="00A76F48" w:rsidRDefault="00850E02" w:rsidP="00396A12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No difference b/w PF, PaO2, SaO2 or other arterial blood gas analytes</w:t>
      </w:r>
    </w:p>
    <w:p w14:paraId="0A9E9119" w14:textId="733A620F" w:rsidR="00BD2B2D" w:rsidRPr="00A76F48" w:rsidRDefault="00BD2B2D" w:rsidP="00BD2B2D">
      <w:pPr>
        <w:rPr>
          <w:rFonts w:ascii="Calibri" w:hAnsi="Calibri" w:cs="Calibri"/>
          <w:sz w:val="22"/>
          <w:szCs w:val="22"/>
          <w:lang w:val="en-US"/>
        </w:rPr>
      </w:pPr>
    </w:p>
    <w:p w14:paraId="49F12DC8" w14:textId="637CE928" w:rsidR="00BD2B2D" w:rsidRPr="00A76F48" w:rsidRDefault="00BD2B2D" w:rsidP="00BD2B2D">
      <w:pPr>
        <w:rPr>
          <w:rFonts w:ascii="Calibri" w:hAnsi="Calibri" w:cs="Calibri"/>
          <w:sz w:val="22"/>
          <w:szCs w:val="22"/>
          <w:lang w:val="en-US"/>
        </w:rPr>
      </w:pPr>
    </w:p>
    <w:p w14:paraId="0DC8BA2A" w14:textId="77F6D98B" w:rsidR="00BD2B2D" w:rsidRPr="00A76F48" w:rsidRDefault="00BD2B2D" w:rsidP="00BD2B2D">
      <w:pPr>
        <w:rPr>
          <w:rFonts w:ascii="Calibri" w:hAnsi="Calibri" w:cs="Calibri"/>
          <w:sz w:val="22"/>
          <w:szCs w:val="22"/>
          <w:lang w:val="en-US"/>
        </w:rPr>
      </w:pPr>
    </w:p>
    <w:p w14:paraId="54049804" w14:textId="24F79D80" w:rsidR="00BD2B2D" w:rsidRPr="00A76F48" w:rsidRDefault="00BD2B2D" w:rsidP="00BD2B2D">
      <w:p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noProof/>
          <w:sz w:val="22"/>
          <w:szCs w:val="22"/>
          <w:lang w:val="en-US"/>
        </w:rPr>
        <w:drawing>
          <wp:inline distT="0" distB="0" distL="0" distR="0" wp14:anchorId="35CF5AA3" wp14:editId="5800947A">
            <wp:extent cx="5778500" cy="29575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2040" cy="2964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349CD" w14:textId="38BE188A" w:rsidR="0094324A" w:rsidRPr="00A76F48" w:rsidRDefault="00ED3A03" w:rsidP="004239F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Zoledronate is a potent bisphosphonate, considered 1</w:t>
      </w:r>
      <w:r w:rsidRPr="00A76F48">
        <w:rPr>
          <w:rFonts w:ascii="Calibri" w:hAnsi="Calibri" w:cs="Calibri"/>
          <w:sz w:val="22"/>
          <w:szCs w:val="22"/>
          <w:vertAlign w:val="superscript"/>
          <w:lang w:val="en-US"/>
        </w:rPr>
        <w:t>st</w:t>
      </w:r>
      <w:r w:rsidRPr="00A76F48">
        <w:rPr>
          <w:rFonts w:ascii="Calibri" w:hAnsi="Calibri" w:cs="Calibri"/>
          <w:sz w:val="22"/>
          <w:szCs w:val="22"/>
          <w:lang w:val="en-US"/>
        </w:rPr>
        <w:t xml:space="preserve"> line in treatment of human hypercalcemia of malignancy</w:t>
      </w:r>
    </w:p>
    <w:p w14:paraId="6FC02D63" w14:textId="1D00F458" w:rsidR="003D7A4D" w:rsidRPr="00A76F48" w:rsidRDefault="003D7A4D" w:rsidP="004239F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>Zoledronate was used in a population of dogs diagnosed with AGASACA; dose range: 0.1-0.25mg/kg IV diluted in 0.9%NaCl administered over 30 minute</w:t>
      </w:r>
      <w:r w:rsidR="007374F3" w:rsidRPr="00A76F48">
        <w:rPr>
          <w:rFonts w:ascii="Calibri" w:hAnsi="Calibri" w:cs="Calibri"/>
          <w:sz w:val="22"/>
          <w:szCs w:val="22"/>
          <w:lang w:val="en-US"/>
        </w:rPr>
        <w:t>s</w:t>
      </w:r>
    </w:p>
    <w:p w14:paraId="555028C2" w14:textId="77777777" w:rsidR="00150E5B" w:rsidRPr="00A76F48" w:rsidRDefault="0017413C" w:rsidP="004239F1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 w:rsidRPr="00A76F48">
        <w:rPr>
          <w:rFonts w:ascii="Calibri" w:hAnsi="Calibri" w:cs="Calibri"/>
          <w:sz w:val="22"/>
          <w:szCs w:val="22"/>
          <w:lang w:val="en-US"/>
        </w:rPr>
        <w:t xml:space="preserve">First report of Zoledronate </w:t>
      </w:r>
      <w:r w:rsidRPr="00A76F48">
        <w:rPr>
          <w:rFonts w:ascii="Calibri" w:hAnsi="Calibri" w:cs="Calibri"/>
          <w:sz w:val="22"/>
          <w:szCs w:val="22"/>
          <w:lang w:val="en-US"/>
        </w:rPr>
        <w:sym w:font="Wingdings" w:char="F0E0"/>
      </w:r>
      <w:r w:rsidRPr="00A76F48">
        <w:rPr>
          <w:rFonts w:ascii="Calibri" w:hAnsi="Calibri" w:cs="Calibri"/>
          <w:sz w:val="22"/>
          <w:szCs w:val="22"/>
          <w:lang w:val="en-US"/>
        </w:rPr>
        <w:t xml:space="preserve"> well tolerated, no hypersensitivity reactions</w:t>
      </w:r>
      <w:r w:rsidR="002C2EFA" w:rsidRPr="00A76F48">
        <w:rPr>
          <w:rFonts w:ascii="Calibri" w:hAnsi="Calibri" w:cs="Calibri"/>
          <w:sz w:val="22"/>
          <w:szCs w:val="22"/>
          <w:lang w:val="en-US"/>
        </w:rPr>
        <w:t>, no ren</w:t>
      </w:r>
      <w:r w:rsidR="00CD0181" w:rsidRPr="00A76F48">
        <w:rPr>
          <w:rFonts w:ascii="Calibri" w:hAnsi="Calibri" w:cs="Calibri"/>
          <w:sz w:val="22"/>
          <w:szCs w:val="22"/>
          <w:lang w:val="en-US"/>
        </w:rPr>
        <w:t xml:space="preserve">al toxicity </w:t>
      </w:r>
    </w:p>
    <w:p w14:paraId="2F43DD56" w14:textId="77777777" w:rsidR="00150E5B" w:rsidRPr="00A76F48" w:rsidRDefault="00150E5B" w:rsidP="00150E5B">
      <w:pPr>
        <w:rPr>
          <w:rFonts w:ascii="Calibri" w:hAnsi="Calibri" w:cs="Calibri"/>
          <w:sz w:val="22"/>
          <w:szCs w:val="22"/>
          <w:lang w:val="en-US"/>
        </w:rPr>
      </w:pPr>
    </w:p>
    <w:p w14:paraId="3A3F714F" w14:textId="6836D573" w:rsidR="00E24017" w:rsidRDefault="00E24017" w:rsidP="00150E5B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8956B0">
        <w:rPr>
          <w:rFonts w:ascii="Calibri" w:hAnsi="Calibri" w:cs="Calibri"/>
          <w:b/>
          <w:sz w:val="22"/>
          <w:szCs w:val="22"/>
          <w:u w:val="single"/>
          <w:lang w:val="en-US"/>
        </w:rPr>
        <w:t>J Vet Rad &amp; Ultrasound</w:t>
      </w:r>
    </w:p>
    <w:p w14:paraId="1AA77BDD" w14:textId="7A710F5E" w:rsidR="00C865D2" w:rsidRDefault="00C42284" w:rsidP="00150E5B">
      <w:pPr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484668">
        <w:rPr>
          <w:rFonts w:ascii="Calibri" w:hAnsi="Calibri" w:cs="Calibri"/>
          <w:sz w:val="22"/>
          <w:szCs w:val="22"/>
          <w:lang w:val="en-US"/>
        </w:rPr>
        <w:drawing>
          <wp:inline distT="0" distB="0" distL="0" distR="0" wp14:anchorId="05E4EE57" wp14:editId="5F1A908E">
            <wp:extent cx="4884516" cy="4417471"/>
            <wp:effectExtent l="0" t="0" r="508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887380" cy="44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678FCB" w14:textId="4E50F55A" w:rsidR="00C42284" w:rsidRPr="00AB69A9" w:rsidRDefault="00C42284" w:rsidP="00C42284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  <w:u w:val="single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GB</w:t>
      </w:r>
      <w:r w:rsidR="00765F78">
        <w:rPr>
          <w:rFonts w:ascii="Calibri" w:hAnsi="Calibri" w:cs="Calibri"/>
          <w:sz w:val="22"/>
          <w:szCs w:val="22"/>
          <w:lang w:val="en-US"/>
        </w:rPr>
        <w:t xml:space="preserve"> mucoceles can become extruded, which</w:t>
      </w:r>
      <w:r>
        <w:rPr>
          <w:rFonts w:ascii="Calibri" w:hAnsi="Calibri" w:cs="Calibri"/>
          <w:sz w:val="22"/>
          <w:szCs w:val="22"/>
          <w:lang w:val="en-US"/>
        </w:rPr>
        <w:t xml:space="preserve"> can be identified in caudal abdomen as free-floating peritoneal mass </w:t>
      </w:r>
      <w:r w:rsidR="00765F78">
        <w:rPr>
          <w:rFonts w:ascii="Calibri" w:hAnsi="Calibri" w:cs="Calibri"/>
          <w:sz w:val="22"/>
          <w:szCs w:val="22"/>
          <w:lang w:val="en-US"/>
        </w:rPr>
        <w:t>on AUS</w:t>
      </w:r>
    </w:p>
    <w:p w14:paraId="12E15597" w14:textId="33945EB0" w:rsidR="00AB69A9" w:rsidRDefault="00AB69A9" w:rsidP="00C42284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  <w:u w:val="single"/>
          <w:lang w:val="en-US"/>
        </w:rPr>
      </w:pPr>
      <w:r w:rsidRPr="00AB69A9">
        <w:rPr>
          <w:rFonts w:ascii="Calibri" w:hAnsi="Calibri" w:cs="Calibri"/>
          <w:b/>
          <w:sz w:val="22"/>
          <w:szCs w:val="22"/>
          <w:lang w:val="en-US"/>
        </w:rPr>
        <w:drawing>
          <wp:inline distT="0" distB="0" distL="0" distR="0" wp14:anchorId="36B43598" wp14:editId="462FD1E7">
            <wp:extent cx="2188159" cy="1261641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93515" cy="1264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1629F" w14:textId="4A79BF7D" w:rsidR="00AB69A9" w:rsidRPr="00765F78" w:rsidRDefault="00AB69A9" w:rsidP="00C42284">
      <w:pPr>
        <w:pStyle w:val="ListParagraph"/>
        <w:numPr>
          <w:ilvl w:val="0"/>
          <w:numId w:val="3"/>
        </w:numPr>
        <w:rPr>
          <w:rFonts w:ascii="Calibri" w:hAnsi="Calibri" w:cs="Calibri"/>
          <w:b/>
          <w:sz w:val="22"/>
          <w:szCs w:val="22"/>
          <w:u w:val="single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 xml:space="preserve">Described as a </w:t>
      </w:r>
      <w:r w:rsidR="0018316D">
        <w:rPr>
          <w:rFonts w:ascii="Calibri" w:hAnsi="Calibri" w:cs="Calibri"/>
          <w:sz w:val="22"/>
          <w:szCs w:val="22"/>
          <w:lang w:val="en-US"/>
        </w:rPr>
        <w:t xml:space="preserve">discrete, heteroechoic, multilayered, stellate or striated mass within the peritoneal cavity with no blood flow. </w:t>
      </w:r>
    </w:p>
    <w:p w14:paraId="07B1987E" w14:textId="15818181" w:rsidR="00765F78" w:rsidRDefault="00765F78" w:rsidP="00C42284">
      <w:pPr>
        <w:pStyle w:val="ListParagraph"/>
        <w:numPr>
          <w:ilvl w:val="0"/>
          <w:numId w:val="3"/>
        </w:numPr>
        <w:rPr>
          <w:rFonts w:ascii="Calibri" w:hAnsi="Calibri" w:cs="Calibri"/>
          <w:sz w:val="22"/>
          <w:szCs w:val="22"/>
          <w:lang w:val="en-US"/>
        </w:rPr>
      </w:pPr>
      <w:r>
        <w:rPr>
          <w:rFonts w:ascii="Calibri" w:hAnsi="Calibri" w:cs="Calibri"/>
          <w:sz w:val="22"/>
          <w:szCs w:val="22"/>
          <w:lang w:val="en-US"/>
        </w:rPr>
        <w:t>Exploration of the entire abdominal explore is recommended to ensure removal of all abnormal tissues</w:t>
      </w:r>
    </w:p>
    <w:p w14:paraId="5EC21FF9" w14:textId="35C25A98" w:rsidR="004D04B6" w:rsidRPr="00BA6DE1" w:rsidRDefault="004D04B6" w:rsidP="00BA6DE1">
      <w:pPr>
        <w:ind w:left="360"/>
        <w:rPr>
          <w:rFonts w:ascii="Calibri" w:hAnsi="Calibri" w:cs="Calibri"/>
          <w:sz w:val="22"/>
          <w:szCs w:val="22"/>
          <w:lang w:val="en-US"/>
        </w:rPr>
      </w:pPr>
    </w:p>
    <w:sectPr w:rsidR="004D04B6" w:rsidRPr="00BA6DE1" w:rsidSect="00346A5A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PMingLiU">
    <w:altName w:val="新細明體"/>
    <w:panose1 w:val="02020500000000000000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15547C"/>
    <w:multiLevelType w:val="hybridMultilevel"/>
    <w:tmpl w:val="E2D241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6E0AFC"/>
    <w:multiLevelType w:val="hybridMultilevel"/>
    <w:tmpl w:val="7BDE8774"/>
    <w:lvl w:ilvl="0" w:tplc="18FE3090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62C16"/>
    <w:multiLevelType w:val="hybridMultilevel"/>
    <w:tmpl w:val="DBACDA92"/>
    <w:lvl w:ilvl="0" w:tplc="8592CF86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C05D6D"/>
    <w:multiLevelType w:val="hybridMultilevel"/>
    <w:tmpl w:val="F0580F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F36"/>
    <w:rsid w:val="00030B50"/>
    <w:rsid w:val="00085961"/>
    <w:rsid w:val="00131260"/>
    <w:rsid w:val="00150E1B"/>
    <w:rsid w:val="00150E5B"/>
    <w:rsid w:val="0017413C"/>
    <w:rsid w:val="0018316D"/>
    <w:rsid w:val="001E1DA7"/>
    <w:rsid w:val="002528A4"/>
    <w:rsid w:val="002C2EFA"/>
    <w:rsid w:val="003045CC"/>
    <w:rsid w:val="00346A5A"/>
    <w:rsid w:val="00396A12"/>
    <w:rsid w:val="003D7A4D"/>
    <w:rsid w:val="004239F1"/>
    <w:rsid w:val="00484668"/>
    <w:rsid w:val="004D04B6"/>
    <w:rsid w:val="00553F36"/>
    <w:rsid w:val="005F357E"/>
    <w:rsid w:val="00650AFF"/>
    <w:rsid w:val="006B14D7"/>
    <w:rsid w:val="006F15B5"/>
    <w:rsid w:val="007374F3"/>
    <w:rsid w:val="00765F78"/>
    <w:rsid w:val="00772526"/>
    <w:rsid w:val="00831BF2"/>
    <w:rsid w:val="00850E02"/>
    <w:rsid w:val="0087189F"/>
    <w:rsid w:val="008956B0"/>
    <w:rsid w:val="008A21A5"/>
    <w:rsid w:val="008B59C7"/>
    <w:rsid w:val="0094324A"/>
    <w:rsid w:val="009D1D5C"/>
    <w:rsid w:val="00A76F48"/>
    <w:rsid w:val="00AA4B4A"/>
    <w:rsid w:val="00AB69A9"/>
    <w:rsid w:val="00B46171"/>
    <w:rsid w:val="00BA6DE1"/>
    <w:rsid w:val="00BC151C"/>
    <w:rsid w:val="00BD2B2D"/>
    <w:rsid w:val="00BE32D0"/>
    <w:rsid w:val="00BF75E0"/>
    <w:rsid w:val="00C21751"/>
    <w:rsid w:val="00C42284"/>
    <w:rsid w:val="00C865D2"/>
    <w:rsid w:val="00CD0181"/>
    <w:rsid w:val="00E24017"/>
    <w:rsid w:val="00E400AA"/>
    <w:rsid w:val="00E65E01"/>
    <w:rsid w:val="00ED3A03"/>
    <w:rsid w:val="00F10FC7"/>
    <w:rsid w:val="00FB3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FEEEE4B"/>
  <w15:chartTrackingRefBased/>
  <w15:docId w15:val="{48C5D459-F3B0-7248-A820-DB06532CD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0B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6.emf"/><Relationship Id="rId4" Type="http://schemas.openxmlformats.org/officeDocument/2006/relationships/webSettings" Target="webSettings.xml"/><Relationship Id="rId9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4</Pages>
  <Words>353</Words>
  <Characters>2016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Carissa Tong</dc:creator>
  <cp:keywords/>
  <dc:description/>
  <cp:lastModifiedBy>Carissa Tong</cp:lastModifiedBy>
  <cp:revision>48</cp:revision>
  <dcterms:created xsi:type="dcterms:W3CDTF">2018-10-23T01:38:00Z</dcterms:created>
  <dcterms:modified xsi:type="dcterms:W3CDTF">2018-11-07T21:00:00Z</dcterms:modified>
</cp:coreProperties>
</file>