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Critical Care Medicine 2018</w:t>
      </w:r>
    </w:p>
    <w:p>
      <w:pPr>
        <w:pStyle w:val="Heading2"/>
      </w:pPr>
      <w:r>
        <w:t xml:space="preserve">CCM 2018; Vol 46; Issue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Intermittent Versus Continuous and Intermittent Medications for Pain and Sedation After Pediatric Cardiothoracic Surgery; A Randomized Controlled Trial.</w:t>
      </w:r>
    </w:p>
    <w:p/>
    <w:p>
      <w:pPr>
        <w:pStyle w:val="Normal"/>
      </w:pPr>
      <w:r>
        <w:rPr>
          <w:color w:val="323232"/>
        </w:rPr>
        <w:t xml:space="preserve">Jamie S Penk, Cheryl A Lefaiver, Colleen M Brady, Christine M Steffensen, and Kimberly Wittmayer.</w:t>
      </w:r>
    </w:p>
    <w:p/>
    <w:p>
      <w:pPr>
        <w:pStyle w:val="Normal"/>
      </w:pPr>
      <w:r>
        <w:rPr>
          <w:color w:val="323232"/>
        </w:rPr>
        <w:t xml:space="preserve">OBJECTIVES:Compare continuous infusions of morphine and midazolam in addition to intermittent doses with an intermittent only strategy for pain and sedation after pediatric cardiac surgery.</w:t>
      </w:r>
    </w:p>
    <w:p/>
    <w:p>
      <w:pPr>
        <w:pStyle w:val="Normal"/>
      </w:pPr>
      <w:r>
        <w:rPr>
          <w:color w:val="323232"/>
        </w:rPr>
        <w:t xml:space="preserve">DESIGN:Randomized controlled trial.</w:t>
      </w:r>
    </w:p>
    <w:p/>
    <w:p>
      <w:pPr>
        <w:pStyle w:val="Normal"/>
      </w:pPr>
      <w:r>
        <w:rPr>
          <w:color w:val="323232"/>
        </w:rPr>
        <w:t xml:space="preserve">SETTING:Advocate Children's Hospital, Oak Lawn, IL.</w:t>
      </w:r>
    </w:p>
    <w:p/>
    <w:p>
      <w:pPr>
        <w:pStyle w:val="Normal"/>
      </w:pPr>
      <w:r>
        <w:rPr>
          <w:color w:val="323232"/>
        </w:rPr>
        <w:t xml:space="preserve">PATIENTS:Sixty patients 3 months to 4 years old with early extubation after pediatric cardiac surgery.</w:t>
      </w:r>
    </w:p>
    <w:p/>
    <w:p>
      <w:pPr>
        <w:pStyle w:val="Normal"/>
      </w:pPr>
      <w:r>
        <w:rPr>
          <w:color w:val="323232"/>
        </w:rPr>
        <w:t xml:space="preserve">INTERVENTIONS:Patients received a continuous infusion of morphine and midazolam or placebo for 24 hours. Both groups received intermittent morphine and midazolam doses as needed.</w:t>
      </w:r>
    </w:p>
    <w:p/>
    <w:p>
      <w:pPr>
        <w:pStyle w:val="Normal"/>
      </w:pPr>
      <w:r>
        <w:rPr>
          <w:color w:val="323232"/>
        </w:rPr>
        <w:t xml:space="preserve">MEASUREMENTS AND MAIN RESULTS:Gender, age, bypass time, and surgical complexity were not different between groups. Scheduled ketorolac and acetaminophen were used in both groups and were not associated with adverse events. The mean, median, and maximum Faces, Legs, Activity, Cry, And Consolability score were not different between groups. There was no significant difference in number of intermittent doses received between groups. The total morphine dose was higher in the continuous/ intermittent group (0.90 vs 0.23 mg/ kg; p &lt; 0.01). The total midazolam dose was also higher in the continuous/ intermittent group (0.90 vs 0.18 mg/ kg; p &lt; 0.01). The hospital length of stay was longer in the continuous/intermittent group (8.4 vs 4.9 d; p = 0.04).</w:t>
      </w:r>
    </w:p>
    <w:p/>
    <w:p>
      <w:pPr>
        <w:pStyle w:val="Normal"/>
      </w:pPr>
      <w:r>
        <w:rPr>
          <w:color w:val="323232"/>
        </w:rPr>
        <w:t xml:space="preserve">CONCLUSIONS:Pain was not better controlled with the addition of continuous infusions of morphine and midazolam when compared with intermittent dosing only. Use of continuous infusions resulted in a significantly higher total dosage of these medications and a longer length of stay.</w:t>
      </w:r>
    </w:p>
    <w:p/>
    <w:p>
      <w:pPr>
        <w:pStyle w:val="Normal"/>
      </w:pPr>
      <w:r>
        <w:rPr>
          <w:color w:val="323232"/>
        </w:rPr>
        <w:t xml:space="preserve">Critical Care Medicine, 2018 vol. 46 (1) pp. 123-129.</w:t>
      </w:r>
    </w:p>
    <w:p>
      <w:r>
        <w:rPr>
          <w:rStyle w:val="Hyperlink"/>
        </w:rPr>
        <w:fldChar w:fldCharType="begin"/>
      </w:r>
      <w:r>
        <w:rPr>
          <w:rStyle w:val="Hyperlink"/>
        </w:rPr>
        <w:instrText xml:space="preserve"> HYPERLINK "http://eutils.ncbi.nlm.nih.gov/entrez/eutils/elink.fcgi?dbfrom=pubmed&amp;id=29028762&amp;retmode=ref&amp;cmd=prlinks"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http://eutils.ncbi.nlm.nih.gov/entrez/eutils/elink.fcgi?dbfrom=pubmed&amp;id=29028762&amp;retmode=ref&amp;cmd=prlinks</w:t>
      </w:r>
      <w:r>
        <w:rPr>
          <w:rStyle w:val="Hyperlink"/>
        </w:rPr>
        <w:fldChar w:fldCharType="end"/>
      </w:r>
    </w:p>
    <w:p>
      <w:pPr>
        <w:pStyle w:val="Normal"/>
      </w:pPr>
      <w:r>
        <w:rPr>
          <w:color w:val="323232"/>
        </w:rPr>
        <w:t xml:space="preserve">————————</w:t>
      </w:r>
    </w:p>
    <w:p>
      <w:pPr>
        <w:pStyle w:val="Heading4"/>
      </w:pPr>
      <w:r>
        <w:t xml:space="preserve">Mortality Benefit of Recombinant Human Interleukin-1 Receptor Antagonist for Sepsis Varies by Initial Interleukin-1 Receptor Antagonist Plasma Concentration.</w:t>
      </w:r>
    </w:p>
    <w:p/>
    <w:p>
      <w:pPr>
        <w:pStyle w:val="Normal"/>
      </w:pPr>
      <w:r>
        <w:rPr>
          <w:color w:val="323232"/>
        </w:rPr>
        <w:t xml:space="preserve">Nuala J Meyer, John P Reilly, Brian J Anderson, Jessica A Palakshappa, Tiffanie K Jones, Thomas G Dunn, Michael G S Shashaty, Rui Feng, Jason D Christie, and Steven M Opal.</w:t>
      </w:r>
    </w:p>
    <w:p/>
    <w:p>
      <w:pPr>
        <w:pStyle w:val="Normal"/>
      </w:pPr>
      <w:r>
        <w:rPr>
          <w:color w:val="323232"/>
        </w:rPr>
        <w:t xml:space="preserve">OBJECTIVE:Plasma interleukin-1 beta may influence sepsis mortality, yet recombinant human interleukin-1 receptor antagonist did not reduce mortality in randomized trials. We tested for heterogeneity in the treatment effect of recombinant human interleukin-1 receptor antagonist by baseline plasma interleukin-1 beta or interleukin-1 receptor antagonist concentration.</w:t>
      </w:r>
    </w:p>
    <w:p/>
    <w:p>
      <w:pPr>
        <w:pStyle w:val="Normal"/>
      </w:pPr>
      <w:r>
        <w:rPr>
          <w:color w:val="323232"/>
        </w:rPr>
        <w:t xml:space="preserve">DESIGN:Retrospective subgroup analysis of randomized controlled trial.</w:t>
      </w:r>
    </w:p>
    <w:p/>
    <w:p>
      <w:pPr>
        <w:pStyle w:val="Normal"/>
      </w:pPr>
      <w:r>
        <w:rPr>
          <w:color w:val="323232"/>
        </w:rPr>
        <w:t xml:space="preserve">SETTING:Multicenter North American and European clinical trial.</w:t>
      </w:r>
    </w:p>
    <w:p/>
    <w:p>
      <w:pPr>
        <w:pStyle w:val="Normal"/>
      </w:pPr>
      <w:r>
        <w:rPr>
          <w:color w:val="323232"/>
        </w:rPr>
        <w:t xml:space="preserve">PATIENTS:Five hundred twenty-nine subjects with sepsis and hypotension or hypoperfusion, representing 59% of the original trial population.</w:t>
      </w:r>
    </w:p>
    <w:p/>
    <w:p>
      <w:pPr>
        <w:pStyle w:val="Normal"/>
      </w:pPr>
      <w:r>
        <w:rPr>
          <w:color w:val="323232"/>
        </w:rPr>
        <w:t xml:space="preserve">INTERVENTIONS:Random assignment of placebo or recombinant human interleukin-1 receptor antagonist × 72 hours.</w:t>
      </w:r>
    </w:p>
    <w:p/>
    <w:p>
      <w:pPr>
        <w:pStyle w:val="Normal"/>
      </w:pPr>
      <w:r>
        <w:rPr>
          <w:color w:val="323232"/>
        </w:rPr>
        <w:t xml:space="preserve">MEASUREMENTS AND MAIN RESULTS:We measured prerandomization plasma interleukin-1 beta and interleukin-1 receptor antagonist and tested for statistical interaction between recombinant human interleukin-1 receptor antagonist treatment and baseline plasma interleukin-1 receptor antagonist or interleukin-1 beta concentration on 28-day mortality. There was significant heterogeneity in the effect of recombinant human interleukin-1 receptor antagonist treatment by plasma interleukin-1 receptor antagonist concentration whether plasma interleukin-1 receptor antagonist was divided into deciles (interaction p = 0.046) or dichotomized (interaction p = 0.028). Interaction remained present across different predicted mortality levels. Among subjects with baseline plasma interleukin-1 receptor antagonist above 2,071 pg/ mL (n = 283), recombinant human interleukin-1 receptor antagonist therapy reduced adjusted mortality from 45.4% to 34.3% (adjusted risk difference, -0.12; 95% CI, -0.23 to -0.01), p = 0.044. Mortality in subjects with plasma interleukin-1 receptor antagonist below 2,071 pg/ mL was not reduced by recombinant human interleukin-1 receptor antagonist (adjusted risk difference, +0.07; 95% CI, -0.04 to +0.17), p = 0.230. Interaction between plasma interleukin-1 beta concentration and recombinant human interleukin-1 receptor antagonist treatment was not statistically significant.</w:t>
      </w:r>
    </w:p>
    <w:p/>
    <w:p>
      <w:pPr>
        <w:pStyle w:val="Normal"/>
      </w:pPr>
      <w:r>
        <w:rPr>
          <w:color w:val="323232"/>
        </w:rPr>
        <w:t xml:space="preserve">CONCLUSIONS:We report a heterogeneous effect of recombinant human interleukin-1 receptor antagonist on 28-day sepsis mortality that is potentially predictable by plasma interleukin-1 receptor antagonist in one trial. A precision clinical trial of recombinant human interleukin-1 receptor antagonist targeted to septic patients with high plasma interleukin-1 receptor antagonist may be worthy of consideration.</w:t>
      </w:r>
    </w:p>
    <w:p/>
    <w:p>
      <w:pPr>
        <w:pStyle w:val="Normal"/>
      </w:pPr>
      <w:r>
        <w:rPr>
          <w:color w:val="323232"/>
        </w:rPr>
        <w:t xml:space="preserve">Critical Care Medicine, 2018 vol. 46 (1) pp. 21-28.</w:t>
      </w:r>
    </w:p>
    <w:p>
      <w:r>
        <w:rPr>
          <w:rStyle w:val="Hyperlink"/>
        </w:rPr>
        <w:fldChar w:fldCharType="begin"/>
      </w:r>
      <w:r>
        <w:rPr>
          <w:rStyle w:val="Hyperlink"/>
        </w:rPr>
        <w:instrText xml:space="preserve"> HYPERLINK "http://eutils.ncbi.nlm.nih.gov/entrez/eutils/elink.fcgi?dbfrom=pubmed&amp;id=28991823&amp;retmode=ref&amp;cmd=prlinks"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http://eutils.ncbi.nlm.nih.gov/entrez/eutils/elink.fcgi?dbfrom=pubmed&amp;id=28991823&amp;retmode=ref&amp;cmd=prlinks</w:t>
      </w:r>
      <w:r>
        <w:rPr>
          <w:rStyle w:val="Hyperlink"/>
        </w:rPr>
        <w:fldChar w:fldCharType="end"/>
      </w:r>
    </w:p>
    <w:p>
      <w:pPr>
        <w:pStyle w:val="Normal"/>
      </w:pPr>
      <w:r>
        <w:rPr>
          <w:color w:val="323232"/>
        </w:rPr>
        <w:t xml:space="preserve">————————</w:t>
      </w:r>
    </w:p>
    <w:p>
      <w:pPr>
        <w:pStyle w:val="Heading4"/>
      </w:pPr>
      <w:r>
        <w:t xml:space="preserve">Nebulized Versus IV Amikacin as Adjunctive Antibiotic for Hospital and Ventilator-Acquired Pneumonia Postcardiac Surgeries: A Randomized Controlled Trial.</w:t>
      </w:r>
    </w:p>
    <w:p/>
    <w:p>
      <w:pPr>
        <w:pStyle w:val="Normal"/>
      </w:pPr>
      <w:r>
        <w:rPr>
          <w:color w:val="323232"/>
        </w:rPr>
        <w:t xml:space="preserve">Nehal A Hassan, Faten Farid Awdallah, Maggie M Abbassi, and Nirmeen A Sabry.</w:t>
      </w:r>
    </w:p>
    <w:p/>
    <w:p>
      <w:pPr>
        <w:pStyle w:val="Normal"/>
      </w:pPr>
      <w:r>
        <w:rPr>
          <w:color w:val="323232"/>
        </w:rPr>
        <w:t xml:space="preserve">OBJECTIVE:Nebulized antibiotics offer high efficacy due to significant local concentrations and safety with minimal blood levels. This study evaluates the efficacy and nephrotoxicity of nebulized versus IV amikacin in postcardiothoracic surgical patients with nosocomial pneumonia caused by multidrug-resistant Gram- negative bacilli.</w:t>
      </w:r>
    </w:p>
    <w:p/>
    <w:p>
      <w:pPr>
        <w:pStyle w:val="Normal"/>
      </w:pPr>
      <w:r>
        <w:rPr>
          <w:color w:val="323232"/>
        </w:rPr>
        <w:t xml:space="preserve">DESIGN:Prospective, randomized, controlled study on surgical patients divided into two groups.</w:t>
      </w:r>
    </w:p>
    <w:p/>
    <w:p>
      <w:pPr>
        <w:pStyle w:val="Normal"/>
      </w:pPr>
      <w:r>
        <w:rPr>
          <w:color w:val="323232"/>
        </w:rPr>
        <w:t xml:space="preserve">SETTING:Postcardiac surgery ICU.</w:t>
      </w:r>
    </w:p>
    <w:p/>
    <w:p>
      <w:pPr>
        <w:pStyle w:val="Normal"/>
      </w:pPr>
      <w:r>
        <w:rPr>
          <w:color w:val="323232"/>
        </w:rPr>
        <w:t xml:space="preserve">INTERVENTIONS:The first gtroup was administered IV amikacin 20 mg/ kg once daily. The second group was prescribed amikacin nebulizer 400 mg twice daily. Both groups were co-administered IV piperacillin/ tazobactam empirically.</w:t>
      </w:r>
    </w:p>
    <w:p/>
    <w:p>
      <w:pPr>
        <w:pStyle w:val="Normal"/>
      </w:pPr>
      <w:r>
        <w:rPr>
          <w:color w:val="323232"/>
        </w:rPr>
        <w:t xml:space="preserve">PATIENTS:Recruited patients were diagnosed by either hospital-acquired pneumonia or ventilator-associated pneumonia where 56 (42.1%) patients were diagnosed with hospital-acquired pneumonia, 51 (38.34%) patients were diagnosed with early ventilator-associated pneumonia, and 26 (19.54%) patients with late ventilator-associated pneumonia.</w:t>
      </w:r>
    </w:p>
    <w:p/>
    <w:p>
      <w:pPr>
        <w:pStyle w:val="Normal"/>
      </w:pPr>
      <w:r>
        <w:rPr>
          <w:color w:val="323232"/>
        </w:rPr>
        <w:t xml:space="preserve">MEASUREMENTS AND MAIN RESULTS:Clinical cure in both groups assessed on day 7 of treatment was the primary outcome. Efficacy was additionally evaluated through assessing the length of hospital stay, ICU stay, days on amikacin, days on mechanical ventilator, mechanical ventilator-free days, days to reach clinical cure, and mortality rate. Lower nephrotoxicity in the nebulized group was observed through significant preservation of kidney function (p &lt; 0.001). Although both groups were comparable regarding length of hospital stay, nebulizer group showed shorter ICU stay (p = 0.010), lower number of days to reach complete clinical cure (p = 0.001), fewer days on mechanical ventilator (p = 0.035), and fewer days on amikacin treatment (p = 0.022).</w:t>
      </w:r>
    </w:p>
    <w:p/>
    <w:p>
      <w:pPr>
        <w:pStyle w:val="Normal"/>
      </w:pPr>
      <w:r>
        <w:rPr>
          <w:color w:val="323232"/>
        </w:rPr>
        <w:t xml:space="preserve">CONCLUSION:Nebulized amikacin showed better clinical cure rates, less ICU stay, and fewer days to reach complete recovery compared to IV amikacin for surgical patients with nosocomial pneumonia. It is also a less nephrotoxic option associated with less deterioration in kidney function.</w:t>
      </w:r>
    </w:p>
    <w:p/>
    <w:p>
      <w:pPr>
        <w:pStyle w:val="Normal"/>
      </w:pPr>
      <w:r>
        <w:rPr>
          <w:color w:val="323232"/>
        </w:rPr>
        <w:t xml:space="preserve">Critical Care Medicine, 2018 vol. 46 (1) pp. 45-52.</w:t>
      </w:r>
    </w:p>
    <w:p>
      <w:r>
        <w:rPr>
          <w:rStyle w:val="Hyperlink"/>
        </w:rPr>
        <w:fldChar w:fldCharType="begin"/>
      </w:r>
      <w:r>
        <w:rPr>
          <w:rStyle w:val="Hyperlink"/>
        </w:rPr>
        <w:instrText xml:space="preserve"> HYPERLINK "http://eutils.ncbi.nlm.nih.gov/entrez/eutils/elink.fcgi?dbfrom=pubmed&amp;id=28857848&amp;retmode=ref&amp;cmd=prlinks"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http://eutils.ncbi.nlm.nih.gov/entrez/eutils/elink.fcgi?dbfrom=pubmed&amp;id=28857848&amp;retmode=ref&amp;cmd=prlinks</w:t>
      </w:r>
      <w:r>
        <w:rPr>
          <w:rStyle w:val="Hyperlink"/>
        </w:rPr>
        <w:fldChar w:fldCharType="end"/>
      </w:r>
    </w:p>
    <w:p>
      <w:pPr>
        <w:pStyle w:val="Normal"/>
      </w:pPr>
      <w:r>
        <w:rPr>
          <w:color w:val="323232"/>
        </w:rPr>
        <w:t xml:space="preserve">————————</w:t>
      </w:r>
    </w:p>
    <w:p>
      <w:pPr>
        <w:pStyle w:val="Heading4"/>
      </w:pPr>
      <w:r>
        <w:t xml:space="preserve">Respiratory Viruses in Invasively Ventilated Critically Ill Patients-A Prospective Multicenter Observational Study.</w:t>
      </w:r>
    </w:p>
    <w:p/>
    <w:p>
      <w:pPr>
        <w:pStyle w:val="Normal"/>
      </w:pPr>
      <w:r>
        <w:rPr>
          <w:color w:val="323232"/>
        </w:rPr>
        <w:t xml:space="preserve">Frank van Someren Gréve, Nicole P Juffermans, Lieuwe D J Bos, Jan M Binnekade, Annemarije Braber, Olaf L Cremer, Evert de Jonge, Richard Molenkamp, David S Y Ong, Sjoerd P H Rebers, Angelique M E Spoelstra de Man, Koenraad F van der Sluijs, Peter E Spronk, Kirsten D Verheul, Monique C de Waard, Rob B P de Wilde, Tineke Winters, Menno D de Jong, and Marcus J Schultz.</w:t>
      </w:r>
    </w:p>
    <w:p/>
    <w:p>
      <w:pPr>
        <w:pStyle w:val="Normal"/>
      </w:pPr>
      <w:r>
        <w:rPr>
          <w:color w:val="323232"/>
        </w:rPr>
        <w:t xml:space="preserve">OBJECTIVES:The presence of respiratory viruses and the association with outcomes were assessed in invasively ventilated ICU patients, stratified by admission diagnosis.</w:t>
      </w:r>
    </w:p>
    <w:p/>
    <w:p>
      <w:pPr>
        <w:pStyle w:val="Normal"/>
      </w:pPr>
      <w:r>
        <w:rPr>
          <w:color w:val="323232"/>
        </w:rPr>
        <w:t xml:space="preserve">DESIGN:Prospective observational study.</w:t>
      </w:r>
    </w:p>
    <w:p/>
    <w:p>
      <w:pPr>
        <w:pStyle w:val="Normal"/>
      </w:pPr>
      <w:r>
        <w:rPr>
          <w:color w:val="323232"/>
        </w:rPr>
        <w:t xml:space="preserve">SETTING:Five ICUs in the Netherlands.</w:t>
      </w:r>
    </w:p>
    <w:p/>
    <w:p>
      <w:pPr>
        <w:pStyle w:val="Normal"/>
      </w:pPr>
      <w:r>
        <w:rPr>
          <w:color w:val="323232"/>
        </w:rPr>
        <w:t xml:space="preserve">PATIENTS:Between September 1, 2013, and April 30, 2014, 1,407 acutely admitted and invasively ventilated patients were included.</w:t>
      </w:r>
    </w:p>
    <w:p/>
    <w:p>
      <w:pPr>
        <w:pStyle w:val="Normal"/>
      </w:pPr>
      <w:r>
        <w:rPr>
          <w:color w:val="323232"/>
        </w:rPr>
        <w:t xml:space="preserve">INTERVENTIONS:None.</w:t>
      </w:r>
    </w:p>
    <w:p/>
    <w:p>
      <w:pPr>
        <w:pStyle w:val="Normal"/>
      </w:pPr>
      <w:r>
        <w:rPr>
          <w:color w:val="323232"/>
        </w:rPr>
        <w:t xml:space="preserve">MEASUREMENTS AND MAIN RESULTS:Nasopharyngeal swabs and tracheobronchial aspirates were collected upon intubation and tested for 14 respiratory viruses. Out of 1,407 patients, 156 were admitted because of a severe acute respiratory infection and 1,251 for other reasons (non-severe acute respiratory infection). Respiratory viruses were detected in 28.8% of severe acute respiratory infection patients and 17.0% in non-severe acute respiratory infection (p &lt; 0.001). In one third, viruses were exclusively detected in tracheobronchial aspirates. Rhinovirus and human metapneumovirus were more prevalent in severe acute respiratory infection patients (9.6% and 2.6% vs 4.5 and 0.2%; p = 0.006 and p &lt; 0.001). In both groups, there were no associations between the presence of viruses and the number of ICU-free days at day 28, crude mortality, and mortality in multivariate regression analyses.</w:t>
      </w:r>
    </w:p>
    <w:p/>
    <w:p>
      <w:pPr>
        <w:pStyle w:val="Normal"/>
      </w:pPr>
      <w:r>
        <w:rPr>
          <w:color w:val="323232"/>
        </w:rPr>
        <w:t xml:space="preserve">CONCLUSIONS:Respiratory viruses are frequently detected in acutely admitted and invasively ventilated patients. Rhinovirus and human metapneumovirus are more frequently found in severe acute respiratory infection patients. Detection of respiratory viruses is not associated with worse clinically relevant outcomes in the studied cohort of patients.</w:t>
      </w:r>
    </w:p>
    <w:p/>
    <w:p>
      <w:pPr>
        <w:pStyle w:val="Normal"/>
      </w:pPr>
      <w:r>
        <w:rPr>
          <w:color w:val="323232"/>
        </w:rPr>
        <w:t xml:space="preserve">Critical Care Medicine, 2018 vol. 46 (1) pp. 29-36.</w:t>
      </w:r>
    </w:p>
    <w:p>
      <w:r>
        <w:rPr>
          <w:rStyle w:val="Hyperlink"/>
        </w:rPr>
        <w:fldChar w:fldCharType="begin"/>
      </w:r>
      <w:r>
        <w:rPr>
          <w:rStyle w:val="Hyperlink"/>
        </w:rPr>
        <w:instrText xml:space="preserve"> HYPERLINK "http://eutils.ncbi.nlm.nih.gov/entrez/eutils/elink.fcgi?dbfrom=pubmed&amp;id=28991822&amp;retmode=ref&amp;cmd=prlinks"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http://eutils.ncbi.nlm.nih.gov/entrez/eutils/elink.fcgi?dbfrom=pubmed&amp;id=28991822&amp;retmode=ref&amp;cmd=prlinks</w:t>
      </w:r>
      <w:r>
        <w:rPr>
          <w:rStyle w:val="Hyperlink"/>
        </w:rPr>
        <w:fldChar w:fldCharType="end"/>
      </w:r>
    </w:p>
    <w:p>
      <w:pPr>
        <w:pStyle w:val="Normal"/>
      </w:pPr>
      <w:r>
        <w:rPr>
          <w:color w:val="323232"/>
        </w:rPr>
        <w:t xml:space="preserve">————————</w:t>
      </w:r>
    </w:p>
    <w:p>
      <w:pPr>
        <w:pStyle w:val="Heading4"/>
      </w:pPr>
      <w:r>
        <w:t xml:space="preserve">Urinary Oxygenation as a Surrogate Measure of Medullary Oxygenation During Angiotensin II Therapy in Septic Acute Kidney Injury.</w:t>
      </w:r>
    </w:p>
    <w:p/>
    <w:p>
      <w:pPr>
        <w:pStyle w:val="Normal"/>
      </w:pPr>
      <w:r>
        <w:rPr>
          <w:color w:val="323232"/>
        </w:rPr>
        <w:t xml:space="preserve">Yugeesh R Lankadeva, Junko Kosaka, Roger G Evans, Rinaldo Bellomo, and Clive N May.</w:t>
      </w:r>
    </w:p>
    <w:p/>
    <w:p>
      <w:pPr>
        <w:pStyle w:val="Normal"/>
      </w:pPr>
      <w:r>
        <w:rPr>
          <w:color w:val="323232"/>
        </w:rPr>
        <w:t xml:space="preserve">OBJECTIVES:Angiotensin II is an emerging therapy for septic acute kidney injury, but it is unknown if its vasoconstrictor action induces renal hypoxia. We therefore examined the effects of angiotensin II on intrarenal PO2 in ovine sepsis. We also assessed the validity of urinary PO2 as a surrogate measure of medullary PO2.</w:t>
      </w:r>
    </w:p>
    <w:p/>
    <w:p>
      <w:pPr>
        <w:pStyle w:val="Normal"/>
      </w:pPr>
      <w:r>
        <w:rPr>
          <w:color w:val="323232"/>
        </w:rPr>
        <w:t xml:space="preserve">DESIGN:Interventional study.</w:t>
      </w:r>
    </w:p>
    <w:p/>
    <w:p>
      <w:pPr>
        <w:pStyle w:val="Normal"/>
      </w:pPr>
      <w:r>
        <w:rPr>
          <w:color w:val="323232"/>
        </w:rPr>
        <w:t xml:space="preserve">SETTING:Research Institute.</w:t>
      </w:r>
    </w:p>
    <w:p/>
    <w:p>
      <w:pPr>
        <w:pStyle w:val="Normal"/>
      </w:pPr>
      <w:r>
        <w:rPr>
          <w:color w:val="323232"/>
        </w:rPr>
        <w:t xml:space="preserve">SUBJECTS:Sixteen adult Merino ewes (n = 8/group).</w:t>
      </w:r>
    </w:p>
    <w:p/>
    <w:p>
      <w:pPr>
        <w:pStyle w:val="Normal"/>
      </w:pPr>
      <w:r>
        <w:rPr>
          <w:color w:val="323232"/>
        </w:rPr>
        <w:t xml:space="preserve">INTERVENTIONS:Sheep were instrumented with fiber-optic probes in the renal cortex, medulla, and within a bladder catheter to measure PO2. Conscious sheep were infused with Escherichia coli for 32 hours. At 24-30 hours, angiotensin II (0.5-33.0</w:t>
      </w:r>
      <w:r>
        <w:rPr>
          <w:color w:val="323232"/>
        </w:rPr>
        <w:t xml:space="preserve"> </w:t>
      </w:r>
      <w:r>
        <w:rPr>
          <w:color w:val="323232"/>
        </w:rPr>
        <w:t xml:space="preserve">ng/ kg/min) or saline vehicle was infused.</w:t>
      </w:r>
    </w:p>
    <w:p/>
    <w:p>
      <w:pPr>
        <w:pStyle w:val="Normal"/>
      </w:pPr>
      <w:r>
        <w:rPr>
          <w:color w:val="323232"/>
        </w:rPr>
        <w:t xml:space="preserve">MEASUREMENTS AND MAIN RESULTS:Septic acute kidney injury was characterized by hypotension and a 60% ± 6% decrease in creatinine clearance. During sepsis, medullary PO2 decreased from 36</w:t>
      </w:r>
      <w:r>
        <w:rPr>
          <w:color w:val="323232"/>
        </w:rPr>
        <w:t xml:space="preserve"> </w:t>
      </w:r>
      <w:r>
        <w:rPr>
          <w:color w:val="323232"/>
        </w:rPr>
        <w:t xml:space="preserve">±</w:t>
      </w:r>
      <w:r>
        <w:rPr>
          <w:color w:val="323232"/>
        </w:rPr>
        <w:t xml:space="preserve"> </w:t>
      </w:r>
      <w:r>
        <w:rPr>
          <w:color w:val="323232"/>
        </w:rPr>
        <w:t xml:space="preserve">1 to 30</w:t>
      </w:r>
      <w:r>
        <w:rPr>
          <w:color w:val="323232"/>
        </w:rPr>
        <w:t xml:space="preserve"> </w:t>
      </w:r>
      <w:r>
        <w:rPr>
          <w:color w:val="323232"/>
        </w:rPr>
        <w:t xml:space="preserve">±</w:t>
      </w:r>
      <w:r>
        <w:rPr>
          <w:color w:val="323232"/>
        </w:rPr>
        <w:t xml:space="preserve"> </w:t>
      </w:r>
      <w:r>
        <w:rPr>
          <w:color w:val="323232"/>
        </w:rPr>
        <w:t xml:space="preserve">3</w:t>
      </w:r>
      <w:r>
        <w:rPr>
          <w:color w:val="323232"/>
        </w:rPr>
        <w:t xml:space="preserve"> </w:t>
      </w:r>
      <w:r>
        <w:rPr>
          <w:color w:val="323232"/>
        </w:rPr>
        <w:t xml:space="preserve">mm Hg after 1 hour and to 20</w:t>
      </w:r>
      <w:r>
        <w:rPr>
          <w:color w:val="323232"/>
        </w:rPr>
        <w:t xml:space="preserve"> </w:t>
      </w:r>
      <w:r>
        <w:rPr>
          <w:color w:val="323232"/>
        </w:rPr>
        <w:t xml:space="preserve">±</w:t>
      </w:r>
      <w:r>
        <w:rPr>
          <w:color w:val="323232"/>
        </w:rPr>
        <w:t xml:space="preserve"> </w:t>
      </w:r>
      <w:r>
        <w:rPr>
          <w:color w:val="323232"/>
        </w:rPr>
        <w:t xml:space="preserve">2</w:t>
      </w:r>
      <w:r>
        <w:rPr>
          <w:color w:val="323232"/>
        </w:rPr>
        <w:t xml:space="preserve"> </w:t>
      </w:r>
      <w:r>
        <w:rPr>
          <w:color w:val="323232"/>
        </w:rPr>
        <w:t xml:space="preserve">mm Hg after 24 hours; at these times, urinary PO2 was 42</w:t>
      </w:r>
      <w:r>
        <w:rPr>
          <w:color w:val="323232"/>
        </w:rPr>
        <w:t xml:space="preserve"> </w:t>
      </w:r>
      <w:r>
        <w:rPr>
          <w:color w:val="323232"/>
        </w:rPr>
        <w:t xml:space="preserve">±</w:t>
      </w:r>
      <w:r>
        <w:rPr>
          <w:color w:val="323232"/>
        </w:rPr>
        <w:t xml:space="preserve"> </w:t>
      </w:r>
      <w:r>
        <w:rPr>
          <w:color w:val="323232"/>
        </w:rPr>
        <w:t xml:space="preserve">2, 34</w:t>
      </w:r>
      <w:r>
        <w:rPr>
          <w:color w:val="323232"/>
        </w:rPr>
        <w:t xml:space="preserve"> </w:t>
      </w:r>
      <w:r>
        <w:rPr>
          <w:color w:val="323232"/>
        </w:rPr>
        <w:t xml:space="preserve">±</w:t>
      </w:r>
      <w:r>
        <w:rPr>
          <w:color w:val="323232"/>
        </w:rPr>
        <w:t xml:space="preserve"> </w:t>
      </w:r>
      <w:r>
        <w:rPr>
          <w:color w:val="323232"/>
        </w:rPr>
        <w:t xml:space="preserve">2, and 23</w:t>
      </w:r>
      <w:r>
        <w:rPr>
          <w:color w:val="323232"/>
        </w:rPr>
        <w:t xml:space="preserve"> </w:t>
      </w:r>
      <w:r>
        <w:rPr>
          <w:color w:val="323232"/>
        </w:rPr>
        <w:t xml:space="preserve">±</w:t>
      </w:r>
      <w:r>
        <w:rPr>
          <w:color w:val="323232"/>
        </w:rPr>
        <w:t xml:space="preserve"> </w:t>
      </w:r>
      <w:r>
        <w:rPr>
          <w:color w:val="323232"/>
        </w:rPr>
        <w:t xml:space="preserve">2</w:t>
      </w:r>
      <w:r>
        <w:rPr>
          <w:color w:val="323232"/>
        </w:rPr>
        <w:t xml:space="preserve"> </w:t>
      </w:r>
      <w:r>
        <w:rPr>
          <w:color w:val="323232"/>
        </w:rPr>
        <w:t xml:space="preserve">mm Hg. Increases in urinary neutrophil gelatinase-associated lipocalin (12% ± 3%) and serum creatinine (60% ± 23%) were only detected at 8 and 24 hours, respectively. IV infusion of angiotensin II, at 24 hours of sepsis, restored arterial pressure and improved creatinine clearance, while not exacerbating medullary or urinary hypoxia.</w:t>
      </w:r>
    </w:p>
    <w:p/>
    <w:p>
      <w:pPr>
        <w:pStyle w:val="Normal"/>
      </w:pPr>
      <w:r>
        <w:rPr>
          <w:color w:val="323232"/>
        </w:rPr>
        <w:t xml:space="preserve">CONCLUSIONS:In septic acute kidney injury, renal medullary and urinary hypoxia developed several hours before increases in currently used biomarkers. Angiotensin II transiently improved renal function without worsening medullary hypoxia. In septic acute kidney injury, angiotensin II appears to be a safe, effective therapy, and urinary PO2 may be used to detect medullary hypoxia.</w:t>
      </w:r>
    </w:p>
    <w:p/>
    <w:p>
      <w:pPr>
        <w:pStyle w:val="Normal"/>
      </w:pPr>
      <w:r>
        <w:rPr>
          <w:color w:val="323232"/>
        </w:rPr>
        <w:t xml:space="preserve">Critical Care Medicine, 2018 vol. 46 (1) pp. e41-e48.</w:t>
      </w:r>
    </w:p>
    <w:p>
      <w:r>
        <w:rPr>
          <w:rStyle w:val="Hyperlink"/>
        </w:rPr>
        <w:fldChar w:fldCharType="begin"/>
      </w:r>
      <w:r>
        <w:rPr>
          <w:rStyle w:val="Hyperlink"/>
        </w:rPr>
        <w:instrText xml:space="preserve"> HYPERLINK "http://eutils.ncbi.nlm.nih.gov/entrez/eutils/elink.fcgi?dbfrom=pubmed&amp;id=29077618&amp;retmode=ref&amp;cmd=prlinks"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http://eutils.ncbi.nlm.nih.gov/entrez/eutils/elink.fcgi?dbfrom=pubmed&amp;id=29077618&amp;retmode=ref&amp;cmd=prlinks</w:t>
      </w:r>
      <w:r>
        <w:rPr>
          <w:rStyle w:val="Hyperlink"/>
        </w:rPr>
        <w:fldChar w:fldCharType="end"/>
      </w:r>
    </w:p>
    <w:p>
      <w:pPr>
        <w:pStyle w:val="Normal"/>
      </w:pPr>
      <w:r>
        <w:rPr>
          <w:color w:val="323232"/>
        </w:rPr>
        <w:t xml:space="preserve">————————</w:t>
      </w:r>
    </w:p>
    <w:p>
      <w:pPr>
        <w:pStyle w:val="Heading4"/>
      </w:pPr>
      <w:r>
        <w:t xml:space="preserve">Association of Driving Pressure With Mortality Among Ventilated Patients With Acute Respiratory Distress Syndrome: A Systematic Review and Meta-Analysis.</w:t>
      </w:r>
    </w:p>
    <w:p/>
    <w:p>
      <w:pPr>
        <w:pStyle w:val="Normal"/>
      </w:pPr>
      <w:r>
        <w:rPr>
          <w:color w:val="323232"/>
        </w:rPr>
        <w:t xml:space="preserve">Hiroko Aoyama, Tommaso Pettenuzzo, Kazuyoshi Aoyama, Ruxandra Pinto, Marina Englesakis, and Eddy Fan.</w:t>
      </w:r>
    </w:p>
    <w:p/>
    <w:p>
      <w:pPr>
        <w:pStyle w:val="Normal"/>
      </w:pPr>
      <w:r>
        <w:rPr>
          <w:color w:val="323232"/>
        </w:rPr>
        <w:t xml:space="preserve">OBJECTIVES:A recent post hoc analysis suggested that driving pressure may be more important than traditional ventilatory variables in determining outcome in mechanically ventilated patients with acute respiratory distress syndrome. We conducted a systematic review and meta-analysis to summarize the risk of mortality for higher versus lower driving pressure.</w:t>
      </w:r>
    </w:p>
    <w:p/>
    <w:p>
      <w:pPr>
        <w:pStyle w:val="Normal"/>
      </w:pPr>
      <w:r>
        <w:rPr>
          <w:color w:val="323232"/>
        </w:rPr>
        <w:t xml:space="preserve">DATA SOURCES:MEDLINE, EMBASE, PubMed, CINAHL, and Cochrane CENTRAL from inception to February 10, 2017.</w:t>
      </w:r>
    </w:p>
    <w:p/>
    <w:p>
      <w:pPr>
        <w:pStyle w:val="Normal"/>
      </w:pPr>
      <w:r>
        <w:rPr>
          <w:color w:val="323232"/>
        </w:rPr>
        <w:t xml:space="preserve">STUDY SELECTION:Studies including mechanically ventilated adult patients with acute respiratory distress syndrome, reporting driving pressure and mortality.</w:t>
      </w:r>
    </w:p>
    <w:p/>
    <w:p>
      <w:pPr>
        <w:pStyle w:val="Normal"/>
      </w:pPr>
      <w:r>
        <w:rPr>
          <w:color w:val="323232"/>
        </w:rPr>
        <w:t xml:space="preserve">DATA EXTRACTION:Seven studies including five secondary analysis of previous randomized controlled trials and two observational studies (6,062 patients) were eligible for study. All studies were judged as having a low risk of bias. Median (interquartile range) driving pressure between higher and lower driving pressure groups was 15</w:t>
      </w:r>
      <w:r>
        <w:rPr>
          <w:color w:val="323232"/>
        </w:rPr>
        <w:t xml:space="preserve"> </w:t>
      </w:r>
      <w:r>
        <w:rPr>
          <w:color w:val="323232"/>
        </w:rPr>
        <w:t xml:space="preserve">cm H2O (14-16</w:t>
      </w:r>
      <w:r>
        <w:rPr>
          <w:color w:val="323232"/>
        </w:rPr>
        <w:t xml:space="preserve"> </w:t>
      </w:r>
      <w:r>
        <w:rPr>
          <w:color w:val="323232"/>
        </w:rPr>
        <w:t xml:space="preserve">cm H2O). Median (interquartile range) mortality of all included studies was 34% (32-38%).</w:t>
      </w:r>
    </w:p>
    <w:p/>
    <w:p>
      <w:pPr>
        <w:pStyle w:val="Normal"/>
      </w:pPr>
      <w:r>
        <w:rPr>
          <w:color w:val="323232"/>
        </w:rPr>
        <w:t xml:space="preserve">DATA SYNTHESIS:In the meta-analyses of four studies (3,252 patients), higher driving pressure was associated with a significantly higher mortality (pooled risk ratio, 1.44; 95% [CI], 1.11-1.88; I = 85%). A sensitivity analysis restricted to the three studies with similar driving pressure cutoffs (13-15</w:t>
      </w:r>
      <w:r>
        <w:rPr>
          <w:color w:val="323232"/>
        </w:rPr>
        <w:t xml:space="preserve"> </w:t>
      </w:r>
      <w:r>
        <w:rPr>
          <w:color w:val="323232"/>
        </w:rPr>
        <w:t xml:space="preserve">cm H2O) demonstrated similar results (pooled risk ratio, 1.28; 95% CI, 1.14-1.43; I = 0%).</w:t>
      </w:r>
    </w:p>
    <w:p/>
    <w:p>
      <w:pPr>
        <w:pStyle w:val="Normal"/>
      </w:pPr>
      <w:r>
        <w:rPr>
          <w:color w:val="323232"/>
        </w:rPr>
        <w:t xml:space="preserve">CONCLUSIONS:Our study confirmed an association between higher driving pressure and higher mortality in mechanically ventilated patients with acute respiratory distress syndrome. These findings suggest a possible range of driving pressure to be evaluated in clinical trials. Future research is needed to ascertain the benefit of ventilatory strategies targeting driving pressure in patients with acute respiratory distress syndrome.</w:t>
      </w:r>
    </w:p>
    <w:p/>
    <w:p>
      <w:pPr>
        <w:pStyle w:val="Normal"/>
      </w:pPr>
      <w:r>
        <w:rPr>
          <w:color w:val="323232"/>
        </w:rPr>
        <w:t xml:space="preserve">Critical Care Medicine, 2018 vol. 46 (2) pp. 300-306.</w:t>
      </w:r>
    </w:p>
    <w:p>
      <w:r>
        <w:rPr>
          <w:rStyle w:val="Hyperlink"/>
        </w:rPr>
        <w:fldChar w:fldCharType="begin"/>
      </w:r>
      <w:r>
        <w:rPr>
          <w:rStyle w:val="Hyperlink"/>
        </w:rPr>
        <w:instrText xml:space="preserve"> HYPERLINK "http://eutils.ncbi.nlm.nih.gov/entrez/eutils/elink.fcgi?dbfrom=pubmed&amp;id=29135500&amp;retmode=ref&amp;cmd=prlinks"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http://eutils.ncbi.nlm.nih.gov/entrez/eutils/elink.fcgi?dbfrom=pubmed&amp;id=29135500&amp;retmode=ref&amp;cmd=prlinks</w:t>
      </w:r>
      <w:r>
        <w:rPr>
          <w:rStyle w:val="Hyperlink"/>
        </w:rPr>
        <w:fldChar w:fldCharType="end"/>
      </w:r>
    </w:p>
    <w:p>
      <w:pPr>
        <w:pStyle w:val="Normal"/>
      </w:pPr>
      <w:r>
        <w:rPr>
          <w:color w:val="323232"/>
        </w:rPr>
        <w:t xml:space="preserve">————————</w:t>
      </w:r>
    </w:p>
    <w:p>
      <w:pPr>
        <w:pStyle w:val="Heading4"/>
      </w:pPr>
      <w:r>
        <w:t xml:space="preserve">Osmotic Shifts, Cerebral Edema, and Neurologic Deterioration in Severe Hepatic Encephalopathy.</w:t>
      </w:r>
    </w:p>
    <w:p/>
    <w:p>
      <w:pPr>
        <w:pStyle w:val="Normal"/>
      </w:pPr>
      <w:r>
        <w:rPr>
          <w:color w:val="323232"/>
        </w:rPr>
        <w:t xml:space="preserve">Eric Michael Liotta, Anna L Romanova, Bryan D Lizza, Laura J Rasmussen-Torvik, Minjee Kim, Brandon Francis, Rajbeer Singh Sangha, Timothy J Carroll, Daniel Ganger, Daniela P Ladner, Andrew M Naidech, James J Paparello, Shyam Prabhakaran, Farzaneh A Sorond, and Matthew B Maas.</w:t>
      </w:r>
    </w:p>
    <w:p/>
    <w:p>
      <w:pPr>
        <w:pStyle w:val="Normal"/>
      </w:pPr>
      <w:r>
        <w:rPr>
          <w:color w:val="323232"/>
        </w:rPr>
        <w:t xml:space="preserve">OBJECTIVES:We sought to determine the effect of acute electrolyte and osmolar shifts on brain volume and neurologic function in patients with liver failure and severe hepatic encephalopathy.</w:t>
      </w:r>
    </w:p>
    <w:p/>
    <w:p>
      <w:pPr>
        <w:pStyle w:val="Normal"/>
      </w:pPr>
      <w:r>
        <w:rPr>
          <w:color w:val="323232"/>
        </w:rPr>
        <w:t xml:space="preserve">DESIGN:Retrospective analysis of brain CT scans and clinical data.</w:t>
      </w:r>
    </w:p>
    <w:p/>
    <w:p>
      <w:pPr>
        <w:pStyle w:val="Normal"/>
      </w:pPr>
      <w:r>
        <w:rPr>
          <w:color w:val="323232"/>
        </w:rPr>
        <w:t xml:space="preserve">SETTING:Tertiary care hospital ICUs.</w:t>
      </w:r>
    </w:p>
    <w:p/>
    <w:p>
      <w:pPr>
        <w:pStyle w:val="Normal"/>
      </w:pPr>
      <w:r>
        <w:rPr>
          <w:color w:val="323232"/>
        </w:rPr>
        <w:t xml:space="preserve">PATIENTS:Patients with acute or acute-on-chronic liver failure and severe hepatic encephalopathy.</w:t>
      </w:r>
    </w:p>
    <w:p/>
    <w:p>
      <w:pPr>
        <w:pStyle w:val="Normal"/>
      </w:pPr>
      <w:r>
        <w:rPr>
          <w:color w:val="323232"/>
        </w:rPr>
        <w:t xml:space="preserve">INTERVENTIONS:Clinically indicated CT scans and serum laboratory studies.</w:t>
      </w:r>
    </w:p>
    <w:p/>
    <w:p>
      <w:pPr>
        <w:pStyle w:val="Normal"/>
      </w:pPr>
      <w:r>
        <w:rPr>
          <w:color w:val="323232"/>
        </w:rPr>
        <w:t xml:space="preserve">MEASUREMENTS AND MAIN RESULTS:Change in intracranial cerebrospinal fluid volume between sequential CT scans was measured as a biomarker of acute brain volume change. Corresponding changes in serum osmolality, chemistry measurements, and Glasgow Coma Scale were determined. Associations with cerebrospinal fluid volume change and Glasgow Coma Scale change for initial volume change assessments were identified by Spearman's correlations (rs) and regression models. Consistency of associations with repeated assessments was evaluated using generalized estimating equations. Forty patients were included. Median baseline osmolality was elevated (310 mOsm/ Kg [296-321 mOsm/ Kg]) whereas sodium was normal (137 mEq/ L [134-142 mEq/ L]). Median initial osmolality change was 9 mOsm/ kg (5-17 mOsm/ kg). Neuroimaging consistent with increased brain volume occurred in 27 initial assessments (68%). Cerebrospinal fluid volume change was more strongly correlated with osmolality (r = 0.70; p = 4</w:t>
      </w:r>
      <w:r>
        <w:rPr>
          <w:color w:val="323232"/>
        </w:rPr>
        <w:t xml:space="preserve"> </w:t>
      </w:r>
      <w:r>
        <w:rPr>
          <w:color w:val="323232"/>
        </w:rPr>
        <w:t xml:space="preserve">×</w:t>
      </w:r>
      <w:r>
        <w:rPr>
          <w:color w:val="323232"/>
        </w:rPr>
        <w:t xml:space="preserve"> </w:t>
      </w:r>
      <w:r>
        <w:rPr>
          <w:color w:val="323232"/>
        </w:rPr>
        <w:t xml:space="preserve">10) than sodium (r = 0.28; p = 0.08) change. Osmolality change was independently associated with Glasgow Coma Scale change (p = 1</w:t>
      </w:r>
      <w:r>
        <w:rPr>
          <w:color w:val="323232"/>
        </w:rPr>
        <w:t xml:space="preserve"> </w:t>
      </w:r>
      <w:r>
        <w:rPr>
          <w:color w:val="323232"/>
        </w:rPr>
        <w:t xml:space="preserve">×</w:t>
      </w:r>
      <w:r>
        <w:rPr>
          <w:color w:val="323232"/>
        </w:rPr>
        <w:t xml:space="preserve"> </w:t>
      </w:r>
      <w:r>
        <w:rPr>
          <w:color w:val="323232"/>
        </w:rPr>
        <w:t xml:space="preserve">10) and cerebrospinal fluid volume change (p = 2.7</w:t>
      </w:r>
      <w:r>
        <w:rPr>
          <w:color w:val="323232"/>
        </w:rPr>
        <w:t xml:space="preserve"> </w:t>
      </w:r>
      <w:r>
        <w:rPr>
          <w:color w:val="323232"/>
        </w:rPr>
        <w:t xml:space="preserve">×</w:t>
      </w:r>
      <w:r>
        <w:rPr>
          <w:color w:val="323232"/>
        </w:rPr>
        <w:t xml:space="preserve"> </w:t>
      </w:r>
      <w:r>
        <w:rPr>
          <w:color w:val="323232"/>
        </w:rPr>
        <w:t xml:space="preserve">10) in initial assessments and in generalized estimating equations using all 103 available assessments.</w:t>
      </w:r>
    </w:p>
    <w:p/>
    <w:p>
      <w:pPr>
        <w:pStyle w:val="Normal"/>
      </w:pPr>
      <w:r>
        <w:rPr>
          <w:color w:val="323232"/>
        </w:rPr>
        <w:t xml:space="preserve">CONCLUSIONS:Acute decline in osmolality was associated with brain swelling and neurologic deterioration in severe hepatic encephalopathy. Minimizing osmolality decline may avoid neurologic deterioration.</w:t>
      </w:r>
    </w:p>
    <w:p/>
    <w:p>
      <w:pPr>
        <w:pStyle w:val="Normal"/>
      </w:pPr>
      <w:r>
        <w:rPr>
          <w:color w:val="323232"/>
        </w:rPr>
        <w:t xml:space="preserve">Critical Care Medicine, 2018 vol. 46 (2) pp. 280-289.</w:t>
      </w:r>
    </w:p>
    <w:p>
      <w:r>
        <w:rPr>
          <w:rStyle w:val="Hyperlink"/>
        </w:rPr>
        <w:fldChar w:fldCharType="begin"/>
      </w:r>
      <w:r>
        <w:rPr>
          <w:rStyle w:val="Hyperlink"/>
        </w:rPr>
        <w:instrText xml:space="preserve"> HYPERLINK "http://eutils.ncbi.nlm.nih.gov/entrez/eutils/elink.fcgi?dbfrom=pubmed&amp;id=29341965&amp;retmode=ref&amp;cmd=prlinks"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http://eutils.ncbi.nlm.nih.gov/entrez/eutils/elink.fcgi?dbfrom=pubmed&amp;id=29341965&amp;retmode=ref&amp;cmd=prlinks</w:t>
      </w:r>
      <w:r>
        <w:rPr>
          <w:rStyle w:val="Hyperlink"/>
        </w:rPr>
        <w:fldChar w:fldCharType="end"/>
      </w:r>
    </w:p>
    <w:p>
      <w:pPr>
        <w:pStyle w:val="Normal"/>
      </w:pPr>
      <w:r>
        <w:rPr>
          <w:color w:val="323232"/>
        </w:rPr>
        <w:t xml:space="preserve">————————</w:t>
      </w:r>
    </w:p>
    <w:p>
      <w:pPr>
        <w:pStyle w:val="Heading4"/>
      </w:pPr>
      <w:r>
        <w:t xml:space="preserve">Predictors of Intubation in Patients With Acute Hypoxemic Respiratory Failure Treated With a Noninvasive Oxygenation Strategy.</w:t>
      </w:r>
    </w:p>
    <w:p/>
    <w:p>
      <w:pPr>
        <w:pStyle w:val="Normal"/>
      </w:pPr>
      <w:r>
        <w:rPr>
          <w:color w:val="323232"/>
        </w:rPr>
        <w:t xml:space="preserve">Jean-Pierre Frat, Stéphanie Ragot, Rémi Coudroy, Jean-Michel Constantin, Christophe Girault, Gwenaël Prat, Thierry Boulain, Alexandre Demoule, Jean-Damien Ricard, Keyvan Razazi, Jean-Baptiste Lascarrou, Jérôme Devaquet, Jean-Paul Mira, Laurent Argaud, Jean-Charles Chakarian, Muriel Fartoukh, Saad Nseir, Alain Mercat, Laurent Brochard, René Robert, Arnaud W Thille, and REVA Network.</w:t>
      </w:r>
    </w:p>
    <w:p/>
    <w:p>
      <w:pPr>
        <w:pStyle w:val="Normal"/>
      </w:pPr>
      <w:r>
        <w:rPr>
          <w:color w:val="323232"/>
        </w:rPr>
        <w:t xml:space="preserve">OBJECTIVES:In patients with acute hypoxemic respiratory failure, noninvasive ventilation and high-flow nasal cannula oxygen are alternative strategies to conventional oxygen therapy. Endotracheal intubation is frequently needed in these patients with a risk of delay, and early predictors of failure may help clinicians to decide early. We aimed to identify factors associated with intubation in patients with acute hypoxemic respiratory failure treated with different noninvasive oxygenation techniques.</w:t>
      </w:r>
    </w:p>
    <w:p/>
    <w:p>
      <w:pPr>
        <w:pStyle w:val="Normal"/>
      </w:pPr>
      <w:r>
        <w:rPr>
          <w:color w:val="323232"/>
        </w:rPr>
        <w:t xml:space="preserve">DESIGN:Post hoc analysis of a randomized clinical trial.</w:t>
      </w:r>
    </w:p>
    <w:p/>
    <w:p>
      <w:pPr>
        <w:pStyle w:val="Normal"/>
      </w:pPr>
      <w:r>
        <w:rPr>
          <w:color w:val="323232"/>
        </w:rPr>
        <w:t xml:space="preserve">SETTING:Twenty-three ICUs.</w:t>
      </w:r>
    </w:p>
    <w:p/>
    <w:p>
      <w:pPr>
        <w:pStyle w:val="Normal"/>
      </w:pPr>
      <w:r>
        <w:rPr>
          <w:color w:val="323232"/>
        </w:rPr>
        <w:t xml:space="preserve">PATIENTS:Patients with a respiratory rate greater than 25 breaths</w:t>
      </w:r>
      <w:r>
        <w:rPr>
          <w:i w:val="1"/>
          <w:color w:val="323232"/>
        </w:rPr>
        <w:t xml:space="preserve">min and a PaO2</w:t>
      </w:r>
      <w:r>
        <w:rPr>
          <w:color w:val="323232"/>
        </w:rPr>
        <w:t xml:space="preserve">FIO2 ratio less than or equal to 300</w:t>
      </w:r>
      <w:r>
        <w:rPr>
          <w:color w:val="323232"/>
        </w:rPr>
        <w:t xml:space="preserve"> </w:t>
      </w:r>
      <w:r>
        <w:rPr>
          <w:color w:val="323232"/>
        </w:rPr>
        <w:t xml:space="preserve">mm Hg.</w:t>
      </w:r>
    </w:p>
    <w:p/>
    <w:p>
      <w:pPr>
        <w:pStyle w:val="Normal"/>
      </w:pPr>
      <w:r>
        <w:rPr>
          <w:color w:val="323232"/>
        </w:rPr>
        <w:t xml:space="preserve">INTERVENTION:Patients were treated with standard oxygen, high-flow nasal cannula oxygen, or noninvasive ventilation.</w:t>
      </w:r>
    </w:p>
    <w:p/>
    <w:p>
      <w:pPr>
        <w:pStyle w:val="Normal"/>
      </w:pPr>
      <w:r>
        <w:rPr>
          <w:color w:val="323232"/>
        </w:rPr>
        <w:t xml:space="preserve">MEASUREMENT AND MAIN RESULTS:Respiratory variables one hour after treatment initiation. Under standard oxygen, patients with a respiratory rate greater than or equal to 30 breaths/ min were more likely to need intubation (odds ratio, 2.76; 95% CI, 1.13-6.75; p = 0.03). One hour after high-flow nasal cannula oxygen initiation, increased heart rate was the only factor associated with intubation. One hour after noninvasive ventilation initiation, a PaO2/FIO2 ratio less than or equal to 200</w:t>
      </w:r>
      <w:r>
        <w:rPr>
          <w:color w:val="323232"/>
        </w:rPr>
        <w:t xml:space="preserve"> </w:t>
      </w:r>
      <w:r>
        <w:rPr>
          <w:color w:val="323232"/>
        </w:rPr>
        <w:t xml:space="preserve">mm Hg and a tidal volume greater than 9</w:t>
      </w:r>
      <w:r>
        <w:rPr>
          <w:color w:val="323232"/>
        </w:rPr>
        <w:t xml:space="preserve"> </w:t>
      </w:r>
      <w:r>
        <w:rPr>
          <w:color w:val="323232"/>
        </w:rPr>
        <w:t xml:space="preserve">mL/ kg of predicted body weight were independent predictors of intubation (adjusted odds ratio, 4.26; 95% CI, 1.62-11.16; p = 0.003 and adjusted odds ratio, 3.14; 95% CI, 1.22-8.06; p = 0.02, respectively). A tidal volume above 9</w:t>
      </w:r>
      <w:r>
        <w:rPr>
          <w:color w:val="323232"/>
        </w:rPr>
        <w:t xml:space="preserve"> </w:t>
      </w:r>
      <w:r>
        <w:rPr>
          <w:color w:val="323232"/>
        </w:rPr>
        <w:t xml:space="preserve">mL/kg during noninvasive ventilation remained independently associated with 90-day mortality.</w:t>
      </w:r>
    </w:p>
    <w:p/>
    <w:p>
      <w:pPr>
        <w:pStyle w:val="Normal"/>
      </w:pPr>
      <w:r>
        <w:rPr>
          <w:color w:val="323232"/>
        </w:rPr>
        <w:t xml:space="preserve">CONCLUSIONS:In patients with acute hypoxemic respiratory failure breathing spontaneously, the respiratory rate was a predictor of intubation under standard oxygen, but not under high-flow nasal cannula oxygen or noninvasive ventilation. A PaO2/FIO2 below 200</w:t>
      </w:r>
      <w:r>
        <w:rPr>
          <w:color w:val="323232"/>
        </w:rPr>
        <w:t xml:space="preserve"> </w:t>
      </w:r>
      <w:r>
        <w:rPr>
          <w:color w:val="323232"/>
        </w:rPr>
        <w:t xml:space="preserve">mm Hg and a high tidal volume greater than 9</w:t>
      </w:r>
      <w:r>
        <w:rPr>
          <w:color w:val="323232"/>
        </w:rPr>
        <w:t xml:space="preserve"> </w:t>
      </w:r>
      <w:r>
        <w:rPr>
          <w:color w:val="323232"/>
        </w:rPr>
        <w:t xml:space="preserve">mL/kg were the two strong predictors of intubation under noninvasive ventilation.</w:t>
      </w:r>
    </w:p>
    <w:p/>
    <w:p>
      <w:pPr>
        <w:pStyle w:val="Normal"/>
      </w:pPr>
      <w:r>
        <w:rPr>
          <w:color w:val="323232"/>
        </w:rPr>
        <w:t xml:space="preserve">Critical Care Medicine, 2018 vol. 46 (2) pp. 208-215.</w:t>
      </w:r>
    </w:p>
    <w:p>
      <w:r>
        <w:rPr>
          <w:rStyle w:val="Hyperlink"/>
        </w:rPr>
        <w:fldChar w:fldCharType="begin"/>
      </w:r>
      <w:r>
        <w:rPr>
          <w:rStyle w:val="Hyperlink"/>
        </w:rPr>
        <w:instrText xml:space="preserve"> HYPERLINK "http://eutils.ncbi.nlm.nih.gov/entrez/eutils/elink.fcgi?dbfrom=pubmed&amp;id=29099420&amp;retmode=ref&amp;cmd=prlinks"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http://eutils.ncbi.nlm.nih.gov/entrez/eutils/elink.fcgi?dbfrom=pubmed&amp;id=29099420&amp;retmode=ref&amp;cmd=prlinks</w:t>
      </w:r>
      <w:r>
        <w:rPr>
          <w:rStyle w:val="Hyperlink"/>
        </w:rPr>
        <w:fldChar w:fldCharType="end"/>
      </w:r>
    </w:p>
    <w:p>
      <w:pPr>
        <w:pStyle w:val="Normal"/>
      </w:pPr>
      <w:r>
        <w:rPr>
          <w:color w:val="323232"/>
        </w:rPr>
        <w:t xml:space="preserve">————————</w:t>
      </w:r>
    </w:p>
    <w:p>
      <w:pPr>
        <w:pStyle w:val="Heading4"/>
      </w:pPr>
      <w:r>
        <w:t xml:space="preserve">Predictors, Prevalence, and Outcomes of Early Crystalloid Responsiveness Among Initially Hypotensive Patients With Sepsis and Septic Shock.</w:t>
      </w:r>
    </w:p>
    <w:p/>
    <w:p>
      <w:pPr>
        <w:pStyle w:val="Normal"/>
      </w:pPr>
      <w:r>
        <w:rPr>
          <w:color w:val="323232"/>
        </w:rPr>
        <w:t xml:space="preserve">Daniel E Leisman, Martin E Doerfler, Sandra M Schneider, Kevin D Masick, Jason A D’Amore, and John K D’Angelo.</w:t>
      </w:r>
    </w:p>
    <w:p/>
    <w:p>
      <w:pPr>
        <w:pStyle w:val="Normal"/>
      </w:pPr>
      <w:r>
        <w:rPr>
          <w:color w:val="323232"/>
        </w:rPr>
        <w:t xml:space="preserve">OBJECTIVES:The prevalence of responsiveness to initial fluid challenge among hypotensive sepsis patients is unclear. To avoid fluid overload, and unnecessary treatment, it is important to differentiate these phenotypes. We aimed to 1) determine the proportion of hypotensive sepsis patients sustaining favorable hemodynamic response after initial fluid challenge, 2) determine demographic and clinical risk factors that predicted refractory hypotension, and 3) assess the association between timeliness of fluid resuscitation and refractoriness.</w:t>
      </w:r>
    </w:p>
    <w:p/>
    <w:p>
      <w:pPr>
        <w:pStyle w:val="Normal"/>
      </w:pPr>
      <w:r>
        <w:rPr>
          <w:color w:val="323232"/>
        </w:rPr>
        <w:t xml:space="preserve">DESIGN:Secondary analysis of a prospective, multisite, observational, consecutive-sample cohort.</w:t>
      </w:r>
    </w:p>
    <w:p/>
    <w:p>
      <w:pPr>
        <w:pStyle w:val="Normal"/>
      </w:pPr>
      <w:r>
        <w:rPr>
          <w:color w:val="323232"/>
        </w:rPr>
        <w:t xml:space="preserve">SETTING:Nine tertiary and community hospitals over 1.5 years.</w:t>
      </w:r>
    </w:p>
    <w:p/>
    <w:p>
      <w:pPr>
        <w:pStyle w:val="Normal"/>
      </w:pPr>
      <w:r>
        <w:rPr>
          <w:color w:val="323232"/>
        </w:rPr>
        <w:t xml:space="preserve">PATIENTS:Inclusion criteria 1) suspected or confirmed infection, 2) greater than or equal to two systemic inflammatory response syndrome criteria, 3) systolic blood pressure less than 90</w:t>
      </w:r>
      <w:r>
        <w:rPr>
          <w:color w:val="323232"/>
        </w:rPr>
        <w:t xml:space="preserve"> </w:t>
      </w:r>
      <w:r>
        <w:rPr>
          <w:color w:val="323232"/>
        </w:rPr>
        <w:t xml:space="preserve">mm Hg, greater than 40% decrease from baseline, or mean arterial pressure less than 65</w:t>
      </w:r>
      <w:r>
        <w:rPr>
          <w:color w:val="323232"/>
        </w:rPr>
        <w:t xml:space="preserve"> </w:t>
      </w:r>
      <w:r>
        <w:rPr>
          <w:color w:val="323232"/>
        </w:rPr>
        <w:t xml:space="preserve">mm Hg.</w:t>
      </w:r>
    </w:p>
    <w:p/>
    <w:p>
      <w:pPr>
        <w:pStyle w:val="Normal"/>
      </w:pPr>
      <w:r>
        <w:rPr>
          <w:color w:val="323232"/>
        </w:rPr>
        <w:t xml:space="preserve">MEASUREMENTS AND MAIN RESULTS:Sex, age, heart failure, renal failure, immunocompromise, source of infection, initial lactate, coagulopathy, temperature, altered mentation, altered gas exchange, and acute kidney injury were used to generate a risk score. The primary outcome was sustained normotension after fluid challenge without vasopressor titration. Among 3,686 patients, 2,350 (64%) were fluid responsive. Six candidate risk factors significantly predicted refractoriness in multivariable analysis: heart failure (odds ratio, 1.43; CI, 1.20-1.72), hypothermia (odds ratio, 1.37; 1.10-1.69), altered gas exchange (odds ratio, 1.33; 1.12-1.57), initial lactate greater than or equal to 4.0 mmol/L (odds ratio, 1.28; 1.08-1.52), immunocompromise (odds ratio, 1.23; 1.03-1.47), and coagulopathy (odds ratio, 1.23; 1.03-1.48). High-risk patients (≥ three risk factors) had 70% higher (CI, 48-96%) refractory risk (19% higher absolute risk; CI, 14-25%) versus low-risk (zero risk factors) patients. Initiating fluids in greater than 2 hours also predicted refractoriness (odds ratio, 1.96; CI, 1.49-2.58). Mortality was 15% higher (CI, 10-18%) for refractory patients.</w:t>
      </w:r>
    </w:p>
    <w:p/>
    <w:p>
      <w:pPr>
        <w:pStyle w:val="Normal"/>
      </w:pPr>
      <w:r>
        <w:rPr>
          <w:color w:val="323232"/>
        </w:rPr>
        <w:t xml:space="preserve">CONCLUSIONS:Two in three hypotensive sepsis patients were responsive to initial fluid resuscitation. Heart failure, hypothermia, immunocompromise, hyperlactemia, and coagulopathy were associated with the refractory phenotype. Fluid resuscitation initiated after the initial 2 hours more strongly predicted refractoriness than any patient factor tested.</w:t>
      </w:r>
    </w:p>
    <w:p/>
    <w:p>
      <w:pPr>
        <w:pStyle w:val="Normal"/>
      </w:pPr>
      <w:r>
        <w:rPr>
          <w:color w:val="323232"/>
        </w:rPr>
        <w:t xml:space="preserve">Critical Care Medicine, 2018 vol. 46 (2) pp. 189-198.</w:t>
      </w:r>
    </w:p>
    <w:p>
      <w:r>
        <w:rPr>
          <w:rStyle w:val="Hyperlink"/>
        </w:rPr>
        <w:fldChar w:fldCharType="begin"/>
      </w:r>
      <w:r>
        <w:rPr>
          <w:rStyle w:val="Hyperlink"/>
        </w:rPr>
        <w:instrText xml:space="preserve"> HYPERLINK "http://eutils.ncbi.nlm.nih.gov/entrez/eutils/elink.fcgi?dbfrom=pubmed&amp;id=29112081&amp;retmode=ref&amp;cmd=prlinks"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http://eutils.ncbi.nlm.nih.gov/entrez/eutils/elink.fcgi?dbfrom=pubmed&amp;id=29112081&amp;retmode=ref&amp;cmd=prlinks</w:t>
      </w:r>
      <w:r>
        <w:rPr>
          <w:rStyle w:val="Hyperlink"/>
        </w:rPr>
        <w:fldChar w:fldCharType="end"/>
      </w:r>
    </w:p>
    <w:p>
      <w:pPr>
        <w:pStyle w:val="Normal"/>
      </w:pPr>
      <w:r>
        <w:rPr>
          <w:color w:val="323232"/>
        </w:rPr>
        <w:t xml:space="preserve">————————</w:t>
      </w:r>
    </w:p>
    <w:p>
      <w:pPr>
        <w:pStyle w:val="Heading4"/>
      </w:pPr>
      <w:r>
        <w:t xml:space="preserve">Prevention of Ventilator-Associated Pneumonia: The Multimodal Approach of the Spanish ICU "Pneumonia Zero" Program.</w:t>
      </w:r>
    </w:p>
    <w:p/>
    <w:p>
      <w:pPr>
        <w:pStyle w:val="Normal"/>
      </w:pPr>
      <w:r>
        <w:rPr>
          <w:color w:val="323232"/>
        </w:rPr>
        <w:t xml:space="preserve">Francisco Álvarez-Lerma, Mercedes Palomar-Martínez, Miguel Sánchez-García, Montserrat Martínez-Alonso, Joaquín Álvarez-Rodríguez, Leonardo Lorente, Susana Arias-Rivera, Rosa García, Federico Gordo, José M Añón, Rosa Jam-Gatell, Mónica Vázquez-Calatayud, and Yolanda Agra.</w:t>
      </w:r>
    </w:p>
    <w:p/>
    <w:p>
      <w:pPr>
        <w:pStyle w:val="Normal"/>
      </w:pPr>
      <w:r>
        <w:rPr>
          <w:color w:val="323232"/>
        </w:rPr>
        <w:t xml:space="preserve">OBJECTIVES:The "Pneumonia Zero" project is a nationwide multimodal intervention based on the simultaneous implementation of a comprehensive evidence-based bundle measures to prevent ventilator-associated pneumonia in critically ill patients admitted to the ICU.</w:t>
      </w:r>
    </w:p>
    <w:p/>
    <w:p>
      <w:pPr>
        <w:pStyle w:val="Normal"/>
      </w:pPr>
      <w:r>
        <w:rPr>
          <w:color w:val="323232"/>
        </w:rPr>
        <w:t xml:space="preserve">DESIGN:Prospective, interventional, and multicenter study.</w:t>
      </w:r>
    </w:p>
    <w:p/>
    <w:p>
      <w:pPr>
        <w:pStyle w:val="Normal"/>
      </w:pPr>
      <w:r>
        <w:rPr>
          <w:color w:val="323232"/>
        </w:rPr>
        <w:t xml:space="preserve">SETTING:A total of 181 ICUs throughout Spain.</w:t>
      </w:r>
    </w:p>
    <w:p/>
    <w:p>
      <w:pPr>
        <w:pStyle w:val="Normal"/>
      </w:pPr>
      <w:r>
        <w:rPr>
          <w:color w:val="323232"/>
        </w:rPr>
        <w:t xml:space="preserve">PATIENTS:All patients admitted for more than 24 hours to the participating ICUs between April 1, 2011, and December 31, 2012.</w:t>
      </w:r>
    </w:p>
    <w:p/>
    <w:p>
      <w:pPr>
        <w:pStyle w:val="Normal"/>
      </w:pPr>
      <w:r>
        <w:rPr>
          <w:color w:val="323232"/>
        </w:rPr>
        <w:t xml:space="preserve">INTERVENTION:Ten ventilator-associated pneumonia prevention measures were implemented (seven were mandatory and three highly recommended). The database of the National ICU-Acquired Infections Surveillance Study (Estudio Nacional de Vigilancia de Infecciones Nosocomiales [ENVIN]) was used for data collection. Ventilator-associated pneumonia rate was expressed as incidence density per 1,000 ventilator days. Ventilator-associated pneumonia rates from the incorporation of the ICUs to the project, every 3 months, were compared with data of the ENVIN registry (April-June 2010) as the baseline period. Ventilator-associated pneumonia rates were adjusted by characteristics of the hospital, including size, type (public or private), and teaching (postgraduate) or university-affiliated (undergraduate) status.</w:t>
      </w:r>
    </w:p>
    <w:p/>
    <w:p>
      <w:pPr>
        <w:pStyle w:val="Normal"/>
      </w:pPr>
      <w:r>
        <w:rPr>
          <w:color w:val="323232"/>
        </w:rPr>
        <w:t xml:space="preserve">MEASUREMENTS AND MAIN RESULTS:The 181 participating ICUs accounted for 75% of all ICUs in Spain. In a total of 171,237 ICU admissions, an artificial airway was present on 505,802 days (50.0% of days of stay in the ICU). A total of 3,474 ventilator-associated pneumonia episodes were diagnosed in 3,186 patients. The adjusted ventilator-associated pneumonia incidence density rate decreased from 9.83 (95% CI, 8.42-11.48) per 1,000 ventilator days in the baseline period to 4.34 (95% CI, 3.22-5.84) after 19-21 months of participation.</w:t>
      </w:r>
    </w:p>
    <w:p/>
    <w:p>
      <w:pPr>
        <w:pStyle w:val="Normal"/>
      </w:pPr>
      <w:r>
        <w:rPr>
          <w:color w:val="323232"/>
        </w:rPr>
        <w:t xml:space="preserve">CONCLUSIONS:Implementation of the bundle measures included in the "Pneumonia Zero" project resulted in a significant reduction of more than 50% of the incidence of ventilator-associated pneumonia in Spanish ICUs. This reduction was sustained 21 months after implementation.</w:t>
      </w:r>
    </w:p>
    <w:p/>
    <w:p>
      <w:pPr>
        <w:pStyle w:val="Normal"/>
      </w:pPr>
      <w:r>
        <w:rPr>
          <w:color w:val="323232"/>
        </w:rPr>
        <w:t xml:space="preserve">Critical Care Medicine, 2018 vol. 46 (2) pp. 181-188.</w:t>
      </w:r>
    </w:p>
    <w:p>
      <w:r>
        <w:rPr>
          <w:rStyle w:val="Hyperlink"/>
        </w:rPr>
        <w:fldChar w:fldCharType="begin"/>
      </w:r>
      <w:r>
        <w:rPr>
          <w:rStyle w:val="Hyperlink"/>
        </w:rPr>
        <w:instrText xml:space="preserve"> HYPERLINK "http://eutils.ncbi.nlm.nih.gov/entrez/eutils/elink.fcgi?dbfrom=pubmed&amp;id=29023261&amp;retmode=ref&amp;cmd=prlinks"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http://eutils.ncbi.nlm.nih.gov/entrez/eutils/elink.fcgi?dbfrom=pubmed&amp;id=29023261&amp;retmode=ref&amp;cmd=prlinks</w:t>
      </w:r>
      <w:r>
        <w:rPr>
          <w:rStyle w:val="Hyperlink"/>
        </w:rPr>
        <w:fldChar w:fldCharType="end"/>
      </w:r>
    </w:p>
    <w:p>
      <w:pPr>
        <w:pStyle w:val="Normal"/>
      </w:pPr>
      <w:r>
        <w:rPr>
          <w:color w:val="323232"/>
        </w:rPr>
        <w:t xml:space="preserve">————————</w:t>
      </w:r>
    </w:p>
    <w:p>
      <w:pPr>
        <w:pStyle w:val="Heading4"/>
      </w:pPr>
      <w:r>
        <w:t xml:space="preserve">Should Transfusion Trigger Thresholds Differ for Critical Care Versus Perioperative Patients? A Meta-Analysis of Randomized Trials.</w:t>
      </w:r>
    </w:p>
    <w:p/>
    <w:p>
      <w:pPr>
        <w:pStyle w:val="Normal"/>
      </w:pPr>
      <w:r>
        <w:rPr>
          <w:color w:val="323232"/>
        </w:rPr>
        <w:t xml:space="preserve">Matthew A Chong, Rohin Krishnan, Davy Cheng, and Janet Martin.</w:t>
      </w:r>
    </w:p>
    <w:p/>
    <w:p>
      <w:pPr>
        <w:pStyle w:val="Normal"/>
      </w:pPr>
      <w:r>
        <w:rPr>
          <w:color w:val="323232"/>
        </w:rPr>
        <w:t xml:space="preserve">OBJECTIVE:To address the significant uncertainty as to whether transfusion thresholds for critical care versus surgical patients should differ.</w:t>
      </w:r>
    </w:p>
    <w:p/>
    <w:p>
      <w:pPr>
        <w:pStyle w:val="Normal"/>
      </w:pPr>
      <w:r>
        <w:rPr>
          <w:color w:val="323232"/>
        </w:rPr>
        <w:t xml:space="preserve">DESIGN:Meta-analysis of randomized controlled trials.</w:t>
      </w:r>
    </w:p>
    <w:p/>
    <w:p>
      <w:pPr>
        <w:pStyle w:val="Normal"/>
      </w:pPr>
      <w:r>
        <w:rPr>
          <w:color w:val="323232"/>
        </w:rPr>
        <w:t xml:space="preserve">SETTING:Medline, EMBASE, and Cochrane Library searches were performed up to 15 June 2016.</w:t>
      </w:r>
    </w:p>
    <w:p/>
    <w:p>
      <w:pPr>
        <w:pStyle w:val="Normal"/>
      </w:pPr>
      <w:r>
        <w:rPr>
          <w:color w:val="323232"/>
        </w:rPr>
        <w:t xml:space="preserve">PATIENTS:Trials had to enroll adult surgical or critically ill patients for inclusion.</w:t>
      </w:r>
    </w:p>
    <w:p/>
    <w:p>
      <w:pPr>
        <w:pStyle w:val="Normal"/>
      </w:pPr>
      <w:r>
        <w:rPr>
          <w:color w:val="323232"/>
        </w:rPr>
        <w:t xml:space="preserve">INTERVENTIONS:Studies had to compare a liberal versus restrictive threshold for the transfusion of allogeneic packed RBCs.</w:t>
      </w:r>
    </w:p>
    <w:p/>
    <w:p>
      <w:pPr>
        <w:pStyle w:val="Normal"/>
      </w:pPr>
      <w:r>
        <w:rPr>
          <w:color w:val="323232"/>
        </w:rPr>
        <w:t xml:space="preserve">MEASUREMENTS AND MAIN RESULTS:The primary outcome was 30-day all-cause mortality, sub-grouped by surgical and critical care patients. Secondary outcomes included myocardial infarction, stroke, renal failure, allogeneic blood exposure, and length of stay. Odds ratios and weighted mean differences were calculated using random effects meta-analysis. To assess whether subgroups were significantly different, tests for subgroup interaction were used. Subgroup analysis by trials enrolling critically ill versus surgical patients was performed. Twenty-seven randomized controlled trials (10,797 patients) were included. In critical care patients, restrictive transfusion resulted in significantly reduced 30-day mortality compared with liberal transfusion (odds ratio, 0.82; 95% CI, 0.70-0.97). In surgical patients, a restrictive transfusion strategy led to the opposite direction of effect for mortality (odds ratio, 1.31; 95% CI, 0.94-1.82). The subgroup interaction test was significant (p = 0.04), suggesting that the effect of restrictive transfusion on mortality is statistically different for critical care (decreased risk) versus surgical patients (potentially increased risk or no difference). Regarding secondary outcomes, for critically ill patients, a restrictive strategy resulted in reduced risk of stroke/transient ischemic attack, packed RBC exposure, transfusion reactions, and hospital length of stay. In surgical patients, restrictive transfusion resulted in reduced packed RBC exposure.</w:t>
      </w:r>
    </w:p>
    <w:p/>
    <w:p>
      <w:pPr>
        <w:pStyle w:val="Normal"/>
      </w:pPr>
      <w:r>
        <w:rPr>
          <w:color w:val="323232"/>
        </w:rPr>
        <w:t xml:space="preserve">CONCLUSIONS:The safety of restrictive transfusion strategies likely differs for critically ill patients versus perioperative patients. Further trials investigating transfusion strategies in the perioperative setting are necessary.</w:t>
      </w:r>
    </w:p>
    <w:p/>
    <w:p>
      <w:pPr>
        <w:pStyle w:val="Normal"/>
      </w:pPr>
      <w:r>
        <w:rPr>
          <w:color w:val="323232"/>
        </w:rPr>
        <w:t xml:space="preserve">Critical Care Medicine, 2018 vol. 46 (2) pp. 252-263.</w:t>
      </w:r>
    </w:p>
    <w:p>
      <w:r>
        <w:rPr>
          <w:rStyle w:val="Hyperlink"/>
        </w:rPr>
        <w:fldChar w:fldCharType="begin"/>
      </w:r>
      <w:r>
        <w:rPr>
          <w:rStyle w:val="Hyperlink"/>
        </w:rPr>
        <w:instrText xml:space="preserve"> HYPERLINK "http://eutils.ncbi.nlm.nih.gov/entrez/eutils/elink.fcgi?dbfrom=pubmed&amp;id=29189348&amp;retmode=ref&amp;cmd=prlinks"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http://eutils.ncbi.nlm.nih.gov/entrez/eutils/elink.fcgi?dbfrom=pubmed&amp;id=29189348&amp;retmode=ref&amp;cmd=prlinks</w:t>
      </w:r>
      <w:r>
        <w:rPr>
          <w:rStyle w:val="Hyperlink"/>
        </w:rPr>
        <w:fldChar w:fldCharType="end"/>
      </w:r>
    </w:p>
    <w:p>
      <w:pPr>
        <w:pStyle w:val="Normal"/>
      </w:pPr>
      <w:r>
        <w:rPr>
          <w:color w:val="323232"/>
        </w:rPr>
        <w:t xml:space="preserve">————————</w:t>
      </w:r>
    </w:p>
    <w:p>
      <w:pPr>
        <w:pStyle w:val="Heading4"/>
      </w:pPr>
      <w:r>
        <w:t xml:space="preserve">Accuracy of Invasive and Noninvasive Parameters for Diagnosing Ventilatory Overassistance During Pressure Support Ventilation.</w:t>
      </w:r>
    </w:p>
    <w:p/>
    <w:p>
      <w:pPr>
        <w:pStyle w:val="Normal"/>
      </w:pPr>
      <w:r>
        <w:rPr>
          <w:color w:val="323232"/>
        </w:rPr>
        <w:t xml:space="preserve">Renata Pletsch-Assuncao, Mayra Caleffi Pereira, Jeferson George Ferreira, Letícia Zumpano Cardenas, André Luis Pereira de Albuquerque, Carlos Roberto Ribeiro de Carvalho, and Pedro Caruso.</w:t>
      </w:r>
    </w:p>
    <w:p/>
    <w:p>
      <w:pPr>
        <w:pStyle w:val="Normal"/>
      </w:pPr>
      <w:r>
        <w:rPr>
          <w:color w:val="323232"/>
        </w:rPr>
        <w:t xml:space="preserve">OBJECTIVE:Evaluate the accuracy of criteria for diagnosing pressure overassistance during pressure support ventilation.</w:t>
      </w:r>
    </w:p>
    <w:p/>
    <w:p>
      <w:pPr>
        <w:pStyle w:val="Normal"/>
      </w:pPr>
      <w:r>
        <w:rPr>
          <w:color w:val="323232"/>
        </w:rPr>
        <w:t xml:space="preserve">DESIGN:Prospective clinical study.</w:t>
      </w:r>
    </w:p>
    <w:p/>
    <w:p>
      <w:pPr>
        <w:pStyle w:val="Normal"/>
      </w:pPr>
      <w:r>
        <w:rPr>
          <w:color w:val="323232"/>
        </w:rPr>
        <w:t xml:space="preserve">SETTING:Medical-surgical ICU.</w:t>
      </w:r>
    </w:p>
    <w:p/>
    <w:p>
      <w:pPr>
        <w:pStyle w:val="Normal"/>
      </w:pPr>
      <w:r>
        <w:rPr>
          <w:color w:val="323232"/>
        </w:rPr>
        <w:t xml:space="preserve">PATIENTS:Adults under mechanical ventilation for 48 hours or more using pressure support ventilation and without any sedative for 6 hours or more. Overassistance was defined as the occurrence of work of breathing less than 0.3 J/ L or 10% or more of ineffective inspiratory effort. Two alternative overassistance definitions were based on the occurrence of inspiratory esophageal pressure-time product of less than 50 cm H2O s/min or esophageal occlusion pressure of less than 1.5 cm H2O.</w:t>
      </w:r>
    </w:p>
    <w:p/>
    <w:p>
      <w:pPr>
        <w:pStyle w:val="Normal"/>
      </w:pPr>
      <w:r>
        <w:rPr>
          <w:color w:val="323232"/>
        </w:rPr>
        <w:t xml:space="preserve">INTERVENTIONS:The pressure support was set to 20 cm H2O and decreased in 3-cm H2O steps down to 2 cm H2O.</w:t>
      </w:r>
    </w:p>
    <w:p/>
    <w:p>
      <w:pPr>
        <w:pStyle w:val="Normal"/>
      </w:pPr>
      <w:r>
        <w:rPr>
          <w:color w:val="323232"/>
        </w:rPr>
        <w:t xml:space="preserve">MEASUREMENTS AND MAIN RESULTS:The following parameters were evaluated to diagnose overassistance: respiratory rate, tidal volume, minute ventilation, peripheral arterial oxygen saturation, rapid shallow breathing index, heart rate, mean arterial pressure, change in esophageal pressure during inspiration, and esophageal and airway occlusion pressure. In all definitions, the respiratory rate had the greatest accuracy for diagnosing overassistance (receiver operating characteristic area = 0.92; 0.91 and 0.76 for work of breathing, pressure-time product and esophageal occlusion pressure in definition, respectively) and always with a cutoff of 17 incursions per minute. In all definitions, a respiratory rate of less than or equal to 12 confirmed overassistance (100% specificity), whereas a respiratory rate of greater than or equal to 30 excluded overassistance (100% sensitivity).</w:t>
      </w:r>
    </w:p>
    <w:p/>
    <w:p>
      <w:pPr>
        <w:pStyle w:val="Normal"/>
      </w:pPr>
      <w:r>
        <w:rPr>
          <w:color w:val="323232"/>
        </w:rPr>
        <w:t xml:space="preserve">CONCLUSION:A respiratory rate of 17 breaths/min is the parameter with the greatest accuracy for diagnosing overassistance. Respiratory rates of less than or equal to 12 or greater than or equal to 30 are useful clinical references to confirm or exclude pressure support overassistance.</w:t>
      </w:r>
    </w:p>
    <w:p/>
    <w:p>
      <w:pPr>
        <w:pStyle w:val="Normal"/>
      </w:pPr>
      <w:r>
        <w:rPr>
          <w:color w:val="323232"/>
        </w:rPr>
        <w:t xml:space="preserve">Critical Care Medicine, 2018 vol. 46 (3) pp. 411-417.</w:t>
      </w:r>
    </w:p>
    <w:p>
      <w:r>
        <w:rPr>
          <w:rStyle w:val="Hyperlink"/>
        </w:rPr>
        <w:fldChar w:fldCharType="begin"/>
      </w:r>
      <w:r>
        <w:rPr>
          <w:rStyle w:val="Hyperlink"/>
        </w:rPr>
        <w:instrText xml:space="preserve"> HYPERLINK "http://eutils.ncbi.nlm.nih.gov/entrez/eutils/elink.fcgi?dbfrom=pubmed&amp;id=29189344&amp;retmode=ref&amp;cmd=prlinks"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http://eutils.ncbi.nlm.nih.gov/entrez/eutils/elink.fcgi?dbfrom=pubmed&amp;id=29189344&amp;retmode=ref&amp;cmd=prlinks</w:t>
      </w:r>
      <w:r>
        <w:rPr>
          <w:rStyle w:val="Hyperlink"/>
        </w:rPr>
        <w:fldChar w:fldCharType="end"/>
      </w:r>
    </w:p>
    <w:p>
      <w:pPr>
        <w:pStyle w:val="Normal"/>
      </w:pPr>
      <w:r>
        <w:rPr>
          <w:color w:val="323232"/>
        </w:rPr>
        <w:t xml:space="preserve">————————</w:t>
      </w:r>
    </w:p>
    <w:p>
      <w:pPr>
        <w:pStyle w:val="Heading4"/>
      </w:pPr>
      <w:r>
        <w:t xml:space="preserve">Association Between Partial Pressure of Arterial Carbon Dioxide and Survival to Hospital Discharge Among Patients Diagnosed With Sepsis in the Emergency Department.</w:t>
      </w:r>
    </w:p>
    <w:p/>
    <w:p>
      <w:pPr>
        <w:pStyle w:val="Normal"/>
      </w:pPr>
      <w:r>
        <w:rPr>
          <w:color w:val="323232"/>
        </w:rPr>
        <w:t xml:space="preserve">Brian W Roberts, Nicholas M Mohr, Enyo Ablordeppey, Anne M Drewry, Ian T Ferguson, Stephen Trzeciak, Marin H Kollef, and Brian M Fuller.</w:t>
      </w:r>
    </w:p>
    <w:p/>
    <w:p>
      <w:pPr>
        <w:pStyle w:val="Normal"/>
      </w:pPr>
      <w:r>
        <w:rPr>
          <w:color w:val="323232"/>
        </w:rPr>
        <w:t xml:space="preserve">OBJECTIVE:The objective of this study was to test the association between the partial pressure of arterial carbon dioxide and survival to hospital discharge among mechanically ventilated patients diagnosed with sepsis in the emergency department.</w:t>
      </w:r>
    </w:p>
    <w:p/>
    <w:p>
      <w:pPr>
        <w:pStyle w:val="Normal"/>
      </w:pPr>
      <w:r>
        <w:rPr>
          <w:color w:val="323232"/>
        </w:rPr>
        <w:t xml:space="preserve">DESIGN:Retrospective cohort study of a single center trial registry.</w:t>
      </w:r>
    </w:p>
    <w:p/>
    <w:p>
      <w:pPr>
        <w:pStyle w:val="Normal"/>
      </w:pPr>
      <w:r>
        <w:rPr>
          <w:color w:val="323232"/>
        </w:rPr>
        <w:t xml:space="preserve">SETTING:Academic medical center.</w:t>
      </w:r>
    </w:p>
    <w:p/>
    <w:p>
      <w:pPr>
        <w:pStyle w:val="Normal"/>
      </w:pPr>
      <w:r>
        <w:rPr>
          <w:color w:val="323232"/>
        </w:rPr>
        <w:t xml:space="preserve">PATIENTS:Mechanically ventilated emergency department patients.</w:t>
      </w:r>
    </w:p>
    <w:p/>
    <w:p>
      <w:pPr>
        <w:pStyle w:val="Normal"/>
      </w:pPr>
      <w:r>
        <w:rPr>
          <w:color w:val="323232"/>
        </w:rPr>
        <w:t xml:space="preserve">INCLUSION CRITERIA:age 18 years and older, diagnosed with sepsis in the emergency department, and mechanical ventilation initiated in the emergency department.</w:t>
      </w:r>
    </w:p>
    <w:p/>
    <w:p>
      <w:pPr>
        <w:pStyle w:val="Normal"/>
      </w:pPr>
      <w:r>
        <w:rPr>
          <w:color w:val="323232"/>
        </w:rPr>
        <w:t xml:space="preserve">INTERVENTIONS:Arterial blood gases obtained after initiation of mechanical ventilation were analyzed. The primary outcome was survival to hospital discharge. We tested the association between partial pressure of arterial carbon dioxide and survival using multivariable logistic regression adjusting for potential confounders. Sensitivity analyses, including propensity score matching were also performed.</w:t>
      </w:r>
    </w:p>
    <w:p/>
    <w:p>
      <w:pPr>
        <w:pStyle w:val="Normal"/>
      </w:pPr>
      <w:r>
        <w:rPr>
          <w:color w:val="323232"/>
        </w:rPr>
        <w:t xml:space="preserve">MEASUREMENTS AND MAIN RESULTS:Six hundred subjects were included, and 429 (72%) survived to hospital discharge. The median (interquartile range) partial pressure of arterial carbon dioxide was 42 (34-53) mm Hg for the entire cohort and 44 (35-57) and 39 (31-45) mm Hg among survivors and nonsurvivors, respectively (p &lt; 0.0001 Wilcox rank-sum test). On multivariable analysis, a 1</w:t>
      </w:r>
      <w:r>
        <w:rPr>
          <w:color w:val="323232"/>
        </w:rPr>
        <w:t xml:space="preserve"> </w:t>
      </w:r>
      <w:r>
        <w:rPr>
          <w:color w:val="323232"/>
        </w:rPr>
        <w:t xml:space="preserve">mm Hg rise in partial pressure of arterial carbon dioxide was associated with a 3% increase in odds of survival (adjusted odds ratio, 1.03; 95% CI, 1.01-1.04) after adjusting for tidal volume and other potential confounders. These results remained significant on all sensitivity analyses.</w:t>
      </w:r>
    </w:p>
    <w:p/>
    <w:p>
      <w:pPr>
        <w:pStyle w:val="Normal"/>
      </w:pPr>
      <w:r>
        <w:rPr>
          <w:color w:val="323232"/>
        </w:rPr>
        <w:t xml:space="preserve">CONCLUSION:In this sample of mechanically ventilated sepsis patients, we found an association between increasing levels of partial pressure of arterial carbon dioxide and survival to hospital discharge. These findings justify future studies to determine the optimal target partial pressure of arterial carbon dioxide range for mechanically ventilated sepsis patients.</w:t>
      </w:r>
    </w:p>
    <w:p/>
    <w:p>
      <w:pPr>
        <w:pStyle w:val="Normal"/>
      </w:pPr>
      <w:r>
        <w:rPr>
          <w:color w:val="323232"/>
        </w:rPr>
        <w:t xml:space="preserve">Critical Care Medicine, 2018 vol. 46 (3) pp. e213-e220.</w:t>
      </w:r>
    </w:p>
    <w:p>
      <w:r>
        <w:rPr>
          <w:rStyle w:val="Hyperlink"/>
        </w:rPr>
        <w:fldChar w:fldCharType="begin"/>
      </w:r>
      <w:r>
        <w:rPr>
          <w:rStyle w:val="Hyperlink"/>
        </w:rPr>
        <w:instrText xml:space="preserve"> HYPERLINK "http://eutils.ncbi.nlm.nih.gov/entrez/eutils/elink.fcgi?dbfrom=pubmed&amp;id=29261567&amp;retmode=ref&amp;cmd=prlinks"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http://eutils.ncbi.nlm.nih.gov/entrez/eutils/elink.fcgi?dbfrom=pubmed&amp;id=29261567&amp;retmode=ref&amp;cmd=prlinks</w:t>
      </w:r>
      <w:r>
        <w:rPr>
          <w:rStyle w:val="Hyperlink"/>
        </w:rPr>
        <w:fldChar w:fldCharType="end"/>
      </w:r>
    </w:p>
    <w:p>
      <w:pPr>
        <w:pStyle w:val="Normal"/>
      </w:pPr>
      <w:r>
        <w:rPr>
          <w:color w:val="323232"/>
        </w:rPr>
        <w:t xml:space="preserve">————————</w:t>
      </w:r>
    </w:p>
    <w:p>
      <w:pPr>
        <w:pStyle w:val="Heading4"/>
      </w:pPr>
      <w:r>
        <w:t xml:space="preserve">Platelet Drop and Fibrinolytic Shutdown in Patients With Sepsis.</w:t>
      </w:r>
    </w:p>
    <w:p/>
    <w:p>
      <w:pPr>
        <w:pStyle w:val="Normal"/>
      </w:pPr>
      <w:r>
        <w:rPr>
          <w:color w:val="323232"/>
        </w:rPr>
        <w:t xml:space="preserve">Fabrizio Semeraro, Mario Colucci, Pietro Caironi, Serge Masson, Concetta T Ammollo, Roberto Teli, Nicola Semeraro, Michela Magnoli, Giovanni Salati, Michele Isetta, Mauro Panigada, Tommaso Tonetti, Gianni Tognoni, Roberto Latini, Antonio Pesenti, and Luciano Gattinoni.</w:t>
      </w:r>
    </w:p>
    <w:p/>
    <w:p>
      <w:pPr>
        <w:pStyle w:val="Normal"/>
      </w:pPr>
      <w:r>
        <w:rPr>
          <w:color w:val="323232"/>
        </w:rPr>
        <w:t xml:space="preserve">OBJECTIVE:Thrombocytopenia is the most common hemostatic disorder during sepsis and is associated with high mortality. We examined whether fibrinolytic changes precede incident thrombocytopenia and predict outcome in patients with severe sepsis.</w:t>
      </w:r>
    </w:p>
    <w:p/>
    <w:p>
      <w:pPr>
        <w:pStyle w:val="Normal"/>
      </w:pPr>
      <w:r>
        <w:rPr>
          <w:color w:val="323232"/>
        </w:rPr>
        <w:t xml:space="preserve">DESIGN:Nested study from the multicenter, randomized, controlled trial on the efficacy of albumin replacement in severe sepsis or septic shock (the Albumin Italian Outcome Sepsis trial).</w:t>
      </w:r>
    </w:p>
    <w:p/>
    <w:p>
      <w:pPr>
        <w:pStyle w:val="Normal"/>
      </w:pPr>
      <w:r>
        <w:rPr>
          <w:color w:val="323232"/>
        </w:rPr>
        <w:t xml:space="preserve">SETTING:Forty ICUs in Italy.</w:t>
      </w:r>
    </w:p>
    <w:p/>
    <w:p>
      <w:pPr>
        <w:pStyle w:val="Normal"/>
      </w:pPr>
      <w:r>
        <w:rPr>
          <w:color w:val="323232"/>
        </w:rPr>
        <w:t xml:space="preserve">PATIENTS:Three groups of patients were selected: 1) patients with platelet count less than or equal to 50</w:t>
      </w:r>
      <w:r>
        <w:rPr>
          <w:color w:val="323232"/>
        </w:rPr>
        <w:t xml:space="preserve"> </w:t>
      </w:r>
      <w:r>
        <w:rPr>
          <w:color w:val="323232"/>
        </w:rPr>
        <w:t xml:space="preserve">×</w:t>
      </w:r>
      <w:r>
        <w:rPr>
          <w:color w:val="323232"/>
        </w:rPr>
        <w:t xml:space="preserve"> </w:t>
      </w:r>
      <w:r>
        <w:rPr>
          <w:color w:val="323232"/>
        </w:rPr>
        <w:t xml:space="preserve">10/L at study entry (n = 85); 2) patients with baseline platelet count greater than or equal to 100</w:t>
      </w:r>
      <w:r>
        <w:rPr>
          <w:color w:val="323232"/>
        </w:rPr>
        <w:t xml:space="preserve"> </w:t>
      </w:r>
      <w:r>
        <w:rPr>
          <w:color w:val="323232"/>
        </w:rPr>
        <w:t xml:space="preserve">×</w:t>
      </w:r>
      <w:r>
        <w:rPr>
          <w:color w:val="323232"/>
        </w:rPr>
        <w:t xml:space="preserve"> </w:t>
      </w:r>
      <w:r>
        <w:rPr>
          <w:color w:val="323232"/>
        </w:rPr>
        <w:t xml:space="preserve">10/L who developed thrombocytopenia (≤ 50</w:t>
      </w:r>
      <w:r>
        <w:rPr>
          <w:color w:val="323232"/>
        </w:rPr>
        <w:t xml:space="preserve"> </w:t>
      </w:r>
      <w:r>
        <w:rPr>
          <w:color w:val="323232"/>
        </w:rPr>
        <w:t xml:space="preserve">×</w:t>
      </w:r>
      <w:r>
        <w:rPr>
          <w:color w:val="323232"/>
        </w:rPr>
        <w:t xml:space="preserve"> </w:t>
      </w:r>
      <w:r>
        <w:rPr>
          <w:color w:val="323232"/>
        </w:rPr>
        <w:t xml:space="preserve">10/L) within 28 days (n = 100); 3) patients with platelet count always more than or equal to 100</w:t>
      </w:r>
      <w:r>
        <w:rPr>
          <w:color w:val="323232"/>
        </w:rPr>
        <w:t xml:space="preserve"> </w:t>
      </w:r>
      <w:r>
        <w:rPr>
          <w:color w:val="323232"/>
        </w:rPr>
        <w:t xml:space="preserve">×</w:t>
      </w:r>
      <w:r>
        <w:rPr>
          <w:color w:val="323232"/>
        </w:rPr>
        <w:t xml:space="preserve"> </w:t>
      </w:r>
      <w:r>
        <w:rPr>
          <w:color w:val="323232"/>
        </w:rPr>
        <w:t xml:space="preserve">10/L (n = 95).</w:t>
      </w:r>
    </w:p>
    <w:p/>
    <w:p>
      <w:pPr>
        <w:pStyle w:val="Normal"/>
      </w:pPr>
      <w:r>
        <w:rPr>
          <w:color w:val="323232"/>
        </w:rPr>
        <w:t xml:space="preserve">INTERVENTIONS:Fibrinolytic variables, including fibrinolysis inhibitors and in vivo markers of plasmin generation, were measured on day 1.</w:t>
      </w:r>
    </w:p>
    <w:p/>
    <w:p>
      <w:pPr>
        <w:pStyle w:val="Normal"/>
      </w:pPr>
      <w:r>
        <w:rPr>
          <w:color w:val="323232"/>
        </w:rPr>
        <w:t xml:space="preserve">MEASUREMENTS AND MAIN RESULTS:Patients with early thrombocytopenia (group 1) and those who developed it later (group 2) had similar illness severity and 90-day mortality, whereas patients without thrombocytopenia (group 3) had milder disease and lower mortality. Fibrinolysis was markedly (and similarly) depressed in groups 1 and 2 as compared with group 3. Major fibrinolytic changes included increased levels of plasminogen activator inhibitor 1 and extensive activation/consumption of thrombin activatable fibrinolysis inhibitor. Most fibrinolytic variables were significantly associated with mortality in univariate models. However, only thrombin activatable fibrinolysis inhibitor level and in vivo markers of fibrinolysis activation, namely plasmin-antiplasmin complex, and D-dimer, were independently associated with mortality after adjustment for Simplified Acute Physiology Score-II score, sex, and platelet count. Furthermore, the coexistence of impaired fibrinolysis and low platelets was associated with an even greater mortality.</w:t>
      </w:r>
    </w:p>
    <w:p/>
    <w:p>
      <w:pPr>
        <w:pStyle w:val="Normal"/>
      </w:pPr>
      <w:r>
        <w:rPr>
          <w:color w:val="323232"/>
        </w:rPr>
        <w:t xml:space="preserve">CONCLUSIONS:Impaired fibrinolysis, mainly driven by plasminogen activator inhibitor-1 increase and thrombin activatable fibrinolysis inhibitor activation, is an early manifestation of sepsis and may precede the development of thrombocytopenia. Thrombin activatable fibrinolysis inhibitor level, in particular, proved to be an independent predictor of mortality, which may improve risk stratification of patients with severe sepsis.</w:t>
      </w:r>
    </w:p>
    <w:p/>
    <w:p>
      <w:pPr>
        <w:pStyle w:val="Normal"/>
      </w:pPr>
      <w:r>
        <w:rPr>
          <w:color w:val="323232"/>
        </w:rPr>
        <w:t xml:space="preserve">Critical Care Medicine, 2018 vol. 46 (3) pp. e221-e228.</w:t>
      </w:r>
    </w:p>
    <w:p>
      <w:r>
        <w:rPr>
          <w:rStyle w:val="Hyperlink"/>
        </w:rPr>
        <w:fldChar w:fldCharType="begin"/>
      </w:r>
      <w:r>
        <w:rPr>
          <w:rStyle w:val="Hyperlink"/>
        </w:rPr>
        <w:instrText xml:space="preserve"> HYPERLINK "http://Insights.ovid.com/crossref?an=00003246-201803000-00030" </w:instrText>
      </w:r>
      <w:r>
        <w:rPr>
          <w:rStyle w:val="Hyperlink"/>
        </w:rPr>
      </w:r>
      <w:r>
        <w:rPr>
          <w:rStyle w:val="Hyperlink"/>
        </w:rPr>
        <w:fldChar w:fldCharType="separate"/>
      </w:r>
      <w:pPr>
        <w:pStyle w:val="Normal"/>
      </w:pPr>
      <w:r>
        <w:rPr>
          <w:rStyle w:val="Hyperlink"/>
        </w:rPr>
        <w:t xml:space="preserve">http://Insights.ovid.com/crossref?an=00003246-201803000-00030</w:t>
      </w:r>
      <w:r>
        <w:rPr>
          <w:rStyle w:val="Hyperlink"/>
        </w:rPr>
        <w:fldChar w:fldCharType="end"/>
      </w:r>
    </w:p>
    <w:p>
      <w:pPr>
        <w:pStyle w:val="Normal"/>
      </w:pPr>
      <w:r>
        <w:rPr>
          <w:color w:val="323232"/>
        </w:rPr>
        <w:t xml:space="preserve">————————</w:t>
      </w:r>
    </w:p>
    <w:p>
      <w:pPr>
        <w:pStyle w:val="Heading4"/>
      </w:pPr>
      <w:r>
        <w:t xml:space="preserve">Thoracic Epidural Analgesia and Mortality in Acute Pancreatitis: A Multicenter Propensity Analysis.</w:t>
      </w:r>
    </w:p>
    <w:p/>
    <w:p>
      <w:pPr>
        <w:pStyle w:val="Normal"/>
      </w:pPr>
      <w:r>
        <w:rPr>
          <w:color w:val="323232"/>
        </w:rPr>
        <w:t xml:space="preserve">Matthieu Jabaudon, Nouria Belhadj-Tahar, Thomas Rimmelé, Olivier Joannes-Boyau, Stéphanie Bulyez, Jean-Yves Lefrant, Yannick Malledant, Marc Leone, Paër-Sélim Abback, Fabienne Tamion, Hervé Dupont, Brice Lortat-Jacob, Philippe Guerci, Thomas Kerforne, Raphael Cinotti, Laurent Jacob, Philippe Verdier, Thierry Dugernier, Bruno Pereira, Jean-Michel Constantin, and Azurea Network.</w:t>
      </w:r>
    </w:p>
    <w:p/>
    <w:p>
      <w:pPr>
        <w:pStyle w:val="Normal"/>
      </w:pPr>
      <w:r>
        <w:rPr>
          <w:color w:val="323232"/>
        </w:rPr>
        <w:t xml:space="preserve">OBJECTIVE:Recent preclinical and clinical data suggest that thoracic epidural analgesia, a technique primarily aimed at decreasing pain, might exert anti-inflammatory effects, enhance splanchnic and pancreatic blood flow during acute pancreatitis; however, the influence of epidural analgesia on mortality remains under investigated in this setting. This study was therefore designed to assess the impact of epidural analgesia on mortality in ICU patients with acute pancreatitis.</w:t>
      </w:r>
    </w:p>
    <w:p/>
    <w:p>
      <w:pPr>
        <w:pStyle w:val="Normal"/>
      </w:pPr>
      <w:r>
        <w:rPr>
          <w:color w:val="323232"/>
        </w:rPr>
        <w:t xml:space="preserve">DESIGN:Multicenter retrospective, observational, cohort study.</w:t>
      </w:r>
    </w:p>
    <w:p/>
    <w:p>
      <w:pPr>
        <w:pStyle w:val="Normal"/>
      </w:pPr>
      <w:r>
        <w:rPr>
          <w:color w:val="323232"/>
        </w:rPr>
        <w:t xml:space="preserve">SETTING:Seventeen French and Belgian ICUs.</w:t>
      </w:r>
    </w:p>
    <w:p/>
    <w:p>
      <w:pPr>
        <w:pStyle w:val="Normal"/>
      </w:pPr>
      <w:r>
        <w:rPr>
          <w:color w:val="323232"/>
        </w:rPr>
        <w:t xml:space="preserve">PATIENTS:All patients admitted to with acute pancreatitis between June 2009 and March 2014.</w:t>
      </w:r>
    </w:p>
    <w:p/>
    <w:p>
      <w:pPr>
        <w:pStyle w:val="Normal"/>
      </w:pPr>
      <w:r>
        <w:rPr>
          <w:color w:val="323232"/>
        </w:rPr>
        <w:t xml:space="preserve">INTERVENTIONS:The primary exposure was thoracic epidural analgesia versus standard care without epidural analgesia. The primary outcome was 30-day mortality. Propensity analyses were used to control for bias in treatment assignment and prognostic imbalances.</w:t>
      </w:r>
    </w:p>
    <w:p/>
    <w:p>
      <w:pPr>
        <w:pStyle w:val="Normal"/>
      </w:pPr>
      <w:r>
        <w:rPr>
          <w:color w:val="323232"/>
        </w:rPr>
        <w:t xml:space="preserve">MEASUREMENTS AND MAIN RESULTS:One thousand three ICU patients with acute pancreatitis were enrolled, of whom 212 died within 30 days. Epidural analgesia was used in 46 patients and was associated with reduced mortality in unadjusted analyses (4% vs. 22%; p = 0.003). After adjustment for baseline variables associated with mortality, epidural analgesia was still an independent predictor of 30-day mortality (adjusted odds ratio, 0.10; [95% CI, 0.02-0.49]; p = 0.004). Using propensity score analysis, the risk of all-cause 30-day mortality in patients with acute pancreatitis receiving epidural analgesia was significantly lower than that in matched patients who did not receive epidural analgesia (2% vs. 17%; p = 0.01).</w:t>
      </w:r>
    </w:p>
    <w:p/>
    <w:p>
      <w:pPr>
        <w:pStyle w:val="Normal"/>
      </w:pPr>
      <w:r>
        <w:rPr>
          <w:color w:val="323232"/>
        </w:rPr>
        <w:t xml:space="preserve">CONCLUSIONS:Among critically ill patients with acute pancreatitis, mortality at 30 days was lower in patients who received epidural analgesia than in comparable patients who did not. These findings support ongoing research on the use of epidural analgesia as a therapeutic intervention in acute pancreatitis.</w:t>
      </w:r>
    </w:p>
    <w:p/>
    <w:p>
      <w:pPr>
        <w:pStyle w:val="Normal"/>
      </w:pPr>
      <w:r>
        <w:rPr>
          <w:color w:val="323232"/>
        </w:rPr>
        <w:t xml:space="preserve">Critical Care Medicine, 2018 vol. 46 (3) pp. e198-e205.</w:t>
      </w:r>
    </w:p>
    <w:p>
      <w:r>
        <w:rPr>
          <w:rStyle w:val="Hyperlink"/>
        </w:rPr>
        <w:fldChar w:fldCharType="begin"/>
      </w:r>
      <w:r>
        <w:rPr>
          <w:rStyle w:val="Hyperlink"/>
        </w:rPr>
        <w:instrText xml:space="preserve"> HYPERLINK "http://eutils.ncbi.nlm.nih.gov/entrez/eutils/elink.fcgi?dbfrom=pubmed&amp;id=29194144&amp;retmode=ref&amp;cmd=prlinks"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http://eutils.ncbi.nlm.nih.gov/entrez/eutils/elink.fcgi?dbfrom=pubmed&amp;id=29194144&amp;retmode=ref&amp;cmd=prlinks</w:t>
      </w:r>
      <w:r>
        <w:rPr>
          <w:rStyle w:val="Hyperlink"/>
        </w:rPr>
        <w:fldChar w:fldCharType="end"/>
      </w:r>
    </w:p>
    <w:p>
      <w:pPr>
        <w:pStyle w:val="Normal"/>
      </w:pPr>
      <w:r>
        <w:rPr>
          <w:color w:val="323232"/>
        </w:rPr>
        <w:t xml:space="preserve">————————</w:t>
      </w:r>
    </w:p>
    <w:p>
      <w:pPr>
        <w:pStyle w:val="Heading4"/>
      </w:pPr>
      <w:r>
        <w:t xml:space="preserve">Contemporary Risk Factors and Outcomes of Transfusion-Associated Circulatory Overload.</w:t>
      </w:r>
    </w:p>
    <w:p/>
    <w:p>
      <w:pPr>
        <w:pStyle w:val="Normal"/>
      </w:pPr>
      <w:r>
        <w:rPr>
          <w:color w:val="323232"/>
        </w:rPr>
        <w:t xml:space="preserve">Nareg H Roubinian, Jeanne E Hendrickson, Darrell J Triulzi, Jerome L Gottschall, Michael Michalkiewicz, Dhuly Chowdhury, Daryl J Kor, Mark R Looney, Michael A Matthay, Steven H Kleinman, Donald Brambilla, Edward L Murphy, and National Heart, Lung, and Blood Institute (NHLBI) Recipient Epidemiology and Donor Evaluation Study-III (REDS-III).</w:t>
      </w:r>
    </w:p>
    <w:p/>
    <w:p>
      <w:pPr>
        <w:pStyle w:val="Normal"/>
      </w:pPr>
      <w:r>
        <w:rPr>
          <w:color w:val="323232"/>
        </w:rPr>
        <w:t xml:space="preserve">OBJECTIVES:Transfusion-associated circulatory overload is characterized by hydrostatic pulmonary edema following blood transfusion. Restrictive transfusion practice may affect the occurrence and severity of transfusion-associated circulatory overload in critically ill patients. We sought to examine contemporary risk factors and outcomes for transfusion-associated circulatory overload.</w:t>
      </w:r>
    </w:p>
    <w:p/>
    <w:p>
      <w:pPr>
        <w:pStyle w:val="Normal"/>
      </w:pPr>
      <w:r>
        <w:rPr>
          <w:color w:val="323232"/>
        </w:rPr>
        <w:t xml:space="preserve">DESIGN:Case-control study.</w:t>
      </w:r>
    </w:p>
    <w:p/>
    <w:p>
      <w:pPr>
        <w:pStyle w:val="Normal"/>
      </w:pPr>
      <w:r>
        <w:rPr>
          <w:color w:val="323232"/>
        </w:rPr>
        <w:t xml:space="preserve">SETTING:Four tertiary care hospitals.</w:t>
      </w:r>
    </w:p>
    <w:p/>
    <w:p>
      <w:pPr>
        <w:pStyle w:val="Normal"/>
      </w:pPr>
      <w:r>
        <w:rPr>
          <w:color w:val="323232"/>
        </w:rPr>
        <w:t xml:space="preserve">PATIENTS:We prospectively enrolled 200 patients with transfusion-associated circulatory overload identified by active surveillance and 405 controls matched by transfusion intensity.</w:t>
      </w:r>
    </w:p>
    <w:p/>
    <w:p>
      <w:pPr>
        <w:pStyle w:val="Normal"/>
      </w:pPr>
      <w:r>
        <w:rPr>
          <w:color w:val="323232"/>
        </w:rPr>
        <w:t xml:space="preserve">INTERVENTIONS:None.</w:t>
      </w:r>
    </w:p>
    <w:p/>
    <w:p>
      <w:pPr>
        <w:pStyle w:val="Normal"/>
      </w:pPr>
      <w:r>
        <w:rPr>
          <w:color w:val="323232"/>
        </w:rPr>
        <w:t xml:space="preserve">MEASUREMENTS AND MAIN RESULTS:Among 20,845 transfused patients who received 128,263 blood components from May 2015 until July 2016, transfusion-associated circulatory overload incidence was one case per 100 transfused patients. In addition to cardiovascular comorbidities, multivariable analysis identified the following independent predictors of transfusion-associated circulatory overload: acute kidney injury, emergency surgery, pretransfusion diuretic use, and plasma transfusion-the latter especially in females. Compared with matched controls, transfusion-associated circulatory overload cases were more likely to require mechanical ventilation (71% vs 49%; p &lt; 0.001), experienced longer intensive care and hospital lengths of stay following transfusion, and had higher mortality (21% vs 11%; p = 0.02) even after adjustment for other potentially confounding variables.</w:t>
      </w:r>
    </w:p>
    <w:p/>
    <w:p>
      <w:pPr>
        <w:pStyle w:val="Normal"/>
      </w:pPr>
      <w:r>
        <w:rPr>
          <w:color w:val="323232"/>
        </w:rPr>
        <w:t xml:space="preserve">CONCLUSIONS:Despite restrictive transfusion practice, transfusion-associated circulatory overload remains a frequent complication of transfusion and is an independent risk factor for in-hospital morbidity and mortality. In addition to cardiovascular and renal risk factors, plasma transfusion was associated with transfusion-associated circulatory overload after controlling for other covariates. Additional research is needed to examine the benefit of reduced erythrocyte or plasma exposure in patients at high risk for transfusion-associated circulatory overload.</w:t>
      </w:r>
    </w:p>
    <w:p/>
    <w:p>
      <w:pPr>
        <w:pStyle w:val="Normal"/>
      </w:pPr>
      <w:r>
        <w:rPr>
          <w:color w:val="323232"/>
        </w:rPr>
        <w:t xml:space="preserve">Critical Care Medicine, 2018 vol. 46 (4) pp. 577-585.</w:t>
      </w:r>
    </w:p>
    <w:p>
      <w:r>
        <w:rPr>
          <w:rStyle w:val="Hyperlink"/>
        </w:rPr>
        <w:fldChar w:fldCharType="begin"/>
      </w:r>
      <w:r>
        <w:rPr>
          <w:rStyle w:val="Hyperlink"/>
        </w:rPr>
        <w:instrText xml:space="preserve"> HYPERLINK "http://eutils.ncbi.nlm.nih.gov/entrez/eutils/elink.fcgi?dbfrom=pubmed&amp;id=29300236&amp;retmode=ref&amp;cmd=prlinks"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http://eutils.ncbi.nlm.nih.gov/entrez/eutils/elink.fcgi?dbfrom=pubmed&amp;id=29300236&amp;retmode=ref&amp;cmd=prlinks</w:t>
      </w:r>
      <w:r>
        <w:rPr>
          <w:rStyle w:val="Hyperlink"/>
        </w:rPr>
        <w:fldChar w:fldCharType="end"/>
      </w:r>
    </w:p>
    <w:p>
      <w:pPr>
        <w:pStyle w:val="Normal"/>
      </w:pPr>
      <w:r>
        <w:rPr>
          <w:color w:val="323232"/>
        </w:rPr>
        <w:t xml:space="preserve">————————</w:t>
      </w:r>
    </w:p>
    <w:p>
      <w:pPr>
        <w:pStyle w:val="Heading4"/>
      </w:pPr>
      <w:r>
        <w:t xml:space="preserve">Culture-Negative Septic Shock Compared With Culture-Positive Septic Shock: A Retrospective Cohort Study.</w:t>
      </w:r>
    </w:p>
    <w:p/>
    <w:p>
      <w:pPr>
        <w:pStyle w:val="Normal"/>
      </w:pPr>
      <w:r>
        <w:rPr>
          <w:color w:val="323232"/>
        </w:rPr>
        <w:t xml:space="preserve">Shravan Kethireddy, Beliz Bilgili, Amanda Sees, H Lester Kirchner, Uchenna R Ofoma, R Bruce Light, Yazdan Mirzanejad, Dennis Maki, Aseem Kumar, A Joseph Layon, Joseph E Parrillo, Anand Kumar, and Cooperative Antimicrobial Therapy of Septic Shock (CATSS) Database Research Group.</w:t>
      </w:r>
    </w:p>
    <w:p/>
    <w:p>
      <w:pPr>
        <w:pStyle w:val="Normal"/>
      </w:pPr>
      <w:r>
        <w:rPr>
          <w:color w:val="323232"/>
        </w:rPr>
        <w:t xml:space="preserve">OBJECTIVES:To determine the clinical characteristics and outcomes of culture-negative septic shock in comparison with culture-positive septic shock.</w:t>
      </w:r>
    </w:p>
    <w:p/>
    <w:p>
      <w:pPr>
        <w:pStyle w:val="Normal"/>
      </w:pPr>
      <w:r>
        <w:rPr>
          <w:color w:val="323232"/>
        </w:rPr>
        <w:t xml:space="preserve">DESIGN:Retrospective nested cohort study.</w:t>
      </w:r>
    </w:p>
    <w:p/>
    <w:p>
      <w:pPr>
        <w:pStyle w:val="Normal"/>
      </w:pPr>
      <w:r>
        <w:rPr>
          <w:color w:val="323232"/>
        </w:rPr>
        <w:t xml:space="preserve">SETTING:ICUs of 28 academic and community hospitals in three countries between 1997 and 2010.</w:t>
      </w:r>
    </w:p>
    <w:p/>
    <w:p>
      <w:pPr>
        <w:pStyle w:val="Normal"/>
      </w:pPr>
      <w:r>
        <w:rPr>
          <w:color w:val="323232"/>
        </w:rPr>
        <w:t xml:space="preserve">SUBJECTS:Patients with culture-negative septic shock and culture-positive septic shock derived from a trinational (n = 8,670) database of patients with septic shock.</w:t>
      </w:r>
    </w:p>
    <w:p/>
    <w:p>
      <w:pPr>
        <w:pStyle w:val="Normal"/>
      </w:pPr>
      <w:r>
        <w:rPr>
          <w:color w:val="323232"/>
        </w:rPr>
        <w:t xml:space="preserve">INTERVENTIONS:None.</w:t>
      </w:r>
    </w:p>
    <w:p/>
    <w:p>
      <w:pPr>
        <w:pStyle w:val="Normal"/>
      </w:pPr>
      <w:r>
        <w:rPr>
          <w:color w:val="323232"/>
        </w:rPr>
        <w:t xml:space="preserve">MEASUREMENTS AND MAIN RESULTS:Patients with culture-negative septic shock (n = 2,651; 30.6%) and culture-positive septic shock (n = 6,019; 69.4%) were identified. Culture-negative septic shock compared with culture-positive septic shock patients experienced similar ICU survival (58.3% vs 59.5%; p = 0.276) and overall hospital survival (47.3% vs 47.1%; p = 0.976). Severity of illness was similar between culture-negative septic shock and culture-positive septic shock groups ([mean and SD Acute Physiology and Chronic Health Evaluation II, 25.7</w:t>
      </w:r>
      <w:r>
        <w:rPr>
          <w:color w:val="323232"/>
        </w:rPr>
        <w:t xml:space="preserve"> </w:t>
      </w:r>
      <w:r>
        <w:rPr>
          <w:color w:val="323232"/>
        </w:rPr>
        <w:t xml:space="preserve">±</w:t>
      </w:r>
      <w:r>
        <w:rPr>
          <w:color w:val="323232"/>
        </w:rPr>
        <w:t xml:space="preserve"> </w:t>
      </w:r>
      <w:r>
        <w:rPr>
          <w:color w:val="323232"/>
        </w:rPr>
        <w:t xml:space="preserve">8.3 vs 25.7</w:t>
      </w:r>
      <w:r>
        <w:rPr>
          <w:color w:val="323232"/>
        </w:rPr>
        <w:t xml:space="preserve"> </w:t>
      </w:r>
      <w:r>
        <w:rPr>
          <w:color w:val="323232"/>
        </w:rPr>
        <w:t xml:space="preserve">±</w:t>
      </w:r>
      <w:r>
        <w:rPr>
          <w:color w:val="323232"/>
        </w:rPr>
        <w:t xml:space="preserve"> </w:t>
      </w:r>
      <w:r>
        <w:rPr>
          <w:color w:val="323232"/>
        </w:rPr>
        <w:t xml:space="preserve">8.1]; p = 0.723) as were serum lactate levels (3.0 [interquartile range, 1.7-6.1] vs 3.2 mmol/ L [interquartile range, 1.8-5.9 mmol/L]; p = 0.366). As delays in the administration of appropriate antimicrobial therapy after the onset of hypotension increased, patients in both groups experienced congruent increases in overall hospital mortality: culture-negative septic shock (odds ratio, 1.56; 95% CI [1.47-1.66]; p &lt; 0.0001) and culture-positive septic shock (odds ratio, 1.65; 95% CI [1.59-1.71]; p &lt; 0.0001).</w:t>
      </w:r>
    </w:p>
    <w:p/>
    <w:p>
      <w:pPr>
        <w:pStyle w:val="Normal"/>
      </w:pPr>
      <w:r>
        <w:rPr>
          <w:color w:val="323232"/>
        </w:rPr>
        <w:t xml:space="preserve">CONCLUSIONS:Patients with culture-negative septic shock behave similarly to those with culture-positive septic shock in nearly all respects; early appropriate antimicrobial therapy appears to improve mortality. Early recognition and eradication of infection is the most obvious effective strategy to improve hospital survival.</w:t>
      </w:r>
    </w:p>
    <w:p/>
    <w:p>
      <w:pPr>
        <w:pStyle w:val="Normal"/>
      </w:pPr>
      <w:r>
        <w:rPr>
          <w:color w:val="323232"/>
        </w:rPr>
        <w:t xml:space="preserve">Critical Care Medicine, 2018 vol. 46 (4) pp. 506-512.</w:t>
      </w:r>
    </w:p>
    <w:p>
      <w:r>
        <w:rPr>
          <w:rStyle w:val="Hyperlink"/>
        </w:rPr>
        <w:fldChar w:fldCharType="begin"/>
      </w:r>
      <w:r>
        <w:rPr>
          <w:rStyle w:val="Hyperlink"/>
        </w:rPr>
        <w:instrText xml:space="preserve"> HYPERLINK "http://eutils.ncbi.nlm.nih.gov/entrez/eutils/elink.fcgi?dbfrom=pubmed&amp;id=29293143&amp;retmode=ref&amp;cmd=prlinks"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http://eutils.ncbi.nlm.nih.gov/entrez/eutils/elink.fcgi?dbfrom=pubmed&amp;id=29293143&amp;retmode=ref&amp;cmd=prlinks</w:t>
      </w:r>
      <w:r>
        <w:rPr>
          <w:rStyle w:val="Hyperlink"/>
        </w:rPr>
        <w:fldChar w:fldCharType="end"/>
      </w:r>
    </w:p>
    <w:p>
      <w:pPr>
        <w:pStyle w:val="Normal"/>
      </w:pPr>
      <w:r>
        <w:rPr>
          <w:color w:val="323232"/>
        </w:rPr>
        <w:t xml:space="preserve">————————</w:t>
      </w:r>
    </w:p>
    <w:p>
      <w:pPr>
        <w:pStyle w:val="Heading4"/>
      </w:pPr>
      <w:r>
        <w:t xml:space="preserve">Delay Within the 3-Hour Surviving Sepsis Campaign Guideline on Mortality for Patients With Severe Sepsis and Septic Shock.</w:t>
      </w:r>
    </w:p>
    <w:p/>
    <w:p>
      <w:pPr>
        <w:pStyle w:val="Normal"/>
      </w:pPr>
      <w:r>
        <w:rPr>
          <w:color w:val="323232"/>
        </w:rPr>
        <w:t xml:space="preserve">Lisiane Pruinelli, Bonnie L Westra, Pranjul Yadav, Alexander Hoff, Michael Steinbach, Vipin Kumar, Connie W Delaney, and Gyorgy Simon.</w:t>
      </w:r>
    </w:p>
    <w:p/>
    <w:p>
      <w:pPr>
        <w:pStyle w:val="Normal"/>
      </w:pPr>
      <w:r>
        <w:rPr>
          <w:color w:val="323232"/>
        </w:rPr>
        <w:t xml:space="preserve">OBJECTIVES:To specify when delays of specific 3-hour bundle Surviving Sepsis Campaign guideline recommendations applied to severe sepsis or septic shock become harmful and impact mortality.</w:t>
      </w:r>
    </w:p>
    <w:p/>
    <w:p>
      <w:pPr>
        <w:pStyle w:val="Normal"/>
      </w:pPr>
      <w:r>
        <w:rPr>
          <w:color w:val="323232"/>
        </w:rPr>
        <w:t xml:space="preserve">DESIGN:Retrospective cohort study.</w:t>
      </w:r>
    </w:p>
    <w:p/>
    <w:p>
      <w:pPr>
        <w:pStyle w:val="Normal"/>
      </w:pPr>
      <w:r>
        <w:rPr>
          <w:color w:val="323232"/>
        </w:rPr>
        <w:t xml:space="preserve">SETTING:One health system composed of six hospitals and 45 clinics in a Midwest state from January 01, 2011, to July 31, 2015.</w:t>
      </w:r>
    </w:p>
    <w:p/>
    <w:p>
      <w:pPr>
        <w:pStyle w:val="Normal"/>
      </w:pPr>
      <w:r>
        <w:rPr>
          <w:color w:val="323232"/>
        </w:rPr>
        <w:t xml:space="preserve">PATIENTS:All adult patients hospitalized with billing diagnosis of severe sepsis or septic shock.</w:t>
      </w:r>
    </w:p>
    <w:p/>
    <w:p>
      <w:pPr>
        <w:pStyle w:val="Normal"/>
      </w:pPr>
      <w:r>
        <w:rPr>
          <w:color w:val="323232"/>
        </w:rPr>
        <w:t xml:space="preserve">INTERVENTIONS:Four 3-hour Surviving Sepsis Campaign guideline recommendations: 1) obtain blood culture before antibiotics, 2) obtain lactate level, 3) administer broad-spectrum antibiotics, and 4) administer 30</w:t>
      </w:r>
      <w:r>
        <w:rPr>
          <w:color w:val="323232"/>
        </w:rPr>
        <w:t xml:space="preserve"> </w:t>
      </w:r>
      <w:r>
        <w:rPr>
          <w:color w:val="323232"/>
        </w:rPr>
        <w:t xml:space="preserve">mL/kg of crystalloid fluid for hypotension (defined as "mean arterial pressure" &lt; 65) or lactate (&gt; 4).</w:t>
      </w:r>
    </w:p>
    <w:p/>
    <w:p>
      <w:pPr>
        <w:pStyle w:val="Normal"/>
      </w:pPr>
      <w:r>
        <w:rPr>
          <w:color w:val="323232"/>
        </w:rPr>
        <w:t xml:space="preserve">MEASUREMENTS AND MAIN RESULTS:To determine the effect of t minutes of delay in carrying out each intervention, propensity score matching of "baseline" characteristics compensated for differences in health status. The average treatment effect in the treated computed as the average difference in outcomes between those treated after shorter versus longer delay. To estimate the uncertainty associated with the average treatment effect in the treated metric and to construct 95% CIs, bootstrap estimation with 1,000 replications was performed. From 5,072 patients with severe sepsis or septic shock, 1,412 (27.8%) had in-hospital mortality. The majority of patients had the four 3-hour bundle recommendations initiated within 3 hours. The statistically significant time in minutes after which a delay increased the risk of death for each recommendation was as follows: lactate, 20.0 minutes; blood culture, 50.0 minutes; crystalloids, 100.0 minutes; and antibiotic therapy, 125.0 minutes.</w:t>
      </w:r>
    </w:p>
    <w:p/>
    <w:p>
      <w:pPr>
        <w:pStyle w:val="Normal"/>
      </w:pPr>
      <w:r>
        <w:rPr>
          <w:color w:val="323232"/>
        </w:rPr>
        <w:t xml:space="preserve">CONCLUSIONS:The guideline recommendations showed that shorter delays indicates better outcomes. There was no evidence that 3 hours is safe; even very short delays adversely impact outcomes. Findings demonstrated a new approach to incorporate time t when analyzing the impact on outcomes and provide new evidence for clinical practice and research.</w:t>
      </w:r>
    </w:p>
    <w:p/>
    <w:p>
      <w:pPr>
        <w:pStyle w:val="Normal"/>
      </w:pPr>
      <w:r>
        <w:rPr>
          <w:color w:val="323232"/>
        </w:rPr>
        <w:t xml:space="preserve">Critical Care Medicine, 2018 vol. 46 (4) pp. 500-505.</w:t>
      </w:r>
    </w:p>
    <w:p>
      <w:r>
        <w:rPr>
          <w:rStyle w:val="Hyperlink"/>
        </w:rPr>
        <w:fldChar w:fldCharType="begin"/>
      </w:r>
      <w:r>
        <w:rPr>
          <w:rStyle w:val="Hyperlink"/>
        </w:rPr>
        <w:instrText xml:space="preserve"> HYPERLINK "http://eutils.ncbi.nlm.nih.gov/entrez/eutils/elink.fcgi?dbfrom=pubmed&amp;id=29298189&amp;retmode=ref&amp;cmd=prlinks"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http://eutils.ncbi.nlm.nih.gov/entrez/eutils/elink.fcgi?dbfrom=pubmed&amp;id=29298189&amp;retmode=ref&amp;cmd=prlinks</w:t>
      </w:r>
      <w:r>
        <w:rPr>
          <w:rStyle w:val="Hyperlink"/>
        </w:rPr>
        <w:fldChar w:fldCharType="end"/>
      </w:r>
    </w:p>
    <w:p>
      <w:pPr>
        <w:pStyle w:val="Normal"/>
      </w:pPr>
      <w:r>
        <w:rPr>
          <w:color w:val="323232"/>
        </w:rPr>
        <w:t xml:space="preserve">————————</w:t>
      </w:r>
    </w:p>
    <w:p>
      <w:pPr>
        <w:pStyle w:val="Heading4"/>
      </w:pPr>
      <w:r>
        <w:t xml:space="preserve">Early Identification of Acute Respiratory Distress Syndrome in the Absence of Positive Pressure Ventilation: Implications for Revision of the Berlin Criteria for Acute Respiratory Distress Syndrome.</w:t>
      </w:r>
    </w:p>
    <w:p/>
    <w:p>
      <w:pPr>
        <w:pStyle w:val="Normal"/>
      </w:pPr>
      <w:r>
        <w:rPr>
          <w:color w:val="323232"/>
        </w:rPr>
        <w:t xml:space="preserve">Rémi Coudroy, Jean-Pierre Frat, Florence Boissier, Damien Contou, René Robert, and Arnaud W Thille.</w:t>
      </w:r>
    </w:p>
    <w:p/>
    <w:p>
      <w:pPr>
        <w:pStyle w:val="Normal"/>
      </w:pPr>
      <w:r>
        <w:rPr>
          <w:color w:val="323232"/>
        </w:rPr>
        <w:t xml:space="preserve">OBJECTIVES:To assess whether patients breathing spontaneously under standard oxygen could be recognized early as acute respiratory distress syndrome patients according to the current Berlin definition.</w:t>
      </w:r>
    </w:p>
    <w:p/>
    <w:p>
      <w:pPr>
        <w:pStyle w:val="Normal"/>
      </w:pPr>
      <w:r>
        <w:rPr>
          <w:color w:val="323232"/>
        </w:rPr>
        <w:t xml:space="preserve">DESIGN:A post hoc analysis from two prospective studies.</w:t>
      </w:r>
    </w:p>
    <w:p/>
    <w:p>
      <w:pPr>
        <w:pStyle w:val="Normal"/>
      </w:pPr>
      <w:r>
        <w:rPr>
          <w:color w:val="323232"/>
        </w:rPr>
        <w:t xml:space="preserve">SETTING:Twenty-three French ICUs.</w:t>
      </w:r>
    </w:p>
    <w:p/>
    <w:p>
      <w:pPr>
        <w:pStyle w:val="Normal"/>
      </w:pPr>
      <w:r>
        <w:rPr>
          <w:color w:val="323232"/>
        </w:rPr>
        <w:t xml:space="preserve">PATIENTS:All patients admitted for acute hypoxemic respiratory failure and treated with noninvasive ventilation were analyzed. Patients with cardiogenic pulmonary edema, acute exacerbation of chronic obstructive pulmonary disease, or hypercapnia were excluded.</w:t>
      </w:r>
    </w:p>
    <w:p/>
    <w:p>
      <w:pPr>
        <w:pStyle w:val="Normal"/>
      </w:pPr>
      <w:r>
        <w:rPr>
          <w:color w:val="323232"/>
        </w:rPr>
        <w:t xml:space="preserve">INTERVENTIONS:None.</w:t>
      </w:r>
    </w:p>
    <w:p/>
    <w:p>
      <w:pPr>
        <w:pStyle w:val="Normal"/>
      </w:pPr>
      <w:r>
        <w:rPr>
          <w:color w:val="323232"/>
        </w:rPr>
        <w:t xml:space="preserve">MEASUREMENTS AND MAIN RESULTS:The PaO2/FIO2 ratio was estimated at admission under standard oxygen and then under noninvasive ventilation 1 hour after initiation and within the first 24 hours. Among the 219 patients treated with noninvasive ventilation for acute hypoxemic respiratory failure, 180 (82%) had bilateral infiltrates including 161 patients with PaO2/FIO2 less than or equal to 300</w:t>
      </w:r>
      <w:r>
        <w:rPr>
          <w:color w:val="323232"/>
        </w:rPr>
        <w:t xml:space="preserve"> </w:t>
      </w:r>
      <w:r>
        <w:rPr>
          <w:color w:val="323232"/>
        </w:rPr>
        <w:t xml:space="preserve">mm Hg under standard oxygen. Among them, 127 were treated with positive end-expiratory pressure of at least 5</w:t>
      </w:r>
      <w:r>
        <w:rPr>
          <w:color w:val="323232"/>
        </w:rPr>
        <w:t xml:space="preserve"> </w:t>
      </w:r>
      <w:r>
        <w:rPr>
          <w:color w:val="323232"/>
        </w:rPr>
        <w:t xml:space="preserve">cm H2O, and 120 (94%) fulfilled criteria for acute respiratory distress syndrome within the first 24 hours. The mortality rate of patients with bilateral infiltrates and PaO2/FIO2 less than or equal to 300</w:t>
      </w:r>
      <w:r>
        <w:rPr>
          <w:color w:val="323232"/>
        </w:rPr>
        <w:t xml:space="preserve"> </w:t>
      </w:r>
      <w:r>
        <w:rPr>
          <w:color w:val="323232"/>
        </w:rPr>
        <w:t xml:space="preserve">mm Hg under standard oxygen was 29%, a rate very close to that of intubated patients with acute respiratory distress syndrome in the Berlin definition.</w:t>
      </w:r>
    </w:p>
    <w:p/>
    <w:p>
      <w:pPr>
        <w:pStyle w:val="Normal"/>
      </w:pPr>
      <w:r>
        <w:rPr>
          <w:color w:val="323232"/>
        </w:rPr>
        <w:t xml:space="preserve">CONCLUSIONS:Almost all patients with pulmonary bilateral infiltrates and a PaO2/FIO2 less than or equal to 300</w:t>
      </w:r>
      <w:r>
        <w:rPr>
          <w:color w:val="323232"/>
        </w:rPr>
        <w:t xml:space="preserve"> </w:t>
      </w:r>
      <w:r>
        <w:rPr>
          <w:color w:val="323232"/>
        </w:rPr>
        <w:t xml:space="preserve">mm Hg under standard oxygen fulfilled the acute respiratory distress syndrome criteria under noninvasive ventilation within the first 24 hours. Their mortality rate was similar to that reported in the Berlin definition of acute respiratory distress syndrome. Therefore, spontaneous breathing patients with the acute respiratory distress syndrome criteria could be identified early without positive pressure ventilation.</w:t>
      </w:r>
    </w:p>
    <w:p/>
    <w:p>
      <w:pPr>
        <w:pStyle w:val="Normal"/>
      </w:pPr>
      <w:r>
        <w:rPr>
          <w:color w:val="323232"/>
        </w:rPr>
        <w:t xml:space="preserve">Critical Care Medicine, 2018 vol. 46 (4) pp. 540-546.</w:t>
      </w:r>
    </w:p>
    <w:p>
      <w:r>
        <w:rPr>
          <w:rStyle w:val="Hyperlink"/>
        </w:rPr>
        <w:fldChar w:fldCharType="begin"/>
      </w:r>
      <w:r>
        <w:rPr>
          <w:rStyle w:val="Hyperlink"/>
        </w:rPr>
        <w:instrText xml:space="preserve"> HYPERLINK "http://eutils.ncbi.nlm.nih.gov/entrez/eutils/elink.fcgi?dbfrom=pubmed&amp;id=29271843&amp;retmode=ref&amp;cmd=prlinks"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http://eutils.ncbi.nlm.nih.gov/entrez/eutils/elink.fcgi?dbfrom=pubmed&amp;id=29271843&amp;retmode=ref&amp;cmd=prlinks</w:t>
      </w:r>
      <w:r>
        <w:rPr>
          <w:rStyle w:val="Hyperlink"/>
        </w:rPr>
        <w:fldChar w:fldCharType="end"/>
      </w:r>
    </w:p>
    <w:p>
      <w:pPr>
        <w:pStyle w:val="Normal"/>
      </w:pPr>
      <w:r>
        <w:rPr>
          <w:color w:val="323232"/>
        </w:rPr>
        <w:t xml:space="preserve">————————</w:t>
      </w:r>
    </w:p>
    <w:p>
      <w:pPr>
        <w:pStyle w:val="Heading4"/>
      </w:pPr>
      <w:r>
        <w:t xml:space="preserve">Oxygen Exposure Resulting in Arterial Oxygen Tensions Above the Protocol Goal Was Associated With Worse Clinical Outcomes in Acute Respiratory Distress Syndrome.</w:t>
      </w:r>
    </w:p>
    <w:p/>
    <w:p>
      <w:pPr>
        <w:pStyle w:val="Normal"/>
      </w:pPr>
      <w:r>
        <w:rPr>
          <w:color w:val="323232"/>
        </w:rPr>
        <w:t xml:space="preserve">Neil R Aggarwal, Roy G Brower, David N Hager, B Taylor Thompson, Giora Netzer, Carl Shanholtz, Adrian Lagakos, William Checkley, and National Institutes of Health Acute Respiratory Distress Syndrome Network Investigators.</w:t>
      </w:r>
    </w:p>
    <w:p/>
    <w:p>
      <w:pPr>
        <w:pStyle w:val="Normal"/>
      </w:pPr>
      <w:r>
        <w:rPr>
          <w:color w:val="323232"/>
        </w:rPr>
        <w:t xml:space="preserve">OBJECTIVES:High fractions of inspired oxygen may augment lung damage to exacerbate lung injury in patients with acute respiratory distress syndrome. Participants enrolled in Acute Respiratory Distress Syndrome Network trials had a goal partial pressure of oxygen in arterial blood range of 55-80 mm Hg, yet the effect of oxygen exposure above this arterial oxygen tension range on clinical outcomes is unknown. We sought to determine if oxygen exposure that resulted in a partial pressure of oxygen in arterial blood above goal (&gt; 80 mm Hg) was associated with worse outcomes in patients with acute respiratory distress syndrome.</w:t>
      </w:r>
    </w:p>
    <w:p/>
    <w:p>
      <w:pPr>
        <w:pStyle w:val="Normal"/>
      </w:pPr>
      <w:r>
        <w:rPr>
          <w:color w:val="323232"/>
        </w:rPr>
        <w:t xml:space="preserve">DESIGN:Longitudinal analysis of data collected in these trials.</w:t>
      </w:r>
    </w:p>
    <w:p/>
    <w:p>
      <w:pPr>
        <w:pStyle w:val="Normal"/>
      </w:pPr>
      <w:r>
        <w:rPr>
          <w:color w:val="323232"/>
        </w:rPr>
        <w:t xml:space="preserve">SETTING:Ten clinical trials conducted at Acute Respiratory Distress Syndrome Network hospitals between 1996 and 2013.</w:t>
      </w:r>
    </w:p>
    <w:p/>
    <w:p>
      <w:pPr>
        <w:pStyle w:val="Normal"/>
      </w:pPr>
      <w:r>
        <w:rPr>
          <w:color w:val="323232"/>
        </w:rPr>
        <w:t xml:space="preserve">SUBJECTS:Critically ill patients with acute respiratory distress syndrome.</w:t>
      </w:r>
    </w:p>
    <w:p/>
    <w:p>
      <w:pPr>
        <w:pStyle w:val="Normal"/>
      </w:pPr>
      <w:r>
        <w:rPr>
          <w:color w:val="323232"/>
        </w:rPr>
        <w:t xml:space="preserve">INTERVENTIONS:None.</w:t>
      </w:r>
    </w:p>
    <w:p/>
    <w:p>
      <w:pPr>
        <w:pStyle w:val="Normal"/>
      </w:pPr>
      <w:r>
        <w:rPr>
          <w:color w:val="323232"/>
        </w:rPr>
        <w:t xml:space="preserve">MEASUREMENTS AND MAIN RESULTS:We defined above goal oxygen exposure as the difference between the fraction of inspired oxygen and 0.5 whenever the fraction of inspired oxygen was above 0.5 and when the partial pressure of oxygen in arterial blood was above 80 mm Hg. We then summed above goal oxygen exposures in the first five days to calculate a cumulative above goal oxygen exposure. We determined the effect of a cumulative 5-day above goal oxygen exposure on mortality prior to discharge home at 90 days. Among 2,994 participants (mean age, 51.3 yr; 54% male) with a study-entry partial pressure of oxygen in arterial blood/fraction of inspired oxygen that met acute respiratory distress syndrome criteria, average cumulative above goal oxygen exposure was 0.24 fraction of inspired oxygen-days (interquartile range, 0-0.38). Participants with above goal oxygen exposure were more likely to die (adjusted interquartile range odds ratio, 1.20; 95% CI, 1.11-1.31) and have lower ventilator-free days (adjusted interquartile range mean difference of -0.83; 95% CI, -1.18 to -0.48) and lower hospital-free days (adjusted interquartile range mean difference of -1.38; 95% CI, -2.09 to -0.68). We observed a dose-response relationship between the cumulative above goal oxygen exposure and worsened clinical outcomes for participants with mild, moderate, or severe acute respiratory distress syndrome, suggesting that the observed relationship is not primarily influenced by severity of illness.</w:t>
      </w:r>
    </w:p>
    <w:p/>
    <w:p>
      <w:pPr>
        <w:pStyle w:val="Normal"/>
      </w:pPr>
      <w:r>
        <w:rPr>
          <w:color w:val="323232"/>
        </w:rPr>
        <w:t xml:space="preserve">CONCLUSIONS:Oxygen exposure resulting in arterial oxygen tensions above the protocol goal occurred frequently and was associated with worse clinical outcomes at all levels of acute respiratory distress syndrome severity.</w:t>
      </w:r>
    </w:p>
    <w:p/>
    <w:p>
      <w:pPr>
        <w:pStyle w:val="Normal"/>
      </w:pPr>
      <w:r>
        <w:rPr>
          <w:color w:val="323232"/>
        </w:rPr>
        <w:t xml:space="preserve">Critical Care Medicine, 2018 vol. 46 (4) pp. 517-524.</w:t>
      </w:r>
    </w:p>
    <w:p>
      <w:r>
        <w:rPr>
          <w:rStyle w:val="Hyperlink"/>
        </w:rPr>
        <w:fldChar w:fldCharType="begin"/>
      </w:r>
      <w:r>
        <w:rPr>
          <w:rStyle w:val="Hyperlink"/>
        </w:rPr>
        <w:instrText xml:space="preserve"> HYPERLINK "http://eutils.ncbi.nlm.nih.gov/entrez/eutils/elink.fcgi?dbfrom=pubmed&amp;id=29261565&amp;retmode=ref&amp;cmd=prlinks"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http://eutils.ncbi.nlm.nih.gov/entrez/eutils/elink.fcgi?dbfrom=pubmed&amp;id=29261565&amp;retmode=ref&amp;cmd=prlinks</w:t>
      </w:r>
      <w:r>
        <w:rPr>
          <w:rStyle w:val="Hyperlink"/>
        </w:rPr>
        <w:fldChar w:fldCharType="end"/>
      </w:r>
    </w:p>
    <w:p>
      <w:pPr>
        <w:pStyle w:val="Normal"/>
      </w:pPr>
      <w:r>
        <w:rPr>
          <w:color w:val="323232"/>
        </w:rPr>
        <w:t xml:space="preserve">————————</w:t>
      </w:r>
    </w:p>
    <w:p>
      <w:pPr>
        <w:pStyle w:val="Heading4"/>
      </w:pPr>
      <w:r>
        <w:t xml:space="preserve">Risk Stratification Using Oxygenation in the First 24 Hours of Pediatric Acute Respiratory Distress Syndrome.</w:t>
      </w:r>
    </w:p>
    <w:p/>
    <w:p>
      <w:pPr>
        <w:pStyle w:val="Normal"/>
      </w:pPr>
      <w:r>
        <w:rPr>
          <w:color w:val="323232"/>
        </w:rPr>
        <w:t xml:space="preserve">Nadir Yehya, Neal J Thomas, and Robinder G Khemani.</w:t>
      </w:r>
    </w:p>
    <w:p/>
    <w:p>
      <w:pPr>
        <w:pStyle w:val="Normal"/>
      </w:pPr>
      <w:r>
        <w:rPr>
          <w:color w:val="323232"/>
        </w:rPr>
        <w:t xml:space="preserve">OBJECTIVE:Oxygenation measured 24 hours after acute respiratory distress syndrome onset more accurately stratifies risk, relative to oxygenation at onset, in both children and adults. However, waiting 24 hours is problematic, especially for interventions that are more efficacious early in the disease course. We aimed to delineate whether oxygenation measured at timepoints earlier than 24 hours would retain predictive validity in pediatric acute respiratory distress syndrome.</w:t>
      </w:r>
    </w:p>
    <w:p/>
    <w:p>
      <w:pPr>
        <w:pStyle w:val="Normal"/>
      </w:pPr>
      <w:r>
        <w:rPr>
          <w:color w:val="323232"/>
        </w:rPr>
        <w:t xml:space="preserve">DESIGN:Observational cohort study.</w:t>
      </w:r>
    </w:p>
    <w:p/>
    <w:p>
      <w:pPr>
        <w:pStyle w:val="Normal"/>
      </w:pPr>
      <w:r>
        <w:rPr>
          <w:color w:val="323232"/>
        </w:rPr>
        <w:t xml:space="preserve">SETTING:Two large, academic PICUs.</w:t>
      </w:r>
    </w:p>
    <w:p/>
    <w:p>
      <w:pPr>
        <w:pStyle w:val="Normal"/>
      </w:pPr>
      <w:r>
        <w:rPr>
          <w:color w:val="323232"/>
        </w:rPr>
        <w:t xml:space="preserve">PATIENTS:Invasively ventilated children with acute respiratory distress syndrome.</w:t>
      </w:r>
    </w:p>
    <w:p/>
    <w:p>
      <w:pPr>
        <w:pStyle w:val="Normal"/>
      </w:pPr>
      <w:r>
        <w:rPr>
          <w:color w:val="323232"/>
        </w:rPr>
        <w:t xml:space="preserve">INTERVENTIONS:None.</w:t>
      </w:r>
    </w:p>
    <w:p/>
    <w:p>
      <w:pPr>
        <w:pStyle w:val="Normal"/>
      </w:pPr>
      <w:r>
        <w:rPr>
          <w:color w:val="323232"/>
        </w:rPr>
        <w:t xml:space="preserve">MEASUREMENTS AND MAIN RESULTS:PaO2/FIO2 and oxygenation index (mean airway pressure × FIO2 × 100)/ PaO2) were measured at acute respiratory distress syndrome onset, at 6, 12, 18, and 24 hours after in 459 children at the Children's Hospital of Philadelphia. Neither PaO2/FIO2 nor oxygenation index at acute respiratory distress syndrome onset discriminated outcome. Between 6 and 24 hours, both PaO2/FIO2 (area under receiver operating curve for mortality between 0.57 and 0.62; p = 0.049-0.002) and oxygenation index (area under receiver operating curve, 0.60-0.62; p = 0.006-0.001) showed good discrimination and calibration across multiple outcomes, including mortality, ventilator-free days at 28 days, ventilator days in survivors, and probability of extubation, given competing risk of death. The utility of oxygenation at 12 hours was confirmed in an independent cohort from the Children's Hospital of Los Angeles.</w:t>
      </w:r>
    </w:p>
    <w:p/>
    <w:p>
      <w:pPr>
        <w:pStyle w:val="Normal"/>
      </w:pPr>
      <w:r>
        <w:rPr>
          <w:color w:val="323232"/>
        </w:rPr>
        <w:t xml:space="preserve">CONCLUSION:Oxygenation measured between 6 and 12 hours of acute respiratory distress syndrome onset accurately stratified outcomes in children. Our results have critical implications for the design of trials, especially for interventions with greater impact in early acute respiratory distress syndrome.</w:t>
      </w:r>
    </w:p>
    <w:p/>
    <w:p>
      <w:pPr>
        <w:pStyle w:val="Normal"/>
      </w:pPr>
      <w:r>
        <w:rPr>
          <w:color w:val="323232"/>
        </w:rPr>
        <w:t xml:space="preserve">Critical Care Medicine, 2018 vol. 46 (4) pp. 619-624.</w:t>
      </w:r>
    </w:p>
    <w:p>
      <w:r>
        <w:rPr>
          <w:rStyle w:val="Hyperlink"/>
        </w:rPr>
        <w:fldChar w:fldCharType="begin"/>
      </w:r>
      <w:r>
        <w:rPr>
          <w:rStyle w:val="Hyperlink"/>
        </w:rPr>
        <w:instrText xml:space="preserve"> HYPERLINK "http://eutils.ncbi.nlm.nih.gov/entrez/eutils/elink.fcgi?dbfrom=pubmed&amp;id=29293150&amp;retmode=ref&amp;cmd=prlinks"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http://eutils.ncbi.nlm.nih.gov/entrez/eutils/elink.fcgi?dbfrom=pubmed&amp;id=29293150&amp;retmode=ref&amp;cmd=prlinks</w:t>
      </w:r>
      <w:r>
        <w:rPr>
          <w:rStyle w:val="Hyperlink"/>
        </w:rPr>
        <w:fldChar w:fldCharType="end"/>
      </w:r>
    </w:p>
    <w:p>
      <w:pPr>
        <w:pStyle w:val="Normal"/>
      </w:pPr>
      <w:r>
        <w:rPr>
          <w:color w:val="323232"/>
        </w:rPr>
        <w:t xml:space="preserve">————————</w:t>
      </w:r>
    </w:p>
    <w:p>
      <w:pPr>
        <w:pStyle w:val="Heading4"/>
      </w:pPr>
      <w:r>
        <w:t xml:space="preserve">Efficacy and Safety of Procalcitonin Guidance in Patients With Suspected or Confirmed Sepsis: A Systematic Review and Meta-Analysis.</w:t>
      </w:r>
    </w:p>
    <w:p/>
    <w:p>
      <w:pPr>
        <w:pStyle w:val="Normal"/>
      </w:pPr>
      <w:r>
        <w:rPr>
          <w:color w:val="323232"/>
        </w:rPr>
        <w:t xml:space="preserve">Irena Iankova, Philippe Thompson-Leduc, Noam Y Kirson, Bernie Rice, Juliane Hey, Alexander Krause, Sophie A Schonfeld, Christopher R DeBrase, Samuel Bozzette, and Philipp Schuetz.</w:t>
      </w:r>
    </w:p>
    <w:p/>
    <w:p>
      <w:pPr>
        <w:pStyle w:val="Normal"/>
      </w:pPr>
      <w:r>
        <w:rPr>
          <w:color w:val="323232"/>
        </w:rPr>
        <w:t xml:space="preserve">OBJECTIVE:Sepsis is a leading cause of mortality in noncoronary ICUs. Although immediate start of antibiotics reduces sepsis-related mortality, antibiotics are often administered for too long, leading to suboptimal treatment and, importantly, contributes to antimicrobial resistance. Prior literature suggests that procalcitonin correlates with infection and thus may help to guide the decision on when to stop antibiotic treatment. This study was conducted as part of a regulatory submission to the U.S. Food and Drug Administration and aimed to summarize the evidence of procalcitonin guidance on efficacy and safety outcomes in adult patients with sepsis.</w:t>
      </w:r>
    </w:p>
    <w:p/>
    <w:p>
      <w:pPr>
        <w:pStyle w:val="Normal"/>
      </w:pPr>
      <w:r>
        <w:rPr>
          <w:color w:val="323232"/>
        </w:rPr>
        <w:t xml:space="preserve">DATA SOURCES:PubMed and the Cochrane Database of Systematic Reviews.</w:t>
      </w:r>
    </w:p>
    <w:p/>
    <w:p>
      <w:pPr>
        <w:pStyle w:val="Normal"/>
      </w:pPr>
      <w:r>
        <w:rPr>
          <w:color w:val="323232"/>
        </w:rPr>
        <w:t xml:space="preserve">STUDY SELECTION:English-language randomized controlled trials evaluating procalcitonin use among adult patients with suspected or confirmed sepsis published between January 2004 and May 2016.</w:t>
      </w:r>
    </w:p>
    <w:p/>
    <w:p>
      <w:pPr>
        <w:pStyle w:val="Normal"/>
      </w:pPr>
      <w:r>
        <w:rPr>
          <w:color w:val="323232"/>
        </w:rPr>
        <w:t xml:space="preserve">DATA EXTRACTION:Inverse-variance weighting fixed and random effects meta-analyses were performed on the following efficacy and safety endpoints: antibiotic duration, all-cause mortality, and length of ICU stay. Two reviewers independently extracted data elements from identified studies and measured risk of bias with the Cochrane Risk of Bias Tool.</w:t>
      </w:r>
    </w:p>
    <w:p/>
    <w:p>
      <w:pPr>
        <w:pStyle w:val="Normal"/>
      </w:pPr>
      <w:r>
        <w:rPr>
          <w:color w:val="323232"/>
        </w:rPr>
        <w:t xml:space="preserve">DATA SYNTHESIS:From a total of 369 potentially eligible articles, 10 randomized controlled trials containing 3,489 patients were used for analysis. Procalcitonin-guided patients had shorter antibiotics duration compared with controls (7.35 vs. 8.85 d; weighted mean difference, -1.49 d; 95% CI, -2.27 to -0.71; p &lt; 0.001). Procalcitonin use had no adverse impact on mortality (risk ratio, 0.90; 95% CI, 0.79-1.03; p = 0.114) and length of ICU stay (11.09 d vs. 11.91 d; weighted mean difference, -0.84 d; 95% CI, -2.52 to 0.84; p = 0.329).</w:t>
      </w:r>
    </w:p>
    <w:p/>
    <w:p>
      <w:pPr>
        <w:pStyle w:val="Normal"/>
      </w:pPr>
      <w:r>
        <w:rPr>
          <w:color w:val="323232"/>
        </w:rPr>
        <w:t xml:space="preserve">CONCLUSIONS:In adult patients with suspected or confirmed sepsis, procalcitonin guidance reduces antibiotics duration with no observed adverse effects on patient outcomes.</w:t>
      </w:r>
    </w:p>
    <w:p/>
    <w:p>
      <w:pPr>
        <w:pStyle w:val="Normal"/>
      </w:pPr>
      <w:r>
        <w:rPr>
          <w:color w:val="323232"/>
        </w:rPr>
        <w:t xml:space="preserve">Critical Care Medicine, 2018 vol. 46 (5) pp. 691-698.</w:t>
      </w:r>
    </w:p>
    <w:p>
      <w:r>
        <w:rPr>
          <w:rStyle w:val="Hyperlink"/>
        </w:rPr>
        <w:fldChar w:fldCharType="begin"/>
      </w:r>
      <w:r>
        <w:rPr>
          <w:rStyle w:val="Hyperlink"/>
        </w:rPr>
        <w:instrText xml:space="preserve"> HYPERLINK "http://eutils.ncbi.nlm.nih.gov/entrez/eutils/elink.fcgi?dbfrom=pubmed&amp;id=29271844&amp;retmode=ref&amp;cmd=prlinks"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http://eutils.ncbi.nlm.nih.gov/entrez/eutils/elink.fcgi?dbfrom=pubmed&amp;id=29271844&amp;retmode=ref&amp;cmd=prlinks</w:t>
      </w:r>
      <w:r>
        <w:rPr>
          <w:rStyle w:val="Hyperlink"/>
        </w:rPr>
        <w:fldChar w:fldCharType="end"/>
      </w:r>
    </w:p>
    <w:p>
      <w:pPr>
        <w:pStyle w:val="Normal"/>
      </w:pPr>
      <w:r>
        <w:rPr>
          <w:color w:val="323232"/>
        </w:rPr>
        <w:t xml:space="preserve">————————</w:t>
      </w:r>
    </w:p>
    <w:p>
      <w:pPr>
        <w:pStyle w:val="Heading4"/>
      </w:pPr>
      <w:r>
        <w:t xml:space="preserve">Equilibration Time Required for Respiratory System Compliance and Oxygenation Response Following Changes in Positive End-Expiratory Pressure in Mechanically Ventilated Children.</w:t>
      </w:r>
    </w:p>
    <w:p/>
    <w:p>
      <w:pPr>
        <w:pStyle w:val="Normal"/>
      </w:pPr>
      <w:r>
        <w:rPr>
          <w:color w:val="323232"/>
        </w:rPr>
        <w:t xml:space="preserve">Craig D Smallwood, Brian K Walsh, John H Arnold, and Andrew Gouldstone.</w:t>
      </w:r>
    </w:p>
    <w:p/>
    <w:p>
      <w:pPr>
        <w:pStyle w:val="Normal"/>
      </w:pPr>
      <w:r>
        <w:rPr>
          <w:color w:val="323232"/>
        </w:rPr>
        <w:t xml:space="preserve">OBJECTIVES:Increases in positive end-expiratory pressure are implemented to improve oxygenation through the recruitment and stabilization of collapsed alveoli. However, the time it takes for a positive end-expiratory pressure change to have maximum effect upon oxygenation and pulmonary compliance has not been adequately described in children. Therefore, we sought to quantify the time required for oxygenation and pulmonary system compliance changes in children requiring mechanical ventilation.</w:t>
      </w:r>
    </w:p>
    <w:p/>
    <w:p>
      <w:pPr>
        <w:pStyle w:val="Normal"/>
      </w:pPr>
      <w:r>
        <w:rPr>
          <w:color w:val="323232"/>
        </w:rPr>
        <w:t xml:space="preserve">DESIGN:Retrospective analysis of continuous data.</w:t>
      </w:r>
    </w:p>
    <w:p/>
    <w:p>
      <w:pPr>
        <w:pStyle w:val="Normal"/>
      </w:pPr>
      <w:r>
        <w:rPr>
          <w:color w:val="323232"/>
        </w:rPr>
        <w:t xml:space="preserve">SETTINGS:Multidisciplinary ICU of a pediatric university hospital.</w:t>
      </w:r>
    </w:p>
    <w:p/>
    <w:p>
      <w:pPr>
        <w:pStyle w:val="Normal"/>
      </w:pPr>
      <w:r>
        <w:rPr>
          <w:color w:val="323232"/>
        </w:rPr>
        <w:t xml:space="preserve">PATIENTS:Mechanically ventilated pediatric subjects.</w:t>
      </w:r>
    </w:p>
    <w:p/>
    <w:p>
      <w:pPr>
        <w:pStyle w:val="Normal"/>
      </w:pPr>
      <w:r>
        <w:rPr>
          <w:color w:val="323232"/>
        </w:rPr>
        <w:t xml:space="preserve">INTERVENTIONS:A case was eligible for analysis if during a 90-minute window following an increase in positive end-expiratory pressure, no other changes to the ventilator were made, ventilator and physiologic data were continuously available and a positive oxygenation response was observed. Time to 90% (T90) of the maximum change in oxygenation and compliance was computed. Differences between oxygenation and compliance T90 were compared using a paired t test. The effect of severity of illness (by oxygen saturation index) upon oxygenation and compliance was analyzed.</w:t>
      </w:r>
    </w:p>
    <w:p/>
    <w:p>
      <w:pPr>
        <w:pStyle w:val="Normal"/>
      </w:pPr>
      <w:r>
        <w:rPr>
          <w:color w:val="323232"/>
        </w:rPr>
        <w:t xml:space="preserve">MEASUREMENTS AND MAIN RESULTS:A total of 200 subjects were enrolled and 1,150 positive end-expiratory pressure change cases were analyzed. Of these, 54 subjects with 171 positive end-expiratory pressure change case were included in the analysis (67% were responders).Changes in dynamic compliance (T90 = 38</w:t>
      </w:r>
      <w:r>
        <w:rPr>
          <w:color w:val="323232"/>
        </w:rPr>
        <w:t xml:space="preserve"> </w:t>
      </w:r>
      <w:r>
        <w:rPr>
          <w:color w:val="323232"/>
        </w:rPr>
        <w:t xml:space="preserve">min) preceded changes in oxygenation (T90 = 71</w:t>
      </w:r>
      <w:r>
        <w:rPr>
          <w:color w:val="323232"/>
        </w:rPr>
        <w:t xml:space="preserve"> </w:t>
      </w:r>
      <w:r>
        <w:rPr>
          <w:color w:val="323232"/>
        </w:rPr>
        <w:t xml:space="preserve">min; p &lt; 0.001). Oxygenation response differed depending on severity of illness quantified by oxygen saturation index; lung dysfunction was associated with a longer response time (p = 0.001).</w:t>
      </w:r>
    </w:p>
    <w:p/>
    <w:p>
      <w:pPr>
        <w:pStyle w:val="Normal"/>
      </w:pPr>
      <w:r>
        <w:rPr>
          <w:color w:val="323232"/>
        </w:rPr>
        <w:t xml:space="preserve">CONCLUSIONS:T90 requires 38 and 71 minutes for dynamic pulmonary compliance and oxygenation, respectively; the latter was directly observed to be dependent upon severity of illness. To our knowledge, this is the first report of oxygenation and compliance equilibration data following positive end-expiratory pressure increases in pediatric mechanically ventilated subjects.</w:t>
      </w:r>
    </w:p>
    <w:p/>
    <w:p>
      <w:pPr>
        <w:pStyle w:val="Normal"/>
      </w:pPr>
      <w:r>
        <w:rPr>
          <w:color w:val="323232"/>
        </w:rPr>
        <w:t xml:space="preserve">Critical Care Medicine, 2018 vol. 46 (5) pp. e375-e379.</w:t>
      </w:r>
    </w:p>
    <w:p>
      <w:r>
        <w:rPr>
          <w:rStyle w:val="Hyperlink"/>
        </w:rPr>
        <w:fldChar w:fldCharType="begin"/>
      </w:r>
      <w:r>
        <w:rPr>
          <w:rStyle w:val="Hyperlink"/>
        </w:rPr>
        <w:instrText xml:space="preserve"> HYPERLINK "http://eutils.ncbi.nlm.nih.gov/entrez/eutils/elink.fcgi?dbfrom=pubmed&amp;id=29406422&amp;retmode=ref&amp;cmd=prlinks"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http://eutils.ncbi.nlm.nih.gov/entrez/eutils/elink.fcgi?dbfrom=pubmed&amp;id=29406422&amp;retmode=ref&amp;cmd=prlinks</w:t>
      </w:r>
      <w:r>
        <w:rPr>
          <w:rStyle w:val="Hyperlink"/>
        </w:rPr>
        <w:fldChar w:fldCharType="end"/>
      </w:r>
    </w:p>
    <w:p>
      <w:pPr>
        <w:pStyle w:val="Normal"/>
      </w:pPr>
      <w:r>
        <w:rPr>
          <w:color w:val="323232"/>
        </w:rPr>
        <w:t xml:space="preserve">————————</w:t>
      </w:r>
    </w:p>
    <w:p>
      <w:pPr>
        <w:pStyle w:val="Heading4"/>
      </w:pPr>
      <w:r>
        <w:t xml:space="preserve">Prompt Administration of Antibiotics and Fluids in the Treatment of Sepsis: A Murine Trial.</w:t>
      </w:r>
    </w:p>
    <w:p/>
    <w:p>
      <w:pPr>
        <w:pStyle w:val="Normal"/>
      </w:pPr>
      <w:r>
        <w:rPr>
          <w:color w:val="323232"/>
        </w:rPr>
        <w:t xml:space="preserve">Anthony J Lewis, John E Griepentrog, Xianghong Zhang, Derek C Angus, Christopher W Seymour, and Matthew R Rosengart.</w:t>
      </w:r>
    </w:p>
    <w:p/>
    <w:p>
      <w:pPr>
        <w:pStyle w:val="Normal"/>
      </w:pPr>
      <w:r>
        <w:rPr>
          <w:color w:val="323232"/>
        </w:rPr>
        <w:t xml:space="preserve">OBJECTIVES:Sepsis, the acute organ dysfunction caused by a dysregulated host response to infection, poses a serious public health burden. Current management includes early detection, initiation of antibiotics and fluids, and source control as necessary. Although observational data suggest that delays of even a few hours in the initiation of antibiotics or IV fluids is associated with survival, these findings are controversial. There are no randomized data in humans, and prior animal studies studied time from experimental manipulation, not from the onset of clinical features of sepsis. Using a recently developed murine cecal ligation and puncture model that precisely monitors physiologic deterioration, we hypothesize that incremental hourly delays in the first dose of antibiotics, in the first bolus of fluid resuscitation, or a combination of the two at a clinically relevant point of physiologic deterioration during polymicrobial sepsis will shorten survival.</w:t>
      </w:r>
    </w:p>
    <w:p/>
    <w:p>
      <w:pPr>
        <w:pStyle w:val="Normal"/>
      </w:pPr>
      <w:r>
        <w:rPr>
          <w:color w:val="323232"/>
        </w:rPr>
        <w:t xml:space="preserve">DESIGN:Randomized laboratory animal experimental trial.</w:t>
      </w:r>
    </w:p>
    <w:p/>
    <w:p>
      <w:pPr>
        <w:pStyle w:val="Normal"/>
      </w:pPr>
      <w:r>
        <w:rPr>
          <w:color w:val="323232"/>
        </w:rPr>
        <w:t xml:space="preserve">SETTING:University basic science laboratory.</w:t>
      </w:r>
    </w:p>
    <w:p/>
    <w:p>
      <w:pPr>
        <w:pStyle w:val="Normal"/>
      </w:pPr>
      <w:r>
        <w:rPr>
          <w:color w:val="323232"/>
        </w:rPr>
        <w:t xml:space="preserve">SUBJECTS:Male C57BL</w:t>
      </w:r>
      <w:r>
        <w:rPr>
          <w:i w:val="1"/>
          <w:color w:val="323232"/>
        </w:rPr>
        <w:t xml:space="preserve">6J, female C57BL/6J, aged (40-50</w:t>
      </w:r>
      <w:r>
        <w:rPr>
          <w:color w:val="323232"/>
        </w:rPr>
        <w:t xml:space="preserve"> </w:t>
      </w:r>
      <w:r>
        <w:rPr>
          <w:i w:val="1"/>
          <w:color w:val="323232"/>
        </w:rPr>
        <w:t xml:space="preserve">wk old) male C57BL/6J, and BALB</w:t>
      </w:r>
      <w:r>
        <w:rPr>
          <w:color w:val="323232"/>
        </w:rPr>
        <w:t xml:space="preserve">C mice.</w:t>
      </w:r>
    </w:p>
    <w:p/>
    <w:p>
      <w:pPr>
        <w:pStyle w:val="Normal"/>
      </w:pPr>
      <w:r>
        <w:rPr>
          <w:color w:val="323232"/>
        </w:rPr>
        <w:t xml:space="preserve">INTERVENTIONS:Mice (n = 200) underwent biotelemetry-enhanced cecal ligation and puncture and were randomized after meeting validated criteria for acute physiologic deterioration. Treatment groups consisted of a single dose of imipenem</w:t>
      </w:r>
      <w:r>
        <w:rPr>
          <w:i w:val="1"/>
          <w:color w:val="323232"/>
        </w:rPr>
        <w:t xml:space="preserve">cilastatin, a single bolus of 30</w:t>
      </w:r>
      <w:r>
        <w:rPr>
          <w:color w:val="323232"/>
        </w:rPr>
        <w:t xml:space="preserve"> </w:t>
      </w:r>
      <w:r>
        <w:rPr>
          <w:i w:val="1"/>
          <w:color w:val="323232"/>
        </w:rPr>
        <w:t xml:space="preserve">mL</w:t>
      </w:r>
      <w:r>
        <w:rPr>
          <w:color w:val="323232"/>
        </w:rPr>
        <w:t xml:space="preserve">kg fluid resuscitation, or a combination of the two. Mice were allocated to receive treatment at the time of meeting deterioration criteria, after a 2-hour delay or after a 4-hour delay.</w:t>
      </w:r>
    </w:p>
    <w:p/>
    <w:p>
      <w:pPr>
        <w:pStyle w:val="Normal"/>
      </w:pPr>
      <w:r>
        <w:rPr>
          <w:color w:val="323232"/>
        </w:rPr>
        <w:t xml:space="preserve">MEASUREMENTS AND MAIN RESULTS:Hourly delays in the initiation of antibiotic therapy led to progressively shortened survival in our model (p &lt; 0.001). The addition of fluid resuscitation was unable to rescue animals, which received treatment 4 hours after meeting enrollment criteria. Systemic inflammation was increased, and host physiology was increasingly deranged with hourly delays to antibiotics.</w:t>
      </w:r>
    </w:p>
    <w:p/>
    <w:p>
      <w:pPr>
        <w:pStyle w:val="Normal"/>
      </w:pPr>
      <w:r>
        <w:rPr>
          <w:color w:val="323232"/>
        </w:rPr>
        <w:t xml:space="preserve">CONCLUSIONS:We conclude that antibiotic therapy is highly time sensitive, and efforts should be made to deliver this critical therapy as early as possible in sepsis, perhaps extending into the first point of medical contact outside the hospital.</w:t>
      </w:r>
    </w:p>
    <w:p/>
    <w:p>
      <w:pPr>
        <w:pStyle w:val="Normal"/>
      </w:pPr>
      <w:r>
        <w:rPr>
          <w:color w:val="323232"/>
        </w:rPr>
        <w:t xml:space="preserve">Critical Care Medicine, 2018 vol. 46 (5) pp. e426-e434.</w:t>
      </w:r>
    </w:p>
    <w:p>
      <w:r>
        <w:rPr>
          <w:rStyle w:val="Hyperlink"/>
        </w:rPr>
        <w:fldChar w:fldCharType="begin"/>
      </w:r>
      <w:r>
        <w:rPr>
          <w:rStyle w:val="Hyperlink"/>
        </w:rPr>
        <w:instrText xml:space="preserve"> HYPERLINK "http://eutils.ncbi.nlm.nih.gov/entrez/eutils/elink.fcgi?dbfrom=pubmed&amp;id=29369056&amp;retmode=ref&amp;cmd=prlinks"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http://eutils.ncbi.nlm.nih.gov/entrez/eutils/elink.fcgi?dbfrom=pubmed&amp;id=29369056&amp;retmode=ref&amp;cmd=prlinks</w:t>
      </w:r>
      <w:r>
        <w:rPr>
          <w:rStyle w:val="Hyperlink"/>
        </w:rPr>
        <w:fldChar w:fldCharType="end"/>
      </w:r>
    </w:p>
    <w:p>
      <w:pPr>
        <w:pStyle w:val="Normal"/>
      </w:pPr>
      <w:r>
        <w:rPr>
          <w:color w:val="323232"/>
        </w:rPr>
        <w:t xml:space="preserve">————————</w:t>
      </w:r>
    </w:p>
    <w:p>
      <w:pPr>
        <w:pStyle w:val="Heading4"/>
      </w:pPr>
      <w:r>
        <w:t xml:space="preserve">Sepsis-Associated Coagulopathy Severity Predicts Hospital Mortality.</w:t>
      </w:r>
    </w:p>
    <w:p/>
    <w:p>
      <w:pPr>
        <w:pStyle w:val="Normal"/>
      </w:pPr>
      <w:r>
        <w:rPr>
          <w:color w:val="323232"/>
        </w:rPr>
        <w:t xml:space="preserve">Patrick G Lyons, Scott T Micek, Nicholas Hampton, and Marin H Kollef.</w:t>
      </w:r>
    </w:p>
    <w:p/>
    <w:p>
      <w:pPr>
        <w:pStyle w:val="Normal"/>
      </w:pPr>
      <w:r>
        <w:rPr>
          <w:color w:val="323232"/>
        </w:rPr>
        <w:t xml:space="preserve">OBJECTIVES:To assess whether sepsis-associated coagulopathy predicts hospital mortality.</w:t>
      </w:r>
    </w:p>
    <w:p/>
    <w:p>
      <w:pPr>
        <w:pStyle w:val="Normal"/>
      </w:pPr>
      <w:r>
        <w:rPr>
          <w:color w:val="323232"/>
        </w:rPr>
        <w:t xml:space="preserve">DESIGN:Retrospective cohort study.</w:t>
      </w:r>
    </w:p>
    <w:p/>
    <w:p>
      <w:pPr>
        <w:pStyle w:val="Normal"/>
      </w:pPr>
      <w:r>
        <w:rPr>
          <w:color w:val="323232"/>
        </w:rPr>
        <w:t xml:space="preserve">SETTING:One-thousand three-hundred beds urban academic medical center.</w:t>
      </w:r>
    </w:p>
    <w:p/>
    <w:p>
      <w:pPr>
        <w:pStyle w:val="Normal"/>
      </w:pPr>
      <w:r>
        <w:rPr>
          <w:color w:val="323232"/>
        </w:rPr>
        <w:t xml:space="preserve">PATIENTS:Six-thousand one-hundred forty-eight consecutive patients hospitalized between January 1, 2010, and December 31, 2015.</w:t>
      </w:r>
    </w:p>
    <w:p/>
    <w:p>
      <w:pPr>
        <w:pStyle w:val="Normal"/>
      </w:pPr>
      <w:r>
        <w:rPr>
          <w:color w:val="323232"/>
        </w:rPr>
        <w:t xml:space="preserve">INTERVENTIONS:Mild sepsis-associated coagulopathy was defined as an international normalized ratio greater than or equal to 1.2 and less than 1.4 plus platelet count less than or equal to 150,000/µL but greater than 100,000/µL; moderate sepsis-associated coagulopathy was defined with either an international normalized ratio greater than or equal to 1.4 but less than 1.6 or platelets less than or equal to 100,000/µL but greater than 80,000/µL; severe sepsis-associated coagulopathy was defined as an international normalized ratio greater than or equal to 1.6 and platelets less than or equal to 80,000/µL.</w:t>
      </w:r>
    </w:p>
    <w:p/>
    <w:p>
      <w:pPr>
        <w:pStyle w:val="Normal"/>
      </w:pPr>
      <w:r>
        <w:rPr>
          <w:color w:val="323232"/>
        </w:rPr>
        <w:t xml:space="preserve">MEASUREMENTS AND MAIN RESULTS:Hospital mortality increased progressively from 25.4% in patients without sepsis-associated coagulopathy to 56.1% in patients with severe sepsis-associated coagulopathy. Similarly, duration of hospitalization and ICU care increased progressively as sepsis-associated coagulopathy severity increased. Multivariable analyses showed that the presence of sepsis-associated coagulopathy, as well as sepsis-associated coagulopathy severity, was independently associated with hospital mortality regardless of adjustments made for baseline patient characteristics, hospitalization variables, and the sepsis-associated coagulopathy-cancer interaction. Odds ratios ranged from 1.33 to 2.14 for the presence of sepsis-associated coagulopathy and from 1.18 to 1.51 for sepsis-associated coagulopathy severity for predicting hospital mortality (p &lt; 0.001 for all comparisons).</w:t>
      </w:r>
    </w:p>
    <w:p/>
    <w:p>
      <w:pPr>
        <w:pStyle w:val="Normal"/>
      </w:pPr>
      <w:r>
        <w:rPr>
          <w:color w:val="323232"/>
        </w:rPr>
        <w:t xml:space="preserve">CONCLUSIONS:The presence of sepsis-associated coagulopathy identifies a group of patients with sepsis at higher risk for mortality. Furthermore, there is an incremental risk of mortality as the severity of sepsis-associated coagulopathy increases.</w:t>
      </w:r>
    </w:p>
    <w:p/>
    <w:p>
      <w:pPr>
        <w:pStyle w:val="Normal"/>
      </w:pPr>
      <w:r>
        <w:rPr>
          <w:color w:val="323232"/>
        </w:rPr>
        <w:t xml:space="preserve">Critical Care Medicine, 2018 vol. 46 (5) pp. 736-742.</w:t>
      </w:r>
    </w:p>
    <w:p>
      <w:r>
        <w:rPr>
          <w:rStyle w:val="Hyperlink"/>
        </w:rPr>
        <w:fldChar w:fldCharType="begin"/>
      </w:r>
      <w:r>
        <w:rPr>
          <w:rStyle w:val="Hyperlink"/>
        </w:rPr>
        <w:instrText xml:space="preserve"> HYPERLINK "http://Insights.ovid.com/crossref?an=00003246-201805000-00011" </w:instrText>
      </w:r>
      <w:r>
        <w:rPr>
          <w:rStyle w:val="Hyperlink"/>
        </w:rPr>
      </w:r>
      <w:r>
        <w:rPr>
          <w:rStyle w:val="Hyperlink"/>
        </w:rPr>
        <w:fldChar w:fldCharType="separate"/>
      </w:r>
      <w:pPr>
        <w:pStyle w:val="Normal"/>
      </w:pPr>
      <w:r>
        <w:rPr>
          <w:rStyle w:val="Hyperlink"/>
        </w:rPr>
        <w:t xml:space="preserve">http://Insights.ovid.com/crossref?an=00003246-201805000-00011</w:t>
      </w:r>
      <w:r>
        <w:rPr>
          <w:rStyle w:val="Hyperlink"/>
        </w:rPr>
        <w:fldChar w:fldCharType="end"/>
      </w:r>
    </w:p>
    <w:p>
      <w:pPr>
        <w:pStyle w:val="Normal"/>
      </w:pPr>
      <w:r>
        <w:rPr>
          <w:color w:val="323232"/>
        </w:rPr>
        <w:t xml:space="preserve">————————</w:t>
      </w:r>
    </w:p>
    <w:p>
      <w:pPr>
        <w:pStyle w:val="Heading4"/>
      </w:pPr>
      <w:r>
        <w:t xml:space="preserve">Targeting Transfusion-Related Acute Lung Injury: The Journey From Basic Science to Novel Therapies.</w:t>
      </w:r>
    </w:p>
    <w:p/>
    <w:p>
      <w:pPr>
        <w:pStyle w:val="Normal"/>
      </w:pPr>
      <w:r>
        <w:rPr>
          <w:color w:val="323232"/>
        </w:rPr>
        <w:t xml:space="preserve">John W Semple, Mark J McVey, Michael Kim, Johan Rebetz, Wolfgang M Kuebler, and Rick Kapur.</w:t>
      </w:r>
    </w:p>
    <w:p/>
    <w:p>
      <w:pPr>
        <w:pStyle w:val="Normal"/>
      </w:pPr>
      <w:r>
        <w:rPr>
          <w:color w:val="323232"/>
        </w:rPr>
        <w:t xml:space="preserve">OBJECTIVES:Transfusion-related acute lung injury is characterized by the onset of respiratory distress and acute lung injury following blood transfusion, but its pathogenesis remains poorly understood. Generally, a two-hit model is presumed to underlie transfusion-related acute lung injury with the first hit being risk factors present in the transfused patient (such as inflammation), whereas the second hit is conveyed by factors in the transfused donor blood (such as antileukocyte antibodies). At least 80% of transfusion-related acute lung injury cases are related to the presence of donor antibodies such as antihuman leukocyte or antihuman neutrophil antibodies. The remaining cases may be related to nonantibody-mediated factors such as biolipids or components related to storage and ageing of the transfused blood cells. At present, transfusion-related acute lung injury is the leading cause of transfusion-related fatalities and no specific therapy is clinically available. In this article, we critically appraise and discuss recent preclinical (bench) insights related to transfusion-related acute lung injury pathogenesis and their therapeutic potential for future use at the patients' bedside in order to combat this devastating and possibly fatal complication of transfusion.</w:t>
      </w:r>
    </w:p>
    <w:p/>
    <w:p>
      <w:pPr>
        <w:pStyle w:val="Normal"/>
      </w:pPr>
      <w:r>
        <w:rPr>
          <w:color w:val="323232"/>
        </w:rPr>
        <w:t xml:space="preserve">DATA SOURCES:We searched the PubMed database (until August 22, 2017).</w:t>
      </w:r>
    </w:p>
    <w:p/>
    <w:p>
      <w:pPr>
        <w:pStyle w:val="Normal"/>
      </w:pPr>
      <w:r>
        <w:rPr>
          <w:color w:val="323232"/>
        </w:rPr>
        <w:t xml:space="preserve">STUDY SELECTION:Using terms: "Transfusion-related acute lung injury," "TRALI," "TRALI and therapy," "TRALI pathogenesis."</w:t>
      </w:r>
    </w:p>
    <w:p/>
    <w:p>
      <w:pPr>
        <w:pStyle w:val="Normal"/>
      </w:pPr>
      <w:r>
        <w:rPr>
          <w:color w:val="323232"/>
        </w:rPr>
        <w:t xml:space="preserve">DATA EXTRACTION:English-written articles focusing on transfusion-related acute lung injury pathogenesis, with potential therapeutic implications, were extracted.</w:t>
      </w:r>
    </w:p>
    <w:p/>
    <w:p>
      <w:pPr>
        <w:pStyle w:val="Normal"/>
      </w:pPr>
      <w:r>
        <w:rPr>
          <w:color w:val="323232"/>
        </w:rPr>
        <w:t xml:space="preserve">DATA SYNTHESIS:We have identified potential therapeutic approaches based on the literature.</w:t>
      </w:r>
    </w:p>
    <w:p/>
    <w:p>
      <w:pPr>
        <w:pStyle w:val="Normal"/>
      </w:pPr>
      <w:r>
        <w:rPr>
          <w:color w:val="323232"/>
        </w:rPr>
        <w:t xml:space="preserve">CONCLUSIONS:We propose that the most promising therapeutic strategies to explore are interleukin-10 therapy, down-modulating C-reactive protein levels, targeting reactive oxygen species, or blocking the interleukin-8 receptors; all focused on the transfused recipient. In the long-run, it may perhaps also be advantageous to explore other strategies aimed at the transfused recipient or aimed toward the blood product, but these will require more validation and confirmation first.</w:t>
      </w:r>
    </w:p>
    <w:p/>
    <w:p>
      <w:pPr>
        <w:pStyle w:val="Normal"/>
      </w:pPr>
      <w:r>
        <w:rPr>
          <w:color w:val="323232"/>
        </w:rPr>
        <w:t xml:space="preserve">Critical Care Medicine, 2018 vol. 46 (5) pp. e452-e458.</w:t>
      </w:r>
    </w:p>
    <w:p>
      <w:r>
        <w:rPr>
          <w:rStyle w:val="Hyperlink"/>
        </w:rPr>
        <w:fldChar w:fldCharType="begin"/>
      </w:r>
      <w:r>
        <w:rPr>
          <w:rStyle w:val="Hyperlink"/>
        </w:rPr>
        <w:instrText xml:space="preserve"> HYPERLINK "http://eutils.ncbi.nlm.nih.gov/entrez/eutils/elink.fcgi?dbfrom=pubmed&amp;id=29384784&amp;retmode=ref&amp;cmd=prlinks"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http://eutils.ncbi.nlm.nih.gov/entrez/eutils/elink.fcgi?dbfrom=pubmed&amp;id=29384784&amp;retmode=ref&amp;cmd=prlinks</w:t>
      </w:r>
      <w:r>
        <w:rPr>
          <w:rStyle w:val="Hyperlink"/>
        </w:rPr>
        <w:fldChar w:fldCharType="end"/>
      </w:r>
    </w:p>
    <w:p>
      <w:pPr>
        <w:pStyle w:val="Normal"/>
      </w:pPr>
      <w:r>
        <w:rPr>
          <w:color w:val="323232"/>
        </w:rPr>
        <w:t xml:space="preserve">————————</w:t>
      </w:r>
    </w:p>
    <w:p>
      <w:pPr>
        <w:pStyle w:val="Heading4"/>
      </w:pPr>
      <w:r>
        <w:t xml:space="preserve">Vasopressors During Cardiopulmonary Resuscitation. A Network Meta-Analysis of Randomized Trials.</w:t>
      </w:r>
    </w:p>
    <w:p/>
    <w:p>
      <w:pPr>
        <w:pStyle w:val="Normal"/>
      </w:pPr>
      <w:r>
        <w:rPr>
          <w:color w:val="323232"/>
        </w:rPr>
        <w:t xml:space="preserve">Alessandro Belletti, Umberto Benedetto, Alessandro Putzu, Enrico A Martino, Giuseppe Biondi-Zoccai, Gianni D Angelini, Alberto Zangrillo, and Giovanni Landoni.</w:t>
      </w:r>
    </w:p>
    <w:p/>
    <w:p>
      <w:pPr>
        <w:pStyle w:val="Normal"/>
      </w:pPr>
      <w:r>
        <w:rPr>
          <w:color w:val="323232"/>
        </w:rPr>
        <w:t xml:space="preserve">OBJECTIVES:Several randomized controlled trials have compared adrenaline (epinephrine) with alternative therapies in patients with cardiac arrest with conflicting results. Recent observational studies suggest that adrenaline might increase return of spontaneous circulation but worsen neurologic outcome. We systematically compared all the vasopressors tested in randomized controlled trials in adult cardiac arrest patients in order to identify the treatment associated with the highest rate of return of spontaneous circulation, survival, and good neurologic outcome.</w:t>
      </w:r>
    </w:p>
    <w:p/>
    <w:p>
      <w:pPr>
        <w:pStyle w:val="Normal"/>
      </w:pPr>
      <w:r>
        <w:rPr>
          <w:color w:val="323232"/>
        </w:rPr>
        <w:t xml:space="preserve">DESIGN:Network meta-analysis.</w:t>
      </w:r>
    </w:p>
    <w:p/>
    <w:p>
      <w:pPr>
        <w:pStyle w:val="Normal"/>
      </w:pPr>
      <w:r>
        <w:rPr>
          <w:color w:val="323232"/>
        </w:rPr>
        <w:t xml:space="preserve">PATIENTS:Adult patients undergoing cardiopulmonary resuscitation.</w:t>
      </w:r>
    </w:p>
    <w:p/>
    <w:p>
      <w:pPr>
        <w:pStyle w:val="Normal"/>
      </w:pPr>
      <w:r>
        <w:rPr>
          <w:color w:val="323232"/>
        </w:rPr>
        <w:t xml:space="preserve">INTERVENTIONS:PubMed, Embase, BioMed Central, and the Cochrane Central register were searched (up to April 1, 2017). We included all the randomized controlled trials comparing a vasopressor with any other therapy. A network meta-analysis with a frequentist approach was performed to identify the treatment associated with the highest likelihood of survival.</w:t>
      </w:r>
    </w:p>
    <w:p/>
    <w:p>
      <w:pPr>
        <w:pStyle w:val="Normal"/>
      </w:pPr>
      <w:r>
        <w:rPr>
          <w:color w:val="323232"/>
        </w:rPr>
        <w:t xml:space="preserve">MEASUREMENTS AND MAIN RESULTS:Twenty-eight studies randomizing 14,848 patients in 12 treatment groups were included. Only a combined treatment with adrenaline, vasopressin, and methylprednisolone was associated with increased likelihood of return of spontaneous circulation and survival with a good neurologic outcome compared with several other comparators, including adrenaline. Adrenaline alone was not associated with any significant difference in mortality and good neurologic outcome compared with any other comparator.</w:t>
      </w:r>
    </w:p>
    <w:p/>
    <w:p>
      <w:pPr>
        <w:pStyle w:val="Normal"/>
      </w:pPr>
      <w:r>
        <w:rPr>
          <w:color w:val="323232"/>
        </w:rPr>
        <w:t xml:space="preserve">CONCLUSIONS:In randomized controlled trials assessing vasopressors in adults with cardiac arrest, only a combination of adrenaline, vasopressin, and methylprednisolone was associated with improved survival with a good neurologic outcome compared with any other drug or placebo, particularly in in-hospital cardiac arrest. There was no significant randomized evidence to support neither discourage the use of adrenaline during cardiac arrest.</w:t>
      </w:r>
    </w:p>
    <w:p/>
    <w:p>
      <w:pPr>
        <w:pStyle w:val="Normal"/>
      </w:pPr>
      <w:r>
        <w:rPr>
          <w:color w:val="323232"/>
        </w:rPr>
        <w:t xml:space="preserve">Critical Care Medicine, 2018 vol. 46 (5) pp. e443-e451.</w:t>
      </w:r>
    </w:p>
    <w:p>
      <w:r>
        <w:rPr>
          <w:rStyle w:val="Hyperlink"/>
        </w:rPr>
        <w:fldChar w:fldCharType="begin"/>
      </w:r>
      <w:r>
        <w:rPr>
          <w:rStyle w:val="Hyperlink"/>
        </w:rPr>
        <w:instrText xml:space="preserve"> HYPERLINK "http://eutils.ncbi.nlm.nih.gov/entrez/eutils/elink.fcgi?dbfrom=pubmed&amp;id=29652719&amp;retmode=ref&amp;cmd=prlinks"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http://eutils.ncbi.nlm.nih.gov/entrez/eutils/elink.fcgi?dbfrom=pubmed&amp;id=29652719&amp;retmode=ref&amp;cmd=prlinks</w:t>
      </w:r>
      <w:r>
        <w:rPr>
          <w:rStyle w:val="Hyperlink"/>
        </w:rPr>
        <w:fldChar w:fldCharType="end"/>
      </w:r>
    </w:p>
    <w:p>
      <w:pPr>
        <w:pStyle w:val="Normal"/>
      </w:pPr>
      <w:r>
        <w:rPr>
          <w:color w:val="323232"/>
        </w:rPr>
        <w:t xml:space="preserve">————————</w:t>
      </w:r>
    </w:p>
    <w:p>
      <w:pPr>
        <w:pStyle w:val="Heading4"/>
      </w:pPr>
      <w:r>
        <w:t xml:space="preserve">An Exploratory Reanalysis of the Randomized Trial on Efficacy of Corticosteroids as Rescue Therapy for the Late Phase of Acute Respiratory Distress Syndrome.</w:t>
      </w:r>
    </w:p>
    <w:p/>
    <w:p>
      <w:pPr>
        <w:pStyle w:val="Normal"/>
      </w:pPr>
      <w:r>
        <w:rPr>
          <w:color w:val="323232"/>
        </w:rPr>
        <w:t xml:space="preserve">G Umberto Meduri, Lisa Bridges, Reed A C Siemieniuk, and Mehmet Kocak.</w:t>
      </w:r>
    </w:p>
    <w:p/>
    <w:p>
      <w:pPr>
        <w:pStyle w:val="Normal"/>
      </w:pPr>
      <w:r>
        <w:rPr>
          <w:color w:val="323232"/>
        </w:rPr>
        <w:t xml:space="preserve">OBJECTIVES:In the Acute Respiratory Distress Syndrome Network randomized controlled trial, methylprednisolone treatment was associated with increased return to mechanical ventilation with partial loss of early improvements. We hypothesize a causal relationship between protocol-driven rapid discontinuation of methylprednisolone post extubation and return to mechanical ventilation. To explore this possibility, we investigated the timing that events occurred in each treatment arm during active treatment intervention (efficacy) and after stopping therapy.</w:t>
      </w:r>
    </w:p>
    <w:p/>
    <w:p>
      <w:pPr>
        <w:pStyle w:val="Normal"/>
      </w:pPr>
      <w:r>
        <w:rPr>
          <w:color w:val="323232"/>
        </w:rPr>
        <w:t xml:space="preserve">DESIGN AND SETTINGS:Retrospective intention-to-treat analysis of multicenter randomized controlled trial.</w:t>
      </w:r>
    </w:p>
    <w:p/>
    <w:p>
      <w:pPr>
        <w:pStyle w:val="Normal"/>
      </w:pPr>
      <w:r>
        <w:rPr>
          <w:color w:val="323232"/>
        </w:rPr>
        <w:t xml:space="preserve">PATIENTS AND INTERVENTIONS:Patients were randomized to methylprednisolone (2</w:t>
      </w:r>
      <w:r>
        <w:rPr>
          <w:color w:val="323232"/>
        </w:rPr>
        <w:t xml:space="preserve"> </w:t>
      </w:r>
      <w:r>
        <w:rPr>
          <w:color w:val="323232"/>
        </w:rPr>
        <w:t xml:space="preserve">mg</w:t>
      </w:r>
      <w:r>
        <w:rPr>
          <w:i w:val="1"/>
          <w:color w:val="323232"/>
        </w:rPr>
        <w:t xml:space="preserve">kg</w:t>
      </w:r>
      <w:r>
        <w:rPr>
          <w:color w:val="323232"/>
        </w:rPr>
        <w:t xml:space="preserve">d) or placebo (89 vs 91). The target sample size was reduced post hoc and provided 80% power for an optimistic 50% mortality reduction.</w:t>
      </w:r>
    </w:p>
    <w:p/>
    <w:p>
      <w:pPr>
        <w:pStyle w:val="Normal"/>
      </w:pPr>
      <w:r>
        <w:rPr>
          <w:color w:val="323232"/>
        </w:rPr>
        <w:t xml:space="preserve">MEASUREMENTS AND MAIN RESULTS:Findings are reported as methylprednisolone versus placebo. By day 28, fewer patients died before achieving extubation (15.7% vs 25.3% and risk ratio, 0.62; 95% CI, 0.34-1.13), more achieved successful extubation (71.9% vs 49.5% and risk ratio, 1.45; CI, 1.14-1.85), time to successful extubation was shorter (hazard ratio, 2.05; CI, 1.42-2.96), and more were discharged alive from the ICU (65.2% vs 48.3%; risk ratio, 1.35; CI, 1.04-1.75). After treatment discontinuation, more methylprednisolone-treated patients returned to mechanical ventilation (26.6% vs 6.7%; risk ratio, 3.98; CI, 1.24-12.79)-consistent with reconstituted systemic inflammation in the presence of adrenal suppression. Participants returning to mechanical ventilation without reinstitution of methylprednisolone had increased risk of ventilator dependence and mortality. Despite loss of early benefits, methylprednisolone was associated with sizable and significant improvements in all secondary outcomes and reduction in serious complications (shock and severe infections).</w:t>
      </w:r>
    </w:p>
    <w:p/>
    <w:p>
      <w:pPr>
        <w:pStyle w:val="Normal"/>
      </w:pPr>
      <w:r>
        <w:rPr>
          <w:color w:val="323232"/>
        </w:rPr>
        <w:t xml:space="preserve">CONCLUSIONS:During active intervention, methylprednisolone was safe and effective in achieving disease resolution. Our findings support rapid glucocorticoid discontinuation post extubation as likely cause of disease relapse. Gradual tapering might be necessary to preserve the significant improvements achieved during methylprednisolone administration.</w:t>
      </w:r>
    </w:p>
    <w:p/>
    <w:p>
      <w:pPr>
        <w:pStyle w:val="Normal"/>
      </w:pPr>
      <w:r>
        <w:rPr>
          <w:color w:val="323232"/>
        </w:rPr>
        <w:t xml:space="preserve">Critical Care Medicine, 2018 vol. 46 (6) pp. 884-891.</w:t>
      </w:r>
    </w:p>
    <w:p>
      <w:r>
        <w:rPr>
          <w:rStyle w:val="Hyperlink"/>
        </w:rPr>
        <w:fldChar w:fldCharType="begin"/>
      </w:r>
      <w:r>
        <w:rPr>
          <w:rStyle w:val="Hyperlink"/>
        </w:rPr>
        <w:instrText xml:space="preserve"> HYPERLINK "http://eutils.ncbi.nlm.nih.gov/entrez/eutils/elink.fcgi?dbfrom=pubmed&amp;id=29432350&amp;retmode=ref&amp;cmd=prlinks"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http://eutils.ncbi.nlm.nih.gov/entrez/eutils/elink.fcgi?dbfrom=pubmed&amp;id=29432350&amp;retmode=ref&amp;cmd=prlinks</w:t>
      </w:r>
      <w:r>
        <w:rPr>
          <w:rStyle w:val="Hyperlink"/>
        </w:rPr>
        <w:fldChar w:fldCharType="end"/>
      </w:r>
    </w:p>
    <w:p>
      <w:pPr>
        <w:pStyle w:val="Normal"/>
      </w:pPr>
      <w:r>
        <w:rPr>
          <w:color w:val="323232"/>
        </w:rPr>
        <w:t xml:space="preserve">————————</w:t>
      </w:r>
    </w:p>
    <w:p>
      <w:pPr>
        <w:pStyle w:val="Heading4"/>
      </w:pPr>
      <w:r>
        <w:t xml:space="preserve">Association of Early Myocardial Workload and Mortality Following Severe Traumatic Brain Injury.</w:t>
      </w:r>
    </w:p>
    <w:p/>
    <w:p>
      <w:pPr>
        <w:pStyle w:val="Normal"/>
      </w:pPr>
      <w:r>
        <w:rPr>
          <w:color w:val="323232"/>
        </w:rPr>
        <w:t xml:space="preserve">Vijay Krishnamoorthy, Monica S Vavilala, Nophanan Chaikittisilpa, Frederick P Rivara, Nancy R Temkin, Abhijit V Lele, Edward F Gibbons, and Ali Rowhani-Rahbar.</w:t>
      </w:r>
    </w:p>
    <w:p/>
    <w:p>
      <w:pPr>
        <w:pStyle w:val="Normal"/>
      </w:pPr>
      <w:r>
        <w:rPr>
          <w:color w:val="323232"/>
        </w:rPr>
        <w:t xml:space="preserve">OBJECTIVES:To examine the impact of early myocardial workload on in-hospital mortality following isolated severe traumatic brain injury.</w:t>
      </w:r>
    </w:p>
    <w:p/>
    <w:p>
      <w:pPr>
        <w:pStyle w:val="Normal"/>
      </w:pPr>
      <w:r>
        <w:rPr>
          <w:color w:val="323232"/>
        </w:rPr>
        <w:t xml:space="preserve">DESIGN:Retrospective cohort study.</w:t>
      </w:r>
    </w:p>
    <w:p/>
    <w:p>
      <w:pPr>
        <w:pStyle w:val="Normal"/>
      </w:pPr>
      <w:r>
        <w:rPr>
          <w:color w:val="323232"/>
        </w:rPr>
        <w:t xml:space="preserve">SETTING:Data from the National Trauma Databank, a multicenter trauma registry operated by the American College of Surgeons, from 2007 to 2014.</w:t>
      </w:r>
    </w:p>
    <w:p/>
    <w:p>
      <w:pPr>
        <w:pStyle w:val="Normal"/>
      </w:pPr>
      <w:r>
        <w:rPr>
          <w:color w:val="323232"/>
        </w:rPr>
        <w:t xml:space="preserve">PATIENTS:Adult patients with isolated severe traumatic brain injury (defined as admission Glasgow Coma Scale &lt; 8 and head Abbreviated Injury Score ≥ 4).</w:t>
      </w:r>
    </w:p>
    <w:p/>
    <w:p>
      <w:pPr>
        <w:pStyle w:val="Normal"/>
      </w:pPr>
      <w:r>
        <w:rPr>
          <w:color w:val="323232"/>
        </w:rPr>
        <w:t xml:space="preserve">INTERVENTIONS:Admission rate-pressure product, categorized into five levels based on published low, normal, and submaximal human thresholds: less than 5,000; 5,000-9,999; 10,000-14,999; 15,000-19,999; and greater than 20,000.</w:t>
      </w:r>
    </w:p>
    <w:p/>
    <w:p>
      <w:pPr>
        <w:pStyle w:val="Normal"/>
      </w:pPr>
      <w:r>
        <w:rPr>
          <w:color w:val="323232"/>
        </w:rPr>
        <w:t xml:space="preserve">MEASUREMENTS AND MAIN RESULTS:Data from 26,412 patients were analyzed. Most patients had a normal rate-pressure product (43%), 35% had elevated rate-pressure product, and 22% had depressed rate-pressure product at hospital admission. Compared with the normal rate-pressure product group, in-hospital mortality was 22 percentage points higher in the lowest rate-pressure product group (cumulative mortality, 50.2%; 95% CI, 43.6-56.9%) and 11 percentage points higher in the highest rate-pressure product group (cumulative mortality, 39.2%; 95% CI, 37.4-40.9%). The lowest rate-pressure product group was associated with a 50% increased risk of mortality, compared with the normal rate-pressure product group (adjusted relative risk, 1.50; 95% CI, 1.31-1.76%; p &lt; 0.0001), and the highest rate-pressure product group was associated with a 25% increased risk of mortality, compared with the normal rate-pressure product group (adjusted relative risk, 1.25; 95% CI, 1.18-1.92%; p &lt; 0.0001). This relationship was blunted with increasing age. Among patients with normotension, those with depressed and elevated rate-pressure products experienced increased mortality.</w:t>
      </w:r>
    </w:p>
    <w:p/>
    <w:p>
      <w:pPr>
        <w:pStyle w:val="Normal"/>
      </w:pPr>
      <w:r>
        <w:rPr>
          <w:color w:val="323232"/>
        </w:rPr>
        <w:t xml:space="preserve">CONCLUSIONS:Adults with severe traumatic brain injury experience heterogeneous myocardial workload profiles that have a "U-shaped" relationship with mortality, even in the presence of a normal blood pressure. Our findings are novel and suggest that cardiac performance is important following severe traumatic brain injury.</w:t>
      </w:r>
    </w:p>
    <w:p/>
    <w:p>
      <w:pPr>
        <w:pStyle w:val="Normal"/>
      </w:pPr>
      <w:r>
        <w:rPr>
          <w:color w:val="323232"/>
        </w:rPr>
        <w:t xml:space="preserve">Critical Care Medicine, 2018 vol. 46 (6) pp. 965-971.</w:t>
      </w:r>
    </w:p>
    <w:p>
      <w:r>
        <w:rPr>
          <w:rStyle w:val="Hyperlink"/>
        </w:rPr>
        <w:fldChar w:fldCharType="begin"/>
      </w:r>
      <w:r>
        <w:rPr>
          <w:rStyle w:val="Hyperlink"/>
        </w:rPr>
        <w:instrText xml:space="preserve"> HYPERLINK "http://eutils.ncbi.nlm.nih.gov/entrez/eutils/elink.fcgi?dbfrom=pubmed&amp;id=29509569&amp;retmode=ref&amp;cmd=prlinks"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http://eutils.ncbi.nlm.nih.gov/entrez/eutils/elink.fcgi?dbfrom=pubmed&amp;id=29509569&amp;retmode=ref&amp;cmd=prlinks</w:t>
      </w:r>
      <w:r>
        <w:rPr>
          <w:rStyle w:val="Hyperlink"/>
        </w:rPr>
        <w:fldChar w:fldCharType="end"/>
      </w:r>
    </w:p>
    <w:p>
      <w:pPr>
        <w:pStyle w:val="Normal"/>
      </w:pPr>
      <w:r>
        <w:rPr>
          <w:color w:val="323232"/>
        </w:rPr>
        <w:t xml:space="preserve">————————</w:t>
      </w:r>
    </w:p>
    <w:p>
      <w:pPr>
        <w:pStyle w:val="Heading4"/>
      </w:pPr>
      <w:r>
        <w:t xml:space="preserve">Lactate Level Versus Lactate Clearance for Predicting Mortality in Patients With Septic Shock Defined by Sepsis-3.</w:t>
      </w:r>
    </w:p>
    <w:p/>
    <w:p>
      <w:pPr>
        <w:pStyle w:val="Normal"/>
      </w:pPr>
      <w:r>
        <w:rPr>
          <w:color w:val="323232"/>
        </w:rPr>
        <w:t xml:space="preserve">Seung Mok Ryoo, JungBok Lee, Yoon-Seon Lee, Jae Ho Lee, Kyoung Soo Lim, Jin Won Huh, Sang-Bum Hong, Chae-Man Lim, Younsuck Koh, and Won Young Kim.</w:t>
      </w:r>
    </w:p>
    <w:p/>
    <w:p>
      <w:pPr>
        <w:pStyle w:val="Normal"/>
      </w:pPr>
      <w:r>
        <w:rPr>
          <w:color w:val="323232"/>
        </w:rPr>
        <w:t xml:space="preserve">OBJECTIVES:This study aimed to compare the prognostic value of lactate level and lactate clearance at 6 hours after septic shock recognition. And, we performed it to determine lactate kinetics in the Sepsis-3 defined septic shock.</w:t>
      </w:r>
    </w:p>
    <w:p/>
    <w:p>
      <w:pPr>
        <w:pStyle w:val="Normal"/>
      </w:pPr>
      <w:r>
        <w:rPr>
          <w:color w:val="323232"/>
        </w:rPr>
        <w:t xml:space="preserve">DESIGN:This retrospective study was performed from a prospective septic shock registry.</w:t>
      </w:r>
    </w:p>
    <w:p/>
    <w:p>
      <w:pPr>
        <w:pStyle w:val="Normal"/>
      </w:pPr>
      <w:r>
        <w:rPr>
          <w:color w:val="323232"/>
        </w:rPr>
        <w:t xml:space="preserve">SETTINGS:This study was performed at single urban tertiary center. And, all patients were treated with protocol-driven resuscitation bundle therapy between 2010 and 2016.</w:t>
      </w:r>
    </w:p>
    <w:p/>
    <w:p>
      <w:pPr>
        <w:pStyle w:val="Normal"/>
      </w:pPr>
      <w:r>
        <w:rPr>
          <w:color w:val="323232"/>
        </w:rPr>
        <w:t xml:space="preserve">PATIENTS:We included septic shock patients who met the Sepsis-3 definition, which involves lactate levels greater than or equal to 2 mmol/L and vasopressor use.</w:t>
      </w:r>
    </w:p>
    <w:p/>
    <w:p>
      <w:pPr>
        <w:pStyle w:val="Normal"/>
      </w:pPr>
      <w:r>
        <w:rPr>
          <w:color w:val="323232"/>
        </w:rPr>
        <w:t xml:space="preserve">INTERVENTIONS:Serum lactate levels were measured at initial and 6 hours from septic shock recognition.</w:t>
      </w:r>
    </w:p>
    <w:p/>
    <w:p>
      <w:pPr>
        <w:pStyle w:val="Normal"/>
      </w:pPr>
      <w:r>
        <w:rPr>
          <w:color w:val="323232"/>
        </w:rPr>
        <w:t xml:space="preserve">MEASUREMENTS AND MAIN RESULTS:Lactate clearance was calculated as ([initial lactate - 6-hr lactate]/ initial lactate) × 100. The prognostic value of measured lactate levels and lactate clearance for 28-day mortality was analyzed and compared with that of subsequent lactate levels greater than or equal to 2 mmol/ L, greater than or equal to 3 mmol/ L, and greater than or equal to 4 mmol/ L and less than 10%, less than 20%, and less than 30% lactate clearance. A total of 1,060 septic shock patients by Sepsis-3, 265 patients died (28-d mortality: 25%). In survivor, groups had lower median 6-hour lactate level and higher lactate clearance than nonsurvivors (2.5 vs 4.6 mmol/ L and 35.4% vs 14.8%; p &lt; 0.01). Both lactate and lactate clearance were associated with mortality after adjusting for confounders (odd ratio, 1.27 [95% CI, 1.21-1.34] and 0.992 [95% CI, 0.989-0.995]), but lactate had a significantly higher prognostic value than lactate clearance (area under the curve, 0.70 vs 0.65; p &lt; 0.01). The prognostic value of subsequent lactate levels (≥ 2, ≥ 3, and ≥ 4 mmol/ L) and lactate clearances (&lt; 10%, &lt; 20%, and &lt; 30%) was not significantly differed. However, lactate levels of greater than or equal to 2 mmol/ L had the greatest sensitivity (85.3%).</w:t>
      </w:r>
    </w:p>
    <w:p/>
    <w:p>
      <w:pPr>
        <w:pStyle w:val="Normal"/>
      </w:pPr>
      <w:r>
        <w:rPr>
          <w:color w:val="323232"/>
        </w:rPr>
        <w:t xml:space="preserve">CONCLUSIONS:Our findings indicate lactate and lactate clearance are both useful targets in patients with septic shock defined by Sepsis-3. Serum lactate level at 6-hour can be an easier and more effective tool for prognosis of septic shock patients who were treated with protocol-driven resuscitation bundle therapy.</w:t>
      </w:r>
    </w:p>
    <w:p/>
    <w:p>
      <w:pPr>
        <w:pStyle w:val="Normal"/>
      </w:pPr>
      <w:r>
        <w:rPr>
          <w:color w:val="323232"/>
        </w:rPr>
        <w:t xml:space="preserve">Critical Care Medicine, 2018 vol. 46 (6) pp. e489-e495.</w:t>
      </w:r>
    </w:p>
    <w:p>
      <w:r>
        <w:rPr>
          <w:rStyle w:val="Hyperlink"/>
        </w:rPr>
        <w:fldChar w:fldCharType="begin"/>
      </w:r>
      <w:r>
        <w:rPr>
          <w:rStyle w:val="Hyperlink"/>
        </w:rPr>
        <w:instrText xml:space="preserve"> HYPERLINK "http://eutils.ncbi.nlm.nih.gov/entrez/eutils/elink.fcgi?dbfrom=pubmed&amp;id=29432347&amp;retmode=ref&amp;cmd=prlinks"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http://eutils.ncbi.nlm.nih.gov/entrez/eutils/elink.fcgi?dbfrom=pubmed&amp;id=29432347&amp;retmode=ref&amp;cmd=prlinks</w:t>
      </w:r>
      <w:r>
        <w:rPr>
          <w:rStyle w:val="Hyperlink"/>
        </w:rPr>
        <w:fldChar w:fldCharType="end"/>
      </w:r>
    </w:p>
    <w:p>
      <w:pPr>
        <w:pStyle w:val="Normal"/>
      </w:pPr>
      <w:r>
        <w:rPr>
          <w:color w:val="323232"/>
        </w:rPr>
        <w:t xml:space="preserve">————————</w:t>
      </w:r>
    </w:p>
    <w:p>
      <w:pPr>
        <w:pStyle w:val="Heading4"/>
      </w:pPr>
      <w:r>
        <w:t xml:space="preserve">Outcomes in Patients with Vasodilatory Shock and Renal Replacement Therapy Treated with Intravenous Angiotensin II.</w:t>
      </w:r>
    </w:p>
    <w:p/>
    <w:p>
      <w:pPr>
        <w:pStyle w:val="Normal"/>
      </w:pPr>
      <w:r>
        <w:rPr>
          <w:color w:val="323232"/>
        </w:rPr>
        <w:t xml:space="preserve">James A Tumlin, Raghavan Murugan, Adam M Deane, Marlies Ostermann, Laurence W Busse, Kealy R Ham, Kianoush Kashani, Harold M Szerlip, John R Prowle, Azra Bihorac, Kevin W Finkel, Alexander Zarbock, Lui G Forni, Shannan J Lynch, Jeff Jensen, Stew Kroll, Lakhmir S Chawla, George F Tidmarsh, Rinaldo Bellomo, and Angiotensin II for the Treatment of High-Output Shock 3 (ATHOS-3) Investigators.</w:t>
      </w:r>
    </w:p>
    <w:p/>
    <w:p>
      <w:pPr>
        <w:pStyle w:val="Normal"/>
      </w:pPr>
      <w:r>
        <w:rPr>
          <w:color w:val="323232"/>
        </w:rPr>
        <w:t xml:space="preserve">OBJECTIVE:Acute kidney injury requiring renal replacement therapy in severe vasodilatory shock is associated with an unfavorable prognosis. Angiotensin II treatment may help these patients by potentially restoring renal function without decreasing intrarenal oxygenation. We analyzed the impact of angiotensin II on the outcomes of acute kidney injury requiring renal replacement therapy.</w:t>
      </w:r>
    </w:p>
    <w:p/>
    <w:p>
      <w:pPr>
        <w:pStyle w:val="Normal"/>
      </w:pPr>
      <w:r>
        <w:rPr>
          <w:color w:val="323232"/>
        </w:rPr>
        <w:t xml:space="preserve">DESIGN:Post hoc analysis of the Angiotensin II for the Treatment of High-Output Shock 3 trial.</w:t>
      </w:r>
    </w:p>
    <w:p/>
    <w:p>
      <w:pPr>
        <w:pStyle w:val="Normal"/>
      </w:pPr>
      <w:r>
        <w:rPr>
          <w:color w:val="323232"/>
        </w:rPr>
        <w:t xml:space="preserve">SETTING:ICUs.</w:t>
      </w:r>
    </w:p>
    <w:p/>
    <w:p>
      <w:pPr>
        <w:pStyle w:val="Normal"/>
      </w:pPr>
      <w:r>
        <w:rPr>
          <w:color w:val="323232"/>
        </w:rPr>
        <w:t xml:space="preserve">PATIENTS:Patients with acute kidney injury treated with renal replacement therapy at initiation of angiotensin II or placebo (n = 45 and n = 60, respectively).</w:t>
      </w:r>
    </w:p>
    <w:p/>
    <w:p>
      <w:pPr>
        <w:pStyle w:val="Normal"/>
      </w:pPr>
      <w:r>
        <w:rPr>
          <w:color w:val="323232"/>
        </w:rPr>
        <w:t xml:space="preserve">INTERVENTIONS:IV angiotensin II or placebo.</w:t>
      </w:r>
    </w:p>
    <w:p/>
    <w:p>
      <w:pPr>
        <w:pStyle w:val="Normal"/>
      </w:pPr>
      <w:r>
        <w:rPr>
          <w:color w:val="323232"/>
        </w:rPr>
        <w:t xml:space="preserve">MEASUREMENTS AND MAIN RESULTS:Primary end point: survival through day 28; secondary outcomes included renal recovery through day 7 and increase in mean arterial pressure from baseline of ≥ 10</w:t>
      </w:r>
      <w:r>
        <w:rPr>
          <w:color w:val="323232"/>
        </w:rPr>
        <w:t xml:space="preserve"> </w:t>
      </w:r>
      <w:r>
        <w:rPr>
          <w:color w:val="323232"/>
        </w:rPr>
        <w:t xml:space="preserve">mm Hg or increase to ≥ 75</w:t>
      </w:r>
      <w:r>
        <w:rPr>
          <w:color w:val="323232"/>
        </w:rPr>
        <w:t xml:space="preserve"> </w:t>
      </w:r>
      <w:r>
        <w:rPr>
          <w:color w:val="323232"/>
        </w:rPr>
        <w:t xml:space="preserve">mm Hg at hour 3. Survival rates through day 28 were 53% (95% CI, 38%-67%) and 30% (95% CI, 19%-41%) in patients treated with angiotensin II and placebo (p = 0.012), respectively. By day 7, 38% (95% CI, 25%-54%) of angiotensin II patients discontinued RRT versus 15% (95% CI, 8%-27%) placebo (p = 0.007). Mean arterial pressure response was achieved in 53% (95% CI, 38%-68%) and 22% (95% CI, 12%-34%) of patients treated with angiotensin II and placebo (p = 0.001), respectively.</w:t>
      </w:r>
    </w:p>
    <w:p/>
    <w:p>
      <w:pPr>
        <w:pStyle w:val="Normal"/>
      </w:pPr>
      <w:r>
        <w:rPr>
          <w:color w:val="323232"/>
        </w:rPr>
        <w:t xml:space="preserve">CONCLUSIONS:In patients with acute kidney injury requiring renal replacement therapy at study drug initiation, 28-day survival and mean arterial pressure response were higher, and rate of renal replacement therapy liberation was greater in the angiotensin II group versus the placebo group. These findings suggest that patients with vasodilatory shock and acute kidney injury requiring renal replacement therapy may preferentially benefit from angiotensin II.</w:t>
      </w:r>
    </w:p>
    <w:p/>
    <w:p>
      <w:pPr>
        <w:pStyle w:val="Normal"/>
      </w:pPr>
      <w:r>
        <w:rPr>
          <w:color w:val="323232"/>
        </w:rPr>
        <w:t xml:space="preserve">Critical Care Medicine, 2018 vol. 46 (6) pp. 949-957.</w:t>
      </w:r>
    </w:p>
    <w:p>
      <w:r>
        <w:rPr>
          <w:rStyle w:val="Hyperlink"/>
        </w:rPr>
        <w:fldChar w:fldCharType="begin"/>
      </w:r>
      <w:r>
        <w:rPr>
          <w:rStyle w:val="Hyperlink"/>
        </w:rPr>
        <w:instrText xml:space="preserve"> HYPERLINK "http://eutils.ncbi.nlm.nih.gov/entrez/eutils/elink.fcgi?dbfrom=pubmed&amp;id=29509568&amp;retmode=ref&amp;cmd=prlinks"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http://eutils.ncbi.nlm.nih.gov/entrez/eutils/elink.fcgi?dbfrom=pubmed&amp;id=29509568&amp;retmode=ref&amp;cmd=prlinks</w:t>
      </w:r>
      <w:r>
        <w:rPr>
          <w:rStyle w:val="Hyperlink"/>
        </w:rPr>
        <w:fldChar w:fldCharType="end"/>
      </w:r>
    </w:p>
    <w:p>
      <w:pPr>
        <w:pStyle w:val="Normal"/>
      </w:pPr>
      <w:r>
        <w:rPr>
          <w:color w:val="323232"/>
        </w:rPr>
        <w:t xml:space="preserve">————————</w:t>
      </w:r>
    </w:p>
    <w:p>
      <w:pPr>
        <w:pStyle w:val="Heading4"/>
      </w:pPr>
      <w:r>
        <w:t xml:space="preserve">Revisited: A Systematic Review of Therapeutic Hypothermia for Adult Patients Following Traumatic Brain Injury.</w:t>
      </w:r>
    </w:p>
    <w:p/>
    <w:p>
      <w:pPr>
        <w:pStyle w:val="Normal"/>
      </w:pPr>
      <w:r>
        <w:rPr>
          <w:color w:val="323232"/>
        </w:rPr>
        <w:t xml:space="preserve">Hannah I Watson, Andrew A Shepherd, Jonathan K J Rhodes, and Peter J D Andrews.</w:t>
      </w:r>
    </w:p>
    <w:p/>
    <w:p>
      <w:pPr>
        <w:pStyle w:val="Normal"/>
      </w:pPr>
      <w:r>
        <w:rPr>
          <w:color w:val="323232"/>
        </w:rPr>
        <w:t xml:space="preserve">OBJECTIVES:Therapeutic hypothermia has been of topical interest for many years and with the publication of two international, multicenter randomized controlled trials, the evidence base now needs updating. The aim of this systematic review of randomized controlled trials is to assess the efficacy of therapeutic hypothermia in adult traumatic brain injury focusing on mortality, poor outcomes, and new pneumonia.</w:t>
      </w:r>
    </w:p>
    <w:p/>
    <w:p>
      <w:pPr>
        <w:pStyle w:val="Normal"/>
      </w:pPr>
      <w:r>
        <w:rPr>
          <w:color w:val="323232"/>
        </w:rPr>
        <w:t xml:space="preserve">DATA SOURCES:The following databases were searched from January 1, 2011, to January 26, 2018: Cochrane Central Register of Controlled Trial, MEDLINE, PubMed, and EMBASE.</w:t>
      </w:r>
    </w:p>
    <w:p/>
    <w:p>
      <w:pPr>
        <w:pStyle w:val="Normal"/>
      </w:pPr>
      <w:r>
        <w:rPr>
          <w:color w:val="323232"/>
        </w:rPr>
        <w:t xml:space="preserve">STUDY SELECTION:Only foreign articles published in the English language were included. Only articles that were randomized controlled trials investigating adult traumatic brain injury sustained following an acute, closed head injury were included. Two authors independently assessed at each stage.</w:t>
      </w:r>
    </w:p>
    <w:p/>
    <w:p>
      <w:pPr>
        <w:pStyle w:val="Normal"/>
      </w:pPr>
      <w:r>
        <w:rPr>
          <w:color w:val="323232"/>
        </w:rPr>
        <w:t xml:space="preserve">DATA EXTRACTION:Quality was assessed using the Cochrane Collaboration's tool for assessing the risk of bias. All extracted data were combined using the Mantel-Haenszel estimator for pooled risk ratio with 95% CIs. p value of less than 0.05 was considered statistically significant. All statistical analyses were conducted using RevMan 5 (Cochrane Collaboration, Version 5.3, Copenhagen: The Nordic Cochrane Centre, The Cochrane Collaboration, 2014).</w:t>
      </w:r>
    </w:p>
    <w:p/>
    <w:p>
      <w:pPr>
        <w:pStyle w:val="Normal"/>
      </w:pPr>
      <w:r>
        <w:rPr>
          <w:color w:val="323232"/>
        </w:rPr>
        <w:t xml:space="preserve">DATA SYNTHESIS:Twenty-two studies with 2,346 patients are included. Randomized controlled trials with a low risk of bias show significantly more mortality in the therapeutic hypothermia group (risk ratio, 1.37; 95% CI, 1.04-1.79; p = 0.02), whereas randomized controlled trials with a high risk of bias show the opposite with a higher mortality in the control group (risk ratio, 0.70; 95% CI, 0.60-0.82; p &lt; 0.00001).</w:t>
      </w:r>
    </w:p>
    <w:p/>
    <w:p>
      <w:pPr>
        <w:pStyle w:val="Normal"/>
      </w:pPr>
      <w:r>
        <w:rPr>
          <w:color w:val="323232"/>
        </w:rPr>
        <w:t xml:space="preserve">CONCLUSIONS:Overall, this review is in-keeping with the conclusions published by the most recent randomized controlled trials. High-quality studies show no significant difference in mortality, poor outcomes, or new pneumonia. In addition, this review shows a place for fever control in the management of traumatic brain injury.</w:t>
      </w:r>
    </w:p>
    <w:p/>
    <w:p>
      <w:pPr>
        <w:pStyle w:val="Normal"/>
      </w:pPr>
      <w:r>
        <w:rPr>
          <w:color w:val="323232"/>
        </w:rPr>
        <w:t xml:space="preserve">Critical Care Medicine, 2018 vol. 46 (6) pp. 972-979.</w:t>
      </w:r>
    </w:p>
    <w:p>
      <w:r>
        <w:rPr>
          <w:rStyle w:val="Hyperlink"/>
        </w:rPr>
        <w:fldChar w:fldCharType="begin"/>
      </w:r>
      <w:r>
        <w:rPr>
          <w:rStyle w:val="Hyperlink"/>
        </w:rPr>
        <w:instrText xml:space="preserve"> HYPERLINK "http://eutils.ncbi.nlm.nih.gov/entrez/eutils/elink.fcgi?dbfrom=pubmed&amp;id=29601315&amp;retmode=ref&amp;cmd=prlinks"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http://eutils.ncbi.nlm.nih.gov/entrez/eutils/elink.fcgi?dbfrom=pubmed&amp;id=29601315&amp;retmode=ref&amp;cmd=prlinks</w:t>
      </w:r>
      <w:r>
        <w:rPr>
          <w:rStyle w:val="Hyperlink"/>
        </w:rPr>
        <w:fldChar w:fldCharType="end"/>
      </w:r>
    </w:p>
    <w:p>
      <w:pPr>
        <w:pStyle w:val="Normal"/>
      </w:pPr>
      <w:r>
        <w:rPr>
          <w:color w:val="323232"/>
        </w:rPr>
        <w:t xml:space="preserve">————————</w:t>
      </w:r>
    </w:p>
    <w:p>
      <w:pPr>
        <w:pStyle w:val="Heading4"/>
      </w:pPr>
      <w:r>
        <w:t xml:space="preserve">Sedation Intensity in the First 48 Hours of Mechanical Ventilation and 180-Day Mortality: A Multinational Prospective Longitudinal Cohort Study.</w:t>
      </w:r>
    </w:p>
    <w:p/>
    <w:p>
      <w:pPr>
        <w:pStyle w:val="Normal"/>
      </w:pPr>
      <w:r>
        <w:rPr>
          <w:color w:val="323232"/>
        </w:rPr>
        <w:t xml:space="preserve">Yahya Shehabi, Rinaldo Bellomo, Suhaini Kadiman, Lian Kah Ti, Belinda Howe, Michael C Reade, Tien Meng Khoo, Anita Alias, Yu-Lin Wong, Amartya Mukhopadhyay, Colin McArthur, Ian Seppelt, Steven A Webb, Maja Green, Michael J Bailey, and Sedation Practice in Intensive Care Evaluation (SPICE) Study Investigators and the Australian and New Zealand Intensive Care Society Clinical Trials Group.</w:t>
      </w:r>
    </w:p>
    <w:p/>
    <w:p>
      <w:pPr>
        <w:pStyle w:val="Normal"/>
      </w:pPr>
      <w:r>
        <w:rPr>
          <w:color w:val="323232"/>
        </w:rPr>
        <w:t xml:space="preserve">OBJECTIVES:In the absence of a universal definition of light or deep sedation, the level of sedation that conveys favorable outcomes is unknown. We quantified the relationship between escalating intensity of sedation in the first 48 hours of mechanical ventilation and 180-day survival, time to extubation, and delirium.</w:t>
      </w:r>
    </w:p>
    <w:p/>
    <w:p>
      <w:pPr>
        <w:pStyle w:val="Normal"/>
      </w:pPr>
      <w:r>
        <w:rPr>
          <w:color w:val="323232"/>
        </w:rPr>
        <w:t xml:space="preserve">DESIGN:Harmonized data from prospective multicenter international longitudinal cohort studies SETTING:: Diverse mix of ICUs.</w:t>
      </w:r>
    </w:p>
    <w:p/>
    <w:p>
      <w:pPr>
        <w:pStyle w:val="Normal"/>
      </w:pPr>
      <w:r>
        <w:rPr>
          <w:color w:val="323232"/>
        </w:rPr>
        <w:t xml:space="preserve">PATIENTS:Critically ill patients expected to be ventilated for longer than 24 hours.</w:t>
      </w:r>
    </w:p>
    <w:p/>
    <w:p>
      <w:pPr>
        <w:pStyle w:val="Normal"/>
      </w:pPr>
      <w:r>
        <w:rPr>
          <w:color w:val="323232"/>
        </w:rPr>
        <w:t xml:space="preserve">INTERVENTIONS:Richmond Agitation Sedation Scale and pain were assessed every 4 hours. Delirium and mobilization were assessed daily using the Confusion Assessment Method of ICU and a standardized mobility assessment, respectively.</w:t>
      </w:r>
    </w:p>
    <w:p/>
    <w:p>
      <w:pPr>
        <w:pStyle w:val="Normal"/>
      </w:pPr>
      <w:r>
        <w:rPr>
          <w:color w:val="323232"/>
        </w:rPr>
        <w:t xml:space="preserve">MEASUREMENTS AND MAIN RESULTS:Sedation intensity was assessed using a Sedation Index, calculated as the sum of negative Richmond Agitation Sedation Scale measurements divided by the total number of assessments. We used multivariable Cox proportional hazard models to adjust for relevant covariates. We performed subgroup and sensitivity analysis accounting for immortal time bias using the same variables within 120 and 168 hours. The main outcome was 180-day survival. We assessed 703 patients in 42 ICUs with a mean (SD) Acute Physiology and Chronic Health Evaluation II score of 22.2 (8.5) with 180-day mortality of 32.3% (227). The median (interquartile range) ventilation time was 4.54 days (2.47-8.43 d). Delirium occurred in 273 (38.8%) of patients. Sedation intensity, in an escalating dose-dependent relationship, independently predicted increased risk of death (hazard ratio [95% CI], 1.29 [1.15-1.46]; p &lt; 0.001, delirium hazard ratio [95% CI], 1.25 [1.10-1.43]), p value equals to 0.001 and reduced chance of early extubation hazard ratio (95% CI) 0.80 (0.73-0.87), p value of less than 0.001. Agitation level independently predicted subsequent delirium hazard ratio [95% CI], of 1.25 (1.04-1.49), p value equals to 0.02. Delirium or mobilization episodes within 168 hours, adjusted for sedation intensity, were not associated with survival.</w:t>
      </w:r>
    </w:p>
    <w:p/>
    <w:p>
      <w:pPr>
        <w:pStyle w:val="Normal"/>
      </w:pPr>
      <w:r>
        <w:rPr>
          <w:color w:val="323232"/>
        </w:rPr>
        <w:t xml:space="preserve">CONCLUSIONS:Sedation intensity independently, in an ascending relationship, predicted increased risk of death, delirium, and delayed time to extubation. These observations suggest that keeping sedation level equivalent to a Richmond Agitation Sedation Scale 0 is a clinically desirable goal.</w:t>
      </w:r>
    </w:p>
    <w:p/>
    <w:p>
      <w:pPr>
        <w:pStyle w:val="Normal"/>
      </w:pPr>
      <w:r>
        <w:rPr>
          <w:color w:val="323232"/>
        </w:rPr>
        <w:t xml:space="preserve">Critical Care Medicine, 2018 vol. 46 (6) pp. 850-859.</w:t>
      </w:r>
    </w:p>
    <w:p>
      <w:r>
        <w:rPr>
          <w:rStyle w:val="Hyperlink"/>
        </w:rPr>
        <w:fldChar w:fldCharType="begin"/>
      </w:r>
      <w:r>
        <w:rPr>
          <w:rStyle w:val="Hyperlink"/>
        </w:rPr>
        <w:instrText xml:space="preserve"> HYPERLINK "http://eutils.ncbi.nlm.nih.gov/entrez/eutils/elink.fcgi?dbfrom=pubmed&amp;id=29498938&amp;retmode=ref&amp;cmd=prlinks"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http://eutils.ncbi.nlm.nih.gov/entrez/eutils/elink.fcgi?dbfrom=pubmed&amp;id=29498938&amp;retmode=ref&amp;cmd=prlinks</w:t>
      </w:r>
      <w:r>
        <w:rPr>
          <w:rStyle w:val="Hyperlink"/>
        </w:rPr>
        <w:fldChar w:fldCharType="end"/>
      </w:r>
    </w:p>
    <w:p>
      <w:pPr>
        <w:pStyle w:val="Normal"/>
      </w:pPr>
      <w:r>
        <w:rPr>
          <w:color w:val="323232"/>
        </w:rPr>
        <w:t xml:space="preserve">————————</w:t>
      </w:r>
    </w:p>
    <w:p>
      <w:pPr>
        <w:pStyle w:val="Heading4"/>
      </w:pPr>
      <w:r>
        <w:t xml:space="preserve">The Impact of Acute Organ Dysfunction on Long-Term Survival in Sepsis.</w:t>
      </w:r>
    </w:p>
    <w:p/>
    <w:p>
      <w:pPr>
        <w:pStyle w:val="Normal"/>
      </w:pPr>
      <w:r>
        <w:rPr>
          <w:color w:val="323232"/>
        </w:rPr>
        <w:t xml:space="preserve">Alejandro Schuler, David A Wulf, Yun Lu, Theodore J Iwashyna, Gabriel J Escobar, Nigam H Shah, and Vincent X Liu.</w:t>
      </w:r>
    </w:p>
    <w:p/>
    <w:p>
      <w:pPr>
        <w:pStyle w:val="Normal"/>
      </w:pPr>
      <w:r>
        <w:rPr>
          <w:color w:val="323232"/>
        </w:rPr>
        <w:t xml:space="preserve">OBJECTIVES:To estimate the impact of each of six types of acute organ dysfunction (hepatic, renal, coagulation, neurologic, cardiac, and respiratory) on long-term mortality after surviving sepsis hospitalization.</w:t>
      </w:r>
    </w:p>
    <w:p/>
    <w:p>
      <w:pPr>
        <w:pStyle w:val="Normal"/>
      </w:pPr>
      <w:r>
        <w:rPr>
          <w:color w:val="323232"/>
        </w:rPr>
        <w:t xml:space="preserve">DESIGN:Multicenter, retrospective study.</w:t>
      </w:r>
    </w:p>
    <w:p/>
    <w:p>
      <w:pPr>
        <w:pStyle w:val="Normal"/>
      </w:pPr>
      <w:r>
        <w:rPr>
          <w:color w:val="323232"/>
        </w:rPr>
        <w:t xml:space="preserve">SETTINGS:Twenty-one hospitals within an integrated healthcare delivery system in Northern California.</w:t>
      </w:r>
    </w:p>
    <w:p/>
    <w:p>
      <w:pPr>
        <w:pStyle w:val="Normal"/>
      </w:pPr>
      <w:r>
        <w:rPr>
          <w:color w:val="323232"/>
        </w:rPr>
        <w:t xml:space="preserve">PATIENTS:Thirty thousand one hundred sixty-three sepsis patients admitted through the emergency department between 2010 and 2013, with mortality follow-up through April 2015.</w:t>
      </w:r>
    </w:p>
    <w:p/>
    <w:p>
      <w:pPr>
        <w:pStyle w:val="Normal"/>
      </w:pPr>
      <w:r>
        <w:rPr>
          <w:color w:val="323232"/>
        </w:rPr>
        <w:t xml:space="preserve">INTERVENTIONS:None.</w:t>
      </w:r>
    </w:p>
    <w:p/>
    <w:p>
      <w:pPr>
        <w:pStyle w:val="Normal"/>
      </w:pPr>
      <w:r>
        <w:rPr>
          <w:color w:val="323232"/>
        </w:rPr>
        <w:t xml:space="preserve">MEASUREMENTS AND MAIN RESULTS:Acute organ dysfunction was quantified using modified Sequential Organ Failure Assessment scores. The main outcome was long-term mortality among sepsis patients who survived hospitalization. The estimates of the impact of each type of acute organ dysfunction on long-term mortality were based on adjusted Cox proportional hazards models. Sensitivity analyses were conducted based on propensity score-matching and adjusted logistic regression. Hospital mortality was 9.4% and mortality was 31.7% at 1 year. Median follow-up time among sepsis survivors was 797 days (interquartile range: 384-1,219 d). Acute neurologic (odds ratio, 1.86; p &lt; 0.001), respiratory (odds ratio, 1.43; p &lt; 0.001), and cardiac (odds ratio, 1.31; p &lt; 0.001) dysfunction were most strongly associated with short-term hospital mortality, compared with sepsis patients without these organ dysfunctions. Evaluating only patients surviving their sepsis hospitalization, acute neurologic dysfunction was also most strongly associated with long-term mortality (odds ratio, 1.52; p &lt; 0.001) corresponding to a marginal increase in predicted 1-year mortality of 6.0% for the presence of any neurologic dysfunction (p &lt; 0.001). Liver dysfunction was also associated with long-term mortality in all models, whereas the association for other organ dysfunction subtypes was inconsistent between models.</w:t>
      </w:r>
    </w:p>
    <w:p/>
    <w:p>
      <w:pPr>
        <w:pStyle w:val="Normal"/>
      </w:pPr>
      <w:r>
        <w:rPr>
          <w:color w:val="323232"/>
        </w:rPr>
        <w:t xml:space="preserve">CONCLUSIONS:Acute sepsis-related neurologic dysfunction was the organ dysfunction most strongly associated with short- and long-term mortality and represents a key mediator of long-term adverse outcomes following sepsis.</w:t>
      </w:r>
    </w:p>
    <w:p/>
    <w:p>
      <w:pPr>
        <w:pStyle w:val="Normal"/>
      </w:pPr>
      <w:r>
        <w:rPr>
          <w:color w:val="323232"/>
        </w:rPr>
        <w:t xml:space="preserve">Critical Care Medicine, 2018 vol. 46 (6) pp. 843-849.</w:t>
      </w:r>
    </w:p>
    <w:p>
      <w:r>
        <w:rPr>
          <w:rStyle w:val="Hyperlink"/>
        </w:rPr>
        <w:fldChar w:fldCharType="begin"/>
      </w:r>
      <w:r>
        <w:rPr>
          <w:rStyle w:val="Hyperlink"/>
        </w:rPr>
        <w:instrText xml:space="preserve"> HYPERLINK "http://eutils.ncbi.nlm.nih.gov/entrez/eutils/elink.fcgi?dbfrom=pubmed&amp;id=29432349&amp;retmode=ref&amp;cmd=prlinks"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http://eutils.ncbi.nlm.nih.gov/entrez/eutils/elink.fcgi?dbfrom=pubmed&amp;id=29432349&amp;retmode=ref&amp;cmd=prlinks</w:t>
      </w:r>
      <w:r>
        <w:rPr>
          <w:rStyle w:val="Hyperlink"/>
        </w:rPr>
        <w:fldChar w:fldCharType="end"/>
      </w:r>
    </w:p>
    <w:p>
      <w:pPr>
        <w:pStyle w:val="Normal"/>
      </w:pPr>
      <w:r>
        <w:rPr>
          <w:color w:val="323232"/>
        </w:rPr>
        <w:t xml:space="preserve">————————</w:t>
      </w:r>
    </w:p>
    <w:p>
      <w:pPr>
        <w:pStyle w:val="Heading4"/>
      </w:pPr>
      <w:r>
        <w:t xml:space="preserve">Clinical Outcomes and Mortality Impact of Hyperbaric Oxygen Therapy in Patients With Carbon Monoxide Poisoning.</w:t>
      </w:r>
    </w:p>
    <w:p/>
    <w:p>
      <w:pPr>
        <w:pStyle w:val="Normal"/>
      </w:pPr>
      <w:r>
        <w:rPr>
          <w:color w:val="323232"/>
        </w:rPr>
        <w:t xml:space="preserve">Jason J Rose, Mehdi Nouraie, Marc C Gauthier, Anthony F Pizon, Melissa I Saul, Michael P Donahoe, and Mark T Gladwin.</w:t>
      </w:r>
    </w:p>
    <w:p/>
    <w:p>
      <w:pPr>
        <w:pStyle w:val="Normal"/>
      </w:pPr>
      <w:r>
        <w:rPr>
          <w:color w:val="323232"/>
        </w:rPr>
        <w:t xml:space="preserve">OBJECTIVES:Carbon monoxide poisoning affects 50,000 per year in the United States alone. Mortality is approximately 3%, and up to 40% of survivors suffer from permanent neurocognitive and affective deficits. Hyperbaric oxygen therapy has shown benefit on reducing the long-term neurologic sequelae of carbon monoxide poisoning but has not demonstrated improved survival. The objective of this study is to assess the efficacy of hyperbaric oxygen for acute and long-term mortality in carbon monoxide poisoning using a large clinical databank.</w:t>
      </w:r>
    </w:p>
    <w:p/>
    <w:p>
      <w:pPr>
        <w:pStyle w:val="Normal"/>
      </w:pPr>
      <w:r>
        <w:rPr>
          <w:color w:val="323232"/>
        </w:rPr>
        <w:t xml:space="preserve">DESIGN:Retrospective analysis.</w:t>
      </w:r>
    </w:p>
    <w:p/>
    <w:p>
      <w:pPr>
        <w:pStyle w:val="Normal"/>
      </w:pPr>
      <w:r>
        <w:rPr>
          <w:color w:val="323232"/>
        </w:rPr>
        <w:t xml:space="preserve">SETTING:University of Pittsburgh Medical Center healthcare system (Pittsburgh, PA).</w:t>
      </w:r>
    </w:p>
    <w:p/>
    <w:p>
      <w:pPr>
        <w:pStyle w:val="Normal"/>
      </w:pPr>
      <w:r>
        <w:rPr>
          <w:color w:val="323232"/>
        </w:rPr>
        <w:t xml:space="preserve">PATIENTS:One-thousand ninety-nine unique encounters of adult patients with carbon monoxide poisoning.</w:t>
      </w:r>
    </w:p>
    <w:p/>
    <w:p>
      <w:pPr>
        <w:pStyle w:val="Normal"/>
      </w:pPr>
      <w:r>
        <w:rPr>
          <w:color w:val="323232"/>
        </w:rPr>
        <w:t xml:space="preserve">INTERVENTIONS:None.</w:t>
      </w:r>
    </w:p>
    <w:p/>
    <w:p>
      <w:pPr>
        <w:pStyle w:val="Normal"/>
      </w:pPr>
      <w:r>
        <w:rPr>
          <w:color w:val="323232"/>
        </w:rPr>
        <w:t xml:space="preserve">MEASUREMENTS AND MAIN RESULTS:Baseline demographics, laboratory values, hospital charge transactions, discharge disposition, and clinical information from charting were obtained from the electronic medical record. In propensity-adjusted analysis, hyperbaric oxygen therapy was associated with a reduction in inpatient mortality (absolute risk reduction, 2.1% [3.7-0.9%]; p = 0.001) and a reduction in 1-year mortality (absolute risk reduction, 2.1% [3.8-0.4%]; p = 0.013).</w:t>
      </w:r>
    </w:p>
    <w:p/>
    <w:p>
      <w:pPr>
        <w:pStyle w:val="Normal"/>
      </w:pPr>
      <w:r>
        <w:rPr>
          <w:color w:val="323232"/>
        </w:rPr>
        <w:t xml:space="preserve">CONCLUSIONS:These data demonstrate that hyperbaric oxygen is associated with reduced acute and reduced 1-year mortality. Further studies are needed on the mortality effects of hyperbaric oxygen therapy in carbon monoxide poisoning.</w:t>
      </w:r>
    </w:p>
    <w:p/>
    <w:p>
      <w:pPr>
        <w:pStyle w:val="Normal"/>
      </w:pPr>
      <w:r>
        <w:rPr>
          <w:color w:val="323232"/>
        </w:rPr>
        <w:t xml:space="preserve">Critical Care Medicine, 2018 vol. 46 (7) pp. e649-e655.</w:t>
      </w:r>
    </w:p>
    <w:p>
      <w:r>
        <w:rPr>
          <w:rStyle w:val="Hyperlink"/>
        </w:rPr>
        <w:fldChar w:fldCharType="begin"/>
      </w:r>
      <w:r>
        <w:rPr>
          <w:rStyle w:val="Hyperlink"/>
        </w:rPr>
        <w:instrText xml:space="preserve"> HYPERLINK "http://eutils.ncbi.nlm.nih.gov/entrez/eutils/elink.fcgi?dbfrom=pubmed&amp;id=29629990&amp;retmode=ref&amp;cmd=prlinks"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http://eutils.ncbi.nlm.nih.gov/entrez/eutils/elink.fcgi?dbfrom=pubmed&amp;id=29629990&amp;retmode=ref&amp;cmd=prlinks</w:t>
      </w:r>
      <w:r>
        <w:rPr>
          <w:rStyle w:val="Hyperlink"/>
        </w:rPr>
        <w:fldChar w:fldCharType="end"/>
      </w:r>
    </w:p>
    <w:p>
      <w:pPr>
        <w:pStyle w:val="Normal"/>
      </w:pPr>
      <w:r>
        <w:rPr>
          <w:color w:val="323232"/>
        </w:rPr>
        <w:t xml:space="preserve">————————</w:t>
      </w:r>
    </w:p>
    <w:p>
      <w:pPr>
        <w:pStyle w:val="Heading4"/>
      </w:pPr>
      <w:r>
        <w:t xml:space="preserve">Combined Biomarkers Predict Acute Mortality Among Critically Ill Patients With Suspected Sepsis.</w:t>
      </w:r>
    </w:p>
    <w:p/>
    <w:p>
      <w:pPr>
        <w:pStyle w:val="Normal"/>
      </w:pPr>
      <w:r>
        <w:rPr>
          <w:color w:val="323232"/>
        </w:rPr>
        <w:t xml:space="preserve">Brendan J Kelly, Ebbing Lautenbach, Irving Nachamkin, Susan E Coffin, Jeffrey S Gerber, Barry D Fuchs, Charles Garrigan, Xiaoyan Han, Warren B Bilker, Jacqueleen Wise, Pam Tolomeo, Jennifer H Han, and Centers for Disease Control and Prevention (CDC) Prevention Epicenters Program.</w:t>
      </w:r>
    </w:p>
    <w:p/>
    <w:p>
      <w:pPr>
        <w:pStyle w:val="Normal"/>
      </w:pPr>
      <w:r>
        <w:rPr>
          <w:color w:val="323232"/>
        </w:rPr>
        <w:t xml:space="preserve">OBJECTIVES:Sepsis is associated with high early and total in-hospital mortality. Despite recent revisions in the diagnostic criteria for sepsis that sought to improve predictive validity for mortality, it remains difficult to identify patients at greatest risk of death. We compared the utility of nine biomarkers to predict mortality in subjects with clinically suspected bacterial sepsis.</w:t>
      </w:r>
    </w:p>
    <w:p/>
    <w:p>
      <w:pPr>
        <w:pStyle w:val="Normal"/>
      </w:pPr>
      <w:r>
        <w:rPr>
          <w:color w:val="323232"/>
        </w:rPr>
        <w:t xml:space="preserve">DESIGN:Cohort study.</w:t>
      </w:r>
    </w:p>
    <w:p/>
    <w:p>
      <w:pPr>
        <w:pStyle w:val="Normal"/>
      </w:pPr>
      <w:r>
        <w:rPr>
          <w:color w:val="323232"/>
        </w:rPr>
        <w:t xml:space="preserve">SETTING:The medical and surgical ICUs at an academic medical center.</w:t>
      </w:r>
    </w:p>
    <w:p/>
    <w:p>
      <w:pPr>
        <w:pStyle w:val="Normal"/>
      </w:pPr>
      <w:r>
        <w:rPr>
          <w:color w:val="323232"/>
        </w:rPr>
        <w:t xml:space="preserve">SUBJECTS:We enrolled 139 subjects who met two or more systemic inflammatory response syndrome (systemic inflammatory response syndrome) criteria and received new broad-spectrum antibacterial therapy.</w:t>
      </w:r>
    </w:p>
    <w:p/>
    <w:p>
      <w:pPr>
        <w:pStyle w:val="Normal"/>
      </w:pPr>
      <w:r>
        <w:rPr>
          <w:color w:val="323232"/>
        </w:rPr>
        <w:t xml:space="preserve">INTERVENTIONS:We assayed nine biomarkers (α-2 macroglobulin, C-reactive protein, ferritin, fibrinogen, haptoglobin, procalcitonin, serum amyloid A, serum amyloid P, and tissue plasminogen activator) at onset of suspected sepsis and 24, 48, and 72 hours thereafter. We compared biomarkers between groups based on both 14-day and total in-hospital mortality and evaluated the predictive validity of single and paired biomarkers via area under the receiver operating characteristic curve.</w:t>
      </w:r>
    </w:p>
    <w:p/>
    <w:p>
      <w:pPr>
        <w:pStyle w:val="Normal"/>
      </w:pPr>
      <w:r>
        <w:rPr>
          <w:color w:val="323232"/>
        </w:rPr>
        <w:t xml:space="preserve">MEASUREMENTS AND MAIN RESULTS:Fourteen-day mortality was 12.9%, and total in-hospital mortality was 29.5%. Serum amyloid P was significantly lower (4/4 timepoints) and tissue plasminogen activator significantly higher (3/4 timepoints) in the 14-day mortality group, and the same pattern held for total in-hospital mortality (Wilcoxon p ≤ 0.046 for all timepoints). Serum amyloid P and tissue plasminogen activator demonstrated the best individual predictive performance for mortality, and combinations of biomarkers including serum amyloid P and tissue plasminogen activator achieved greater predictive performance (area under the receiver operating characteristic curve &gt; 0.76 for 14-d and 0.74 for total mortality).</w:t>
      </w:r>
    </w:p>
    <w:p/>
    <w:p>
      <w:pPr>
        <w:pStyle w:val="Normal"/>
      </w:pPr>
      <w:r>
        <w:rPr>
          <w:color w:val="323232"/>
        </w:rPr>
        <w:t xml:space="preserve">CONCLUSIONS:Combined biomarkers predict risk for 14-day and total mortality among subjects with suspected sepsis. Serum amyloid P and tissue plasminogen activator demonstrated the best discriminatory ability in this cohort.</w:t>
      </w:r>
    </w:p>
    <w:p/>
    <w:p>
      <w:pPr>
        <w:pStyle w:val="Normal"/>
      </w:pPr>
      <w:r>
        <w:rPr>
          <w:color w:val="323232"/>
        </w:rPr>
        <w:t xml:space="preserve">Critical Care Medicine, 2018 vol. 46 (7) pp. 1106-1113.</w:t>
      </w:r>
    </w:p>
    <w:p>
      <w:r>
        <w:rPr>
          <w:rStyle w:val="Hyperlink"/>
        </w:rPr>
        <w:fldChar w:fldCharType="begin"/>
      </w:r>
      <w:r>
        <w:rPr>
          <w:rStyle w:val="Hyperlink"/>
        </w:rPr>
        <w:instrText xml:space="preserve"> HYPERLINK "http://eutils.ncbi.nlm.nih.gov/entrez/eutils/elink.fcgi?dbfrom=pubmed&amp;id=29912095&amp;retmode=ref&amp;cmd=prlinks"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http://eutils.ncbi.nlm.nih.gov/entrez/eutils/elink.fcgi?dbfrom=pubmed&amp;id=29912095&amp;retmode=ref&amp;cmd=prlinks</w:t>
      </w:r>
      <w:r>
        <w:rPr>
          <w:rStyle w:val="Hyperlink"/>
        </w:rPr>
        <w:fldChar w:fldCharType="end"/>
      </w:r>
    </w:p>
    <w:p>
      <w:pPr>
        <w:pStyle w:val="Normal"/>
      </w:pPr>
      <w:r>
        <w:rPr>
          <w:color w:val="323232"/>
        </w:rPr>
        <w:t xml:space="preserve">————————</w:t>
      </w:r>
    </w:p>
    <w:p>
      <w:pPr>
        <w:pStyle w:val="Heading4"/>
      </w:pPr>
      <w:r>
        <w:t xml:space="preserve">Diagnostic Accuracy of Chest Radiograph, and When Concomitantly Studied Lung Ultrasound, in Critically Ill Patients With Respiratory Symptoms: A Systematic Review and Meta-Analysis.</w:t>
      </w:r>
    </w:p>
    <w:p/>
    <w:p>
      <w:pPr>
        <w:pStyle w:val="Normal"/>
      </w:pPr>
      <w:r>
        <w:rPr>
          <w:color w:val="323232"/>
        </w:rPr>
        <w:t xml:space="preserve">Michiel H Winkler, Hugo R Touw, Peter M van de Ven, Jos Twisk, and Pieter R Tuinman.</w:t>
      </w:r>
    </w:p>
    <w:p/>
    <w:p>
      <w:pPr>
        <w:pStyle w:val="Normal"/>
      </w:pPr>
      <w:r>
        <w:rPr>
          <w:color w:val="323232"/>
        </w:rPr>
        <w:t xml:space="preserve">OBJECTIVES:Chest radiograph is considered the first-line diagnostic imaging modality for patients presenting with pulmonary symptoms in the ICU. In this meta-analysis, we aim to evaluate the diagnostic accuracy of chest radiograph, and when concomitantly studied lung ultrasound, in comparison with the gold-standard CT for adult critically ill patients with respiratory symptoms.</w:t>
      </w:r>
    </w:p>
    <w:p/>
    <w:p>
      <w:pPr>
        <w:pStyle w:val="Normal"/>
      </w:pPr>
      <w:r>
        <w:rPr>
          <w:color w:val="323232"/>
        </w:rPr>
        <w:t xml:space="preserve">DATA SOURCES:PubMed, EMBASE, and Gray literature.</w:t>
      </w:r>
    </w:p>
    <w:p/>
    <w:p>
      <w:pPr>
        <w:pStyle w:val="Normal"/>
      </w:pPr>
      <w:r>
        <w:rPr>
          <w:color w:val="323232"/>
        </w:rPr>
        <w:t xml:space="preserve">STUDY SELECTION:Studies comparing chest radiograph, and if performed lung ultrasound, with CT for adult ICU patients with respiratory symptoms.</w:t>
      </w:r>
    </w:p>
    <w:p/>
    <w:p>
      <w:pPr>
        <w:pStyle w:val="Normal"/>
      </w:pPr>
      <w:r>
        <w:rPr>
          <w:color w:val="323232"/>
        </w:rPr>
        <w:t xml:space="preserve">DATA EXTRACTION:Quality was scored with Quality Assessment of Diagnostic Accuracy Studies-2, and study setting, test characteristics, and study design were extracted.</w:t>
      </w:r>
    </w:p>
    <w:p/>
    <w:p>
      <w:pPr>
        <w:pStyle w:val="Normal"/>
      </w:pPr>
      <w:r>
        <w:rPr>
          <w:color w:val="323232"/>
        </w:rPr>
        <w:t xml:space="preserve">DATA SYNTHESIS:In the meta-analysis, we included 10 full-text studies, including 543 patients, and found that chest radiograph has an overall sensitivity of 49% (95% CI, 40-58%) and specificity of 92% (86-95%). In seven studies, where also lung ultrasound was studied, lung ultrasound had an overall sensitivity of 95% (92-96%) and specificity of 94% (90-97%). Substantial heterogeneity was found. A planned subgroup analysis for individual pathologies was performed. The results of four abstract-only studies, included in the systematic review, were considered unlikely to significantly influence results of our meta-analysis. Study limitations were that most studies were of low power combined with methodological limitations.</w:t>
      </w:r>
    </w:p>
    <w:p/>
    <w:p>
      <w:pPr>
        <w:pStyle w:val="Normal"/>
      </w:pPr>
      <w:r>
        <w:rPr>
          <w:color w:val="323232"/>
        </w:rPr>
        <w:t xml:space="preserve">CONCLUSIONS:This meta-analysis demonstrates that chest radiograph has a low sensitivity and reasonable specificity compared with CT for detecting lung pathology in critically ill patients. The studies also investigating lung ultrasound, showed lung ultrasound to be clearly superior to chest radiograph in terms of sensitivity with similar specificity, thereby opting to be the first-line diagnostic tool in these patients.</w:t>
      </w:r>
    </w:p>
    <w:p/>
    <w:p>
      <w:pPr>
        <w:pStyle w:val="Normal"/>
      </w:pPr>
      <w:r>
        <w:rPr>
          <w:color w:val="323232"/>
        </w:rPr>
        <w:t xml:space="preserve">Critical Care Medicine, 2018 vol. 46 (7) pp. e707-e714.</w:t>
      </w:r>
    </w:p>
    <w:p>
      <w:r>
        <w:rPr>
          <w:rStyle w:val="Hyperlink"/>
        </w:rPr>
        <w:fldChar w:fldCharType="begin"/>
      </w:r>
      <w:r>
        <w:rPr>
          <w:rStyle w:val="Hyperlink"/>
        </w:rPr>
        <w:instrText xml:space="preserve"> HYPERLINK "http://eutils.ncbi.nlm.nih.gov/entrez/eutils/elink.fcgi?dbfrom=pubmed&amp;id=29601314&amp;retmode=ref&amp;cmd=prlinks"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http://eutils.ncbi.nlm.nih.gov/entrez/eutils/elink.fcgi?dbfrom=pubmed&amp;id=29601314&amp;retmode=ref&amp;cmd=prlinks</w:t>
      </w:r>
      <w:r>
        <w:rPr>
          <w:rStyle w:val="Hyperlink"/>
        </w:rPr>
        <w:fldChar w:fldCharType="end"/>
      </w:r>
    </w:p>
    <w:p>
      <w:pPr>
        <w:pStyle w:val="Normal"/>
      </w:pPr>
      <w:r>
        <w:rPr>
          <w:color w:val="323232"/>
        </w:rPr>
        <w:t xml:space="preserve">————————</w:t>
      </w:r>
    </w:p>
    <w:p>
      <w:pPr>
        <w:pStyle w:val="Heading4"/>
      </w:pPr>
      <w:r>
        <w:t xml:space="preserve">Early Enteral Nutrition Provided Within 24 Hours of ICU Admission: A Meta-Analysis of Randomized Controlled Trials.</w:t>
      </w:r>
    </w:p>
    <w:p/>
    <w:p>
      <w:pPr>
        <w:pStyle w:val="Normal"/>
      </w:pPr>
      <w:r>
        <w:rPr>
          <w:color w:val="323232"/>
        </w:rPr>
        <w:t xml:space="preserve">Feng Tian, Philippa T Heighes, Matilde J Allingstrup, and Gordon S Doig.</w:t>
      </w:r>
    </w:p>
    <w:p/>
    <w:p>
      <w:pPr>
        <w:pStyle w:val="Normal"/>
      </w:pPr>
      <w:r>
        <w:rPr>
          <w:color w:val="323232"/>
        </w:rPr>
        <w:t xml:space="preserve">OBJECTIVES:To identify, appraise, and synthesize the most current evidence to determine whether early enteral nutrition alters patient outcomes from critical illness.</w:t>
      </w:r>
    </w:p>
    <w:p/>
    <w:p>
      <w:pPr>
        <w:pStyle w:val="Normal"/>
      </w:pPr>
      <w:r>
        <w:rPr>
          <w:color w:val="323232"/>
        </w:rPr>
        <w:t xml:space="preserve">DATA SOURCES:Medline and Embase were searched. The close out date was November 20, 2017.</w:t>
      </w:r>
    </w:p>
    <w:p/>
    <w:p>
      <w:pPr>
        <w:pStyle w:val="Normal"/>
      </w:pPr>
      <w:r>
        <w:rPr>
          <w:color w:val="323232"/>
        </w:rPr>
        <w:t xml:space="preserve">STUDY SELECTION:Early enteral nutrition was defined as a standard formula commenced within 24 hours of ICU admission. Comparators included any form of nutrition support "except" early enteral nutrition. Only randomized controlled trials conducted in adult patients requiring treatment in an ICU were eligible for inclusion.</w:t>
      </w:r>
    </w:p>
    <w:p/>
    <w:p>
      <w:pPr>
        <w:pStyle w:val="Normal"/>
      </w:pPr>
      <w:r>
        <w:rPr>
          <w:color w:val="323232"/>
        </w:rPr>
        <w:t xml:space="preserve">DATA EXTRACTION:The primary outcome was mortality. Secondary outcomes included pneumonia, duration of mechanical ventilation, and ICU and hospital stay.</w:t>
      </w:r>
    </w:p>
    <w:p/>
    <w:p>
      <w:pPr>
        <w:pStyle w:val="Normal"/>
      </w:pPr>
      <w:r>
        <w:rPr>
          <w:color w:val="323232"/>
        </w:rPr>
        <w:t xml:space="preserve">DATA SYNTHESIS:Six-hundred ninety-nine full-text articles were retrieved and screened. Sixteen randomized controlled trials enrolling 3,225 critically ill participants were included. Compared with all other types of nutrition support, commencing enteral nutrition within 24 hours of ICU admission did not result in a reduction in mortality (odds ratio, 1.01; 95% CI, 0.86-1.18; p = 0.91; I = 32%). However, there was a differential treatment effect between a priori identified subgroups (p = 0.032): early enteral nutrition reduced mortality compared with delayed enteral intake (odds ratio, 0.45; 95% CI, 0.21-0.95; p = 0.038; I = 0%), whereas a mortality difference was not detected between early enteral nutrition and parenteral nutrition (odds ratio, 1.04; 95% CI, 0.89-1.22; p = 0.58; I = 30%). Overall, patients who were randomized to receive early enteral nutrition were less likely to develop pneumonia (odds ratio, 0.75; 95% CI, 0.60-0.94; p = 0.012; I = 48%).</w:t>
      </w:r>
    </w:p>
    <w:p/>
    <w:p>
      <w:pPr>
        <w:pStyle w:val="Normal"/>
      </w:pPr>
      <w:r>
        <w:rPr>
          <w:color w:val="323232"/>
        </w:rPr>
        <w:t xml:space="preserve">CONCLUSIONS:Overall, there was no difference between early enteral nutrition and all other forms of nutrition support. A priori planned subgroup analysis revealed early enteral nutrition reduced mortality and pneumonia compared with delayed enteral intake; however, there were no clear clinical advantages of early enteral nutrition over parenteral nutrition.</w:t>
      </w:r>
    </w:p>
    <w:p/>
    <w:p>
      <w:pPr>
        <w:pStyle w:val="Normal"/>
      </w:pPr>
      <w:r>
        <w:rPr>
          <w:color w:val="323232"/>
        </w:rPr>
        <w:t xml:space="preserve">Critical Care Medicine, 2018 vol. 46 (7) pp. 1049-1056.</w:t>
      </w:r>
    </w:p>
    <w:p>
      <w:r>
        <w:rPr>
          <w:rStyle w:val="Hyperlink"/>
        </w:rPr>
        <w:fldChar w:fldCharType="begin"/>
      </w:r>
      <w:r>
        <w:rPr>
          <w:rStyle w:val="Hyperlink"/>
        </w:rPr>
        <w:instrText xml:space="preserve"> HYPERLINK "http://eutils.ncbi.nlm.nih.gov/entrez/eutils/elink.fcgi?dbfrom=pubmed&amp;id=29629984&amp;retmode=ref&amp;cmd=prlinks"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http://eutils.ncbi.nlm.nih.gov/entrez/eutils/elink.fcgi?dbfrom=pubmed&amp;id=29629984&amp;retmode=ref&amp;cmd=prlinks</w:t>
      </w:r>
      <w:r>
        <w:rPr>
          <w:rStyle w:val="Hyperlink"/>
        </w:rPr>
        <w:fldChar w:fldCharType="end"/>
      </w:r>
    </w:p>
    <w:p>
      <w:pPr>
        <w:pStyle w:val="Normal"/>
      </w:pPr>
      <w:r>
        <w:rPr>
          <w:color w:val="323232"/>
        </w:rPr>
        <w:t xml:space="preserve">————————</w:t>
      </w:r>
    </w:p>
    <w:p>
      <w:pPr>
        <w:pStyle w:val="Heading4"/>
      </w:pPr>
      <w:r>
        <w:t xml:space="preserve">Effect of Administration of Ramelteon, a Melatonin Receptor Agonist, on the Duration of Stay in the ICU: A Single-Center Randomized Placebo-Controlled Trial.</w:t>
      </w:r>
    </w:p>
    <w:p/>
    <w:p>
      <w:pPr>
        <w:pStyle w:val="Normal"/>
      </w:pPr>
      <w:r>
        <w:rPr>
          <w:color w:val="323232"/>
        </w:rPr>
        <w:t xml:space="preserve">Mitsuaki Nishikimi, Atsushi Numaguchi, Kunihiko Takahashi, Yasuhiro Miyagawa, Kota Matsui, Michiko Higashi, Go Makishi, Shigeyuki Matsui, and Naoyuki Matsuda.</w:t>
      </w:r>
    </w:p>
    <w:p/>
    <w:p>
      <w:pPr>
        <w:pStyle w:val="Normal"/>
      </w:pPr>
      <w:r>
        <w:rPr>
          <w:color w:val="323232"/>
        </w:rPr>
        <w:t xml:space="preserve">OBJECTIVES:Occurrence of delirium in the ICU is associated with a longer stay in the ICU. To examine whether the use of ramelteon, a melatonin agonist, can prevent delirium and shorten the duration of ICU stay of critically ill patients.</w:t>
      </w:r>
    </w:p>
    <w:p/>
    <w:p>
      <w:pPr>
        <w:pStyle w:val="Normal"/>
      </w:pPr>
      <w:r>
        <w:rPr>
          <w:color w:val="323232"/>
        </w:rPr>
        <w:t xml:space="preserve">DESIGN:A single-center, triple-blinded, randomized placebo-controlled trial.</w:t>
      </w:r>
    </w:p>
    <w:p/>
    <w:p>
      <w:pPr>
        <w:pStyle w:val="Normal"/>
      </w:pPr>
      <w:r>
        <w:rPr>
          <w:color w:val="323232"/>
        </w:rPr>
        <w:t xml:space="preserve">SETTING:ICU of an academic hospital.</w:t>
      </w:r>
    </w:p>
    <w:p/>
    <w:p>
      <w:pPr>
        <w:pStyle w:val="Normal"/>
      </w:pPr>
      <w:r>
        <w:rPr>
          <w:color w:val="323232"/>
        </w:rPr>
        <w:t xml:space="preserve">PATIENTS:Eligible patients were ICU patients who could take medicines orally or through a nasogastric tube during the first 48 hours of admission.</w:t>
      </w:r>
    </w:p>
    <w:p/>
    <w:p>
      <w:pPr>
        <w:pStyle w:val="Normal"/>
      </w:pPr>
      <w:r>
        <w:rPr>
          <w:color w:val="323232"/>
        </w:rPr>
        <w:t xml:space="preserve">INTERVENTIONS:The intervention group received ramelteon (8</w:t>
      </w:r>
      <w:r>
        <w:rPr>
          <w:color w:val="323232"/>
        </w:rPr>
        <w:t xml:space="preserve"> </w:t>
      </w:r>
      <w:r>
        <w:rPr>
          <w:color w:val="323232"/>
        </w:rPr>
        <w:t xml:space="preserve">mg</w:t>
      </w:r>
      <w:r>
        <w:rPr>
          <w:i w:val="1"/>
          <w:color w:val="323232"/>
        </w:rPr>
        <w:t xml:space="preserve">d), and the control group received placebo (1</w:t>
      </w:r>
      <w:r>
        <w:rPr>
          <w:color w:val="323232"/>
        </w:rPr>
        <w:t xml:space="preserve"> </w:t>
      </w:r>
      <w:r>
        <w:rPr>
          <w:i w:val="1"/>
          <w:color w:val="323232"/>
        </w:rPr>
        <w:t xml:space="preserve">g</w:t>
      </w:r>
      <w:r>
        <w:rPr>
          <w:color w:val="323232"/>
        </w:rPr>
        <w:t xml:space="preserve">d of lactose powder) at 20:00 hours every day until discharge from the ICU.</w:t>
      </w:r>
    </w:p>
    <w:p/>
    <w:p>
      <w:pPr>
        <w:pStyle w:val="Normal"/>
      </w:pPr>
      <w:r>
        <w:rPr>
          <w:color w:val="323232"/>
        </w:rPr>
        <w:t xml:space="preserve">MEASUREMENTS AND MAIN RESULTS:A total of 88 subjects were randomized to the ramelteon group (45 subjects) or the placebo group (43 subjects). As the primary endpoint, there was a trend toward decrease in the duration of ICU stay (4.56 d) in the ramelteon group compared with the placebo group (5.86 d) (p = 0.082 and p = 0.028 before and after adjustments). As the secondary endpoints, statistically significant decreases in the occurrence rate (24.4% vs 46.5%; p = 0.044) and duration (0.78 vs 1.40 d; p = 0.048) of delirium were observed in the ramelteon group. The nonintubated patients of the ramelteon group showed statistically significantly fewer awakenings per night and a higher proportion of nights without awakenings.</w:t>
      </w:r>
    </w:p>
    <w:p/>
    <w:p>
      <w:pPr>
        <w:pStyle w:val="Normal"/>
      </w:pPr>
      <w:r>
        <w:rPr>
          <w:color w:val="323232"/>
        </w:rPr>
        <w:t xml:space="preserve">CONCLUSIONS:Ramelteon tended to decrease the duration of ICU stay as well as decreased the occurrence rate and duration of delirium statistically significantly.</w:t>
      </w:r>
    </w:p>
    <w:p/>
    <w:p>
      <w:pPr>
        <w:pStyle w:val="Normal"/>
      </w:pPr>
      <w:r>
        <w:rPr>
          <w:color w:val="323232"/>
        </w:rPr>
        <w:t xml:space="preserve">Critical Care Medicine, 2018 vol. 46 (7) pp. 1099-1105.</w:t>
      </w:r>
    </w:p>
    <w:p>
      <w:r>
        <w:rPr>
          <w:rStyle w:val="Hyperlink"/>
        </w:rPr>
        <w:fldChar w:fldCharType="begin"/>
      </w:r>
      <w:r>
        <w:rPr>
          <w:rStyle w:val="Hyperlink"/>
        </w:rPr>
        <w:instrText xml:space="preserve"> HYPERLINK "http://eutils.ncbi.nlm.nih.gov/entrez/eutils/elink.fcgi?dbfrom=pubmed&amp;id=29595562&amp;retmode=ref&amp;cmd=prlinks"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http://eutils.ncbi.nlm.nih.gov/entrez/eutils/elink.fcgi?dbfrom=pubmed&amp;id=29595562&amp;retmode=ref&amp;cmd=prlinks</w:t>
      </w:r>
      <w:r>
        <w:rPr>
          <w:rStyle w:val="Hyperlink"/>
        </w:rPr>
        <w:fldChar w:fldCharType="end"/>
      </w:r>
    </w:p>
    <w:p>
      <w:pPr>
        <w:pStyle w:val="Normal"/>
      </w:pPr>
      <w:r>
        <w:rPr>
          <w:color w:val="323232"/>
        </w:rPr>
        <w:t xml:space="preserve">————————</w:t>
      </w:r>
    </w:p>
    <w:p>
      <w:pPr>
        <w:pStyle w:val="Heading4"/>
      </w:pPr>
      <w:r>
        <w:t xml:space="preserve">Evolution of Acute Kidney Injury and Its Association With Systemic Hemodynamics in Children With Fluid-Refractory Septic Shock.</w:t>
      </w:r>
    </w:p>
    <w:p/>
    <w:p>
      <w:pPr>
        <w:pStyle w:val="Normal"/>
      </w:pPr>
      <w:r>
        <w:rPr>
          <w:color w:val="323232"/>
        </w:rPr>
        <w:t xml:space="preserve">Akash Deep, Hiremath Sagar, Chulananda Goonasekera, Palaniswamy Karthikeyan, Joe Brierley, and Abdel Douiri.</w:t>
      </w:r>
    </w:p>
    <w:p/>
    <w:p>
      <w:pPr>
        <w:pStyle w:val="Normal"/>
      </w:pPr>
      <w:r>
        <w:rPr>
          <w:color w:val="323232"/>
        </w:rPr>
        <w:t xml:space="preserve">OBJECTIVES:There are no studies in pediatrics evaluating the progression of acute kidney injury in septic shock. We investigated the evolution of sepsis-associated acute kidney injury and its association with systemic hemodynamics in children with fluid-refractory septic shock.</w:t>
      </w:r>
    </w:p>
    <w:p/>
    <w:p>
      <w:pPr>
        <w:pStyle w:val="Normal"/>
      </w:pPr>
      <w:r>
        <w:rPr>
          <w:color w:val="323232"/>
        </w:rPr>
        <w:t xml:space="preserve">DESIGN:Prospective cohort study.</w:t>
      </w:r>
    </w:p>
    <w:p/>
    <w:p>
      <w:pPr>
        <w:pStyle w:val="Normal"/>
      </w:pPr>
      <w:r>
        <w:rPr>
          <w:color w:val="323232"/>
        </w:rPr>
        <w:t xml:space="preserve">SETTING:PICU of a tertiary care hospital.</w:t>
      </w:r>
    </w:p>
    <w:p/>
    <w:p>
      <w:pPr>
        <w:pStyle w:val="Normal"/>
      </w:pPr>
      <w:r>
        <w:rPr>
          <w:color w:val="323232"/>
        </w:rPr>
        <w:t xml:space="preserve">PATIENTS:All patients with fluid-refractory septic shock (n = 61) between September 2010 and February 2014.</w:t>
      </w:r>
    </w:p>
    <w:p/>
    <w:p>
      <w:pPr>
        <w:pStyle w:val="Normal"/>
      </w:pPr>
      <w:r>
        <w:rPr>
          <w:color w:val="323232"/>
        </w:rPr>
        <w:t xml:space="preserve">INTERVENTIONS:Hemodynamic variables using noninvasive ultrasound cardiac output monitor were measured at admission and 6 hourly thereafter till 48 hours. We used the Kidney Disease: Improving Global Outcomes criteria to define and stage acute kidney injury. Associations between various hemodynamic variables and development of acute kidney injury were evaluated. Severe acute kidney injury was defined as stage 2 or 3 acute kidney injury and was compared with no acute kidney injury or stage 1 acute kidney injury.</w:t>
      </w:r>
    </w:p>
    <w:p/>
    <w:p>
      <w:pPr>
        <w:pStyle w:val="Normal"/>
      </w:pPr>
      <w:r>
        <w:rPr>
          <w:color w:val="323232"/>
        </w:rPr>
        <w:t xml:space="preserve">MEASUREMENTS AND MAIN RESULTS:Severe acute kidney injury developed in 29.5% (n = 18) of the 61 children with fluid-refractory septic shock, whereas 43 patients (70.49%) had either no or stage 1 acute kidney injury. Most patients who developed acute kidney injury did so within the first 48 hours of PICU admission. Severe acute kidney injury conferred a three-fold increased risk of death by day 28 (hazard ratio, 3.23; 95% CI, 1.52-6.67; p = 0.002), longer ICU stay, and increased duration of mechanical ventilation. Central venous pressure at presentation was higher in severe acute kidney injury by 5</w:t>
      </w:r>
      <w:r>
        <w:rPr>
          <w:color w:val="323232"/>
        </w:rPr>
        <w:t xml:space="preserve"> </w:t>
      </w:r>
      <w:r>
        <w:rPr>
          <w:color w:val="323232"/>
        </w:rPr>
        <w:t xml:space="preserve">cm H2O. Highest lactate in the first 24 hours of PICU admission, low diastolic blood pressure, low systemic vascular resistance index at admission were associated with severe acute kidney injury. This model reliably predicted stage 2/3 acute kidney injury by day 3 with area under the curve equals to 94%; 95% CI, 88.3-99.99. None of the other hemodynamic variables showed any association with severe acute kidney injury.</w:t>
      </w:r>
    </w:p>
    <w:p/>
    <w:p>
      <w:pPr>
        <w:pStyle w:val="Normal"/>
      </w:pPr>
      <w:r>
        <w:rPr>
          <w:color w:val="323232"/>
        </w:rPr>
        <w:t xml:space="preserve">CONCLUSIONS:Manifestations of sepsis-associated acute kidney injury often occur early after PICU admission and is associated with increased morbidity and mortality. There is a need to develop a predictive model in septic shock which could facilitate early detection of acute kidney injury.</w:t>
      </w:r>
    </w:p>
    <w:p/>
    <w:p>
      <w:pPr>
        <w:pStyle w:val="Normal"/>
      </w:pPr>
      <w:r>
        <w:rPr>
          <w:color w:val="323232"/>
        </w:rPr>
        <w:t xml:space="preserve">Critical Care Medicine, 2018 vol. 46 (7) pp. e677-e683.</w:t>
      </w:r>
    </w:p>
    <w:p>
      <w:r>
        <w:rPr>
          <w:rStyle w:val="Hyperlink"/>
        </w:rPr>
        <w:fldChar w:fldCharType="begin"/>
      </w:r>
      <w:r>
        <w:rPr>
          <w:rStyle w:val="Hyperlink"/>
        </w:rPr>
        <w:instrText xml:space="preserve"> HYPERLINK "http://eutils.ncbi.nlm.nih.gov/entrez/eutils/elink.fcgi?dbfrom=pubmed&amp;id=29677008&amp;retmode=ref&amp;cmd=prlinks"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http://eutils.ncbi.nlm.nih.gov/entrez/eutils/elink.fcgi?dbfrom=pubmed&amp;id=29677008&amp;retmode=ref&amp;cmd=prlinks</w:t>
      </w:r>
      <w:r>
        <w:rPr>
          <w:rStyle w:val="Hyperlink"/>
        </w:rPr>
        <w:fldChar w:fldCharType="end"/>
      </w:r>
    </w:p>
    <w:p>
      <w:pPr>
        <w:pStyle w:val="Normal"/>
      </w:pPr>
      <w:r>
        <w:rPr>
          <w:color w:val="323232"/>
        </w:rPr>
        <w:t xml:space="preserve">————————</w:t>
      </w:r>
    </w:p>
    <w:p>
      <w:pPr>
        <w:pStyle w:val="Heading4"/>
      </w:pPr>
      <w:r>
        <w:t xml:space="preserve">Feasibility and Safety of Intravascular Temperature Management for Severe Heat Stroke: A Prospective Multicenter Pilot Study.</w:t>
      </w:r>
    </w:p>
    <w:p/>
    <w:p>
      <w:pPr>
        <w:pStyle w:val="Normal"/>
      </w:pPr>
      <w:r>
        <w:rPr>
          <w:color w:val="323232"/>
        </w:rPr>
        <w:t xml:space="preserve">Shoji Yokobori, Yuichi Koido, Hajime Shishido, Toru Hifumi, Kenya Kawakita, Tomoya Okazaki, Shinichirou Shiraishi, Eiji Yamamura, Takashi Kanemura, Takanobu Otaguro, Gaku Matsumoto, Yasuhiro Kuroda, Yasufumi Miyake, Yasutaka Naoe, Kyoko Unemoto, Hiroshi Kato, Kiyoshi Matsuda, Hisashi Matsumoto, and Hiroyuki Yokota.</w:t>
      </w:r>
    </w:p>
    <w:p/>
    <w:p>
      <w:pPr>
        <w:pStyle w:val="Normal"/>
      </w:pPr>
      <w:r>
        <w:rPr>
          <w:color w:val="323232"/>
        </w:rPr>
        <w:t xml:space="preserve">OBJECTIVES:Heat stroke is a life-threatening condition with high mortality and morbidity. Although several cooling methods have been reported, the feasibility and safety of treating heat stroke using intravascular temperature management are unclear. This study evaluated the efficacies of conventional treatment with or without intravascular temperature management for severe heat stroke.</w:t>
      </w:r>
    </w:p>
    <w:p/>
    <w:p>
      <w:pPr>
        <w:pStyle w:val="Normal"/>
      </w:pPr>
      <w:r>
        <w:rPr>
          <w:color w:val="323232"/>
        </w:rPr>
        <w:t xml:space="preserve">DESIGN:Prospective multicenter study.</w:t>
      </w:r>
    </w:p>
    <w:p/>
    <w:p>
      <w:pPr>
        <w:pStyle w:val="Normal"/>
      </w:pPr>
      <w:r>
        <w:rPr>
          <w:color w:val="323232"/>
        </w:rPr>
        <w:t xml:space="preserve">SETTING:Critical care and emergency medical centers at 10 tertiary hospitals.</w:t>
      </w:r>
    </w:p>
    <w:p/>
    <w:p>
      <w:pPr>
        <w:pStyle w:val="Normal"/>
      </w:pPr>
      <w:r>
        <w:rPr>
          <w:color w:val="323232"/>
        </w:rPr>
        <w:t xml:space="preserve">PATIENTS:Patients with severe heat stroke hospitalized during two summers.</w:t>
      </w:r>
    </w:p>
    <w:p/>
    <w:p>
      <w:pPr>
        <w:pStyle w:val="Normal"/>
      </w:pPr>
      <w:r>
        <w:rPr>
          <w:color w:val="323232"/>
        </w:rPr>
        <w:t xml:space="preserve">INTERVENTIONS:Conventional cooling with or without intravascular temperature management.</w:t>
      </w:r>
    </w:p>
    <w:p/>
    <w:p>
      <w:pPr>
        <w:pStyle w:val="Normal"/>
      </w:pPr>
      <w:r>
        <w:rPr>
          <w:color w:val="323232"/>
        </w:rPr>
        <w:t xml:space="preserve">MEASUREMENTS AND MAIN RESULTS:Cooling efficacy, Sequential Organ Failure Assessment score, occurrence rate of serious adverse events, and prognosis based on the modified Rankin Scale and Cerebral Performance Category. Patient outcomes were compared between five centers that were prospectively assigned to perform conventional cooling (control group: eight patients) and five centers that were assigned to perform conventional cooling plus intravascular temperature management (intravascular temperature management group: 13 patients), based on equipment availability. Despite their higher initial temperatures, all patients in the intravascular temperature management group reached the target temperature of 37°C within 24 hours, although only 50% of the patients in the control group reached 37°C (p &lt; 0.01). The intravascular temperature management group also had a significant decrease in the Sequential Organ Failure Assessment score during the first 24 hours after admission (4.0 vs 1.5; p = 0.04). Furthermore, the intravascular temperature management group experienced fewer serious adverse events during their hospitalization, compared with the control group. The percentages of favorable outcomes at discharge and 30 days after admission were not statistically significant.</w:t>
      </w:r>
    </w:p>
    <w:p/>
    <w:p>
      <w:pPr>
        <w:pStyle w:val="Normal"/>
      </w:pPr>
      <w:r>
        <w:rPr>
          <w:color w:val="323232"/>
        </w:rPr>
        <w:t xml:space="preserve">CONCLUSIONS:The combination of intravascular temperature management and conventional cooling was safe and feasible for treating severe heat stroke. The results indicate that better temperature management may help prevent organ failure. A large randomized controlled trial is needed to validate our findings.</w:t>
      </w:r>
    </w:p>
    <w:p/>
    <w:p>
      <w:pPr>
        <w:pStyle w:val="Normal"/>
      </w:pPr>
      <w:r>
        <w:rPr>
          <w:color w:val="323232"/>
        </w:rPr>
        <w:t xml:space="preserve">Critical Care Medicine, 2018 vol. 46 (7) pp. e670-e676.</w:t>
      </w:r>
    </w:p>
    <w:p>
      <w:r>
        <w:rPr>
          <w:rStyle w:val="Hyperlink"/>
        </w:rPr>
        <w:fldChar w:fldCharType="begin"/>
      </w:r>
      <w:r>
        <w:rPr>
          <w:rStyle w:val="Hyperlink"/>
        </w:rPr>
        <w:instrText xml:space="preserve"> HYPERLINK "http://eutils.ncbi.nlm.nih.gov/entrez/eutils/elink.fcgi?dbfrom=pubmed&amp;id=29624537&amp;retmode=ref&amp;cmd=prlinks"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http://eutils.ncbi.nlm.nih.gov/entrez/eutils/elink.fcgi?dbfrom=pubmed&amp;id=29624537&amp;retmode=ref&amp;cmd=prlinks</w:t>
      </w:r>
      <w:r>
        <w:rPr>
          <w:rStyle w:val="Hyperlink"/>
        </w:rPr>
        <w:fldChar w:fldCharType="end"/>
      </w:r>
    </w:p>
    <w:p>
      <w:pPr>
        <w:pStyle w:val="Normal"/>
      </w:pPr>
      <w:r>
        <w:rPr>
          <w:color w:val="323232"/>
        </w:rPr>
        <w:t xml:space="preserve">————————</w:t>
      </w:r>
    </w:p>
    <w:p>
      <w:pPr>
        <w:pStyle w:val="Heading4"/>
      </w:pPr>
      <w:r>
        <w:t xml:space="preserve">Increased Heat Generation in Postcardiac Arrest Patients During Targeted Temperature Management Is Associated With Better Outcomes.</w:t>
      </w:r>
    </w:p>
    <w:p/>
    <w:p>
      <w:pPr>
        <w:pStyle w:val="Normal"/>
      </w:pPr>
      <w:r>
        <w:rPr>
          <w:color w:val="323232"/>
        </w:rPr>
        <w:t xml:space="preserve">Amy J Uber, Sarah M Perman, Michael N Cocchi, Parth V Patel, Sarah E Ganley, Jocelyn M Portmann, Michael W Donnino, and Anne V Grossestreuer.</w:t>
      </w:r>
    </w:p>
    <w:p/>
    <w:p>
      <w:pPr>
        <w:pStyle w:val="Normal"/>
      </w:pPr>
      <w:r>
        <w:rPr>
          <w:color w:val="323232"/>
        </w:rPr>
        <w:t xml:space="preserve">OBJECTIVES:Assess if amount of heat generated by postcardiac arrest patients to reach target temperature (Ttarget) during targeted temperature management is associated with outcomes by serving as a proxy for thermoregulatory ability, and whether it modifies the relationship between time to Ttarget and outcomes.</w:t>
      </w:r>
    </w:p>
    <w:p/>
    <w:p>
      <w:pPr>
        <w:pStyle w:val="Normal"/>
      </w:pPr>
      <w:r>
        <w:rPr>
          <w:color w:val="323232"/>
        </w:rPr>
        <w:t xml:space="preserve">DESIGN:Retrospective cohort study.</w:t>
      </w:r>
    </w:p>
    <w:p/>
    <w:p>
      <w:pPr>
        <w:pStyle w:val="Normal"/>
      </w:pPr>
      <w:r>
        <w:rPr>
          <w:color w:val="323232"/>
        </w:rPr>
        <w:t xml:space="preserve">SETTING:Urban tertiary-care hospital.</w:t>
      </w:r>
    </w:p>
    <w:p/>
    <w:p>
      <w:pPr>
        <w:pStyle w:val="Normal"/>
      </w:pPr>
      <w:r>
        <w:rPr>
          <w:color w:val="323232"/>
        </w:rPr>
        <w:t xml:space="preserve">PATIENTS:Successfully resuscitated targeted temperature management-treated adult postarrest patients between 2008 and 2015 with serial temperature data and Ttarget less than or equal to 34°C.</w:t>
      </w:r>
    </w:p>
    <w:p/>
    <w:p>
      <w:pPr>
        <w:pStyle w:val="Normal"/>
      </w:pPr>
      <w:r>
        <w:rPr>
          <w:color w:val="323232"/>
        </w:rPr>
        <w:t xml:space="preserve">INTERVENTIONS:None.</w:t>
      </w:r>
    </w:p>
    <w:p/>
    <w:p>
      <w:pPr>
        <w:pStyle w:val="Normal"/>
      </w:pPr>
      <w:r>
        <w:rPr>
          <w:color w:val="323232"/>
        </w:rPr>
        <w:t xml:space="preserve">MEASUREMENTS AND MAIN RESULTS:Time to Ttarget was defined as time from targeted temperature management initiation to first recorded patient temperature less than or equal to 34°C. Patient heat generation ("heat units") was calculated as inverse of average water temperature × hours between initiation and Ttarget × 100. Primary outcome was neurologic status measured by Cerebral Performance Category score; secondary outcome was survival, both at hospital discharge. Univariate analyses were performed using Wilcoxon rank-sum tests; multivariate analyses used logistic regression. Of 203 patients included, those with Cerebral Performance Category score 3-5 generated less heat before reaching Ttarget (median, 8.1 heat units [interquartile range, 3.6-21.6 heat units] vs median, 20.0 heat units [interquartile range, 9.0-33.5 heat units]; p = 0.001) and reached Ttarget quicker (median, 2.3</w:t>
      </w:r>
      <w:r>
        <w:rPr>
          <w:color w:val="323232"/>
        </w:rPr>
        <w:t xml:space="preserve"> </w:t>
      </w:r>
      <w:r>
        <w:rPr>
          <w:color w:val="323232"/>
        </w:rPr>
        <w:t xml:space="preserve">hr [interquartile range, 1.5-4.0 hr] vs median, 3.6</w:t>
      </w:r>
      <w:r>
        <w:rPr>
          <w:color w:val="323232"/>
        </w:rPr>
        <w:t xml:space="preserve"> </w:t>
      </w:r>
      <w:r>
        <w:rPr>
          <w:color w:val="323232"/>
        </w:rPr>
        <w:t xml:space="preserve">hr [interquartile range, 2.0-5.0 hr]; p = 0.01) than patients with Cerebral Performance Category score 1-2. Nonsurvivors generated less heat than survivors (median, 8.1 heat units [interquartile range, 3.6-20.8 heat units] vs median, 19.0 heat units [interquartile range, 6.5-33.5 heat units]; p = 0.001) and reached Ttarget quicker (median, 2.2</w:t>
      </w:r>
      <w:r>
        <w:rPr>
          <w:color w:val="323232"/>
        </w:rPr>
        <w:t xml:space="preserve"> </w:t>
      </w:r>
      <w:r>
        <w:rPr>
          <w:color w:val="323232"/>
        </w:rPr>
        <w:t xml:space="preserve">hr [interquartile range, 1.5-3.8 hr] vs median, 3.6</w:t>
      </w:r>
      <w:r>
        <w:rPr>
          <w:color w:val="323232"/>
        </w:rPr>
        <w:t xml:space="preserve"> </w:t>
      </w:r>
      <w:r>
        <w:rPr>
          <w:color w:val="323232"/>
        </w:rPr>
        <w:t xml:space="preserve">hr [interquartile range, 2.0-5.0 hr]; p = 0.01). Controlling for average water temperature between initiation and Ttarget, the relationship between outcomes and time to Ttarget was no longer significant. Controlling for location, witnessed arrest, age, initial rhythm, and neuromuscular blockade use, increased heat generation was associated with better neurologic (adjusted odds ratio, 1.01 [95% CI, 1.00-1.03]; p = 0.039) and survival (adjusted odds ratio, 1.01 [95% CI, 1.00-1.03]; p = 0.045) outcomes.</w:t>
      </w:r>
    </w:p>
    <w:p/>
    <w:p>
      <w:pPr>
        <w:pStyle w:val="Normal"/>
      </w:pPr>
      <w:r>
        <w:rPr>
          <w:color w:val="323232"/>
        </w:rPr>
        <w:t xml:space="preserve">CONCLUSIONS:Increased heat generation during targeted temperature management initiation is associated with better outcomes at hospital discharge and may affect the relationship between time to Ttarget and outcomes.</w:t>
      </w:r>
    </w:p>
    <w:p/>
    <w:p>
      <w:pPr>
        <w:pStyle w:val="Normal"/>
      </w:pPr>
      <w:r>
        <w:rPr>
          <w:color w:val="323232"/>
        </w:rPr>
        <w:t xml:space="preserve">Critical Care Medicine, 2018 vol. 46 (7) pp. 1133-1138.</w:t>
      </w:r>
    </w:p>
    <w:p>
      <w:r>
        <w:rPr>
          <w:rStyle w:val="Hyperlink"/>
        </w:rPr>
        <w:fldChar w:fldCharType="begin"/>
      </w:r>
      <w:r>
        <w:rPr>
          <w:rStyle w:val="Hyperlink"/>
        </w:rPr>
        <w:instrText xml:space="preserve"> HYPERLINK "http://eutils.ncbi.nlm.nih.gov/entrez/eutils/elink.fcgi?dbfrom=pubmed&amp;id=29620555&amp;retmode=ref&amp;cmd=prlinks"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http://eutils.ncbi.nlm.nih.gov/entrez/eutils/elink.fcgi?dbfrom=pubmed&amp;id=29620555&amp;retmode=ref&amp;cmd=prlinks</w:t>
      </w:r>
      <w:r>
        <w:rPr>
          <w:rStyle w:val="Hyperlink"/>
        </w:rPr>
        <w:fldChar w:fldCharType="end"/>
      </w:r>
    </w:p>
    <w:p>
      <w:pPr>
        <w:pStyle w:val="Normal"/>
      </w:pPr>
      <w:r>
        <w:rPr>
          <w:color w:val="323232"/>
        </w:rPr>
        <w:t xml:space="preserve">————————</w:t>
      </w:r>
    </w:p>
    <w:p>
      <w:pPr>
        <w:pStyle w:val="Heading4"/>
      </w:pPr>
      <w:r>
        <w:t xml:space="preserve">Cardiac Arrest in Patients Managed for Convulsive Status Epilepticus: Characteristics, Predictors, and Outcome.</w:t>
      </w:r>
    </w:p>
    <w:p/>
    <w:p>
      <w:pPr>
        <w:pStyle w:val="Normal"/>
      </w:pPr>
      <w:r>
        <w:rPr>
          <w:color w:val="323232"/>
        </w:rPr>
        <w:t xml:space="preserve">Stephane Legriel, Edouard Bresson, Nicolas Deye, David Grimaldi, Bertrand Sauneuf, Olivier Lesieur, Jean-Baptiste Lascarrou, Laurent Argaud, Jonathan Chelly, Pascal Beuret, David Schnell, Anne-Laure Chateauneuf, Mathilde Holleville, François Perier, Virginie Lemiale, Cedric Bruel, Pierrick Cronier, Nicolas Pichon, Nicolas Mongardon, Nicolas de-Prost, Florence Dumas, and Alain Cariou.</w:t>
      </w:r>
    </w:p>
    <w:p/>
    <w:p>
      <w:pPr>
        <w:pStyle w:val="Normal"/>
      </w:pPr>
      <w:r>
        <w:rPr>
          <w:color w:val="323232"/>
        </w:rPr>
        <w:t xml:space="preserve">OBJECTIVES:Cardiac arrest is a catastrophic event that may arise during the management of convulsive status epilepticus. We aimed to report the clinical characteristics, outcomes, and early predictors of convulsive status epilepticus-related cardiac arrest.</w:t>
      </w:r>
    </w:p>
    <w:p/>
    <w:p>
      <w:pPr>
        <w:pStyle w:val="Normal"/>
      </w:pPr>
      <w:r>
        <w:rPr>
          <w:color w:val="323232"/>
        </w:rPr>
        <w:t xml:space="preserve">DESIGN:Retrospective multicenter study.</w:t>
      </w:r>
    </w:p>
    <w:p/>
    <w:p>
      <w:pPr>
        <w:pStyle w:val="Normal"/>
      </w:pPr>
      <w:r>
        <w:rPr>
          <w:color w:val="323232"/>
        </w:rPr>
        <w:t xml:space="preserve">SETTING:Seventeen university or university affiliated participating ICUs in France and Belgium.</w:t>
      </w:r>
    </w:p>
    <w:p/>
    <w:p>
      <w:pPr>
        <w:pStyle w:val="Normal"/>
      </w:pPr>
      <w:r>
        <w:rPr>
          <w:color w:val="323232"/>
        </w:rPr>
        <w:t xml:space="preserve">PATIENTS:Consecutive patients admitted to the participating ICUs for management of successfully resuscitated out-of-hospital cardiac arrest complicating the initial management of convulsive status epilepticus between 2000 and 2015. Patients were compared with controls without cardiac arrest identified in a single-center registry of convulsive status epilepticus patients, regarding characteristics, management, and outcome.</w:t>
      </w:r>
    </w:p>
    <w:p/>
    <w:p>
      <w:pPr>
        <w:pStyle w:val="Normal"/>
      </w:pPr>
      <w:r>
        <w:rPr>
          <w:color w:val="323232"/>
        </w:rPr>
        <w:t xml:space="preserve">INTERVENTIONS:None.</w:t>
      </w:r>
    </w:p>
    <w:p/>
    <w:p>
      <w:pPr>
        <w:pStyle w:val="Normal"/>
      </w:pPr>
      <w:r>
        <w:rPr>
          <w:color w:val="323232"/>
        </w:rPr>
        <w:t xml:space="preserve">MEASUREMENTS AND MAIN RESULTS:We included 49 cases with convulsive status epilepticus-cardiac arrest and 235 controls. In the cases, median time from medical team arrival to cardiac arrest was 25 minutes (interquartile range, 5-85</w:t>
      </w:r>
      <w:r>
        <w:rPr>
          <w:color w:val="323232"/>
        </w:rPr>
        <w:t xml:space="preserve"> </w:t>
      </w:r>
      <w:r>
        <w:rPr>
          <w:color w:val="323232"/>
        </w:rPr>
        <w:t xml:space="preserve">min). First recorded rhythm was asystole in 25 patients (51%) and pulseless electrical activity in 13 patients (27%). A significantly larger proportion of patients had a favorable 1-year outcome (Glasgow Outcome Scale score of 5) among controls (90/235; 38%) than among cases (10/49; 21%; p = 0.02). By multivariate analysis, independent predictors of cardiac arrest were pulse oximetry less than 97% on scene (odds ratio, 2.66; 95% CI, 1.03-7.26; p = 0.04), drug poisoning as the cause of convulsive status epilepticus (odds ratio, 4.13; 95% CI, 1.27-13.53; p = 0.02), and complications during early management (odds ratio, 11.98; 95% CI, 4.67-34.69; p &lt; 0.0001). Having at least one comorbidity among cardiac, respiratory, and neurologic (other than epilepsy) conditions predicted absence of cardiac arrest (odds ratio, 0.28; 95% CI, 0.10-0.80; p = 0.02).</w:t>
      </w:r>
    </w:p>
    <w:p/>
    <w:p>
      <w:pPr>
        <w:pStyle w:val="Normal"/>
      </w:pPr>
      <w:r>
        <w:rPr>
          <w:color w:val="323232"/>
        </w:rPr>
        <w:t xml:space="preserve">CONCLUSIONS:In patients managed for convulsive status epilepticus, relative hypoxemia, on-scene management complications, and drug poisoning as the cause of convulsive status epilepticus were strong early predictors of cardiac arrest, suggesting areas for improvement.</w:t>
      </w:r>
    </w:p>
    <w:p/>
    <w:p>
      <w:pPr>
        <w:pStyle w:val="Normal"/>
      </w:pPr>
      <w:r>
        <w:rPr>
          <w:color w:val="323232"/>
        </w:rPr>
        <w:t xml:space="preserve">Critical Care Medicine, 2018 vol. 46 (8) pp. e751-e760.</w:t>
      </w:r>
    </w:p>
    <w:p>
      <w:r>
        <w:rPr>
          <w:rStyle w:val="Hyperlink"/>
        </w:rPr>
        <w:fldChar w:fldCharType="begin"/>
      </w:r>
      <w:r>
        <w:rPr>
          <w:rStyle w:val="Hyperlink"/>
        </w:rPr>
        <w:instrText xml:space="preserve"> HYPERLINK "http://eutils.ncbi.nlm.nih.gov/entrez/eutils/elink.fcgi?dbfrom=pubmed&amp;id=29742585&amp;retmode=ref&amp;cmd=prlinks"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http://eutils.ncbi.nlm.nih.gov/entrez/eutils/elink.fcgi?dbfrom=pubmed&amp;id=29742585&amp;retmode=ref&amp;cmd=prlinks</w:t>
      </w:r>
      <w:r>
        <w:rPr>
          <w:rStyle w:val="Hyperlink"/>
        </w:rPr>
        <w:fldChar w:fldCharType="end"/>
      </w:r>
    </w:p>
    <w:p>
      <w:pPr>
        <w:pStyle w:val="Normal"/>
      </w:pPr>
      <w:r>
        <w:rPr>
          <w:color w:val="323232"/>
        </w:rPr>
        <w:t xml:space="preserve">————————</w:t>
      </w:r>
    </w:p>
    <w:p>
      <w:pPr>
        <w:pStyle w:val="Heading4"/>
      </w:pPr>
      <w:r>
        <w:t xml:space="preserve">Dynamic Contrast-Enhanced Ultrasound Identifies Microcirculatory Alterations in Sepsis-Induced Acute Kidney Injury.</w:t>
      </w:r>
    </w:p>
    <w:p/>
    <w:p>
      <w:pPr>
        <w:pStyle w:val="Normal"/>
      </w:pPr>
      <w:r>
        <w:rPr>
          <w:color w:val="323232"/>
        </w:rPr>
        <w:t xml:space="preserve">Alexandre Lima, Tom van Rooij, Bulent Ergin, Michele Sorelli, Yasin Ince, Patricia A C Specht, Egbert G Mik, Leonardo Bocchi, Klazina Kooiman, Nico de Jong, and Can Ince.</w:t>
      </w:r>
    </w:p>
    <w:p/>
    <w:p>
      <w:pPr>
        <w:pStyle w:val="Normal"/>
      </w:pPr>
      <w:r>
        <w:rPr>
          <w:color w:val="323232"/>
        </w:rPr>
        <w:t xml:space="preserve">OBJECTIVES:We developed quantitative methods to analyze microbubble kinetics based on renal contrast-enhanced ultrasound imaging combined with measurements of sublingual microcirculation on a fixed area to quantify early microvascular alterations in sepsis-induced acute kidney injury.</w:t>
      </w:r>
    </w:p>
    <w:p/>
    <w:p>
      <w:pPr>
        <w:pStyle w:val="Normal"/>
      </w:pPr>
      <w:r>
        <w:rPr>
          <w:color w:val="323232"/>
        </w:rPr>
        <w:t xml:space="preserve">DESIGN:Prospective controlled animal experiment study.</w:t>
      </w:r>
    </w:p>
    <w:p/>
    <w:p>
      <w:pPr>
        <w:pStyle w:val="Normal"/>
      </w:pPr>
      <w:r>
        <w:rPr>
          <w:color w:val="323232"/>
        </w:rPr>
        <w:t xml:space="preserve">SETTING:Hospital-affiliated animal research institution.</w:t>
      </w:r>
    </w:p>
    <w:p/>
    <w:p>
      <w:pPr>
        <w:pStyle w:val="Normal"/>
      </w:pPr>
      <w:r>
        <w:rPr>
          <w:color w:val="323232"/>
        </w:rPr>
        <w:t xml:space="preserve">SUBJECTS:Fifteen female pigs.</w:t>
      </w:r>
    </w:p>
    <w:p/>
    <w:p>
      <w:pPr>
        <w:pStyle w:val="Normal"/>
      </w:pPr>
      <w:r>
        <w:rPr>
          <w:color w:val="323232"/>
        </w:rPr>
        <w:t xml:space="preserve">INTERVENTIONS:The animals were instrumented with a renal artery flow probe after surgically exposing the kidney. Nine animals were given IV infusion of lipopolysaccharide to induce septic shock, and six were used as controls.</w:t>
      </w:r>
    </w:p>
    <w:p/>
    <w:p>
      <w:pPr>
        <w:pStyle w:val="Normal"/>
      </w:pPr>
      <w:r>
        <w:rPr>
          <w:color w:val="323232"/>
        </w:rPr>
        <w:t xml:space="preserve">MEASUREMENTS AND MAIN RESULTS:Contrast-enhanced ultrasound imaging was performed on the kidney before, during, and after having induced shock. Sublingual microcirculation was measured continuously using the Cytocam on the same spot. Contrast-enhanced ultrasound effectively allowed us to develop new analytical methods to measure dynamic variations in renal microvascular perfusion during shock and resuscitation. Renal microvascular hypoperfusion was quantified by decreased peak enhancement and an increased ratio of the final plateau intensity to peak enhancement. Reduced intrarenal blood flow could be estimated by measuring the microbubble transit times between the interlobar arteries and capillary vessels in the renal cortex. Sublingual microcirculation measured using the Cytocam in a fixed area showed decreased functional capillary density associated with plugged sublingual capillary vessels that persisted during and after fluid resuscitation.</w:t>
      </w:r>
    </w:p>
    <w:p/>
    <w:p>
      <w:pPr>
        <w:pStyle w:val="Normal"/>
      </w:pPr>
      <w:r>
        <w:rPr>
          <w:color w:val="323232"/>
        </w:rPr>
        <w:t xml:space="preserve">CONCLUSIONS:In our lipopolysaccharide model, with resuscitation targeted at blood pressure, contrast-enhanced ultrasound imaging can identify renal microvascular alterations by showing prolonged contrast enhancement in microcirculation during shock, worsened by resuscitation with fluids. Concomitant analysis of sublingual microcirculation mirrored those observed in the renal microcirculation.</w:t>
      </w:r>
    </w:p>
    <w:p/>
    <w:p>
      <w:pPr>
        <w:pStyle w:val="Normal"/>
      </w:pPr>
      <w:r>
        <w:rPr>
          <w:color w:val="323232"/>
        </w:rPr>
        <w:t xml:space="preserve">Critical Care Medicine, 2018 vol. 46 (8) pp. 1284-1292.</w:t>
      </w:r>
    </w:p>
    <w:p>
      <w:r>
        <w:rPr>
          <w:rStyle w:val="Hyperlink"/>
        </w:rPr>
        <w:fldChar w:fldCharType="begin"/>
      </w:r>
      <w:r>
        <w:rPr>
          <w:rStyle w:val="Hyperlink"/>
        </w:rPr>
        <w:instrText xml:space="preserve"> HYPERLINK "http://eutils.ncbi.nlm.nih.gov/entrez/eutils/elink.fcgi?dbfrom=pubmed&amp;id=29771701&amp;retmode=ref&amp;cmd=prlinks"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http://eutils.ncbi.nlm.nih.gov/entrez/eutils/elink.fcgi?dbfrom=pubmed&amp;id=29771701&amp;retmode=ref&amp;cmd=prlinks</w:t>
      </w:r>
      <w:r>
        <w:rPr>
          <w:rStyle w:val="Hyperlink"/>
        </w:rPr>
        <w:fldChar w:fldCharType="end"/>
      </w:r>
    </w:p>
    <w:p>
      <w:pPr>
        <w:pStyle w:val="Normal"/>
      </w:pPr>
      <w:r>
        <w:rPr>
          <w:color w:val="323232"/>
        </w:rPr>
        <w:t xml:space="preserve">————————</w:t>
      </w:r>
    </w:p>
    <w:p>
      <w:pPr>
        <w:pStyle w:val="Heading4"/>
      </w:pPr>
      <w:r>
        <w:t xml:space="preserve">Near-Continuous Glucose Monitoring Makes Glycemic Control Safer in ICU Patients.</w:t>
      </w:r>
    </w:p>
    <w:p/>
    <w:p>
      <w:pPr>
        <w:pStyle w:val="Normal"/>
      </w:pPr>
      <w:r>
        <w:rPr>
          <w:color w:val="323232"/>
        </w:rPr>
        <w:t xml:space="preserve">Jean-Charles Preiser, Olivier Lheureux, Aurelie Thooft, Serge Brimioulle, Jacques Goldstein, and Jean-Louis Vincent.</w:t>
      </w:r>
    </w:p>
    <w:p/>
    <w:p>
      <w:pPr>
        <w:pStyle w:val="Normal"/>
      </w:pPr>
      <w:r>
        <w:rPr>
          <w:color w:val="323232"/>
        </w:rPr>
        <w:t xml:space="preserve">OBJECTIVES:Tight glycemic control using intermittent blood glucose measurements is associated with a risk of hypoglycemia. Glucose concentrations can now be measured near continuously (every 5-15</w:t>
      </w:r>
      <w:r>
        <w:rPr>
          <w:color w:val="323232"/>
        </w:rPr>
        <w:t xml:space="preserve"> </w:t>
      </w:r>
      <w:r>
        <w:rPr>
          <w:color w:val="323232"/>
        </w:rPr>
        <w:t xml:space="preserve">min). We assessed the quality and safety of glycemic control guided by a near-continuous glucose monitoring system in ICU patients.</w:t>
      </w:r>
    </w:p>
    <w:p/>
    <w:p>
      <w:pPr>
        <w:pStyle w:val="Normal"/>
      </w:pPr>
      <w:r>
        <w:rPr>
          <w:color w:val="323232"/>
        </w:rPr>
        <w:t xml:space="preserve">DESIGN:Prospective, cluster-randomized, crossover study.</w:t>
      </w:r>
    </w:p>
    <w:p/>
    <w:p>
      <w:pPr>
        <w:pStyle w:val="Normal"/>
      </w:pPr>
      <w:r>
        <w:rPr>
          <w:color w:val="323232"/>
        </w:rPr>
        <w:t xml:space="preserve">SETTING:Thirty-five-bed medico-surgical department of intensive care with four separate ICUs.</w:t>
      </w:r>
    </w:p>
    <w:p/>
    <w:p>
      <w:pPr>
        <w:pStyle w:val="Normal"/>
      </w:pPr>
      <w:r>
        <w:rPr>
          <w:color w:val="323232"/>
        </w:rPr>
        <w:t xml:space="preserve">PATIENTS:Adult patients admitted to the department and expected to stay for at least 3 days were considered for inclusion if they had persistent hyperglycemia (blood glucose &gt; 150</w:t>
      </w:r>
      <w:r>
        <w:rPr>
          <w:color w:val="323232"/>
        </w:rPr>
        <w:t xml:space="preserve"> </w:t>
      </w:r>
      <w:r>
        <w:rPr>
          <w:color w:val="323232"/>
        </w:rPr>
        <w:t xml:space="preserve">mg</w:t>
      </w:r>
      <w:r>
        <w:rPr>
          <w:i w:val="1"/>
          <w:color w:val="323232"/>
        </w:rPr>
        <w:t xml:space="preserve">dL) up to 6 hours after admission and</w:t>
      </w:r>
      <w:r>
        <w:rPr>
          <w:color w:val="323232"/>
        </w:rPr>
        <w:t xml:space="preserve">or were receiving insulin therapy.</w:t>
      </w:r>
    </w:p>
    <w:p/>
    <w:p>
      <w:pPr>
        <w:pStyle w:val="Normal"/>
      </w:pPr>
      <w:r>
        <w:rPr>
          <w:color w:val="323232"/>
        </w:rPr>
        <w:t xml:space="preserve">INTERVENTIONS:A peripheral venous catheter was inserted in all patients and connected to a continuous glucose monitoring sensor (GlucoClear; Edwards Lifesciences, Irvine, CA). The four ICUs were randomized in pairs in a crossover design to glycemic control using unblinded or blinded continuous glucose monitoring monitors. The insulin infusion rate was adjusted to keep blood glucose between 90 and 150</w:t>
      </w:r>
      <w:r>
        <w:rPr>
          <w:color w:val="323232"/>
        </w:rPr>
        <w:t xml:space="preserve"> </w:t>
      </w:r>
      <w:r>
        <w:rPr>
          <w:color w:val="323232"/>
        </w:rPr>
        <w:t xml:space="preserve">mg/dL using the blood glucose values displayed on the continuous glucose monitor (continuous glucose monitoring group-unblinded units) or according to intermittent blood glucose readings (intermittent glucose monitoring group-blinded units).</w:t>
      </w:r>
    </w:p>
    <w:p/>
    <w:p>
      <w:pPr>
        <w:pStyle w:val="Normal"/>
      </w:pPr>
      <w:r>
        <w:rPr>
          <w:color w:val="323232"/>
        </w:rPr>
        <w:t xml:space="preserve">MEASUREMENTS AND MAIN RESULTS:The quality and safety of glycemic control were assessed using the proportion of time in range, the frequency of blood glucose less than 70</w:t>
      </w:r>
      <w:r>
        <w:rPr>
          <w:color w:val="323232"/>
        </w:rPr>
        <w:t xml:space="preserve"> </w:t>
      </w:r>
      <w:r>
        <w:rPr>
          <w:color w:val="323232"/>
        </w:rPr>
        <w:t xml:space="preserve">mg/ dL, and the time spent with blood glucose less than 70</w:t>
      </w:r>
      <w:r>
        <w:rPr>
          <w:color w:val="323232"/>
        </w:rPr>
        <w:t xml:space="preserve"> </w:t>
      </w:r>
      <w:r>
        <w:rPr>
          <w:color w:val="323232"/>
        </w:rPr>
        <w:t xml:space="preserve">mg/ dL (TB70), using blood glucose values measured by the continuous glucose monitoring device. Seventy-seven patients were enrolled: 39 in the continuous glucose monitoring group and 38 in the intermittent glucose monitoring group. A total of 43,107 blood glucose values were recorded. The time in range was similar in the two groups. The incidence of hypoglycemia (8/39 [20.5%] vs 15/38 [39.5%]) and the TB70 (0.4% ± 0.9% vs 1.6% ± 3.4%; p &lt; 0.05) was lower in the continuous glucose monitoring than in the intermittent glucose monitoring group.</w:t>
      </w:r>
    </w:p>
    <w:p/>
    <w:p>
      <w:pPr>
        <w:pStyle w:val="Normal"/>
      </w:pPr>
      <w:r>
        <w:rPr>
          <w:color w:val="323232"/>
        </w:rPr>
        <w:t xml:space="preserve">CONCLUSIONS:Use of a continuous glucose monitoring-based strategy decreased the incidence and severity of hypoglycemia, thus improving the safety of glycemic control.</w:t>
      </w:r>
    </w:p>
    <w:p/>
    <w:p>
      <w:pPr>
        <w:pStyle w:val="Normal"/>
      </w:pPr>
      <w:r>
        <w:rPr>
          <w:color w:val="323232"/>
        </w:rPr>
        <w:t xml:space="preserve">Critical Care Medicine, 2018 vol. 46 (8) pp. 1224-1229.</w:t>
      </w:r>
    </w:p>
    <w:p>
      <w:r>
        <w:rPr>
          <w:rStyle w:val="Hyperlink"/>
        </w:rPr>
        <w:fldChar w:fldCharType="begin"/>
      </w:r>
      <w:r>
        <w:rPr>
          <w:rStyle w:val="Hyperlink"/>
        </w:rPr>
        <w:instrText xml:space="preserve"> HYPERLINK "http://eutils.ncbi.nlm.nih.gov/entrez/eutils/elink.fcgi?dbfrom=pubmed&amp;id=29677007&amp;retmode=ref&amp;cmd=prlinks"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http://eutils.ncbi.nlm.nih.gov/entrez/eutils/elink.fcgi?dbfrom=pubmed&amp;id=29677007&amp;retmode=ref&amp;cmd=prlinks</w:t>
      </w:r>
      <w:r>
        <w:rPr>
          <w:rStyle w:val="Hyperlink"/>
        </w:rPr>
        <w:fldChar w:fldCharType="end"/>
      </w:r>
    </w:p>
    <w:p>
      <w:pPr>
        <w:pStyle w:val="Normal"/>
      </w:pPr>
      <w:r>
        <w:rPr>
          <w:color w:val="323232"/>
        </w:rPr>
        <w:t xml:space="preserve">————————</w:t>
      </w:r>
    </w:p>
    <w:p>
      <w:pPr>
        <w:pStyle w:val="Heading4"/>
      </w:pPr>
      <w:r>
        <w:t xml:space="preserve">Platelet Transfusion Practices in Critically Ill Children.</w:t>
      </w:r>
    </w:p>
    <w:p/>
    <w:p>
      <w:pPr>
        <w:pStyle w:val="Normal"/>
      </w:pPr>
      <w:r>
        <w:rPr>
          <w:color w:val="323232"/>
        </w:rPr>
        <w:t xml:space="preserve">Marianne E Nellis, Oliver Karam, Elizabeth Mauer, Melissa M Cushing, Peter J Davis, Marie E Steiner, Marisa Tucci, Simon J Stanworth, Philip C Spinella, and Pediatric Acute Lung Injury and Sepsis Investigators (PALISI) network, Pediatric Critical Care Blood Research Network (BloodNet), and the P3T Investigators.</w:t>
      </w:r>
    </w:p>
    <w:p/>
    <w:p>
      <w:pPr>
        <w:pStyle w:val="Normal"/>
      </w:pPr>
      <w:r>
        <w:rPr>
          <w:color w:val="323232"/>
        </w:rPr>
        <w:t xml:space="preserve">OBJECTIVES:Little is known about platelet transfusions in pediatric critical illness. We sought to describe the epidemiology, indications, and outcomes of platelet transfusions among critically ill children.</w:t>
      </w:r>
    </w:p>
    <w:p/>
    <w:p>
      <w:pPr>
        <w:pStyle w:val="Normal"/>
      </w:pPr>
      <w:r>
        <w:rPr>
          <w:color w:val="323232"/>
        </w:rPr>
        <w:t xml:space="preserve">DESIGN:Prospective cohort study.</w:t>
      </w:r>
    </w:p>
    <w:p/>
    <w:p>
      <w:pPr>
        <w:pStyle w:val="Normal"/>
      </w:pPr>
      <w:r>
        <w:rPr>
          <w:color w:val="323232"/>
        </w:rPr>
        <w:t xml:space="preserve">SETTING:Multicenter (82 PICUs), international (16 countries) from September 2016 to April 2017.</w:t>
      </w:r>
    </w:p>
    <w:p/>
    <w:p>
      <w:pPr>
        <w:pStyle w:val="Normal"/>
      </w:pPr>
      <w:r>
        <w:rPr>
          <w:color w:val="323232"/>
        </w:rPr>
        <w:t xml:space="preserve">PATIENTS:Children ages 3 days to 16 years prescribed a platelet transfusion in the ICU during screening days.</w:t>
      </w:r>
    </w:p>
    <w:p/>
    <w:p>
      <w:pPr>
        <w:pStyle w:val="Normal"/>
      </w:pPr>
      <w:r>
        <w:rPr>
          <w:color w:val="323232"/>
        </w:rPr>
        <w:t xml:space="preserve">INTERVENTIONS:None.</w:t>
      </w:r>
    </w:p>
    <w:p/>
    <w:p>
      <w:pPr>
        <w:pStyle w:val="Normal"/>
      </w:pPr>
      <w:r>
        <w:rPr>
          <w:color w:val="323232"/>
        </w:rPr>
        <w:t xml:space="preserve">MEASUREMENTS AND MAIN RESULTS:Over 6 weeks, 16,934 patients were eligible, and 559 received at least one platelet transfusion (prevalence, 3.3%). The indications for transfusion included prophylaxis (67%), minor bleeding (21%), and major bleeding (12%). Thirty-four percent of prophylactic platelet transfusions were prescribed when the platelet count was greater than or equal to 50</w:t>
      </w:r>
      <w:r>
        <w:rPr>
          <w:color w:val="323232"/>
        </w:rPr>
        <w:t xml:space="preserve"> </w:t>
      </w:r>
      <w:r>
        <w:rPr>
          <w:color w:val="323232"/>
        </w:rPr>
        <w:t xml:space="preserve">×</w:t>
      </w:r>
      <w:r>
        <w:rPr>
          <w:color w:val="323232"/>
        </w:rPr>
        <w:t xml:space="preserve"> </w:t>
      </w:r>
      <w:r>
        <w:rPr>
          <w:color w:val="323232"/>
        </w:rPr>
        <w:t xml:space="preserve">10 cells</w:t>
      </w:r>
      <w:r>
        <w:rPr>
          <w:i w:val="1"/>
          <w:color w:val="323232"/>
        </w:rPr>
        <w:t xml:space="preserve">L. The median (interquartile range) change in platelet count post transfusion was 48</w:t>
      </w:r>
      <w:r>
        <w:rPr>
          <w:color w:val="323232"/>
        </w:rPr>
        <w:t xml:space="preserve"> </w:t>
      </w:r>
      <w:r>
        <w:rPr>
          <w:i w:val="1"/>
          <w:color w:val="323232"/>
        </w:rPr>
        <w:t xml:space="preserve">×</w:t>
      </w:r>
      <w:r>
        <w:rPr>
          <w:color w:val="323232"/>
        </w:rPr>
        <w:t xml:space="preserve"> </w:t>
      </w:r>
      <w:r>
        <w:rPr>
          <w:i w:val="1"/>
          <w:color w:val="323232"/>
        </w:rPr>
        <w:t xml:space="preserve">10 cells</w:t>
      </w:r>
      <w:r>
        <w:rPr>
          <w:color w:val="323232"/>
        </w:rPr>
        <w:t xml:space="preserve">L (17-82</w:t>
      </w:r>
      <w:r>
        <w:rPr>
          <w:color w:val="323232"/>
        </w:rPr>
        <w:t xml:space="preserve"> </w:t>
      </w:r>
      <w:r>
        <w:rPr>
          <w:color w:val="323232"/>
        </w:rPr>
        <w:t xml:space="preserve">×</w:t>
      </w:r>
      <w:r>
        <w:rPr>
          <w:color w:val="323232"/>
        </w:rPr>
        <w:t xml:space="preserve"> </w:t>
      </w:r>
      <w:r>
        <w:rPr>
          <w:color w:val="323232"/>
        </w:rPr>
        <w:t xml:space="preserve">10 cells/ L) for major bleeding, 42</w:t>
      </w:r>
      <w:r>
        <w:rPr>
          <w:color w:val="323232"/>
        </w:rPr>
        <w:t xml:space="preserve"> </w:t>
      </w:r>
      <w:r>
        <w:rPr>
          <w:color w:val="323232"/>
        </w:rPr>
        <w:t xml:space="preserve">×</w:t>
      </w:r>
      <w:r>
        <w:rPr>
          <w:color w:val="323232"/>
        </w:rPr>
        <w:t xml:space="preserve"> </w:t>
      </w:r>
      <w:r>
        <w:rPr>
          <w:color w:val="323232"/>
        </w:rPr>
        <w:t xml:space="preserve">10 cells/ L (16-80</w:t>
      </w:r>
      <w:r>
        <w:rPr>
          <w:color w:val="323232"/>
        </w:rPr>
        <w:t xml:space="preserve"> </w:t>
      </w:r>
      <w:r>
        <w:rPr>
          <w:color w:val="323232"/>
        </w:rPr>
        <w:t xml:space="preserve">×</w:t>
      </w:r>
      <w:r>
        <w:rPr>
          <w:color w:val="323232"/>
        </w:rPr>
        <w:t xml:space="preserve"> </w:t>
      </w:r>
      <w:r>
        <w:rPr>
          <w:color w:val="323232"/>
        </w:rPr>
        <w:t xml:space="preserve">10 cells/ L) for prophylactic transfusions to meet a defined threshold, 38</w:t>
      </w:r>
      <w:r>
        <w:rPr>
          <w:color w:val="323232"/>
        </w:rPr>
        <w:t xml:space="preserve"> </w:t>
      </w:r>
      <w:r>
        <w:rPr>
          <w:color w:val="323232"/>
        </w:rPr>
        <w:t xml:space="preserve">×</w:t>
      </w:r>
      <w:r>
        <w:rPr>
          <w:color w:val="323232"/>
        </w:rPr>
        <w:t xml:space="preserve"> </w:t>
      </w:r>
      <w:r>
        <w:rPr>
          <w:color w:val="323232"/>
        </w:rPr>
        <w:t xml:space="preserve">10 cells/ L (17-72</w:t>
      </w:r>
      <w:r>
        <w:rPr>
          <w:color w:val="323232"/>
        </w:rPr>
        <w:t xml:space="preserve"> </w:t>
      </w:r>
      <w:r>
        <w:rPr>
          <w:color w:val="323232"/>
        </w:rPr>
        <w:t xml:space="preserve">×</w:t>
      </w:r>
      <w:r>
        <w:rPr>
          <w:color w:val="323232"/>
        </w:rPr>
        <w:t xml:space="preserve"> </w:t>
      </w:r>
      <w:r>
        <w:rPr>
          <w:color w:val="323232"/>
        </w:rPr>
        <w:t xml:space="preserve">10 cells/ L) for minor bleeding, and 25</w:t>
      </w:r>
      <w:r>
        <w:rPr>
          <w:color w:val="323232"/>
        </w:rPr>
        <w:t xml:space="preserve"> </w:t>
      </w:r>
      <w:r>
        <w:rPr>
          <w:color w:val="323232"/>
        </w:rPr>
        <w:t xml:space="preserve">×</w:t>
      </w:r>
      <w:r>
        <w:rPr>
          <w:color w:val="323232"/>
        </w:rPr>
        <w:t xml:space="preserve"> </w:t>
      </w:r>
      <w:r>
        <w:rPr>
          <w:color w:val="323232"/>
        </w:rPr>
        <w:t xml:space="preserve">10 cells/ L (10-47</w:t>
      </w:r>
      <w:r>
        <w:rPr>
          <w:color w:val="323232"/>
        </w:rPr>
        <w:t xml:space="preserve"> </w:t>
      </w:r>
      <w:r>
        <w:rPr>
          <w:color w:val="323232"/>
        </w:rPr>
        <w:t xml:space="preserve">×</w:t>
      </w:r>
      <w:r>
        <w:rPr>
          <w:color w:val="323232"/>
        </w:rPr>
        <w:t xml:space="preserve"> </w:t>
      </w:r>
      <w:r>
        <w:rPr>
          <w:color w:val="323232"/>
        </w:rPr>
        <w:t xml:space="preserve">10 cells/ L) for prophylaxis in patients at risk of bleeding from a device. Overall ICU mortality was 25% but varied from 18% to 35% based on indication for transfusion. Upon adjusted analysis, total administered platelet dose was independently associated with increased ICU mortality (odds ratio for each additional 1</w:t>
      </w:r>
      <w:r>
        <w:rPr>
          <w:color w:val="323232"/>
        </w:rPr>
        <w:t xml:space="preserve"> </w:t>
      </w:r>
      <w:r>
        <w:rPr>
          <w:color w:val="323232"/>
        </w:rPr>
        <w:t xml:space="preserve">mL/kg platelets transfused, 1.002; 95% CI, 1.001-1.003; p = 0.005).</w:t>
      </w:r>
    </w:p>
    <w:p/>
    <w:p>
      <w:pPr>
        <w:pStyle w:val="Normal"/>
      </w:pPr>
      <w:r>
        <w:rPr>
          <w:color w:val="323232"/>
        </w:rPr>
        <w:t xml:space="preserve">CONCLUSIONS:The majority of platelet transfusions are given as prophylaxis to nonbleeding children, and significant variation in platelet thresholds exists. Studies are needed to clarify appropriate indications, with focus on prophylactic transfusions.</w:t>
      </w:r>
    </w:p>
    <w:p/>
    <w:p>
      <w:pPr>
        <w:pStyle w:val="Normal"/>
      </w:pPr>
      <w:r>
        <w:rPr>
          <w:color w:val="323232"/>
        </w:rPr>
        <w:t xml:space="preserve">Critical Care Medicine, 2018 vol. 46 (8) pp. 1309-1317.</w:t>
      </w:r>
    </w:p>
    <w:p>
      <w:r>
        <w:rPr>
          <w:rStyle w:val="Hyperlink"/>
        </w:rPr>
        <w:fldChar w:fldCharType="begin"/>
      </w:r>
      <w:r>
        <w:rPr>
          <w:rStyle w:val="Hyperlink"/>
        </w:rPr>
        <w:instrText xml:space="preserve"> HYPERLINK "http://eutils.ncbi.nlm.nih.gov/entrez/eutils/elink.fcgi?dbfrom=pubmed&amp;id=29727368&amp;retmode=ref&amp;cmd=prlinks"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http://eutils.ncbi.nlm.nih.gov/entrez/eutils/elink.fcgi?dbfrom=pubmed&amp;id=29727368&amp;retmode=ref&amp;cmd=prlinks</w:t>
      </w:r>
      <w:r>
        <w:rPr>
          <w:rStyle w:val="Hyperlink"/>
        </w:rPr>
        <w:fldChar w:fldCharType="end"/>
      </w:r>
    </w:p>
    <w:p>
      <w:pPr>
        <w:pStyle w:val="Normal"/>
      </w:pPr>
      <w:r>
        <w:rPr>
          <w:color w:val="323232"/>
        </w:rPr>
        <w:t xml:space="preserve">————————</w:t>
      </w:r>
    </w:p>
    <w:p>
      <w:pPr>
        <w:pStyle w:val="Heading4"/>
      </w:pPr>
      <w:r>
        <w:t xml:space="preserve">The Effect of IV Amino Acid Supplementation on Mortality in ICU Patients May Be Dependent on Kidney Function: Post Hoc Subgroup Analyses of a Multicenter Randomized Trial.</w:t>
      </w:r>
    </w:p>
    <w:p/>
    <w:p>
      <w:pPr>
        <w:pStyle w:val="Normal"/>
      </w:pPr>
      <w:r>
        <w:rPr>
          <w:color w:val="323232"/>
        </w:rPr>
        <w:t xml:space="preserve">Ran Zhu, Matilde J Allingstrup, Anders Perner, Gordon S Doig, and Nephro-Protective Trial Investigators Group.</w:t>
      </w:r>
    </w:p>
    <w:p/>
    <w:p>
      <w:pPr>
        <w:pStyle w:val="Normal"/>
      </w:pPr>
      <w:r>
        <w:rPr>
          <w:color w:val="323232"/>
        </w:rPr>
        <w:t xml:space="preserve">OBJECTIVES:We investigated whether preexisting kidney function determines if ICU patients may benefit from increased (2.0 g</w:t>
      </w:r>
      <w:r>
        <w:rPr>
          <w:i w:val="1"/>
          <w:color w:val="323232"/>
        </w:rPr>
        <w:t xml:space="preserve">kg</w:t>
      </w:r>
      <w:r>
        <w:rPr>
          <w:color w:val="323232"/>
        </w:rPr>
        <w:t xml:space="preserve">d) protein intake.</w:t>
      </w:r>
    </w:p>
    <w:p/>
    <w:p>
      <w:pPr>
        <w:pStyle w:val="Normal"/>
      </w:pPr>
      <w:r>
        <w:rPr>
          <w:color w:val="323232"/>
        </w:rPr>
        <w:t xml:space="preserve">DESIGN:Post hoc, hypothesis-generating, subgroup analysis of a multicenter, phase 2, randomized clinical trial. All analyses were conducted by intention to treat and maintained group allocation. Ninety-day mortality was the primary outcome.</w:t>
      </w:r>
    </w:p>
    <w:p/>
    <w:p>
      <w:pPr>
        <w:pStyle w:val="Normal"/>
      </w:pPr>
      <w:r>
        <w:rPr>
          <w:color w:val="323232"/>
        </w:rPr>
        <w:t xml:space="preserve">SETTING:ICUs of 16 hospitals throughout Australia and New Zealand.</w:t>
      </w:r>
    </w:p>
    <w:p/>
    <w:p>
      <w:pPr>
        <w:pStyle w:val="Normal"/>
      </w:pPr>
      <w:r>
        <w:rPr>
          <w:color w:val="323232"/>
        </w:rPr>
        <w:t xml:space="preserve">PATIENTS:Adult critically ill patients expected to remain in the study ICU for longer than 2 days.</w:t>
      </w:r>
    </w:p>
    <w:p/>
    <w:p>
      <w:pPr>
        <w:pStyle w:val="Normal"/>
      </w:pPr>
      <w:r>
        <w:rPr>
          <w:color w:val="323232"/>
        </w:rPr>
        <w:t xml:space="preserve">INTERVENTIONS:Random allocation to receive a daily supplement of up to 100</w:t>
      </w:r>
      <w:r>
        <w:rPr>
          <w:color w:val="323232"/>
        </w:rPr>
        <w:t xml:space="preserve"> </w:t>
      </w:r>
      <w:r>
        <w:rPr>
          <w:color w:val="323232"/>
        </w:rPr>
        <w:t xml:space="preserve">g of IV amino acids to achieve a total protein intake of 2.0</w:t>
      </w:r>
      <w:r>
        <w:rPr>
          <w:color w:val="323232"/>
        </w:rPr>
        <w:t xml:space="preserve"> </w:t>
      </w:r>
      <w:r>
        <w:rPr>
          <w:color w:val="323232"/>
        </w:rPr>
        <w:t xml:space="preserve">g</w:t>
      </w:r>
      <w:r>
        <w:rPr>
          <w:i w:val="1"/>
          <w:color w:val="323232"/>
        </w:rPr>
        <w:t xml:space="preserve">kg</w:t>
      </w:r>
      <w:r>
        <w:rPr>
          <w:color w:val="323232"/>
        </w:rPr>
        <w:t xml:space="preserve">d or standard nutrition care.</w:t>
      </w:r>
    </w:p>
    <w:p/>
    <w:p>
      <w:pPr>
        <w:pStyle w:val="Normal"/>
      </w:pPr>
      <w:r>
        <w:rPr>
          <w:color w:val="323232"/>
        </w:rPr>
        <w:t xml:space="preserve">MEASUREMENTS AND MAIN RESULTS:A total of 474 patients were randomized: 235 to standard care and 239 to IV amino acid supplementation. There was a statistically significant interaction between baseline kidney function and supplementation with study amino acids (p value for interaction = 0.026). Within the subgroup of patients with normal kidney function at randomization, patients who were allocated to receive the study amino acid supplement were less likely to die before study day 90 (covariate-adjusted risk difference, -7.9%; 95% CI, -15.1 to -0.7; p = 0.034). Furthermore, amino acid supplementation significantly increased estimated glomerular filtration rate in these patients (repeated-measures treatment × time interaction p = 0.009). Within the subgroup of patients with baseline kidney dysfunction and/or risk of progression of acute kidney injury, a significant effect of the study intervention on mortality was not found (covariate-adjusted risk difference, -0.6%; 95% CI, -16.2 to 15.2; p = 0.95).</w:t>
      </w:r>
    </w:p>
    <w:p/>
    <w:p>
      <w:pPr>
        <w:pStyle w:val="Normal"/>
      </w:pPr>
      <w:r>
        <w:rPr>
          <w:color w:val="323232"/>
        </w:rPr>
        <w:t xml:space="preserve">CONCLUSIONS:In this post hoc, hypothesis-generating, subgroup analysis, we observed reduced mortality and improved estimated glomerular filtration rate in ICU patients with normal kidney function who were randomly allocated to receive increased protein intake (up to 2.0</w:t>
      </w:r>
      <w:r>
        <w:rPr>
          <w:color w:val="323232"/>
        </w:rPr>
        <w:t xml:space="preserve"> </w:t>
      </w:r>
      <w:r>
        <w:rPr>
          <w:color w:val="323232"/>
        </w:rPr>
        <w:t xml:space="preserve">g</w:t>
      </w:r>
      <w:r>
        <w:rPr>
          <w:i w:val="1"/>
          <w:color w:val="323232"/>
        </w:rPr>
        <w:t xml:space="preserve">kg</w:t>
      </w:r>
      <w:r>
        <w:rPr>
          <w:color w:val="323232"/>
        </w:rPr>
        <w:t xml:space="preserve">d). We strongly recommend confirmation of these results in trials with low risk of bias before this treatment is recommended for routine care.</w:t>
      </w:r>
    </w:p>
    <w:p/>
    <w:p>
      <w:pPr>
        <w:pStyle w:val="Normal"/>
      </w:pPr>
      <w:r>
        <w:rPr>
          <w:color w:val="323232"/>
        </w:rPr>
        <w:t xml:space="preserve">Critical Care Medicine, 2018 vol. 46 (8) pp. 1293-1301.</w:t>
      </w:r>
    </w:p>
    <w:p>
      <w:r>
        <w:rPr>
          <w:rStyle w:val="Hyperlink"/>
        </w:rPr>
        <w:fldChar w:fldCharType="begin"/>
      </w:r>
      <w:r>
        <w:rPr>
          <w:rStyle w:val="Hyperlink"/>
        </w:rPr>
        <w:instrText xml:space="preserve"> HYPERLINK "http://eutils.ncbi.nlm.nih.gov/entrez/eutils/elink.fcgi?dbfrom=pubmed&amp;id=29771700&amp;retmode=ref&amp;cmd=prlinks"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http://eutils.ncbi.nlm.nih.gov/entrez/eutils/elink.fcgi?dbfrom=pubmed&amp;id=29771700&amp;retmode=ref&amp;cmd=prlinks</w:t>
      </w:r>
      <w:r>
        <w:rPr>
          <w:rStyle w:val="Hyperlink"/>
        </w:rPr>
        <w:fldChar w:fldCharType="end"/>
      </w:r>
    </w:p>
    <w:p>
      <w:pPr>
        <w:pStyle w:val="Normal"/>
      </w:pPr>
      <w:r>
        <w:rPr>
          <w:color w:val="323232"/>
        </w:rPr>
        <w:t xml:space="preserve">————————</w:t>
      </w:r>
    </w:p>
    <w:p>
      <w:pPr>
        <w:pStyle w:val="Heading4"/>
      </w:pPr>
      <w:r>
        <w:t xml:space="preserve">Benzodiazepines and Development of Delirium in Critically Ill Children: Estimating the Causal Effect.</w:t>
      </w:r>
    </w:p>
    <w:p/>
    <w:p>
      <w:pPr>
        <w:pStyle w:val="Normal"/>
      </w:pPr>
      <w:r>
        <w:rPr>
          <w:color w:val="323232"/>
        </w:rPr>
        <w:t xml:space="preserve">Kalgi Mody, Savneet Kaur, Elizabeth A Mauer, Linda M Gerber, Bruce M Greenwald, Gabrielle Silver, and Chani Traube.</w:t>
      </w:r>
    </w:p>
    <w:p/>
    <w:p>
      <w:pPr>
        <w:pStyle w:val="Normal"/>
      </w:pPr>
      <w:r>
        <w:rPr>
          <w:color w:val="323232"/>
        </w:rPr>
        <w:t xml:space="preserve">OBJECTIVES:Benzodiazepine use may be associated with delirium in critically ill children. However, benzodiazepines remain the first-line sedative choice in PICUs. Objectives were to determine the temporal relationship between administration of benzodiazepines and delirium development, control for time-varying covariates such as mechanical ventilation and opiates, and evaluate the association between dosage of benzodiazepines and subsequent delirium.</w:t>
      </w:r>
    </w:p>
    <w:p/>
    <w:p>
      <w:pPr>
        <w:pStyle w:val="Normal"/>
      </w:pPr>
      <w:r>
        <w:rPr>
          <w:color w:val="323232"/>
        </w:rPr>
        <w:t xml:space="preserve">DESIGN:Retrospective observational study.</w:t>
      </w:r>
    </w:p>
    <w:p/>
    <w:p>
      <w:pPr>
        <w:pStyle w:val="Normal"/>
      </w:pPr>
      <w:r>
        <w:rPr>
          <w:color w:val="323232"/>
        </w:rPr>
        <w:t xml:space="preserve">SETTING:Academic tertiary care PICU.</w:t>
      </w:r>
    </w:p>
    <w:p/>
    <w:p>
      <w:pPr>
        <w:pStyle w:val="Normal"/>
      </w:pPr>
      <w:r>
        <w:rPr>
          <w:color w:val="323232"/>
        </w:rPr>
        <w:t xml:space="preserve">PATIENTS:All consecutive admissions from January 2015 to June 2015.</w:t>
      </w:r>
    </w:p>
    <w:p/>
    <w:p>
      <w:pPr>
        <w:pStyle w:val="Normal"/>
      </w:pPr>
      <w:r>
        <w:rPr>
          <w:color w:val="323232"/>
        </w:rPr>
        <w:t xml:space="preserve">INTERVENTIONS:Retrospective assessment of benzodiazepine exposure in a population that had been prospectively screened for delirium.</w:t>
      </w:r>
    </w:p>
    <w:p/>
    <w:p>
      <w:pPr>
        <w:pStyle w:val="Normal"/>
      </w:pPr>
      <w:r>
        <w:rPr>
          <w:color w:val="323232"/>
        </w:rPr>
        <w:t xml:space="preserve">MEASUREMENTS AND MAIN RESULTS:All subjects were prospectively screened for delirium throughout their stay, using the Cornell Assessment for Pediatric Delirium, with daily cognitive status assigned as follows: delirium, coma, or normal. Multivariable mixed effects modeling determined predictors of delirium overall, followed by subgroup analysis to assess effect of benzodiazepines on subsequent development of delirium. Marginal structural modeling was used to create a pseudorandomized sample and control for time-dependent variables, obtaining an unbiased estimate of the relationship between benzodiazepines and next day delirium. The cumulative daily dosage of benzodiazepines was calculated to test for a dose-response relationship. Benzodiazepines were strongly associated with transition from normal cognitive status to delirium, more than quadrupling delirium rates (odds ratio, 4.4; CI, 1.7-11.1; p &lt; 0.002). Marginal structural modeling demonstrated odds ratio 3.3 (CI, 1.4-7.8), after controlling for time-dependent confounding of cognitive status, mechanical ventilation, and opiates. With every one log increase in benzodiazepine dosage administered, there was a 43% increase in risk for delirium development.</w:t>
      </w:r>
    </w:p>
    <w:p/>
    <w:p>
      <w:pPr>
        <w:pStyle w:val="Normal"/>
      </w:pPr>
      <w:r>
        <w:rPr>
          <w:color w:val="323232"/>
        </w:rPr>
        <w:t xml:space="preserve">CONCLUSIONS:Benzodiazepines are an independent and modifiable risk factor for development of delirium in critically ill children, even after carefully controlling for time-dependent covariates, with a dose-response effect. This temporal relationship suggests causality between benzodiazepine exposure and pediatric delirium and supports limiting the use of benzodiazepines in critically ill children.</w:t>
      </w:r>
    </w:p>
    <w:p/>
    <w:p>
      <w:pPr>
        <w:pStyle w:val="Normal"/>
      </w:pPr>
      <w:r>
        <w:rPr>
          <w:color w:val="323232"/>
        </w:rPr>
        <w:t xml:space="preserve">Critical Care Medicine, 2018 vol. 46 (9) pp. 1486-1491.</w:t>
      </w:r>
    </w:p>
    <w:p>
      <w:r>
        <w:rPr>
          <w:rStyle w:val="Hyperlink"/>
        </w:rPr>
        <w:fldChar w:fldCharType="begin"/>
      </w:r>
      <w:r>
        <w:rPr>
          <w:rStyle w:val="Hyperlink"/>
        </w:rPr>
        <w:instrText xml:space="preserve"> HYPERLINK "http://eutils.ncbi.nlm.nih.gov/entrez/eutils/elink.fcgi?dbfrom=pubmed&amp;id=29727363&amp;retmode=ref&amp;cmd=prlinks"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http://eutils.ncbi.nlm.nih.gov/entrez/eutils/elink.fcgi?dbfrom=pubmed&amp;id=29727363&amp;retmode=ref&amp;cmd=prlinks</w:t>
      </w:r>
      <w:r>
        <w:rPr>
          <w:rStyle w:val="Hyperlink"/>
        </w:rPr>
        <w:fldChar w:fldCharType="end"/>
      </w:r>
    </w:p>
    <w:p>
      <w:pPr>
        <w:pStyle w:val="Normal"/>
      </w:pPr>
      <w:r>
        <w:rPr>
          <w:color w:val="323232"/>
        </w:rPr>
        <w:t xml:space="preserve">————————</w:t>
      </w:r>
    </w:p>
    <w:p>
      <w:pPr>
        <w:pStyle w:val="Heading4"/>
      </w:pPr>
      <w:r>
        <w:t xml:space="preserve">Clinical Practice Guidelines for the Prevention and Management of Pain, Agitation/Sedation, Delirium, Immobility, and Sleep Disruption in Adult Patients in the ICU.</w:t>
      </w:r>
    </w:p>
    <w:p/>
    <w:p>
      <w:pPr>
        <w:pStyle w:val="Normal"/>
      </w:pPr>
      <w:r>
        <w:rPr>
          <w:color w:val="323232"/>
        </w:rPr>
        <w:t xml:space="preserve">John W Devlin, Yoanna Skrobik, Céline Gélinas, Dale M Needham, Arjen J C Slooter, Pratik P Pandharipande, Paula L Watson, Gerald L Weinhouse, Mark E Nunnally, Bram Rochwerg, Michele C Balas, Mark van den Boogaard, Karen J Bosma, Nathaniel E Brummel, Gérald Chanques, Linda Denehy, Xavier Drouot, Gilles L Fraser, Jocelyn E Harris, Aaron M Joffe, Michelle E Kho, John P Kress, Julie A Lanphere, Sharon McKinley, Karin J Neufeld, Margaret A Pisani, Jean-Francois Payen, Brenda T Pun, Kathleen A Puntillo, Richard R Riker, Bryce R H Robinson, Yahya Shehabi, Paul M Szumita, Chris Winkelman, John E Centofanti, Carrie Price, Sina Nikayin, Cheryl J Misak, Pamela D Flood, Ken Kiedrowski, and Waleed Alhazzani.</w:t>
      </w:r>
    </w:p>
    <w:p/>
    <w:p>
      <w:pPr>
        <w:pStyle w:val="Normal"/>
      </w:pPr>
      <w:r>
        <w:rPr>
          <w:color w:val="323232"/>
        </w:rPr>
        <w:t xml:space="preserve">OBJECTIVE:To update and expand the 2013 Clinical Practice Guidelines for the Management of Pain, Agitation, and Delirium in Adult Patients in the ICU.</w:t>
      </w:r>
    </w:p>
    <w:p/>
    <w:p>
      <w:pPr>
        <w:pStyle w:val="Normal"/>
      </w:pPr>
      <w:r>
        <w:rPr>
          <w:color w:val="323232"/>
        </w:rPr>
        <w:t xml:space="preserve">DESIGN:Thirty-two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w:t>
      </w:r>
    </w:p>
    <w:p/>
    <w:p>
      <w:pPr>
        <w:pStyle w:val="Normal"/>
      </w:pPr>
      <w:r>
        <w:rPr>
          <w:color w:val="323232"/>
        </w:rPr>
        <w:t xml:space="preserve">METHODS:Content experts, methodologists, and ICU survivors were represented in each of the five sections of the guidelines: Pain, Agitation</w:t>
      </w:r>
      <w:r>
        <w:rPr>
          <w:i w:val="1"/>
          <w:color w:val="323232"/>
        </w:rPr>
        <w:t xml:space="preserve">sedation, Delirium, Immobility (mobilization</w:t>
      </w:r>
      <w:r>
        <w:rPr>
          <w:color w:val="323232"/>
        </w:rPr>
        <w:t xml:space="preserve">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w:t>
      </w:r>
    </w:p>
    <w:p/>
    <w:p>
      <w:pPr>
        <w:pStyle w:val="Normal"/>
      </w:pPr>
      <w:r>
        <w:rPr>
          <w:color w:val="323232"/>
        </w:rPr>
        <w:t xml:space="preserve">RESULTS:The Pain, Agitation</w:t>
      </w:r>
      <w:r>
        <w:rPr>
          <w:i w:val="1"/>
          <w:color w:val="323232"/>
        </w:rPr>
        <w:t xml:space="preserve">Sedation, Delirium, Immobility (mobilization</w:t>
      </w:r>
      <w:r>
        <w:rPr>
          <w:color w:val="323232"/>
        </w:rPr>
        <w:t xml:space="preserve">rehabilitation), and Sleep (disruption) panel issued 37 recommendations (three strong and 34 conditional), two good practice statements, and 32 ungraded, nonactionable statements. Three questions from the patient-centered prioritized question list remained without recommendation.</w:t>
      </w:r>
    </w:p>
    <w:p/>
    <w:p>
      <w:pPr>
        <w:pStyle w:val="Normal"/>
      </w:pPr>
      <w:r>
        <w:rPr>
          <w:color w:val="323232"/>
        </w:rPr>
        <w:t xml:space="preserve">CONCLUSIONS:We found substantial agreement among a large, interdisciplinary cohort of international experts regarding evidence supporting recommendations, and the remaining literature gaps in the assessment, prevention, and treatment of Pain, Agitation/ sedation, Delirium, Immobility (mobilization/ rehabilitation), and Sleep (disruption) in critically ill adults. Highlighting this evidence and the research needs will improve Pain, Agitation/ sedation, Delirium, Immobility (mobilization/ rehabilitation), and Sleep (disruption) management and provide the foundation for improved outcomes and science in this vulnerable population.</w:t>
      </w:r>
    </w:p>
    <w:p/>
    <w:p>
      <w:pPr>
        <w:pStyle w:val="Normal"/>
      </w:pPr>
      <w:r>
        <w:rPr>
          <w:color w:val="323232"/>
        </w:rPr>
        <w:t xml:space="preserve">Critical Care Medicine, 2018 vol. 46 (9) pp. e825-e873.</w:t>
      </w:r>
    </w:p>
    <w:p>
      <w:r>
        <w:rPr>
          <w:rStyle w:val="Hyperlink"/>
        </w:rPr>
        <w:fldChar w:fldCharType="begin"/>
      </w:r>
      <w:r>
        <w:rPr>
          <w:rStyle w:val="Hyperlink"/>
        </w:rPr>
        <w:instrText xml:space="preserve"> HYPERLINK "http://eutils.ncbi.nlm.nih.gov/entrez/eutils/elink.fcgi?dbfrom=pubmed&amp;id=30113379&amp;retmode=ref&amp;cmd=prlinks"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http://eutils.ncbi.nlm.nih.gov/entrez/eutils/elink.fcgi?dbfrom=pubmed&amp;id=30113379&amp;retmode=ref&amp;cmd=prlinks</w:t>
      </w:r>
      <w:r>
        <w:rPr>
          <w:rStyle w:val="Hyperlink"/>
        </w:rPr>
        <w:fldChar w:fldCharType="end"/>
      </w:r>
    </w:p>
    <w:p>
      <w:pPr>
        <w:pStyle w:val="Normal"/>
      </w:pPr>
      <w:r>
        <w:rPr>
          <w:color w:val="323232"/>
        </w:rPr>
        <w:t xml:space="preserve">————————</w:t>
      </w:r>
    </w:p>
    <w:p>
      <w:pPr>
        <w:pStyle w:val="Heading4"/>
      </w:pPr>
      <w:r>
        <w:t xml:space="preserve">Corticosteroids in Sepsis: An Updated Systematic Review and Meta-Analysis.</w:t>
      </w:r>
    </w:p>
    <w:p/>
    <w:p>
      <w:pPr>
        <w:pStyle w:val="Normal"/>
      </w:pPr>
      <w:r>
        <w:rPr>
          <w:color w:val="323232"/>
        </w:rPr>
        <w:t xml:space="preserve">Bram Rochwerg, Simon J Oczkowski, Reed A C Siemieniuk, Thomas Agoritsas, Emilie Belley-Cote, Frédérick D’Aragon, Erick Duan, Shane English, Kira Gossack-Keenan, Mashari Alghuroba, Wojciech Szczeklik, Kusum Menon, Waleed Alhazzani, Jonathan Sevransky, Per Olav Vandvik, Djillali Annane, and Gordon Guyatt.</w:t>
      </w:r>
    </w:p>
    <w:p/>
    <w:p>
      <w:pPr>
        <w:pStyle w:val="Normal"/>
      </w:pPr>
      <w:r>
        <w:rPr>
          <w:color w:val="323232"/>
        </w:rPr>
        <w:t xml:space="preserve">OBJECTIVE:This systematic review and meta-analysis addresses the efficacy and safety of corticosteroids in critically ill patients with sepsis.</w:t>
      </w:r>
    </w:p>
    <w:p/>
    <w:p>
      <w:pPr>
        <w:pStyle w:val="Normal"/>
      </w:pPr>
      <w:r>
        <w:rPr>
          <w:color w:val="323232"/>
        </w:rPr>
        <w:t xml:space="preserve">DATA SOURCES:We updated a comprehensive search of MEDLINE, EMBASE, CENTRAL, and LILACS, and unpublished sources for randomized controlled trials that compared any corticosteroid to placebo or no corticosteroid in critically ill children and adults with sepsis.</w:t>
      </w:r>
    </w:p>
    <w:p/>
    <w:p>
      <w:pPr>
        <w:pStyle w:val="Normal"/>
      </w:pPr>
      <w:r>
        <w:rPr>
          <w:color w:val="323232"/>
        </w:rPr>
        <w:t xml:space="preserve">STUDY SELECTION:Reviewers conducted duplicate screening of citations, data abstraction, and, using a modified Cochrane risk of bias tool, individual study risk of bias assessment.</w:t>
      </w:r>
    </w:p>
    <w:p/>
    <w:p>
      <w:pPr>
        <w:pStyle w:val="Normal"/>
      </w:pPr>
      <w:r>
        <w:rPr>
          <w:color w:val="323232"/>
        </w:rPr>
        <w:t xml:space="preserve">DATA EXTRACTION:A parallel guideline committee provided input on the design and interpretation of the systematic review, including the selection of outcomes important to patients. We assessed overall certainty in evidence using Grading of Recommendations Assessment, Development and Evaluation methodology and performed all analyses using random-effect models. For subgroup analyses, we performed metaregression and considered p value less than 0.05 as significant.</w:t>
      </w:r>
    </w:p>
    <w:p/>
    <w:p>
      <w:pPr>
        <w:pStyle w:val="Normal"/>
      </w:pPr>
      <w:r>
        <w:rPr>
          <w:color w:val="323232"/>
        </w:rPr>
        <w:t xml:space="preserve">DATA SYNTHESIS:Forty-two randomized controlled trials including 10,194 patients proved eligible. Based on low certainty, corticosteroids may achieve a small reduction or no reduction in the relative risk of dying in the short-term (28-31 d) (relative risk, 0.93; 95% CI, 0.84-1.03; 1.8% absolute risk reduction; 95% CI, 4.1% reduction to 0.8% increase), and possibly achieve a small effect on long-term mortality (60 d to 1 yr) based on moderate certainty (relative risk, 0.94; 95% CI, 0.89-1.00; 2.2% absolute risk reduction; 95% CI, 4.1% reduction to no effect). Corticosteroids probably result in small reductions in length of stay in ICU (mean difference, -0.73 d; 95% CI, -1.78 to 0.31) and hospital (mean difference, -0.73 d; 95% CI, -2.06 to 0.60) (moderate certainty). Corticosteroids result in higher rates of shock reversal at day 7 (relative risk, 1.26; 95% CI, 1.12-1.42) and lower Sequential Organ Failure Assessment scores at day 7 (mean difference, -1.39; 95% CI, -1.88 to -0.89) (high certainty). Corticosteroids likely increase the risk of hypernatremia (relative risk, 1.64; 95% CI, 1.32-2.03) and hyperglycemia (relative risk, 1.16; 95% CI, 1.08-1.24) (moderate certainty), may increase the risk of neuromuscular weakness (relative risk, 1.21; 95% CI, 1.01-1.52) (low certainty), and appear to have no other adverse effects (low or very low certainty). Subgroup analysis did not demonstrate a credible subgroup effect on any of the outcomes of interest (p &gt; 0.05 for all).</w:t>
      </w:r>
    </w:p>
    <w:p/>
    <w:p>
      <w:pPr>
        <w:pStyle w:val="Normal"/>
      </w:pPr>
      <w:r>
        <w:rPr>
          <w:color w:val="323232"/>
        </w:rPr>
        <w:t xml:space="preserve">CONCLUSIONS:In critically ill patients with sepsis, corticosteroids possibly result in a small reduction in mortality while also possibly increasing the risk of neuromuscular weakness.</w:t>
      </w:r>
    </w:p>
    <w:p/>
    <w:p>
      <w:pPr>
        <w:pStyle w:val="Normal"/>
      </w:pPr>
      <w:r>
        <w:rPr>
          <w:color w:val="323232"/>
        </w:rPr>
        <w:t xml:space="preserve">Critical Care Medicine, 2018 vol. 46 (9) pp. 1411-1420.</w:t>
      </w:r>
    </w:p>
    <w:p>
      <w:r>
        <w:rPr>
          <w:rStyle w:val="Hyperlink"/>
        </w:rPr>
        <w:fldChar w:fldCharType="begin"/>
      </w:r>
      <w:r>
        <w:rPr>
          <w:rStyle w:val="Hyperlink"/>
        </w:rPr>
        <w:instrText xml:space="preserve"> HYPERLINK "http://eutils.ncbi.nlm.nih.gov/entrez/eutils/elink.fcgi?dbfrom=pubmed&amp;id=29979221&amp;retmode=ref&amp;cmd=prlinks"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http://eutils.ncbi.nlm.nih.gov/entrez/eutils/elink.fcgi?dbfrom=pubmed&amp;id=29979221&amp;retmode=ref&amp;cmd=prlinks</w:t>
      </w:r>
      <w:r>
        <w:rPr>
          <w:rStyle w:val="Hyperlink"/>
        </w:rPr>
        <w:fldChar w:fldCharType="end"/>
      </w:r>
    </w:p>
    <w:p>
      <w:pPr>
        <w:pStyle w:val="Normal"/>
      </w:pPr>
      <w:r>
        <w:rPr>
          <w:color w:val="323232"/>
        </w:rPr>
        <w:t xml:space="preserve">————————</w:t>
      </w:r>
    </w:p>
    <w:p>
      <w:pPr>
        <w:pStyle w:val="Heading4"/>
      </w:pPr>
      <w:r>
        <w:t xml:space="preserve">Features of Adult Hyperammonemia Not Due to Liver Failure in the ICU.</w:t>
      </w:r>
    </w:p>
    <w:p/>
    <w:p>
      <w:pPr>
        <w:pStyle w:val="Normal"/>
      </w:pPr>
      <w:r>
        <w:rPr>
          <w:color w:val="323232"/>
        </w:rPr>
        <w:t xml:space="preserve">Amra Sakusic, Moldovan Sabov, Amanda J McCambridge, Alejandro A Rabinstein, Tarun D Singh, Kumar Mukesh, Kianoush B Kashani, David Cook, and Ognjen Gajic.</w:t>
      </w:r>
    </w:p>
    <w:p/>
    <w:p>
      <w:pPr>
        <w:pStyle w:val="Normal"/>
      </w:pPr>
      <w:r>
        <w:rPr>
          <w:color w:val="323232"/>
        </w:rPr>
        <w:t xml:space="preserve">OBJECTIVES:To evaluate the epidemiology of hyperammonemia unrelated to liver failure in the critical care setting.</w:t>
      </w:r>
    </w:p>
    <w:p/>
    <w:p>
      <w:pPr>
        <w:pStyle w:val="Normal"/>
      </w:pPr>
      <w:r>
        <w:rPr>
          <w:color w:val="323232"/>
        </w:rPr>
        <w:t xml:space="preserve">DESIGN:Retrospective case series.</w:t>
      </w:r>
    </w:p>
    <w:p/>
    <w:p>
      <w:pPr>
        <w:pStyle w:val="Normal"/>
      </w:pPr>
      <w:r>
        <w:rPr>
          <w:color w:val="323232"/>
        </w:rPr>
        <w:t xml:space="preserve">SETTING:Critically ill patients admitted to ICUs at Mayo Clinic, Rochester, MN (medical ICU, two mixed medical-surgical ICUs, coronary care unit, or the cardiosurgical ICU) between July 1, 2004, and October 31, 2015.</w:t>
      </w:r>
    </w:p>
    <w:p/>
    <w:p>
      <w:pPr>
        <w:pStyle w:val="Normal"/>
      </w:pPr>
      <w:r>
        <w:rPr>
          <w:color w:val="323232"/>
        </w:rPr>
        <w:t xml:space="preserve">PATIENTS:Adult critically ill patients with hyperammonemia not related to acute or chronic liver failure. We excluded patients with diagnosis of moderate or severe liver disease, hyperbilirubinemia, and patients who denied the use of their medical records.</w:t>
      </w:r>
    </w:p>
    <w:p/>
    <w:p>
      <w:pPr>
        <w:pStyle w:val="Normal"/>
      </w:pPr>
      <w:r>
        <w:rPr>
          <w:color w:val="323232"/>
        </w:rPr>
        <w:t xml:space="preserve">INTERVENTIONS:None.</w:t>
      </w:r>
    </w:p>
    <w:p/>
    <w:p>
      <w:pPr>
        <w:pStyle w:val="Normal"/>
      </w:pPr>
      <w:r>
        <w:rPr>
          <w:color w:val="323232"/>
        </w:rPr>
        <w:t xml:space="preserve">MEASUREMENTS AND MAIN RESULTS:Of 3,908 ICU patients with hyperammonemia, 167 (4.5%) had no evidence of acute or chronic liver failure. One-hundred one patients (60.5%) were male with median age of 65.7 years (interquartile range, 50-74.5 yr) and median serum ammonia level of 68 µg/ dL (interquartile range, 58-87 µg/ dL). Acute encephalopathy was present in 119 patients (71%). Predisposing conditions included malnutrition 27 (16%), gastric bypass six (3.6%), total parenteral nutrition four (2.4%); exposure to valproic acid 17 (10%); status epilepticus 11 (6.6%), high tumour burden 19 (11.3%), and renal failure 82 (49.1%). Urea cycle defects were diagnosed in seven patients (4.1%). Hospital mortality was high (30%), and median ammonia level was higher among the nonsurvivors (74 vs 67 µg/dL; p = 0.05). Deaths were more likely in hyperammonemic patients who were older (p = 0.016), had greater illness severity (higher Acute Physiology and Chronic Health Evaluation III score, p &lt; 0.01), malignancy (p &lt; 0.01), and solid organ transplantation (p = 0.04), whereas seizure disorder was more common in survivors (p = 0.02). After adjustment, serum ammonia level was not associated with increased mortality.</w:t>
      </w:r>
    </w:p>
    <w:p/>
    <w:p>
      <w:pPr>
        <w:pStyle w:val="Normal"/>
      </w:pPr>
      <w:r>
        <w:rPr>
          <w:color w:val="323232"/>
        </w:rPr>
        <w:t xml:space="preserve">CONCLUSIONS:Hyperammonemia occurs in a substantial minority of critically ill patients without liver failure. These patients have a poor prognosis, although ammonia level per se is not independently associated with mortality. Serum ammonia should be measured when risk factors are present, such as nutritional deficiencies and protein refeeding, treatment with valproic acid, high tumour burden, and known or suspected urea cycle abnormalities.</w:t>
      </w:r>
    </w:p>
    <w:p/>
    <w:p>
      <w:pPr>
        <w:pStyle w:val="Normal"/>
      </w:pPr>
      <w:r>
        <w:rPr>
          <w:color w:val="323232"/>
        </w:rPr>
        <w:t xml:space="preserve">Critical Care Medicine, 2018 vol. 46 (9) pp. e897-e903.</w:t>
      </w:r>
    </w:p>
    <w:p>
      <w:r>
        <w:rPr>
          <w:rStyle w:val="Hyperlink"/>
        </w:rPr>
        <w:fldChar w:fldCharType="begin"/>
      </w:r>
      <w:r>
        <w:rPr>
          <w:rStyle w:val="Hyperlink"/>
        </w:rPr>
        <w:instrText xml:space="preserve"> HYPERLINK "http://eutils.ncbi.nlm.nih.gov/entrez/eutils/elink.fcgi?dbfrom=pubmed&amp;id=29985210&amp;retmode=ref&amp;cmd=prlinks"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http://eutils.ncbi.nlm.nih.gov/entrez/eutils/elink.fcgi?dbfrom=pubmed&amp;id=29985210&amp;retmode=ref&amp;cmd=prlinks</w:t>
      </w:r>
      <w:r>
        <w:rPr>
          <w:rStyle w:val="Hyperlink"/>
        </w:rPr>
        <w:fldChar w:fldCharType="end"/>
      </w:r>
    </w:p>
    <w:p>
      <w:pPr>
        <w:pStyle w:val="Normal"/>
      </w:pPr>
      <w:r>
        <w:rPr>
          <w:color w:val="323232"/>
        </w:rPr>
        <w:t xml:space="preserve">————————</w:t>
      </w:r>
    </w:p>
    <w:p>
      <w:pPr>
        <w:pStyle w:val="Heading4"/>
      </w:pPr>
      <w:r>
        <w:t xml:space="preserve">Impact of Very Early Physical Therapy During Septic Shock on Skeletal Muscle: A Randomized Controlled Trial.</w:t>
      </w:r>
    </w:p>
    <w:p/>
    <w:p>
      <w:pPr>
        <w:pStyle w:val="Normal"/>
      </w:pPr>
      <w:r>
        <w:rPr>
          <w:color w:val="323232"/>
        </w:rPr>
        <w:t xml:space="preserve">Cheryl E Hickmann, Diego Castanares-Zapatero, Louise Deldicque, Peter Van den Bergh, Gilles Caty, Annie Robert, Jean Roeseler, Marc Francaux, and Pierre-Francois Laterre.</w:t>
      </w:r>
    </w:p>
    <w:p/>
    <w:p>
      <w:pPr>
        <w:pStyle w:val="Normal"/>
      </w:pPr>
      <w:r>
        <w:rPr>
          <w:color w:val="323232"/>
        </w:rPr>
        <w:t xml:space="preserve">OBJECTIVES:As the catabolic state induced by septic shock together with the physical inactivity of patients lead to the rapid loss of muscle mass and impaired function, the purpose of this study was to test whether an early physical therapy during the onset of septic shock regulates catabolic signals and preserves skeletal muscle mass.</w:t>
      </w:r>
    </w:p>
    <w:p/>
    <w:p>
      <w:pPr>
        <w:pStyle w:val="Normal"/>
      </w:pPr>
      <w:r>
        <w:rPr>
          <w:color w:val="323232"/>
        </w:rPr>
        <w:t xml:space="preserve">DESIGN:Randomized controlled trial.</w:t>
      </w:r>
    </w:p>
    <w:p/>
    <w:p>
      <w:pPr>
        <w:pStyle w:val="Normal"/>
      </w:pPr>
      <w:r>
        <w:rPr>
          <w:color w:val="323232"/>
        </w:rPr>
        <w:t xml:space="preserve">SETTING:Tertiary mixed ICU.</w:t>
      </w:r>
    </w:p>
    <w:p/>
    <w:p>
      <w:pPr>
        <w:pStyle w:val="Normal"/>
      </w:pPr>
      <w:r>
        <w:rPr>
          <w:color w:val="323232"/>
        </w:rPr>
        <w:t xml:space="preserve">PATIENTS:Adult patients admitted for septic shock within the first 72 hours.</w:t>
      </w:r>
    </w:p>
    <w:p/>
    <w:p>
      <w:pPr>
        <w:pStyle w:val="Normal"/>
      </w:pPr>
      <w:r>
        <w:rPr>
          <w:color w:val="323232"/>
        </w:rPr>
        <w:t xml:space="preserve">INTERVENTIONS:Patients were assigned randomly into two groups. The control group benefited from manual mobilization once a day. The intervention group had twice daily sessions of both manual mobilization and 30-minute passive/active cycling therapy.</w:t>
      </w:r>
    </w:p>
    <w:p/>
    <w:p>
      <w:pPr>
        <w:pStyle w:val="Normal"/>
      </w:pPr>
      <w:r>
        <w:rPr>
          <w:color w:val="323232"/>
        </w:rPr>
        <w:t xml:space="preserve">MEASUREMENTS AND MAIN RESULTS:Skeletal muscle biopsies and electrophysiology testing were performed at day 1 and day 7. Muscle biopsies were analyzed for histology and molecular components of signaling pathways regulating protein synthesis and degradation as well as inflammation markers. Hemodynamic values and patient perception were collected during each session. Twenty-one patients were included. Three died before the second muscle biopsy. Ten patients in the control and eight in the intervention group were analyzed. Markers of the catabolic ubiquitin-proteasome pathway, muscle atrophy F-box and muscle ring finger-1 messenger RNA, were reduced at day 7 only in the intervention group, but without difference between groups (muscle atrophy F-box: -7.3% ± 138.4% in control vs -56.4% ± 37.4% in intervention group; p = 0.23 and muscle ring finger-1: -30.8% ± 66.9% in control vs -62.7% ± 45.5% in intervention group; p = 0.15). Muscle fiber cross-sectional area (µm) was preserved by exercise (-25.8% ± 21.6% in control vs 12.4% ± 22.5% in intervention group; p = 0.005). Molecular regulations suggest that the excessive activation of autophagy due to septic shock was lower in the intervention group, without being suppressed. Markers of anabolism and inflammation were not modified by the intervention, which was well tolerated by the patients.</w:t>
      </w:r>
    </w:p>
    <w:p/>
    <w:p>
      <w:pPr>
        <w:pStyle w:val="Normal"/>
      </w:pPr>
      <w:r>
        <w:rPr>
          <w:color w:val="323232"/>
        </w:rPr>
        <w:t xml:space="preserve">CONCLUSIONS:Early physical therapy during the first week of septic shock is safe and preserves muscle fiber cross-sectional area.</w:t>
      </w:r>
    </w:p>
    <w:p/>
    <w:p>
      <w:pPr>
        <w:pStyle w:val="Normal"/>
      </w:pPr>
      <w:r>
        <w:rPr>
          <w:color w:val="323232"/>
        </w:rPr>
        <w:t xml:space="preserve">Critical Care Medicine, 2018 vol. 46 (9) pp. 1436-1443.</w:t>
      </w:r>
    </w:p>
    <w:p>
      <w:r>
        <w:rPr>
          <w:rStyle w:val="Hyperlink"/>
        </w:rPr>
        <w:fldChar w:fldCharType="begin"/>
      </w:r>
      <w:r>
        <w:rPr>
          <w:rStyle w:val="Hyperlink"/>
        </w:rPr>
        <w:instrText xml:space="preserve"> HYPERLINK "http://eutils.ncbi.nlm.nih.gov/entrez/eutils/elink.fcgi?dbfrom=pubmed&amp;id=29957714&amp;retmode=ref&amp;cmd=prlinks"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http://eutils.ncbi.nlm.nih.gov/entrez/eutils/elink.fcgi?dbfrom=pubmed&amp;id=29957714&amp;retmode=ref&amp;cmd=prlinks</w:t>
      </w:r>
      <w:r>
        <w:rPr>
          <w:rStyle w:val="Hyperlink"/>
        </w:rPr>
        <w:fldChar w:fldCharType="end"/>
      </w:r>
    </w:p>
    <w:p>
      <w:pPr>
        <w:pStyle w:val="Normal"/>
      </w:pPr>
      <w:r>
        <w:rPr>
          <w:color w:val="323232"/>
        </w:rPr>
        <w:t xml:space="preserve">————————</w:t>
      </w:r>
    </w:p>
    <w:p>
      <w:pPr>
        <w:pStyle w:val="Heading4"/>
      </w:pPr>
      <w:r>
        <w:t xml:space="preserve">Microcirculatory Impairment Is Associated With Multiple Organ Dysfunction Following Traumatic Hemorrhagic Shock: The MICROSHOCK Study.</w:t>
      </w:r>
    </w:p>
    <w:p/>
    <w:p>
      <w:pPr>
        <w:pStyle w:val="Normal"/>
      </w:pPr>
      <w:r>
        <w:rPr>
          <w:color w:val="323232"/>
        </w:rPr>
        <w:t xml:space="preserve">Sam D Hutchings, David N Naumann, Philip Hopkins, Clare Mellis, Paul Riozzi, Stefano Sartini, Jasna Mamuza, Tim Harris, Mark J Midwinter, and Julia Wendon.</w:t>
      </w:r>
    </w:p>
    <w:p/>
    <w:p>
      <w:pPr>
        <w:pStyle w:val="Normal"/>
      </w:pPr>
      <w:r>
        <w:rPr>
          <w:color w:val="323232"/>
        </w:rPr>
        <w:t xml:space="preserve">OBJECTIVES:To assess the relationship between microcirculatory perfusion and multiple organ dysfunction syndrome in patients following traumatic hemorrhagic shock.</w:t>
      </w:r>
    </w:p>
    <w:p/>
    <w:p>
      <w:pPr>
        <w:pStyle w:val="Normal"/>
      </w:pPr>
      <w:r>
        <w:rPr>
          <w:color w:val="323232"/>
        </w:rPr>
        <w:t xml:space="preserve">DESIGN:Multicenter prospective longitudinal observational study.</w:t>
      </w:r>
    </w:p>
    <w:p/>
    <w:p>
      <w:pPr>
        <w:pStyle w:val="Normal"/>
      </w:pPr>
      <w:r>
        <w:rPr>
          <w:color w:val="323232"/>
        </w:rPr>
        <w:t xml:space="preserve">SETTING:Three U.K. major trauma centers.</w:t>
      </w:r>
    </w:p>
    <w:p/>
    <w:p>
      <w:pPr>
        <w:pStyle w:val="Normal"/>
      </w:pPr>
      <w:r>
        <w:rPr>
          <w:color w:val="323232"/>
        </w:rPr>
        <w:t xml:space="preserve">PATIENTS:Fifty-eight intubated and ventilated patients with traumatic hemorrhagic shock.</w:t>
      </w:r>
    </w:p>
    <w:p/>
    <w:p>
      <w:pPr>
        <w:pStyle w:val="Normal"/>
      </w:pPr>
      <w:r>
        <w:rPr>
          <w:color w:val="323232"/>
        </w:rPr>
        <w:t xml:space="preserve">INTERVENTIONS:Sublingual incident dark field microscopy was performed within 12 hours of ICU admission (D0) and repeated 24 and 48 hours later. Cardiac output was assessed using oesophageal Doppler. Multiple organ dysfunction syndrome was defined as Serial Organ Failure Assessment score greater than or equal to 6 at day 7 post injury.</w:t>
      </w:r>
    </w:p>
    <w:p/>
    <w:p>
      <w:pPr>
        <w:pStyle w:val="Normal"/>
      </w:pPr>
      <w:r>
        <w:rPr>
          <w:color w:val="323232"/>
        </w:rPr>
        <w:t xml:space="preserve">MEASUREMENTS AND MAIN RESULTS:Data from 58 patients were analyzed. Patients had a mean age of 43</w:t>
      </w:r>
      <w:r>
        <w:rPr>
          <w:color w:val="323232"/>
        </w:rPr>
        <w:t xml:space="preserve"> </w:t>
      </w:r>
      <w:r>
        <w:rPr>
          <w:color w:val="323232"/>
        </w:rPr>
        <w:t xml:space="preserve">±</w:t>
      </w:r>
      <w:r>
        <w:rPr>
          <w:color w:val="323232"/>
        </w:rPr>
        <w:t xml:space="preserve"> </w:t>
      </w:r>
      <w:r>
        <w:rPr>
          <w:color w:val="323232"/>
        </w:rPr>
        <w:t xml:space="preserve">19 years, Injury Severity Score of 29</w:t>
      </w:r>
      <w:r>
        <w:rPr>
          <w:color w:val="323232"/>
        </w:rPr>
        <w:t xml:space="preserve"> </w:t>
      </w:r>
      <w:r>
        <w:rPr>
          <w:color w:val="323232"/>
        </w:rPr>
        <w:t xml:space="preserve">±</w:t>
      </w:r>
      <w:r>
        <w:rPr>
          <w:color w:val="323232"/>
        </w:rPr>
        <w:t xml:space="preserve"> </w:t>
      </w:r>
      <w:r>
        <w:rPr>
          <w:color w:val="323232"/>
        </w:rPr>
        <w:t xml:space="preserve">14, and initial lactate of 7.3</w:t>
      </w:r>
      <w:r>
        <w:rPr>
          <w:color w:val="323232"/>
        </w:rPr>
        <w:t xml:space="preserve"> </w:t>
      </w:r>
      <w:r>
        <w:rPr>
          <w:color w:val="323232"/>
        </w:rPr>
        <w:t xml:space="preserve">±</w:t>
      </w:r>
      <w:r>
        <w:rPr>
          <w:color w:val="323232"/>
        </w:rPr>
        <w:t xml:space="preserve"> </w:t>
      </w:r>
      <w:r>
        <w:rPr>
          <w:color w:val="323232"/>
        </w:rPr>
        <w:t xml:space="preserve">6.1 mmol/ L and received 6 U (interquartile range, 4-11 U) of packed RBCs during initial resuscitation. Compared with patients without multiple organ dysfunction syndrome at day 7, patients with multiple organ dysfunction syndrome had lower D0 perfused vessel density (11.2</w:t>
      </w:r>
      <w:r>
        <w:rPr>
          <w:color w:val="323232"/>
        </w:rPr>
        <w:t xml:space="preserve"> </w:t>
      </w:r>
      <w:r>
        <w:rPr>
          <w:color w:val="323232"/>
        </w:rPr>
        <w:t xml:space="preserve">±</w:t>
      </w:r>
      <w:r>
        <w:rPr>
          <w:color w:val="323232"/>
        </w:rPr>
        <w:t xml:space="preserve"> </w:t>
      </w:r>
      <w:r>
        <w:rPr>
          <w:color w:val="323232"/>
        </w:rPr>
        <w:t xml:space="preserve">1.8 and 8.6</w:t>
      </w:r>
      <w:r>
        <w:rPr>
          <w:color w:val="323232"/>
        </w:rPr>
        <w:t xml:space="preserve"> </w:t>
      </w:r>
      <w:r>
        <w:rPr>
          <w:color w:val="323232"/>
        </w:rPr>
        <w:t xml:space="preserve">±</w:t>
      </w:r>
      <w:r>
        <w:rPr>
          <w:color w:val="323232"/>
        </w:rPr>
        <w:t xml:space="preserve"> </w:t>
      </w:r>
      <w:r>
        <w:rPr>
          <w:color w:val="323232"/>
        </w:rPr>
        <w:t xml:space="preserve">1.8</w:t>
      </w:r>
      <w:r>
        <w:rPr>
          <w:color w:val="323232"/>
        </w:rPr>
        <w:t xml:space="preserve"> </w:t>
      </w:r>
      <w:r>
        <w:rPr>
          <w:color w:val="323232"/>
        </w:rPr>
        <w:t xml:space="preserve">mm/ mm; p &lt; 0.01) and microcirculatory flow index (2.8 [2.6-2.9] and 2.6 [2.2-2.8]; p &lt; 0.01) but similar cardiac index (2.5 [± 0.6] and 2.1 [± 0.7] L/ minm; p = 0.11). Perfused vessel density demonstrated the best discrimination for predicting subsequent multiple organ dysfunction syndrome (area under curve 0.87 [0.76-0.99]) compared with highest recorded lactate (area under curve 0.69 [0.53-0.84]), cardiac index (area under curve 0.66 [0.49-0.83]) and lowest recorded systolic blood pressure (area under curve 0.54 [0.39-0.70]).</w:t>
      </w:r>
    </w:p>
    <w:p/>
    <w:p>
      <w:pPr>
        <w:pStyle w:val="Normal"/>
      </w:pPr>
      <w:r>
        <w:rPr>
          <w:color w:val="323232"/>
        </w:rPr>
        <w:t xml:space="preserve">CONCLUSIONS:Microcirculatory hypoperfusion immediately following traumatic hemorrhagic shock and resuscitation is associated with increased multiple organ dysfunction syndrome. Microcirculatory variables are better prognostic indicators for the development of multiple organ dysfunction syndrome than more traditional indices. Microcirculatory perfusion is a potential endpoint of resuscitation following traumatic hemorrhagic shock.</w:t>
      </w:r>
    </w:p>
    <w:p/>
    <w:p>
      <w:pPr>
        <w:pStyle w:val="Normal"/>
      </w:pPr>
      <w:r>
        <w:rPr>
          <w:color w:val="323232"/>
        </w:rPr>
        <w:t xml:space="preserve">Critical Care Medicine, 2018 vol. 46 (9) pp. e889-e896.</w:t>
      </w:r>
    </w:p>
    <w:p>
      <w:r>
        <w:rPr>
          <w:rStyle w:val="Hyperlink"/>
        </w:rPr>
        <w:fldChar w:fldCharType="begin"/>
      </w:r>
      <w:r>
        <w:rPr>
          <w:rStyle w:val="Hyperlink"/>
        </w:rPr>
        <w:instrText xml:space="preserve"> HYPERLINK "http://eutils.ncbi.nlm.nih.gov/entrez/eutils/elink.fcgi?dbfrom=pubmed&amp;id=29957708&amp;retmode=ref&amp;cmd=prlinks"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http://eutils.ncbi.nlm.nih.gov/entrez/eutils/elink.fcgi?dbfrom=pubmed&amp;id=29957708&amp;retmode=ref&amp;cmd=prlinks</w:t>
      </w:r>
      <w:r>
        <w:rPr>
          <w:rStyle w:val="Hyperlink"/>
        </w:rPr>
        <w:fldChar w:fldCharType="end"/>
      </w:r>
    </w:p>
    <w:p>
      <w:pPr>
        <w:pStyle w:val="Normal"/>
      </w:pPr>
      <w:r>
        <w:rPr>
          <w:color w:val="323232"/>
        </w:rPr>
        <w:t xml:space="preserve">————————</w:t>
      </w:r>
    </w:p>
    <w:p>
      <w:pPr>
        <w:pStyle w:val="Heading4"/>
      </w:pPr>
      <w:r>
        <w:t xml:space="preserve">Prevention of Nosocomial Infections in Critically Ill Patients With Lactoferrin: A Randomized, Double-Blind, Placebo-Controlled Study.</w:t>
      </w:r>
    </w:p>
    <w:p/>
    <w:p>
      <w:pPr>
        <w:pStyle w:val="Normal"/>
      </w:pPr>
      <w:r>
        <w:rPr>
          <w:color w:val="323232"/>
        </w:rPr>
        <w:t xml:space="preserve">John Muscedere, David M Maslove, J Gordon Boyd, Nicole O’Callaghan, Stephanie Sibley, Steven Reynolds, Martin Albert, Richard Hall, Xuran Jiang, Andrew G Day, Gwyneth Jones, and Francois Lamontagne.</w:t>
      </w:r>
    </w:p>
    <w:p/>
    <w:p>
      <w:pPr>
        <w:pStyle w:val="Normal"/>
      </w:pPr>
      <w:r>
        <w:rPr>
          <w:color w:val="323232"/>
        </w:rPr>
        <w:t xml:space="preserve">OBJECTIVE:To obtain preliminary evidence for the efficacy of lactoferrin as a preventative measure for nosocomial infections and inform the conduct of a definitive study.</w:t>
      </w:r>
    </w:p>
    <w:p/>
    <w:p>
      <w:pPr>
        <w:pStyle w:val="Normal"/>
      </w:pPr>
      <w:r>
        <w:rPr>
          <w:color w:val="323232"/>
        </w:rPr>
        <w:t xml:space="preserve">DESIGN:Phase 2, multicenter, randomized, double-blind, placebo-controlled study.</w:t>
      </w:r>
    </w:p>
    <w:p/>
    <w:p>
      <w:pPr>
        <w:pStyle w:val="Normal"/>
      </w:pPr>
      <w:r>
        <w:rPr>
          <w:color w:val="323232"/>
        </w:rPr>
        <w:t xml:space="preserve">SETTING:Medical-surgical ICUs.</w:t>
      </w:r>
    </w:p>
    <w:p/>
    <w:p>
      <w:pPr>
        <w:pStyle w:val="Normal"/>
      </w:pPr>
      <w:r>
        <w:rPr>
          <w:color w:val="323232"/>
        </w:rPr>
        <w:t xml:space="preserve">PATIENTS:Adult, critically ill patients receiving invasive mechanical ventilation.</w:t>
      </w:r>
    </w:p>
    <w:p/>
    <w:p>
      <w:pPr>
        <w:pStyle w:val="Normal"/>
      </w:pPr>
      <w:r>
        <w:rPr>
          <w:color w:val="323232"/>
        </w:rPr>
        <w:t xml:space="preserve">INTERVENTIONS:Randomized, eligible, consenting patients expected to require invasive mechanical ventilation more than 48 hours received lactoferrin both enterally and via an oral swab or a placebo of sterile water for up to 28 days.</w:t>
      </w:r>
    </w:p>
    <w:p/>
    <w:p>
      <w:pPr>
        <w:pStyle w:val="Normal"/>
      </w:pPr>
      <w:r>
        <w:rPr>
          <w:color w:val="323232"/>
        </w:rPr>
        <w:t xml:space="preserve">MEASUREMENTS AND MAIN RESULTS:Of the 214 patients who were randomized, 212 received at least one dose of the intervention and were analyzed (107 lactoferrin and 105 placebo). Protocol adherence was 87.5%. Patients receiving lactoferrin were older (mean [SD], 66.3 [13.5] vs 62.5 [16.2] yr), had a higher Acute Physiology and Chronic Health Evaluation II score (26.8 [7.8] vs 23.5 [7.9]), and need for vasopressors (79% vs 70%). Antibiotic-free days (17.3 [9.0] vs 18.5 [7.1]; p = 0.91) and nosocomial infections (0.3 [0.7] vs 0.4 [0.6] per patient; p = 0.48) did not differ between lactoferrin and placebo groups, respectively. Clinical outcomes for lactoferrin versus placebo were as follows: ICU length of stay (14.5 [18.0] vs 15.0 [37.3] d; p = 0.82), hospital length of stay (25.0 [25.9] vs 28.1 [44.6] d; p = 0.57), hospital mortality (41.1% vs 30.5%; p = 0.11), and 90-day mortality (44.9% vs 32.4%; p = 0.06). Biomarker levels did not differ between the groups.</w:t>
      </w:r>
    </w:p>
    <w:p/>
    <w:p>
      <w:pPr>
        <w:pStyle w:val="Normal"/>
      </w:pPr>
      <w:r>
        <w:rPr>
          <w:color w:val="323232"/>
        </w:rPr>
        <w:t xml:space="preserve">CONCLUSIONS:Lactoferrin did not improve the primary outcome of antibiotic-free days, nor any of the secondary outcomes. Our data do not support the conduct of a larger phase 3 trial.</w:t>
      </w:r>
    </w:p>
    <w:p/>
    <w:p>
      <w:pPr>
        <w:pStyle w:val="Normal"/>
      </w:pPr>
      <w:r>
        <w:rPr>
          <w:color w:val="323232"/>
        </w:rPr>
        <w:t xml:space="preserve">Critical Care Medicine, 2018 vol. 46 (9) pp. 1450-1456.</w:t>
      </w:r>
    </w:p>
    <w:p>
      <w:r>
        <w:rPr>
          <w:rStyle w:val="Hyperlink"/>
        </w:rPr>
        <w:fldChar w:fldCharType="begin"/>
      </w:r>
      <w:r>
        <w:rPr>
          <w:rStyle w:val="Hyperlink"/>
        </w:rPr>
        <w:instrText xml:space="preserve"> HYPERLINK "http://eutils.ncbi.nlm.nih.gov/entrez/eutils/elink.fcgi?dbfrom=pubmed&amp;id=30015668&amp;retmode=ref&amp;cmd=prlinks"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http://eutils.ncbi.nlm.nih.gov/entrez/eutils/elink.fcgi?dbfrom=pubmed&amp;id=30015668&amp;retmode=ref&amp;cmd=prlinks</w:t>
      </w:r>
      <w:r>
        <w:rPr>
          <w:rStyle w:val="Hyperlink"/>
        </w:rPr>
        <w:fldChar w:fldCharType="end"/>
      </w:r>
    </w:p>
    <w:p>
      <w:pPr>
        <w:pStyle w:val="Normal"/>
      </w:pPr>
      <w:r>
        <w:rPr>
          <w:color w:val="323232"/>
        </w:rPr>
        <w:t xml:space="preserve">————————</w:t>
      </w:r>
    </w:p>
    <w:p>
      <w:pPr>
        <w:pStyle w:val="Heading4"/>
      </w:pPr>
      <w:r>
        <w:t xml:space="preserve">Deresuscitation of Patients With Iatrogenic Fluid Overload Is Associated With Reduced Mortality in Critical Illness.</w:t>
      </w:r>
    </w:p>
    <w:p/>
    <w:p>
      <w:pPr>
        <w:pStyle w:val="Normal"/>
      </w:pPr>
      <w:r>
        <w:rPr>
          <w:color w:val="323232"/>
        </w:rPr>
        <w:t xml:space="preserve">Jonathan A Silversides, Emma Fitzgerald, Uma S Manickavasagam, Stephen E Lapinsky, Rosane Nisenbaum, Noel Hemmings, Christopher Nutt, T John Trinder, David G Pogson, Eddy Fan, Andrew J Ferguson, Daniel F McAuley, John C Marshall, and Role of Active Deresuscitation After Resuscitation (RADAR) Investigators.</w:t>
      </w:r>
    </w:p>
    <w:p/>
    <w:p>
      <w:pPr>
        <w:pStyle w:val="Normal"/>
      </w:pPr>
      <w:r>
        <w:rPr>
          <w:color w:val="323232"/>
        </w:rPr>
        <w:t xml:space="preserve">OBJECTIVES:To characterize current practice in fluid administration and deresuscitation (removal of fluid using diuretics or renal replacement therapy), the relationship between fluid balance, deresuscitative measures, and outcomes and to identify risk factors for positive fluid balance in critical illness.</w:t>
      </w:r>
    </w:p>
    <w:p/>
    <w:p>
      <w:pPr>
        <w:pStyle w:val="Normal"/>
      </w:pPr>
      <w:r>
        <w:rPr>
          <w:color w:val="323232"/>
        </w:rPr>
        <w:t xml:space="preserve">DESIGN:Retrospective cohort study.</w:t>
      </w:r>
    </w:p>
    <w:p/>
    <w:p>
      <w:pPr>
        <w:pStyle w:val="Normal"/>
      </w:pPr>
      <w:r>
        <w:rPr>
          <w:color w:val="323232"/>
        </w:rPr>
        <w:t xml:space="preserve">SETTING:Ten ICUs in the United Kingdom and Canada.</w:t>
      </w:r>
    </w:p>
    <w:p/>
    <w:p>
      <w:pPr>
        <w:pStyle w:val="Normal"/>
      </w:pPr>
      <w:r>
        <w:rPr>
          <w:color w:val="323232"/>
        </w:rPr>
        <w:t xml:space="preserve">PATIENTS:Adults receiving invasive mechanical ventilation for a minimum of 24 hours.</w:t>
      </w:r>
    </w:p>
    <w:p/>
    <w:p>
      <w:pPr>
        <w:pStyle w:val="Normal"/>
      </w:pPr>
      <w:r>
        <w:rPr>
          <w:color w:val="323232"/>
        </w:rPr>
        <w:t xml:space="preserve">INTERVENTIONS:None.</w:t>
      </w:r>
    </w:p>
    <w:p/>
    <w:p>
      <w:pPr>
        <w:pStyle w:val="Normal"/>
      </w:pPr>
      <w:r>
        <w:rPr>
          <w:color w:val="323232"/>
        </w:rPr>
        <w:t xml:space="preserve">MEASUREMENTS AND MAIN RESULTS:Four-hundred patients were included. Positive cumulative fluid balance (fluid input greater than output) occurred in 87.3%: the largest contributions to fluid input were from medications and maintenance fluids rather than resuscitative IV fluids. In a multivariate logistic regression model, fluid balance on day 3 was an independent risk factor for 30-day mortality (odds ratio 1.26/L [95% CI, 1.07-1.46]), whereas negative fluid balance achieved in the context of deresuscitative measures was associated with lower mortality. Independent predictors of greater fluid balance included treatment in a Canadian site.</w:t>
      </w:r>
    </w:p>
    <w:p/>
    <w:p>
      <w:pPr>
        <w:pStyle w:val="Normal"/>
      </w:pPr>
      <w:r>
        <w:rPr>
          <w:color w:val="323232"/>
        </w:rPr>
        <w:t xml:space="preserve">CONCLUSIONS:Fluid balance is a practice-dependent and potentially modifiable risk factor for adverse outcomes in critical illness. Negative fluid balance achieved with deresuscitation on day 3 of ICU stay is associated with improved patient outcomes. Minimization of day 3 fluid balance by limiting maintenance fluid intake and drug diluents, and using deresuscitative measures, represents a potentially beneficial therapeutic strategy which merits investigation in randomized trials.</w:t>
      </w:r>
    </w:p>
    <w:p/>
    <w:p>
      <w:pPr>
        <w:pStyle w:val="Normal"/>
      </w:pPr>
      <w:r>
        <w:rPr>
          <w:color w:val="323232"/>
        </w:rPr>
        <w:t xml:space="preserve">Critical Care Medicine, 2018 vol. 46 (10) pp. 1600-1607.</w:t>
      </w:r>
    </w:p>
    <w:p>
      <w:r>
        <w:rPr>
          <w:rStyle w:val="Hyperlink"/>
        </w:rPr>
        <w:fldChar w:fldCharType="begin"/>
      </w:r>
      <w:r>
        <w:rPr>
          <w:rStyle w:val="Hyperlink"/>
        </w:rPr>
        <w:instrText xml:space="preserve"> HYPERLINK "http://eutils.ncbi.nlm.nih.gov/entrez/eutils/elink.fcgi?dbfrom=pubmed&amp;id=29985214&amp;retmode=ref&amp;cmd=prlinks"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http://eutils.ncbi.nlm.nih.gov/entrez/eutils/elink.fcgi?dbfrom=pubmed&amp;id=29985214&amp;retmode=ref&amp;cmd=prlinks</w:t>
      </w:r>
      <w:r>
        <w:rPr>
          <w:rStyle w:val="Hyperlink"/>
        </w:rPr>
        <w:fldChar w:fldCharType="end"/>
      </w:r>
    </w:p>
    <w:p>
      <w:pPr>
        <w:pStyle w:val="Normal"/>
      </w:pPr>
      <w:r>
        <w:rPr>
          <w:color w:val="323232"/>
        </w:rPr>
        <w:t xml:space="preserve">————————</w:t>
      </w:r>
    </w:p>
    <w:p>
      <w:pPr>
        <w:pStyle w:val="Heading4"/>
      </w:pPr>
      <w:r>
        <w:t xml:space="preserve">Evaluation of Effect of Probiotics on Cytokine Levels in Critically Ill Children With Severe Sepsis: A Double-Blind, Placebo-Controlled Trial.</w:t>
      </w:r>
    </w:p>
    <w:p/>
    <w:p>
      <w:pPr>
        <w:pStyle w:val="Normal"/>
      </w:pPr>
      <w:r>
        <w:rPr>
          <w:color w:val="323232"/>
        </w:rPr>
        <w:t xml:space="preserve">Suresh K Angurana, Arun Bansal, Sunit Singhi, Ritu Aggarwal, Muralidharan Jayashree, Manila Salaria, and Navdeep K Mangat.</w:t>
      </w:r>
    </w:p>
    <w:p/>
    <w:p>
      <w:pPr>
        <w:pStyle w:val="Normal"/>
      </w:pPr>
      <w:r>
        <w:rPr>
          <w:color w:val="323232"/>
        </w:rPr>
        <w:t xml:space="preserve">OBJECTIVES:To evaluate the effect of probiotics on cytokines in children with severe sepsis.</w:t>
      </w:r>
    </w:p>
    <w:p/>
    <w:p>
      <w:pPr>
        <w:pStyle w:val="Normal"/>
      </w:pPr>
      <w:r>
        <w:rPr>
          <w:color w:val="323232"/>
        </w:rPr>
        <w:t xml:space="preserve">DESIGN:Randomized, double-blind, placebo-controlled trial.</w:t>
      </w:r>
    </w:p>
    <w:p/>
    <w:p>
      <w:pPr>
        <w:pStyle w:val="Normal"/>
      </w:pPr>
      <w:r>
        <w:rPr>
          <w:color w:val="323232"/>
        </w:rPr>
        <w:t xml:space="preserve">SETTING:ICU of a tertiary care teaching hospital in North India.</w:t>
      </w:r>
    </w:p>
    <w:p/>
    <w:p>
      <w:pPr>
        <w:pStyle w:val="Normal"/>
      </w:pPr>
      <w:r>
        <w:rPr>
          <w:color w:val="323232"/>
        </w:rPr>
        <w:t xml:space="preserve">PATIENTS:Children 3 months to 12 years old with severe sepsis.</w:t>
      </w:r>
    </w:p>
    <w:p/>
    <w:p>
      <w:pPr>
        <w:pStyle w:val="Normal"/>
      </w:pPr>
      <w:r>
        <w:rPr>
          <w:color w:val="323232"/>
        </w:rPr>
        <w:t xml:space="preserve">INTERVENTIONS:Enrolled children were randomized to probiotic (n = 50) and placebo (n = 50) groups. Probiotic group received VSL#3 (Danisco-Dupont USA, Madison, WI) (Lactobacillus paracasei, L. plantarum, L. acidophilus, L. delbrueckii, Bifidobacterium longum, B. infantis, B. breve, Streptococcus salivarius; maltose and silicon dioxide), and placebo group received maltose and silicon dioxide. Dose was 1 sachet twice daily for 7 days. Blood was collected on days 1 and 7 for estimation of interleukin-6, interleukin-12p70, interleukin-17, tumor necrosis factor-α, interleukin-10, and transforming growth factor -β1. "Primary outcome": Change in cytokine levels in probiotic and placebo groups from day 1 to 7. "Secondary outcomes": Sequential Organ Failure Assessment score, healthcare-associated infections, ICU stay, and mortality.</w:t>
      </w:r>
    </w:p>
    <w:p/>
    <w:p>
      <w:pPr>
        <w:pStyle w:val="Normal"/>
      </w:pPr>
      <w:r>
        <w:rPr>
          <w:color w:val="323232"/>
        </w:rPr>
        <w:t xml:space="preserve">MEASUREMENTS AND MAIN RESULTS:On day 7, probiotic group had significantly lower levels of proinflammatory cytokines (interleukin-6 [80 vs 186 pg/ mL, p = 0.001]; interleukin-12p70 [44 vs 79 pg/ mL, p = 0.001]; interleukin-17 [217 vs 293 pg/ mL, p = 0.01]; and tumor necrosis factor-α [192 vs 348 pg/ mL, p = 0.01]) and higher levels of antiinflammatory cytokines (interleukin-10 [320 vs 240 pg/ mL, p = 0.02] and transforming growth factor-β1 [311 vs 221 ng/ mL, p = 0.01]) than placebo group. From day 1 to 7, probiotic group showed significant decrease in proinflammatory cytokines (interleukin-6 [196-80 pg/ mL, p = 0.001]; interleukin-12p70 [71-44 pg/ mL, p = 0.01]; interleukin-17 [258-217 pg/ mL, p = 0.01]; and tumor necrosis factor-α [347-192 pg/ mL, p = 0.001]) and increase in antiinflammatory cytokines (interleukin-10 [198-320 pg/ mL, p = 0.001] and transforming growth factor-β1 [216-311 ng/ mL, p = 0.001]) as compared to placebo group. Sequential Organ Failure Assessment score on day 7 was significantly less in probiotic group (1 vs 3). There was a nonsignificant trend toward lower incidence of healthcare-associated infections (14% vs 20%) and duration of ICU stay (6.5 vs 9 d) in probiotic group. Mortality was similar in two groups.</w:t>
      </w:r>
    </w:p>
    <w:p/>
    <w:p>
      <w:pPr>
        <w:pStyle w:val="Normal"/>
      </w:pPr>
      <w:r>
        <w:rPr>
          <w:color w:val="323232"/>
        </w:rPr>
        <w:t xml:space="preserve">CONCLUSIONS:Probiotics supplementation for 7 days resulted in significant decrease in proinflammatory and increase in antiinflammatory cytokines in children with severe sepsis.</w:t>
      </w:r>
    </w:p>
    <w:p/>
    <w:p>
      <w:pPr>
        <w:pStyle w:val="Normal"/>
      </w:pPr>
      <w:r>
        <w:rPr>
          <w:color w:val="323232"/>
        </w:rPr>
        <w:t xml:space="preserve">Critical Care Medicine, 2018 vol. 46 (10) pp. 1656-1664.</w:t>
      </w:r>
    </w:p>
    <w:p>
      <w:r>
        <w:rPr>
          <w:rStyle w:val="Hyperlink"/>
        </w:rPr>
        <w:fldChar w:fldCharType="begin"/>
      </w:r>
      <w:r>
        <w:rPr>
          <w:rStyle w:val="Hyperlink"/>
        </w:rPr>
        <w:instrText xml:space="preserve"> HYPERLINK "http://eutils.ncbi.nlm.nih.gov/entrez/eutils/elink.fcgi?dbfrom=pubmed&amp;id=29957709&amp;retmode=ref&amp;cmd=prlinks"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http://eutils.ncbi.nlm.nih.gov/entrez/eutils/elink.fcgi?dbfrom=pubmed&amp;id=29957709&amp;retmode=ref&amp;cmd=prlinks</w:t>
      </w:r>
      <w:r>
        <w:rPr>
          <w:rStyle w:val="Hyperlink"/>
        </w:rPr>
        <w:fldChar w:fldCharType="end"/>
      </w:r>
    </w:p>
    <w:p>
      <w:pPr>
        <w:pStyle w:val="Normal"/>
      </w:pPr>
      <w:r>
        <w:rPr>
          <w:color w:val="323232"/>
        </w:rPr>
        <w:t xml:space="preserve">————————</w:t>
      </w:r>
    </w:p>
    <w:p>
      <w:pPr>
        <w:pStyle w:val="Heading4"/>
      </w:pPr>
      <w:r>
        <w:t xml:space="preserve">Hypertonic Lactate to Improve Cerebral Perfusion and Glucose Availability After Acute Brain Injury.</w:t>
      </w:r>
    </w:p>
    <w:p/>
    <w:p>
      <w:pPr>
        <w:pStyle w:val="Normal"/>
      </w:pPr>
      <w:r>
        <w:rPr>
          <w:color w:val="323232"/>
        </w:rPr>
        <w:t xml:space="preserve">Laurent Carteron, Daria Solari, Camille Patet, Hervé Quintard, John-Paul Miroz, Jocelyne Bloch, Roy T Daniel, Lorenz Hirt, Philippe Eckert, Pierre J Magistretti, and Mauro Oddo.</w:t>
      </w:r>
    </w:p>
    <w:p/>
    <w:p>
      <w:pPr>
        <w:pStyle w:val="Normal"/>
      </w:pPr>
      <w:r>
        <w:rPr>
          <w:color w:val="323232"/>
        </w:rPr>
        <w:t xml:space="preserve">OBJECTIVES:Lactate promotes cerebral blood flow and is an efficient substrate for the brain, particularly at times of glucose shortage. Hypertonic lactate is neuroprotective after experimental brain injury; however, human data are limited.</w:t>
      </w:r>
    </w:p>
    <w:p/>
    <w:p>
      <w:pPr>
        <w:pStyle w:val="Normal"/>
      </w:pPr>
      <w:r>
        <w:rPr>
          <w:color w:val="323232"/>
        </w:rPr>
        <w:t xml:space="preserve">DESIGN:Prospective study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NCT01573507).</w:t>
      </w:r>
    </w:p>
    <w:p/>
    <w:p>
      <w:pPr>
        <w:pStyle w:val="Normal"/>
      </w:pPr>
      <w:r>
        <w:rPr>
          <w:color w:val="323232"/>
        </w:rPr>
        <w:t xml:space="preserve">SETTING:Academic ICU.</w:t>
      </w:r>
    </w:p>
    <w:p/>
    <w:p>
      <w:pPr>
        <w:pStyle w:val="Normal"/>
      </w:pPr>
      <w:r>
        <w:rPr>
          <w:color w:val="323232"/>
        </w:rPr>
        <w:t xml:space="preserve">PATIENTS:Twenty-three brain-injured subjects (13 traumatic brain injury/10 subarachnoid hemorrhage; median age, 59 yr [41-65 yr]; median Glasgow Coma Scale, 6 [3-7]).</w:t>
      </w:r>
    </w:p>
    <w:p/>
    <w:p>
      <w:pPr>
        <w:pStyle w:val="Normal"/>
      </w:pPr>
      <w:r>
        <w:rPr>
          <w:color w:val="323232"/>
        </w:rPr>
        <w:t xml:space="preserve">INTERVENTIONS:Three-hour IV infusion of hypertonic lactate (sodium lactate, 1,000 mmol</w:t>
      </w:r>
      <w:r>
        <w:rPr>
          <w:i w:val="1"/>
          <w:color w:val="323232"/>
        </w:rPr>
        <w:t xml:space="preserve">L; concentration, 30 µmol</w:t>
      </w:r>
      <w:r>
        <w:rPr>
          <w:color w:val="323232"/>
        </w:rPr>
        <w:t xml:space="preserve">kg/min) administered 39 hours (26-49</w:t>
      </w:r>
      <w:r>
        <w:rPr>
          <w:color w:val="323232"/>
        </w:rPr>
        <w:t xml:space="preserve"> </w:t>
      </w:r>
      <w:r>
        <w:rPr>
          <w:color w:val="323232"/>
        </w:rPr>
        <w:t xml:space="preserve">hr) from injury.</w:t>
      </w:r>
    </w:p>
    <w:p/>
    <w:p>
      <w:pPr>
        <w:pStyle w:val="Normal"/>
      </w:pPr>
      <w:r>
        <w:rPr>
          <w:color w:val="323232"/>
        </w:rPr>
        <w:t xml:space="preserve">MEASUREMENTS AND MAIN RESULTS:We examined the effect of hypertonic lactate on cerebral perfusion (using transcranial Doppler) and brain energy metabolism (using cerebral microdialysis). The majority of subjects (13/23 = 57%) had reduced brain glucose availability (baseline pretreatment cerebral microdialysis glucose, &lt; 1 mmol/L) despite normal baseline intracranial pressure (10 [7-15] mm Hg). Hypertonic lactate was associated with increased cerebral microdialysis lactate (+55% [31-80%]) that was paralleled by an increase in middle cerebral artery mean cerebral blood flow velocities (+36% [21-66%]) and a decrease in pulsatility index (-21% [13-26%]; all p &lt; 0.001). Cerebral microdialysis glucose increased above normal range during hypertonic lactate (+42% [30-78%]; p &lt; 0.05); reduced brain glucose availability correlated with a greater improvement of cerebral microdialysis glucose (Spearman r = -0.53; p = 0.009). No significant changes in cerebral perfusion pressure, mean arterial pressure, systemic carbon dioxide, and blood glucose were observed during hypertonic lactate (all p &gt; 0.1).</w:t>
      </w:r>
    </w:p>
    <w:p/>
    <w:p>
      <w:pPr>
        <w:pStyle w:val="Normal"/>
      </w:pPr>
      <w:r>
        <w:rPr>
          <w:color w:val="323232"/>
        </w:rPr>
        <w:t xml:space="preserve">CONCLUSIONS:This is the first clinical demonstration that hypertonic lactate resuscitation improves both cerebral perfusion and brain glucose availability after brain injury. These cerebral vascular and metabolic effects appeared related to brain lactate supplementation rather than to systemic effects.</w:t>
      </w:r>
    </w:p>
    <w:p/>
    <w:p>
      <w:pPr>
        <w:pStyle w:val="Normal"/>
      </w:pPr>
      <w:r>
        <w:rPr>
          <w:color w:val="323232"/>
        </w:rPr>
        <w:t xml:space="preserve">Critical Care Medicine, 2018 vol. 46 (10) pp. 1649-1655.</w:t>
      </w:r>
    </w:p>
    <w:p>
      <w:r>
        <w:rPr>
          <w:rStyle w:val="Hyperlink"/>
        </w:rPr>
        <w:fldChar w:fldCharType="begin"/>
      </w:r>
      <w:r>
        <w:rPr>
          <w:rStyle w:val="Hyperlink"/>
        </w:rPr>
        <w:instrText xml:space="preserve"> HYPERLINK "http://eutils.ncbi.nlm.nih.gov/entrez/eutils/elink.fcgi?dbfrom=pubmed&amp;id=29923931&amp;retmode=ref&amp;cmd=prlinks"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http://eutils.ncbi.nlm.nih.gov/entrez/eutils/elink.fcgi?dbfrom=pubmed&amp;id=29923931&amp;retmode=ref&amp;cmd=prlinks</w:t>
      </w:r>
      <w:r>
        <w:rPr>
          <w:rStyle w:val="Hyperlink"/>
        </w:rPr>
        <w:fldChar w:fldCharType="end"/>
      </w:r>
    </w:p>
    <w:p>
      <w:pPr>
        <w:pStyle w:val="Normal"/>
      </w:pPr>
      <w:r>
        <w:rPr>
          <w:color w:val="323232"/>
        </w:rPr>
        <w:t xml:space="preserve">————————</w:t>
      </w:r>
    </w:p>
    <w:p>
      <w:pPr>
        <w:pStyle w:val="Heading4"/>
      </w:pPr>
      <w:r>
        <w:t xml:space="preserve">Increased Fibrinolysis as a Specific Marker of Poor Outcome After Cardiac Arrest.</w:t>
      </w:r>
    </w:p>
    <w:p/>
    <w:p>
      <w:pPr>
        <w:pStyle w:val="Normal"/>
      </w:pPr>
      <w:r>
        <w:rPr>
          <w:color w:val="323232"/>
        </w:rPr>
        <w:t xml:space="preserve">Nina Buchtele, Christian Schörgenhofer, Alexander O Spiel, Bernd Jilma, and Michael Schwameis.</w:t>
      </w:r>
    </w:p>
    <w:p/>
    <w:p>
      <w:pPr>
        <w:pStyle w:val="Normal"/>
      </w:pPr>
      <w:r>
        <w:rPr>
          <w:color w:val="323232"/>
        </w:rPr>
        <w:t xml:space="preserve">OBJECTIVES:Recent data suggest that early increased fibrinolysis may be associated with unfavorable prognosis in cardiac arrest. The current study aimed to assess whether there is an optimal fibrinolysis cutoff value as determined by thrombelastometry at hospital admission to predict poor outcome in a cohort of adult patients with out-of-hospital cardiac arrest.</w:t>
      </w:r>
    </w:p>
    <w:p/>
    <w:p>
      <w:pPr>
        <w:pStyle w:val="Normal"/>
      </w:pPr>
      <w:r>
        <w:rPr>
          <w:color w:val="323232"/>
        </w:rPr>
        <w:t xml:space="preserve">DESIGN:Prospective observational cohort study.</w:t>
      </w:r>
    </w:p>
    <w:p/>
    <w:p>
      <w:pPr>
        <w:pStyle w:val="Normal"/>
      </w:pPr>
      <w:r>
        <w:rPr>
          <w:color w:val="323232"/>
        </w:rPr>
        <w:t xml:space="preserve">SETTING:Emergency department of a 2.100-bed tertiary care facility in Vienna, Austria, Europe.</w:t>
      </w:r>
    </w:p>
    <w:p/>
    <w:p>
      <w:pPr>
        <w:pStyle w:val="Normal"/>
      </w:pPr>
      <w:r>
        <w:rPr>
          <w:color w:val="323232"/>
        </w:rPr>
        <w:t xml:space="preserve">PATIENTS:Patients with out-of-hospital cardiac arrest of presumed cardiac origin, subjected to targeted temperature management, who had achieved return of spontaneous circulation at admission were analyzed.</w:t>
      </w:r>
    </w:p>
    <w:p/>
    <w:p>
      <w:pPr>
        <w:pStyle w:val="Normal"/>
      </w:pPr>
      <w:r>
        <w:rPr>
          <w:color w:val="323232"/>
        </w:rPr>
        <w:t xml:space="preserve">INTERVENTIONS:None.</w:t>
      </w:r>
    </w:p>
    <w:p/>
    <w:p>
      <w:pPr>
        <w:pStyle w:val="Normal"/>
      </w:pPr>
      <w:r>
        <w:rPr>
          <w:color w:val="323232"/>
        </w:rPr>
        <w:t xml:space="preserve">MEASUREMENTS AND MAIN RESULTS:Fibrinolysis was assessed by thrombelastometry at the bedside immediately after hospital admission and is given as maximum lysis (%). The outcome measure was the optimal cutoff for maximum lysis at hospital admission to predict poor outcome (a composite of Cerebral Performance Category 3-5 or death) at day 30, assessed by receiver operating characteristic curve analysis. Seventy-eight patients (61% male, median 59 yr) were included in the study from March 2014 to March 2017. Forty-two patients (54%) had a poor 30-day outcome including 23 nonsurvivors (30%). The maximum lysis cutoff at admission predicting poor 30-day outcome with 100% specificity (95% CI, 90-100%) was greater than or equal to 20%. Tissue-type plasminogen activator antigen levels were likewise elevated in patients with poor neurologic outcome or death 52</w:t>
      </w:r>
      <w:r>
        <w:rPr>
          <w:color w:val="323232"/>
        </w:rPr>
        <w:t xml:space="preserve"> </w:t>
      </w:r>
      <w:r>
        <w:rPr>
          <w:color w:val="323232"/>
        </w:rPr>
        <w:t xml:space="preserve">ng/ mL (interquartile range, 26-79</w:t>
      </w:r>
      <w:r>
        <w:rPr>
          <w:color w:val="323232"/>
        </w:rPr>
        <w:t xml:space="preserve"> </w:t>
      </w:r>
      <w:r>
        <w:rPr>
          <w:color w:val="323232"/>
        </w:rPr>
        <w:t xml:space="preserve">ng/ mL) versus 29</w:t>
      </w:r>
      <w:r>
        <w:rPr>
          <w:color w:val="323232"/>
        </w:rPr>
        <w:t xml:space="preserve"> </w:t>
      </w:r>
      <w:r>
        <w:rPr>
          <w:color w:val="323232"/>
        </w:rPr>
        <w:t xml:space="preserve">ng/ mL (interquartile range, 17-49</w:t>
      </w:r>
      <w:r>
        <w:rPr>
          <w:color w:val="323232"/>
        </w:rPr>
        <w:t xml:space="preserve"> </w:t>
      </w:r>
      <w:r>
        <w:rPr>
          <w:color w:val="323232"/>
        </w:rPr>
        <w:t xml:space="preserve">ng/ mL; p = 0.036).</w:t>
      </w:r>
    </w:p>
    <w:p/>
    <w:p>
      <w:pPr>
        <w:pStyle w:val="Normal"/>
      </w:pPr>
      <w:r>
        <w:rPr>
          <w:color w:val="323232"/>
        </w:rPr>
        <w:t xml:space="preserve">CONCLUSIONS:Increased fibrinolysis at admission assessed by thrombelastometry specifically predicts poor outcome in cardiac arrest with presumed cardiac etiology.</w:t>
      </w:r>
    </w:p>
    <w:p/>
    <w:p>
      <w:pPr>
        <w:pStyle w:val="Normal"/>
      </w:pPr>
      <w:r>
        <w:rPr>
          <w:color w:val="323232"/>
        </w:rPr>
        <w:t xml:space="preserve">Critical Care Medicine, 2018 vol. 46 (10) pp. e995-e1001.</w:t>
      </w:r>
    </w:p>
    <w:p>
      <w:r>
        <w:rPr>
          <w:rStyle w:val="Hyperlink"/>
        </w:rPr>
        <w:fldChar w:fldCharType="begin"/>
      </w:r>
      <w:r>
        <w:rPr>
          <w:rStyle w:val="Hyperlink"/>
        </w:rPr>
        <w:instrText xml:space="preserve"> HYPERLINK "http://eutils.ncbi.nlm.nih.gov/entrez/eutils/elink.fcgi?dbfrom=pubmed&amp;id=30096099&amp;retmode=ref&amp;cmd=prlinks"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http://eutils.ncbi.nlm.nih.gov/entrez/eutils/elink.fcgi?dbfrom=pubmed&amp;id=30096099&amp;retmode=ref&amp;cmd=prlinks</w:t>
      </w:r>
      <w:r>
        <w:rPr>
          <w:rStyle w:val="Hyperlink"/>
        </w:rPr>
        <w:fldChar w:fldCharType="end"/>
      </w:r>
    </w:p>
    <w:p>
      <w:pPr>
        <w:pStyle w:val="Normal"/>
      </w:pPr>
      <w:r>
        <w:rPr>
          <w:color w:val="323232"/>
        </w:rPr>
        <w:t xml:space="preserve">————————</w:t>
      </w:r>
    </w:p>
    <w:p>
      <w:pPr>
        <w:pStyle w:val="Heading4"/>
      </w:pPr>
      <w:r>
        <w:t xml:space="preserve">Moderate and Severe Acute Respiratory Distress Syndrome: Hemodynamic and Cardiac Effects of an Open Lung Strategy With Recruitment Maneuver Analyzed Using Echocardiography.</w:t>
      </w:r>
    </w:p>
    <w:p/>
    <w:p>
      <w:pPr>
        <w:pStyle w:val="Normal"/>
      </w:pPr>
      <w:r>
        <w:rPr>
          <w:color w:val="323232"/>
        </w:rPr>
        <w:t xml:space="preserve">Pablo Mercado, Julien Maizel, Loay Kontar, Marek Nalos, Stephen Huang, Sam Orde, Anthony McLean, and Michel Slama.</w:t>
      </w:r>
    </w:p>
    <w:p/>
    <w:p>
      <w:pPr>
        <w:pStyle w:val="Normal"/>
      </w:pPr>
      <w:r>
        <w:rPr>
          <w:color w:val="323232"/>
        </w:rPr>
        <w:t xml:space="preserve">OBJECTIVES:Open lung ventilation with a recruitment maneuver could be beneficial for acute respiratory distress syndrome patients. However, the increased airway pressures resulting from the recruitment maneuver may induce cardiac dysfunction, limiting the benefit of this maneuver. We analyzed the effect of a recruitment maneuver and decremental positive end-expiratory pressure titration on cardiac function.</w:t>
      </w:r>
    </w:p>
    <w:p/>
    <w:p>
      <w:pPr>
        <w:pStyle w:val="Normal"/>
      </w:pPr>
      <w:r>
        <w:rPr>
          <w:color w:val="323232"/>
        </w:rPr>
        <w:t xml:space="preserve">SETTINGS:Medical ICU Amiens, France.</w:t>
      </w:r>
    </w:p>
    <w:p/>
    <w:p>
      <w:pPr>
        <w:pStyle w:val="Normal"/>
      </w:pPr>
      <w:r>
        <w:rPr>
          <w:color w:val="323232"/>
        </w:rPr>
        <w:t xml:space="preserve">PATIENTS:Twenty patients with moderate to severe acute respiratory distress syndrome INTERVENTIONS:: Patients underwent a stepwise recruitment maneuver with respiratory evaluation and echocardiography assessment of cardiac function including longitudinal strain at baseline, peak positive end-expiratory pressure of recruitment maneuver (positive end-expiratory pressure 40</w:t>
      </w:r>
      <w:r>
        <w:rPr>
          <w:color w:val="323232"/>
        </w:rPr>
        <w:t xml:space="preserve"> </w:t>
      </w:r>
      <w:r>
        <w:rPr>
          <w:color w:val="323232"/>
        </w:rPr>
        <w:t xml:space="preserve">cm H2O), and at "optimal" positive end-expiratory pressure. The patients were divided into two groups based on change on the PaO2/FIO2 ratio (nonresponders &lt; 50%; responders ≥ 50%).</w:t>
      </w:r>
    </w:p>
    <w:p/>
    <w:p>
      <w:pPr>
        <w:pStyle w:val="Normal"/>
      </w:pPr>
      <w:r>
        <w:rPr>
          <w:color w:val="323232"/>
        </w:rPr>
        <w:t xml:space="preserve">MEASUREMENTS AND MAIN RESULTS:At peak positive end-expiratory pressure during the recruitment maneuver, the arterial pressure, cardiac output, left ventricular size decreased and right ventricular size increased. The left ventricular ejection fraction decreased from 60% ± 13% to 48% ± 18% (p = 0.05). Both left and right ventricular global longitudinal strain were impaired (-15.8% ± 4.5% to -11% ± 4.7% and -19% ± 5% to -14% ± 6% [p = 0.05] respectively). Fifty percent of patients were nonresponders and demonstrated a lower hemodynamic tolerance to the recruitment maneuver than responders. Optimal positive end-expiratory pressure was 14</w:t>
      </w:r>
      <w:r>
        <w:rPr>
          <w:color w:val="323232"/>
        </w:rPr>
        <w:t xml:space="preserve"> </w:t>
      </w:r>
      <w:r>
        <w:rPr>
          <w:color w:val="323232"/>
        </w:rPr>
        <w:t xml:space="preserve">±</w:t>
      </w:r>
      <w:r>
        <w:rPr>
          <w:color w:val="323232"/>
        </w:rPr>
        <w:t xml:space="preserve"> </w:t>
      </w:r>
      <w:r>
        <w:rPr>
          <w:color w:val="323232"/>
        </w:rPr>
        <w:t xml:space="preserve">5</w:t>
      </w:r>
      <w:r>
        <w:rPr>
          <w:color w:val="323232"/>
        </w:rPr>
        <w:t xml:space="preserve"> </w:t>
      </w:r>
      <w:r>
        <w:rPr>
          <w:color w:val="323232"/>
        </w:rPr>
        <w:t xml:space="preserve">cm H2O (vs 11</w:t>
      </w:r>
      <w:r>
        <w:rPr>
          <w:color w:val="323232"/>
        </w:rPr>
        <w:t xml:space="preserve"> </w:t>
      </w:r>
      <w:r>
        <w:rPr>
          <w:color w:val="323232"/>
        </w:rPr>
        <w:t xml:space="preserve">±</w:t>
      </w:r>
      <w:r>
        <w:rPr>
          <w:color w:val="323232"/>
        </w:rPr>
        <w:t xml:space="preserve"> </w:t>
      </w:r>
      <w:r>
        <w:rPr>
          <w:color w:val="323232"/>
        </w:rPr>
        <w:t xml:space="preserve">4</w:t>
      </w:r>
      <w:r>
        <w:rPr>
          <w:color w:val="323232"/>
        </w:rPr>
        <w:t xml:space="preserve"> </w:t>
      </w:r>
      <w:r>
        <w:rPr>
          <w:color w:val="323232"/>
        </w:rPr>
        <w:t xml:space="preserve">cm H2O at baseline), and PaO2/FIO2 ratio increased from 111</w:t>
      </w:r>
      <w:r>
        <w:rPr>
          <w:color w:val="323232"/>
        </w:rPr>
        <w:t xml:space="preserve"> </w:t>
      </w:r>
      <w:r>
        <w:rPr>
          <w:color w:val="323232"/>
        </w:rPr>
        <w:t xml:space="preserve">±</w:t>
      </w:r>
      <w:r>
        <w:rPr>
          <w:color w:val="323232"/>
        </w:rPr>
        <w:t xml:space="preserve"> </w:t>
      </w:r>
      <w:r>
        <w:rPr>
          <w:color w:val="323232"/>
        </w:rPr>
        <w:t xml:space="preserve">25 to 197</w:t>
      </w:r>
      <w:r>
        <w:rPr>
          <w:color w:val="323232"/>
        </w:rPr>
        <w:t xml:space="preserve"> </w:t>
      </w:r>
      <w:r>
        <w:rPr>
          <w:color w:val="323232"/>
        </w:rPr>
        <w:t xml:space="preserve">±</w:t>
      </w:r>
      <w:r>
        <w:rPr>
          <w:color w:val="323232"/>
        </w:rPr>
        <w:t xml:space="preserve"> </w:t>
      </w:r>
      <w:r>
        <w:rPr>
          <w:color w:val="323232"/>
        </w:rPr>
        <w:t xml:space="preserve">89</w:t>
      </w:r>
      <w:r>
        <w:rPr>
          <w:color w:val="323232"/>
        </w:rPr>
        <w:t xml:space="preserve"> </w:t>
      </w:r>
      <w:r>
        <w:rPr>
          <w:color w:val="323232"/>
        </w:rPr>
        <w:t xml:space="preserve">mm Hg (p &lt; 0.0001). All hemodynamic variables returned to their baseline value after the recruitment maneuver despite a higher positive end-expiratory pressure.</w:t>
      </w:r>
    </w:p>
    <w:p/>
    <w:p>
      <w:pPr>
        <w:pStyle w:val="Normal"/>
      </w:pPr>
      <w:r>
        <w:rPr>
          <w:color w:val="323232"/>
        </w:rPr>
        <w:t xml:space="preserve">CONCLUSIONS:An open lung strategy with a stepwise recruitment maneuver permitted a higher positive end-expiratory pressure and improved oxygenation without any cardiac impairment. The recruitment maneuver was associated with mild and transient, cardiac dysfunction, with nonresponders demonstrating poorer tolerance.</w:t>
      </w:r>
    </w:p>
    <w:p/>
    <w:p>
      <w:pPr>
        <w:pStyle w:val="Normal"/>
      </w:pPr>
      <w:r>
        <w:rPr>
          <w:color w:val="323232"/>
        </w:rPr>
        <w:t xml:space="preserve">Critical Care Medicine, 2018 vol. 46 (10) pp. 1608-1616.</w:t>
      </w:r>
    </w:p>
    <w:p>
      <w:r>
        <w:rPr>
          <w:rStyle w:val="Hyperlink"/>
        </w:rPr>
        <w:fldChar w:fldCharType="begin"/>
      </w:r>
      <w:r>
        <w:rPr>
          <w:rStyle w:val="Hyperlink"/>
        </w:rPr>
        <w:instrText xml:space="preserve"> HYPERLINK "http://eutils.ncbi.nlm.nih.gov/entrez/eutils/elink.fcgi?dbfrom=pubmed&amp;id=30028364&amp;retmode=ref&amp;cmd=prlinks"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http://eutils.ncbi.nlm.nih.gov/entrez/eutils/elink.fcgi?dbfrom=pubmed&amp;id=30028364&amp;retmode=ref&amp;cmd=prlinks</w:t>
      </w:r>
      <w:r>
        <w:rPr>
          <w:rStyle w:val="Hyperlink"/>
        </w:rPr>
        <w:fldChar w:fldCharType="end"/>
      </w:r>
    </w:p>
    <w:p>
      <w:pPr>
        <w:pStyle w:val="Normal"/>
      </w:pPr>
      <w:r>
        <w:rPr>
          <w:color w:val="323232"/>
        </w:rPr>
        <w:t xml:space="preserve">————————</w:t>
      </w:r>
    </w:p>
    <w:p>
      <w:pPr>
        <w:pStyle w:val="Heading4"/>
      </w:pPr>
      <w:r>
        <w:t xml:space="preserve">Presenting Symptoms Independently Predict Mortality in Septic Shock: Importance of a Previously Unmeasured Confounder.</w:t>
      </w:r>
    </w:p>
    <w:p/>
    <w:p>
      <w:pPr>
        <w:pStyle w:val="Normal"/>
      </w:pPr>
      <w:r>
        <w:rPr>
          <w:color w:val="323232"/>
        </w:rPr>
        <w:t xml:space="preserve">Michael R Filbin, James Lynch, Trent D Gillingham, Jill E Thorsen, Corey L Pasakarnis, Saurav Nepal, Minoru Matsushima, Chanu Rhee, Thomas Heldt, and Andrew T Reisner.</w:t>
      </w:r>
    </w:p>
    <w:p/>
    <w:p>
      <w:pPr>
        <w:pStyle w:val="Normal"/>
      </w:pPr>
      <w:r>
        <w:rPr>
          <w:color w:val="323232"/>
        </w:rPr>
        <w:t xml:space="preserve">OBJECTIVES:Presenting symptoms in patients with sepsis may influence rapidity of diagnosis, time-to-antibiotics, and outcome. We tested the hypothesis that vague presenting symptoms are associated with delayed antibiotics and increased mortality. We further characterized individual presenting symptoms and their association with mortality.</w:t>
      </w:r>
    </w:p>
    <w:p/>
    <w:p>
      <w:pPr>
        <w:pStyle w:val="Normal"/>
      </w:pPr>
      <w:r>
        <w:rPr>
          <w:color w:val="323232"/>
        </w:rPr>
        <w:t xml:space="preserve">DESIGN:Retrospective cohort study.</w:t>
      </w:r>
    </w:p>
    <w:p/>
    <w:p>
      <w:pPr>
        <w:pStyle w:val="Normal"/>
      </w:pPr>
      <w:r>
        <w:rPr>
          <w:color w:val="323232"/>
        </w:rPr>
        <w:t xml:space="preserve">SETTING:Emergency department of large, urban, academic U.S. hospital.</w:t>
      </w:r>
    </w:p>
    <w:p/>
    <w:p>
      <w:pPr>
        <w:pStyle w:val="Normal"/>
      </w:pPr>
      <w:r>
        <w:rPr>
          <w:color w:val="323232"/>
        </w:rPr>
        <w:t xml:space="preserve">PATIENTS:All adult patients with septic shock treated in the emergency department between April 2014 and March 2016.</w:t>
      </w:r>
    </w:p>
    <w:p/>
    <w:p>
      <w:pPr>
        <w:pStyle w:val="Normal"/>
      </w:pPr>
      <w:r>
        <w:rPr>
          <w:color w:val="323232"/>
        </w:rPr>
        <w:t xml:space="preserve">INTERVENTIONS:None.</w:t>
      </w:r>
    </w:p>
    <w:p/>
    <w:p>
      <w:pPr>
        <w:pStyle w:val="Normal"/>
      </w:pPr>
      <w:r>
        <w:rPr>
          <w:color w:val="323232"/>
        </w:rPr>
        <w:t xml:space="preserve">MEASUREMENTS AND MAIN RESULTS:Of 654 septic shock cases, 245 (37%) presented with vague symptoms. Time-to-antibiotics from first hypotension or elevated lactate was significantly longer for those with vague symptoms versus those with explicit symptoms of infection (1.6 vs 0.8</w:t>
      </w:r>
      <w:r>
        <w:rPr>
          <w:color w:val="323232"/>
        </w:rPr>
        <w:t xml:space="preserve"> </w:t>
      </w:r>
      <w:r>
        <w:rPr>
          <w:color w:val="323232"/>
        </w:rPr>
        <w:t xml:space="preserve">hr; p &lt; 0.01), and in-hospital mortality was also substantially higher (34% vs 16%; p &lt; 0.01). Patients with vague symptoms were older and sicker as evidenced by triage hypotension, Sequential Organ Failure Assessment score, initial serum lactate, and need for intubation. In multivariate analysis, vague symptoms were independently associated with mortality (adjusted odds ratio, 2.12; 95% CI, 1.32-3.40; p &lt; 0.01), whereas time-to-antibiotics was not associated with mortality (adjusted odds ratio, 1.01; 95% CI, 0.94-1.08; p = 0.78). Of individual symptoms, only the absence of fever, chills, or rigors (odds ratio, 2.70; 95% CI, 1.63-4.47; p &lt; 0.01) and presence of shortness of breath (odds ratio, 1.97; 95% CI, 1.23-3.15; p &lt; 0.01) were independently associated with mortality.</w:t>
      </w:r>
    </w:p>
    <w:p/>
    <w:p>
      <w:pPr>
        <w:pStyle w:val="Normal"/>
      </w:pPr>
      <w:r>
        <w:rPr>
          <w:color w:val="323232"/>
        </w:rPr>
        <w:t xml:space="preserve">CONCLUSIONS:More than one third of patients with septic shock presented to the emergency department with vague symptoms that were not specific to infection. These patients had delayed antibiotic administration and higher risk of mortality even after controlling for demographics, illness acuity, and time-to-antibiotics in multivariate analysis. These findings suggest that the nature of presenting symptoms is an important component of sepsis clinical phenotyping and may be an important confounder in sepsis epidemiologic studies.</w:t>
      </w:r>
    </w:p>
    <w:p/>
    <w:p>
      <w:pPr>
        <w:pStyle w:val="Normal"/>
      </w:pPr>
      <w:r>
        <w:rPr>
          <w:color w:val="323232"/>
        </w:rPr>
        <w:t xml:space="preserve">Critical Care Medicine, 2018 vol. 46 (10) pp. 1592-1599.</w:t>
      </w:r>
    </w:p>
    <w:p>
      <w:r>
        <w:rPr>
          <w:rStyle w:val="Hyperlink"/>
        </w:rPr>
        <w:fldChar w:fldCharType="begin"/>
      </w:r>
      <w:r>
        <w:rPr>
          <w:rStyle w:val="Hyperlink"/>
        </w:rPr>
        <w:instrText xml:space="preserve"> HYPERLINK "http://eutils.ncbi.nlm.nih.gov/entrez/eutils/elink.fcgi?dbfrom=pubmed&amp;id=29965833&amp;retmode=ref&amp;cmd=prlinks"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http://eutils.ncbi.nlm.nih.gov/entrez/eutils/elink.fcgi?dbfrom=pubmed&amp;id=29965833&amp;retmode=ref&amp;cmd=prlinks</w:t>
      </w:r>
      <w:r>
        <w:rPr>
          <w:rStyle w:val="Hyperlink"/>
        </w:rPr>
        <w:fldChar w:fldCharType="end"/>
      </w:r>
    </w:p>
    <w:p>
      <w:pPr>
        <w:pStyle w:val="Normal"/>
      </w:pPr>
      <w:r>
        <w:rPr>
          <w:color w:val="323232"/>
        </w:rPr>
        <w:t xml:space="preserve">————————</w:t>
      </w:r>
    </w:p>
    <w:p>
      <w:pPr>
        <w:pStyle w:val="Heading4"/>
      </w:pPr>
      <w:r>
        <w:t xml:space="preserve">Assessment of Lung Aeration and Recruitment by CT Scan and Ultrasound in Acute Respiratory Distress Syndrome Patients.</w:t>
      </w:r>
    </w:p>
    <w:p/>
    <w:p>
      <w:pPr>
        <w:pStyle w:val="Normal"/>
      </w:pPr>
      <w:r>
        <w:rPr>
          <w:color w:val="323232"/>
        </w:rPr>
        <w:t xml:space="preserve">Davide Chiumello, Silvia Mongodi, Ilaria Algieri, Giordano Luca Vergani, Anita Orlando, Gabriele Via, Francesco Crimella, Massimo Cressoni, and Francesco Mojoli.</w:t>
      </w:r>
    </w:p>
    <w:p/>
    <w:p>
      <w:pPr>
        <w:pStyle w:val="Normal"/>
      </w:pPr>
      <w:r>
        <w:rPr>
          <w:color w:val="323232"/>
        </w:rPr>
        <w:t xml:space="preserve">OBJECTIVES:Lung ultrasound is commonly used to evaluate lung morphology in patients with acute respiratory distress syndrome. Aim of this study was to determine lung ultrasound reliability in assessing lung aeration and positive end-expiratory pressure-induced recruitment compared with CT.</w:t>
      </w:r>
    </w:p>
    <w:p/>
    <w:p>
      <w:pPr>
        <w:pStyle w:val="Normal"/>
      </w:pPr>
      <w:r>
        <w:rPr>
          <w:color w:val="323232"/>
        </w:rPr>
        <w:t xml:space="preserve">DESIGN:Randomized crossover study.</w:t>
      </w:r>
    </w:p>
    <w:p/>
    <w:p>
      <w:pPr>
        <w:pStyle w:val="Normal"/>
      </w:pPr>
      <w:r>
        <w:rPr>
          <w:color w:val="323232"/>
        </w:rPr>
        <w:t xml:space="preserve">SETTING:University hospital ICU.</w:t>
      </w:r>
    </w:p>
    <w:p/>
    <w:p>
      <w:pPr>
        <w:pStyle w:val="Normal"/>
      </w:pPr>
      <w:r>
        <w:rPr>
          <w:color w:val="323232"/>
        </w:rPr>
        <w:t xml:space="preserve">PATIENTS:Twenty sedated paralyzed acute respiratory distress syndrome patients: age 56 years (43-72 yr), body mass index 25</w:t>
      </w:r>
      <w:r>
        <w:rPr>
          <w:color w:val="323232"/>
        </w:rPr>
        <w:t xml:space="preserve"> </w:t>
      </w:r>
      <w:r>
        <w:rPr>
          <w:color w:val="323232"/>
        </w:rPr>
        <w:t xml:space="preserve">kg</w:t>
      </w:r>
      <w:r>
        <w:rPr>
          <w:i w:val="1"/>
          <w:color w:val="323232"/>
        </w:rPr>
        <w:t xml:space="preserve">m (22-27</w:t>
      </w:r>
      <w:r>
        <w:rPr>
          <w:color w:val="323232"/>
        </w:rPr>
        <w:t xml:space="preserve"> </w:t>
      </w:r>
      <w:r>
        <w:rPr>
          <w:i w:val="1"/>
          <w:color w:val="323232"/>
        </w:rPr>
        <w:t xml:space="preserve">kg</w:t>
      </w:r>
      <w:r>
        <w:rPr>
          <w:color w:val="323232"/>
        </w:rPr>
        <w:t xml:space="preserve">m), and PaO2/FIO2 160 (113-218).</w:t>
      </w:r>
    </w:p>
    <w:p/>
    <w:p>
      <w:pPr>
        <w:pStyle w:val="Normal"/>
      </w:pPr>
      <w:r>
        <w:rPr>
          <w:color w:val="323232"/>
        </w:rPr>
        <w:t xml:space="preserve">INTERVENTIONS:Lung CT and lung ultrasound examination were performed at positive end-expiratory pressure 5 and 15</w:t>
      </w:r>
      <w:r>
        <w:rPr>
          <w:color w:val="323232"/>
        </w:rPr>
        <w:t xml:space="preserve"> </w:t>
      </w:r>
      <w:r>
        <w:rPr>
          <w:color w:val="323232"/>
        </w:rPr>
        <w:t xml:space="preserve">cm H2O.</w:t>
      </w:r>
    </w:p>
    <w:p/>
    <w:p>
      <w:pPr>
        <w:pStyle w:val="Normal"/>
      </w:pPr>
      <w:r>
        <w:rPr>
          <w:color w:val="323232"/>
        </w:rPr>
        <w:t xml:space="preserve">MEASUREMENTS AND MAIN RESULTS:Global and regional Lung Ultrasound scores were compared with CT quantitative analysis. Lung recruitment (i.e., decrease in not aerated tissue as assessed with CT) was compared with global Lung Ultrasound score variations. Global Lung Ultrasound score was strongly associated with average lung tissue density at positive end-expiratory pressure 5 (R = 0.78; p &lt; 0.0001) and positive end-expiratory pressure 15 (R = 0.62; p &lt; 0.0001). Regional Lung Ultrasound score strongly correlated with tissue density at positive end-expiratory pressure 5 (rs = 0.79; p &lt; 0.0001) and positive end-expiratory pressure 15 (rs = 0.79; p &lt; 0.0001). Each step increase of regional Lung Ultrasound score was associated with significant increase of tissue density (p &lt; 0.005). A substantial agreement was found between regional Lung Ultrasound score and CT classification at positive end-expiratory pressure 5 (k = 0.69 [0.63-0.75]) and at positive end-expiratory pressure 15 (k = 0.70 [0.64-0.75]). At positive end-expiratory pressure 15, both global Lung Ultrasound score (22 [16-27] vs 26 [21-29]; p &lt; 0.0001) and not aerated tissue (42% [25-57%] vs 52% [39-67%]; p &lt; 0.0001) decreased. However, Lung Ultrasound score variations were not associated with lung recruitment (R = 0.01; p = 0.67).</w:t>
      </w:r>
    </w:p>
    <w:p/>
    <w:p>
      <w:pPr>
        <w:pStyle w:val="Normal"/>
      </w:pPr>
      <w:r>
        <w:rPr>
          <w:color w:val="323232"/>
        </w:rPr>
        <w:t xml:space="preserve">CONCLUSIONS:Lung Ultrasound score is a valid tool to assess regional and global lung aeration. Global Lung Ultrasound score variations should not be used for bedside assessment of positive end-expiratory pressure-induced recruitment.</w:t>
      </w:r>
    </w:p>
    <w:p/>
    <w:p>
      <w:pPr>
        <w:pStyle w:val="Normal"/>
      </w:pPr>
      <w:r>
        <w:rPr>
          <w:color w:val="323232"/>
        </w:rPr>
        <w:t xml:space="preserve">Critical Care Medicine, 2018 vol. 46 (11) pp. 1761-1768.</w:t>
      </w:r>
    </w:p>
    <w:p>
      <w:r>
        <w:rPr>
          <w:rStyle w:val="Hyperlink"/>
        </w:rPr>
        <w:fldChar w:fldCharType="begin"/>
      </w:r>
      <w:r>
        <w:rPr>
          <w:rStyle w:val="Hyperlink"/>
        </w:rPr>
        <w:instrText xml:space="preserve"> HYPERLINK "http://eutils.ncbi.nlm.nih.gov/entrez/eutils/elink.fcgi?dbfrom=pubmed&amp;id=30048331&amp;retmode=ref&amp;cmd=prlinks"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http://eutils.ncbi.nlm.nih.gov/entrez/eutils/elink.fcgi?dbfrom=pubmed&amp;id=30048331&amp;retmode=ref&amp;cmd=prlinks</w:t>
      </w:r>
      <w:r>
        <w:rPr>
          <w:rStyle w:val="Hyperlink"/>
        </w:rPr>
        <w:fldChar w:fldCharType="end"/>
      </w:r>
    </w:p>
    <w:p>
      <w:pPr>
        <w:pStyle w:val="Normal"/>
      </w:pPr>
      <w:r>
        <w:rPr>
          <w:color w:val="323232"/>
        </w:rPr>
        <w:t xml:space="preserve">————————</w:t>
      </w:r>
    </w:p>
    <w:p>
      <w:pPr>
        <w:pStyle w:val="Heading4"/>
      </w:pPr>
      <w:r>
        <w:t xml:space="preserve">Beyond Low Tidal Volume Ventilation: Treatment Adjuncts for Severe Respiratory Failure in Acute Respiratory Distress Syndrome.</w:t>
      </w:r>
    </w:p>
    <w:p/>
    <w:p>
      <w:pPr>
        <w:pStyle w:val="Normal"/>
      </w:pPr>
      <w:r>
        <w:rPr>
          <w:color w:val="323232"/>
        </w:rPr>
        <w:t xml:space="preserve">Vikram Fielding-Singh, Michael A Matthay, and Carolyn S Calfee.</w:t>
      </w:r>
    </w:p>
    <w:p/>
    <w:p>
      <w:pPr>
        <w:pStyle w:val="Normal"/>
      </w:pPr>
      <w:r>
        <w:rPr>
          <w:color w:val="323232"/>
        </w:rPr>
        <w:t xml:space="preserve">OBJECTIVES:Despite decades of research, the acute respiratory distress syndrome remains associated with significant morbidity and mortality. This Concise Definitive Review provides a practical and evidence-based summary of treatments in addition to low tidal volume ventilation and their role in the management of severe respiratory failure in acute respiratory distress syndrome.</w:t>
      </w:r>
    </w:p>
    <w:p/>
    <w:p>
      <w:pPr>
        <w:pStyle w:val="Normal"/>
      </w:pPr>
      <w:r>
        <w:rPr>
          <w:color w:val="323232"/>
        </w:rPr>
        <w:t xml:space="preserve">DATA SOURCES:We searched the PubMed database for clinical trials, observational studies, and review articles describing treatment adjuncts in acute respiratory distress syndrome patients, including high positive end-expiratory pressure strategies, recruitment maneuvers, high-frequency oscillatory ventilation, neuromuscular blockade, prone positioning, inhaled pulmonary vasodilators, extracorporeal membrane oxygenation, glucocorticoids, and renal replacement therapy.</w:t>
      </w:r>
    </w:p>
    <w:p/>
    <w:p>
      <w:pPr>
        <w:pStyle w:val="Normal"/>
      </w:pPr>
      <w:r>
        <w:rPr>
          <w:color w:val="323232"/>
        </w:rPr>
        <w:t xml:space="preserve">STUDY SELECTION AND DATA EXTRACTION:Results were reviewed by the primary author in depth. Disputed findings and conclusions were then reviewed with the other authors until consensus was achieved.</w:t>
      </w:r>
    </w:p>
    <w:p/>
    <w:p>
      <w:pPr>
        <w:pStyle w:val="Normal"/>
      </w:pPr>
      <w:r>
        <w:rPr>
          <w:color w:val="323232"/>
        </w:rPr>
        <w:t xml:space="preserve">DATA SYNTHESIS:Severe respiratory failure in acute respiratory distress syndrome may present with refractory hypoxemia, severe respiratory acidosis, or elevated plateau airway pressures despite lung-protective ventilation according to acute respiratory distress syndrome Network protocol. For severe hypoxemia, first-line treatment adjuncts include high positive end-expiratory pressure strategies, recruitment maneuvers, neuromuscular blockade, and prone positioning. For refractory acidosis, we recommend initial modest liberalization of tidal volumes, followed by neuromuscular blockade and prone positioning. For elevated plateau airway pressures, we suggest first decreasing tidal volumes, followed by neuromuscular blockade, modification of positive end-expiratory pressure, and prone positioning. Therapies such as inhaled pulmonary vasodilators, glucocorticoids, and renal replacement therapy have significantly less evidence in favor of their use and should be considered second line. Extracorporeal membrane oxygenation may be life-saving in selected patients with severe acute respiratory distress syndrome but should be used only when other alternatives have been applied.</w:t>
      </w:r>
    </w:p>
    <w:p/>
    <w:p>
      <w:pPr>
        <w:pStyle w:val="Normal"/>
      </w:pPr>
      <w:r>
        <w:rPr>
          <w:color w:val="323232"/>
        </w:rPr>
        <w:t xml:space="preserve">CONCLUSIONS:Severe respiratory failure in acute respiratory distress syndrome often necessitates the use of treatment adjuncts. Evidence-based application of these therapies in acute respiratory distress syndrome remains a significant challenge. However, a rational stepwise approach with frequent monitoring for improvement or harm can be achieved.</w:t>
      </w:r>
    </w:p>
    <w:p/>
    <w:p>
      <w:pPr>
        <w:pStyle w:val="Normal"/>
      </w:pPr>
      <w:r>
        <w:rPr>
          <w:color w:val="323232"/>
        </w:rPr>
        <w:t xml:space="preserve">Critical Care Medicine, 2018 vol. 46 (11) pp. 1820-1831.</w:t>
      </w:r>
    </w:p>
    <w:p>
      <w:r>
        <w:rPr>
          <w:rStyle w:val="Hyperlink"/>
        </w:rPr>
        <w:fldChar w:fldCharType="begin"/>
      </w:r>
      <w:r>
        <w:rPr>
          <w:rStyle w:val="Hyperlink"/>
        </w:rPr>
        <w:instrText xml:space="preserve"> HYPERLINK "http://eutils.ncbi.nlm.nih.gov/entrez/eutils/elink.fcgi?dbfrom=pubmed&amp;id=30247273&amp;retmode=ref&amp;cmd=prlinks"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http://eutils.ncbi.nlm.nih.gov/entrez/eutils/elink.fcgi?dbfrom=pubmed&amp;id=30247273&amp;retmode=ref&amp;cmd=prlinks</w:t>
      </w:r>
      <w:r>
        <w:rPr>
          <w:rStyle w:val="Hyperlink"/>
        </w:rPr>
        <w:fldChar w:fldCharType="end"/>
      </w:r>
    </w:p>
    <w:p>
      <w:pPr>
        <w:pStyle w:val="Normal"/>
      </w:pPr>
      <w:r>
        <w:rPr>
          <w:color w:val="323232"/>
        </w:rPr>
        <w:t xml:space="preserve">————————</w:t>
      </w:r>
    </w:p>
    <w:p>
      <w:pPr>
        <w:pStyle w:val="Heading4"/>
      </w:pPr>
      <w:r>
        <w:t xml:space="preserve">Delirium Monitoring in Neurocritically Ill Patients: A Systematic Review.</w:t>
      </w:r>
    </w:p>
    <w:p/>
    <w:p>
      <w:pPr>
        <w:pStyle w:val="Normal"/>
      </w:pPr>
      <w:r>
        <w:rPr>
          <w:color w:val="323232"/>
        </w:rPr>
        <w:t xml:space="preserve">Mayur B Patel, Josef Bednarik, Patricia Lee, Yahya Shehabi, Jorge I Salluh, Arjen J Slooter, Kate E Klein, Yoanna Skrobik, Alessandro Morandi, Peter E Spronk, Andrew M Naidech, Brenda T Pun, Fernando A Bozza, Annachiara Marra, Sayona John, Pratik P Pandharipande, and E Wesley Ely.</w:t>
      </w:r>
    </w:p>
    <w:p/>
    <w:p>
      <w:pPr>
        <w:pStyle w:val="Normal"/>
      </w:pPr>
      <w:r>
        <w:rPr>
          <w:color w:val="323232"/>
        </w:rPr>
        <w:t xml:space="preserve">OBJECTIVES:The Society of Critical Care Medicine recommends routine delirium monitoring, based on data in critically ill patients without primary neurologic injury. We sought to answer whether there are valid and reliable tools to monitor delirium in neurocritically ill patients and whether delirium is associated with relevant clinical outcomes (e.g., survival, length of stay, functional independence, cognition) in this population.</w:t>
      </w:r>
    </w:p>
    <w:p/>
    <w:p>
      <w:pPr>
        <w:pStyle w:val="Normal"/>
      </w:pPr>
      <w:r>
        <w:rPr>
          <w:color w:val="323232"/>
        </w:rPr>
        <w:t xml:space="preserve">DATA SOURCES:We systematically reviewed Cumulative Index to Nursing and Allied Health Literature, Web of Science, and PubMed.</w:t>
      </w:r>
    </w:p>
    <w:p/>
    <w:p>
      <w:pPr>
        <w:pStyle w:val="Normal"/>
      </w:pPr>
      <w:r>
        <w:rPr>
          <w:color w:val="323232"/>
        </w:rPr>
        <w:t xml:space="preserve">STUDY SELECTION AND DATA EXTRACTION:Inclusion criteria allowed any study design investigating delirium monitoring in neurocritically ill patients (e.g., neurotrauma, ischemic, and/or hemorrhagic stroke) of any age. We extracted data relevant to delirium tool sensitivity, specificity, negative predictive value, positive predictive value, interrater reliability, and associated clinical outcomes.</w:t>
      </w:r>
    </w:p>
    <w:p/>
    <w:p>
      <w:pPr>
        <w:pStyle w:val="Normal"/>
      </w:pPr>
      <w:r>
        <w:rPr>
          <w:color w:val="323232"/>
        </w:rPr>
        <w:t xml:space="preserve">DATA SYNTHESIS:Among seven prospective cohort studies and a total of 1,173 patients, delirium was assessed in neurocritically patients using validated delirium tools after considering primary neurologic diagnoses and associated complications, finding a pooled prevalence rate of 12-43%. When able to compare against a common reference standard, Diagnostic and Statistical Manual of Mental Disorders, Fourth Edition, the test characteristics showed a sensitivity of 62-76%, specificity of 74-98%, positive predictive value of 63-91%, negative predictive value of 70-94%, and reliability kappa of 0.64-0.94. Among four studies reporting multivariable analyses, delirium in neurocritically patients was associated with increased hospital length of stay (n = 3) and ICU length of stay (n = 1), as well as worse functional independence (n = 1) and cognition (n = 2), but not survival.</w:t>
      </w:r>
    </w:p>
    <w:p/>
    <w:p>
      <w:pPr>
        <w:pStyle w:val="Normal"/>
      </w:pPr>
      <w:r>
        <w:rPr>
          <w:color w:val="323232"/>
        </w:rPr>
        <w:t xml:space="preserve">CONCLUSIONS:These data from studies of neurocritically ill patients demonstrate that patients with primary neurologic diagnoses can meet diagnostic criteria for delirium and that delirious features may predict relevant untoward clinical outcomes. There is a need for ongoing investigations regarding delirium in these complicated neurocritically ill patients.</w:t>
      </w:r>
    </w:p>
    <w:p/>
    <w:p>
      <w:pPr>
        <w:pStyle w:val="Normal"/>
      </w:pPr>
      <w:r>
        <w:rPr>
          <w:color w:val="323232"/>
        </w:rPr>
        <w:t xml:space="preserve">Critical Care Medicine, 2018 vol. 46 (11) pp. 1832-1841.</w:t>
      </w:r>
    </w:p>
    <w:p>
      <w:r>
        <w:rPr>
          <w:rStyle w:val="Hyperlink"/>
        </w:rPr>
        <w:fldChar w:fldCharType="begin"/>
      </w:r>
      <w:r>
        <w:rPr>
          <w:rStyle w:val="Hyperlink"/>
        </w:rPr>
        <w:instrText xml:space="preserve"> HYPERLINK "http://eutils.ncbi.nlm.nih.gov/entrez/eutils/elink.fcgi?dbfrom=pubmed&amp;id=30142098&amp;retmode=ref&amp;cmd=prlinks"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http://eutils.ncbi.nlm.nih.gov/entrez/eutils/elink.fcgi?dbfrom=pubmed&amp;id=30142098&amp;retmode=ref&amp;cmd=prlinks</w:t>
      </w:r>
      <w:r>
        <w:rPr>
          <w:rStyle w:val="Hyperlink"/>
        </w:rPr>
        <w:fldChar w:fldCharType="end"/>
      </w:r>
    </w:p>
    <w:p>
      <w:pPr>
        <w:pStyle w:val="Normal"/>
      </w:pPr>
      <w:r>
        <w:rPr>
          <w:color w:val="323232"/>
        </w:rPr>
        <w:t xml:space="preserve">————————</w:t>
      </w:r>
    </w:p>
    <w:p>
      <w:pPr>
        <w:pStyle w:val="Heading4"/>
      </w:pPr>
      <w:r>
        <w:t xml:space="preserve">Effect of Thiamine Administration on Lactate Clearance and Mortality in Patients With Septic Shock.</w:t>
      </w:r>
    </w:p>
    <w:p/>
    <w:p>
      <w:pPr>
        <w:pStyle w:val="Normal"/>
      </w:pPr>
      <w:r>
        <w:rPr>
          <w:color w:val="323232"/>
        </w:rPr>
        <w:t xml:space="preserve">Jordan A Woolum, Erin L Abner, Andrew Kelly, Melissa L Thompson Bastin, Peter E Morris, and Alexander H Flannery.</w:t>
      </w:r>
    </w:p>
    <w:p/>
    <w:p>
      <w:pPr>
        <w:pStyle w:val="Normal"/>
      </w:pPr>
      <w:r>
        <w:rPr>
          <w:color w:val="323232"/>
        </w:rPr>
        <w:t xml:space="preserve">OBJECTIVES:Mounting evidence has shown that critically ill patients are commonly thiamine deficient. We sought to test the hypothesis that critically ill patients with septic shock exposed to thiamine would demonstrate improved lactate clearance and more favorable clinical outcomes compared with those not receiving thiamine.</w:t>
      </w:r>
    </w:p>
    <w:p/>
    <w:p>
      <w:pPr>
        <w:pStyle w:val="Normal"/>
      </w:pPr>
      <w:r>
        <w:rPr>
          <w:color w:val="323232"/>
        </w:rPr>
        <w:t xml:space="preserve">DESIGN:Retrospective, single-center, matched cohort study.</w:t>
      </w:r>
    </w:p>
    <w:p/>
    <w:p>
      <w:pPr>
        <w:pStyle w:val="Normal"/>
      </w:pPr>
      <w:r>
        <w:rPr>
          <w:color w:val="323232"/>
        </w:rPr>
        <w:t xml:space="preserve">SETTING:Tertiary care academic medical center.</w:t>
      </w:r>
    </w:p>
    <w:p/>
    <w:p>
      <w:pPr>
        <w:pStyle w:val="Normal"/>
      </w:pPr>
      <w:r>
        <w:rPr>
          <w:color w:val="323232"/>
        </w:rPr>
        <w:t xml:space="preserve">PATIENTS:Adult patients admitted with an International Classification of Diseases, 9th Edition, or International Classification of Diseases, 10th Edition, diagnosis code of septic shock to either the medicine or surgery ICU.</w:t>
      </w:r>
    </w:p>
    <w:p/>
    <w:p>
      <w:pPr>
        <w:pStyle w:val="Normal"/>
      </w:pPr>
      <w:r>
        <w:rPr>
          <w:color w:val="323232"/>
        </w:rPr>
        <w:t xml:space="preserve">INTERVENTIONS:None.</w:t>
      </w:r>
    </w:p>
    <w:p/>
    <w:p>
      <w:pPr>
        <w:pStyle w:val="Normal"/>
      </w:pPr>
      <w:r>
        <w:rPr>
          <w:color w:val="323232"/>
        </w:rPr>
        <w:t xml:space="preserve">MEASUREMENTS AND MAIN RESULTS:Patients who received IV thiamine supplementation within 24 hours of hospital admission were identified and compared with a matched cohort of patients not receiving thiamine. The primary objective was to determine if thiamine administration was associated with a reduced time to lactate clearance in septic shock. Secondary outcomes included 28-day mortality, acute kidney injury, and need for renal replacement therapy, and vasopressor and mechanical ventilation-free days. Two-thousand two-hundred seventy-two patients were screened, of whom 1,049 were eligible. The study consisted of 123 thiamine-treated patients matched with 246 patients who did not receive thiamine. Based on the Fine-Gray survival model, treatment with thiamine was associated with an improved likelihood of lactate clearance (subdistribution hazard ratio, 1.307; 95% CI, 1.002-1.704). Thiamine administration was also associated with a reduction in 28-day mortality (hazard ratio, 0.666; 95% CI, 0.490-0.905). There were no differences in any secondary outcomes.</w:t>
      </w:r>
    </w:p>
    <w:p/>
    <w:p>
      <w:pPr>
        <w:pStyle w:val="Normal"/>
      </w:pPr>
      <w:r>
        <w:rPr>
          <w:color w:val="323232"/>
        </w:rPr>
        <w:t xml:space="preserve">CONCLUSIONS:Thiamine administration within 24 hours of admission in patients presenting with septic shock was associated with improved lactate clearance and a reduction in 28-day mortality compared with matched controls.</w:t>
      </w:r>
    </w:p>
    <w:p/>
    <w:p>
      <w:pPr>
        <w:pStyle w:val="Normal"/>
      </w:pPr>
      <w:r>
        <w:rPr>
          <w:color w:val="323232"/>
        </w:rPr>
        <w:t xml:space="preserve">Critical Care Medicine, 2018 vol. 46 (11) pp. 1747-1752.</w:t>
      </w:r>
    </w:p>
    <w:p>
      <w:r>
        <w:rPr>
          <w:rStyle w:val="Hyperlink"/>
        </w:rPr>
        <w:fldChar w:fldCharType="begin"/>
      </w:r>
      <w:r>
        <w:rPr>
          <w:rStyle w:val="Hyperlink"/>
        </w:rPr>
        <w:instrText xml:space="preserve"> HYPERLINK "http://eutils.ncbi.nlm.nih.gov/entrez/eutils/elink.fcgi?dbfrom=pubmed&amp;id=30028362&amp;retmode=ref&amp;cmd=prlinks"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http://eutils.ncbi.nlm.nih.gov/entrez/eutils/elink.fcgi?dbfrom=pubmed&amp;id=30028362&amp;retmode=ref&amp;cmd=prlinks</w:t>
      </w:r>
      <w:r>
        <w:rPr>
          <w:rStyle w:val="Hyperlink"/>
        </w:rPr>
        <w:fldChar w:fldCharType="end"/>
      </w:r>
    </w:p>
    <w:p>
      <w:pPr>
        <w:pStyle w:val="Normal"/>
      </w:pPr>
      <w:r>
        <w:rPr>
          <w:color w:val="323232"/>
        </w:rPr>
        <w:t xml:space="preserve">————————</w:t>
      </w:r>
    </w:p>
    <w:p>
      <w:pPr>
        <w:pStyle w:val="Heading4"/>
      </w:pPr>
      <w:r>
        <w:t xml:space="preserve">Epidemiology of Cause of Death in Pediatric Acute Respiratory Distress Syndrome.</w:t>
      </w:r>
    </w:p>
    <w:p/>
    <w:p>
      <w:pPr>
        <w:pStyle w:val="Normal"/>
      </w:pPr>
      <w:r>
        <w:rPr>
          <w:color w:val="323232"/>
        </w:rPr>
        <w:t xml:space="preserve">Jasmine C Dowell, Kaushik Parvathaneni, Neal J Thomas, Robinder G Khemani, and Nadir Yehya.</w:t>
      </w:r>
    </w:p>
    <w:p/>
    <w:p>
      <w:pPr>
        <w:pStyle w:val="Normal"/>
      </w:pPr>
      <w:r>
        <w:rPr>
          <w:color w:val="323232"/>
        </w:rPr>
        <w:t xml:space="preserve">OBJECTIVES:Investigations of acute respiratory distress syndrome in adults suggest hypoxemia is an uncommon cause of death. However, the epidemiology of death in pediatric acute respiratory distress syndrome is not well characterized. We aimed to describe the cause, mode, and timing of death in pediatric acute respiratory distress syndrome nonsurvivors. We hypothesized that most deaths would be due to nonpulmonary factors, rather than hypoxemia.</w:t>
      </w:r>
    </w:p>
    <w:p/>
    <w:p>
      <w:pPr>
        <w:pStyle w:val="Normal"/>
      </w:pPr>
      <w:r>
        <w:rPr>
          <w:color w:val="323232"/>
        </w:rPr>
        <w:t xml:space="preserve">DESIGN:Retrospective, decedent-only analysis.</w:t>
      </w:r>
    </w:p>
    <w:p/>
    <w:p>
      <w:pPr>
        <w:pStyle w:val="Normal"/>
      </w:pPr>
      <w:r>
        <w:rPr>
          <w:color w:val="323232"/>
        </w:rPr>
        <w:t xml:space="preserve">SETTING:Two large, academic PICUs.</w:t>
      </w:r>
    </w:p>
    <w:p/>
    <w:p>
      <w:pPr>
        <w:pStyle w:val="Normal"/>
      </w:pPr>
      <w:r>
        <w:rPr>
          <w:color w:val="323232"/>
        </w:rPr>
        <w:t xml:space="preserve">PATIENTS:Nonsurvivors with pediatric acute respiratory distress syndrome.</w:t>
      </w:r>
    </w:p>
    <w:p/>
    <w:p>
      <w:pPr>
        <w:pStyle w:val="Normal"/>
      </w:pPr>
      <w:r>
        <w:rPr>
          <w:color w:val="323232"/>
        </w:rPr>
        <w:t xml:space="preserve">INTERVENTIONS:None.</w:t>
      </w:r>
    </w:p>
    <w:p/>
    <w:p>
      <w:pPr>
        <w:pStyle w:val="Normal"/>
      </w:pPr>
      <w:r>
        <w:rPr>
          <w:color w:val="323232"/>
        </w:rPr>
        <w:t xml:space="preserve">MEASUREMENTS AND MAIN RESULTS:Of 798 subjects with pediatric acute respiratory distress syndrome, there were 153 nonsurvivors (19% mortality). Median time to death was 6 days (interquartile range, 3-13 d) after pediatric acute respiratory distress syndrome onset. Patients dying less than 7 days after pediatric acute respiratory distress syndrome onset had greater illness severity and worse oxygenation. Patients dying less than 7 days were more likely to die of a neurologic cause, including brain death. Patients dying greater than or equal to 7 days after pediatric acute respiratory distress syndrome onset were more commonly immunocompromised. Multisystem organ failure predominated in deaths greater than or equal to 7 days. Withdrawal of therapy was the most common mode of death at all timepoints, accounting for 66% of all deaths. Organ dysfunction was common at time of death, irrespective of cause of death. Refractory hypoxemia accounted for only a minority of pediatric acute respiratory distress syndrome deaths (20%).</w:t>
      </w:r>
    </w:p>
    <w:p/>
    <w:p>
      <w:pPr>
        <w:pStyle w:val="Normal"/>
      </w:pPr>
      <w:r>
        <w:rPr>
          <w:color w:val="323232"/>
        </w:rPr>
        <w:t xml:space="preserve">CONCLUSIONS:In pediatric acute respiratory distress syndrome, early deaths were due primarily to neurologic failure, whereas later deaths were more commonly due to multisystem organ failure. Deaths from neurologic causes accounted for a substantial portion of nonsurvivors. Refractory hypoxemia accounted for only a minority of deaths. Our study highlights limitations associated with using death as an endpoint in therapeutic pediatric acute respiratory distress syndrome trials.</w:t>
      </w:r>
    </w:p>
    <w:p/>
    <w:p>
      <w:pPr>
        <w:pStyle w:val="Normal"/>
      </w:pPr>
      <w:r>
        <w:rPr>
          <w:color w:val="323232"/>
        </w:rPr>
        <w:t xml:space="preserve">Critical Care Medicine, 2018 vol. 46 (11) pp. 1811-1819.</w:t>
      </w:r>
    </w:p>
    <w:p>
      <w:r>
        <w:rPr>
          <w:rStyle w:val="Hyperlink"/>
        </w:rPr>
        <w:fldChar w:fldCharType="begin"/>
      </w:r>
      <w:r>
        <w:rPr>
          <w:rStyle w:val="Hyperlink"/>
        </w:rPr>
        <w:instrText xml:space="preserve"> HYPERLINK "http://eutils.ncbi.nlm.nih.gov/entrez/eutils/elink.fcgi?dbfrom=pubmed&amp;id=30095498&amp;retmode=ref&amp;cmd=prlinks"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http://eutils.ncbi.nlm.nih.gov/entrez/eutils/elink.fcgi?dbfrom=pubmed&amp;id=30095498&amp;retmode=ref&amp;cmd=prlinks</w:t>
      </w:r>
      <w:r>
        <w:rPr>
          <w:rStyle w:val="Hyperlink"/>
        </w:rPr>
        <w:fldChar w:fldCharType="end"/>
      </w:r>
    </w:p>
    <w:p>
      <w:pPr>
        <w:pStyle w:val="Normal"/>
      </w:pPr>
      <w:r>
        <w:rPr>
          <w:color w:val="323232"/>
        </w:rPr>
        <w:t xml:space="preserve">————————</w:t>
      </w:r>
    </w:p>
    <w:p>
      <w:pPr>
        <w:pStyle w:val="Heading4"/>
      </w:pPr>
      <w:r>
        <w:t xml:space="preserve">Low Interleukin-7 Receptor Messenger RNA Expression Is Independently Associated With Day 28 Mortality in Septic Shock Patients.</w:t>
      </w:r>
    </w:p>
    <w:p/>
    <w:p>
      <w:pPr>
        <w:pStyle w:val="Normal"/>
      </w:pPr>
      <w:r>
        <w:rPr>
          <w:color w:val="323232"/>
        </w:rPr>
        <w:t xml:space="preserve">Benjamin Delwarde, Estelle Peronnet, Fabienne Venet, Elisabeth Cerrato, Boris Meunier, Julie Mouillaux, Alain Lepape, Alexandre Pachot, Thomas Rimmelé, Guillaume Monneret, Julien Textoris, and Marqueurs Immunitaires Pronostiques en Réanimation (MIP Réa) Study Group.</w:t>
      </w:r>
    </w:p>
    <w:p/>
    <w:p>
      <w:pPr>
        <w:pStyle w:val="Normal"/>
      </w:pPr>
      <w:r>
        <w:rPr>
          <w:color w:val="323232"/>
        </w:rPr>
        <w:t xml:space="preserve">OBJECTIVES:Septic shock is the primary cause of death in ICUs. A better comprehension of its pathophysiology, in particular, the immune alteration mechanisms, opened new therapeutic perspectives such as the recombinant interleukin-7. The use of biomarkers could improve the identification of eligible patients for this therapy. The soluble form of the interleukin-7 appears as a promising candidate in this regard since an association between its high plasmatic level and mortality in critically ill patients has been demonstrated. Because there are no data available on the transcriptional regulation of the interleukin-7 receptor in such patients, this study aimed to explore the expression level of different interleukin-7 receptor transcripts after septic shock and evaluate their association with mortality.</w:t>
      </w:r>
    </w:p>
    <w:p/>
    <w:p>
      <w:pPr>
        <w:pStyle w:val="Normal"/>
      </w:pPr>
      <w:r>
        <w:rPr>
          <w:color w:val="323232"/>
        </w:rPr>
        <w:t xml:space="preserve">DESIGN:Retrospective discovery cohort (30 patients) and validation cohort (177 patients).</w:t>
      </w:r>
    </w:p>
    <w:p/>
    <w:p>
      <w:pPr>
        <w:pStyle w:val="Normal"/>
      </w:pPr>
      <w:r>
        <w:rPr>
          <w:color w:val="323232"/>
        </w:rPr>
        <w:t xml:space="preserve">SETTING:Two French ICUs (discovery study) and six French ICUs (validation study).</w:t>
      </w:r>
    </w:p>
    <w:p/>
    <w:p>
      <w:pPr>
        <w:pStyle w:val="Normal"/>
      </w:pPr>
      <w:r>
        <w:rPr>
          <w:color w:val="323232"/>
        </w:rPr>
        <w:t xml:space="preserve">PATIENTS:Adult septic shock patients.</w:t>
      </w:r>
    </w:p>
    <w:p/>
    <w:p>
      <w:pPr>
        <w:pStyle w:val="Normal"/>
      </w:pPr>
      <w:r>
        <w:rPr>
          <w:color w:val="323232"/>
        </w:rPr>
        <w:t xml:space="preserve">INTERVENTIONS:None.</w:t>
      </w:r>
    </w:p>
    <w:p/>
    <w:p>
      <w:pPr>
        <w:pStyle w:val="Normal"/>
      </w:pPr>
      <w:r>
        <w:rPr>
          <w:color w:val="323232"/>
        </w:rPr>
        <w:t xml:space="preserve">MEASUREMENTS AND MAIN RESULTS:The quantification of several interleukin-7 receptor transcripts using specific reverse transcription quantitative polymerase chain reaction designs allowed for global evaluation of interleukin-7 receptor gene expression in whole blood. In the discovery cohort, all interleukin-7 receptor transcripts studied were expressed at lower levels in septic shock patients than in healthy volunteers. Interleukin-7 receptor gene expression at day 3 after septic shock diagnosis was associated with day 28 mortality. Patients at a lower risk of death showed higher expression levels. These results were confirmed in the independent validation cohort. Interestingly, using a threshold obtained on the discovery cohort, we observed in the validation cohort a high negative predictive value for day 28 mortality for the transcript encoding the membrane form of interleukin-7 receptor (0.86; 95% CI, 0.79-0.93).</w:t>
      </w:r>
    </w:p>
    <w:p/>
    <w:p>
      <w:pPr>
        <w:pStyle w:val="Normal"/>
      </w:pPr>
      <w:r>
        <w:rPr>
          <w:color w:val="323232"/>
        </w:rPr>
        <w:t xml:space="preserve">CONCLUSIONS:Interleukin-7 receptor transcripts appear as biomarkers of impaired adaptive immune response in septic shock patients and as a promising tool for patient stratification in clinical trials evaluating immunoadjuvant therapies.</w:t>
      </w:r>
    </w:p>
    <w:p/>
    <w:p>
      <w:pPr>
        <w:pStyle w:val="Normal"/>
      </w:pPr>
      <w:r>
        <w:rPr>
          <w:color w:val="323232"/>
        </w:rPr>
        <w:t xml:space="preserve">Critical Care Medicine, 2018 vol. 46 (11) pp. 1739-1746.</w:t>
      </w:r>
    </w:p>
    <w:p>
      <w:r>
        <w:rPr>
          <w:rStyle w:val="Hyperlink"/>
        </w:rPr>
        <w:fldChar w:fldCharType="begin"/>
      </w:r>
      <w:r>
        <w:rPr>
          <w:rStyle w:val="Hyperlink"/>
        </w:rPr>
        <w:instrText xml:space="preserve"> HYPERLINK "http://eutils.ncbi.nlm.nih.gov/entrez/eutils/elink.fcgi?dbfrom=pubmed&amp;id=29985808&amp;retmode=ref&amp;cmd=prlinks"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http://eutils.ncbi.nlm.nih.gov/entrez/eutils/elink.fcgi?dbfrom=pubmed&amp;id=29985808&amp;retmode=ref&amp;cmd=prlinks</w:t>
      </w:r>
      <w:r>
        <w:rPr>
          <w:rStyle w:val="Hyperlink"/>
        </w:rPr>
        <w:fldChar w:fldCharType="end"/>
      </w:r>
    </w:p>
    <w:p>
      <w:pPr>
        <w:pStyle w:val="Normal"/>
      </w:pPr>
      <w:r>
        <w:rPr>
          <w:color w:val="323232"/>
        </w:rPr>
        <w:t xml:space="preserve">————————</w:t>
      </w:r>
    </w:p>
    <w:p>
      <w:pPr>
        <w:pStyle w:val="Heading4"/>
      </w:pPr>
      <w:r>
        <w:t xml:space="preserve">The Association Between Inhaled Nitric Oxide Treatment and ICU Mortality and 28-Day Ventilator-Free Days in Pediatric Acute Respiratory Distress Syndrome.</w:t>
      </w:r>
    </w:p>
    <w:p/>
    <w:p>
      <w:pPr>
        <w:pStyle w:val="Normal"/>
      </w:pPr>
      <w:r>
        <w:rPr>
          <w:color w:val="323232"/>
        </w:rPr>
        <w:t xml:space="preserve">Anoopindar K Bhalla, Nadir Yehya, Wendy J Mack, Melissa L Wilson, Robinder G Khemani, and Christopher J L Newth.</w:t>
      </w:r>
    </w:p>
    <w:p/>
    <w:p>
      <w:pPr>
        <w:pStyle w:val="Normal"/>
      </w:pPr>
      <w:r>
        <w:rPr>
          <w:color w:val="323232"/>
        </w:rPr>
        <w:t xml:space="preserve">OBJECTIVES:To investigate the association between inhaled nitric oxide treatment and ICU mortality and 28-day ventilator-free days in pediatric acute respiratory distress syndrome.</w:t>
      </w:r>
    </w:p>
    <w:p/>
    <w:p>
      <w:pPr>
        <w:pStyle w:val="Normal"/>
      </w:pPr>
      <w:r>
        <w:rPr>
          <w:color w:val="323232"/>
        </w:rPr>
        <w:t xml:space="preserve">DESIGN:Retrospective cohort study. A propensity score for inhaled nitric oxide treatment was developed and used in the analysis.</w:t>
      </w:r>
    </w:p>
    <w:p/>
    <w:p>
      <w:pPr>
        <w:pStyle w:val="Normal"/>
      </w:pPr>
      <w:r>
        <w:rPr>
          <w:color w:val="323232"/>
        </w:rPr>
        <w:t xml:space="preserve">SETTING:Two quaternary care PICUs.</w:t>
      </w:r>
    </w:p>
    <w:p/>
    <w:p>
      <w:pPr>
        <w:pStyle w:val="Normal"/>
      </w:pPr>
      <w:r>
        <w:rPr>
          <w:color w:val="323232"/>
        </w:rPr>
        <w:t xml:space="preserve">PATIENTS:Children with pediatric acute respiratory distress syndrome.</w:t>
      </w:r>
    </w:p>
    <w:p/>
    <w:p>
      <w:pPr>
        <w:pStyle w:val="Normal"/>
      </w:pPr>
      <w:r>
        <w:rPr>
          <w:color w:val="323232"/>
        </w:rPr>
        <w:t xml:space="preserve">INTERVENTIONS:None.</w:t>
      </w:r>
    </w:p>
    <w:p/>
    <w:p>
      <w:pPr>
        <w:pStyle w:val="Normal"/>
      </w:pPr>
      <w:r>
        <w:rPr>
          <w:color w:val="323232"/>
        </w:rPr>
        <w:t xml:space="preserve">MEASUREMENTS AND MAIN RESULTS:There were 499 children enrolled in this study with 143 (28.7%) receiving inhaled nitric oxide treatment. Children treated with inhaled nitric oxide were more likely to have a primary diagnosis of pneumonia (72% vs 54.8%; p &lt; 0.001), had a higher initial oxygenation index (median 16.9 [interquartile range, 10.1-27.3] vs 8.5 [interquartile range, 5.8-12.2]; p &lt; 0.001), and had a higher 72-hour maximal Vasoactive-Inotrope Score (median 15 [interquartile range, 6-25] vs 8 [interquartile range, 0-17.8]; p &lt; 0.001) than those not receiving inhaled nitric oxide. Mortality was higher in the inhaled nitric oxide treatment group (25.2% vs 16.3%; p = 0.02), and children in this group had fewer 28-day ventilator-free days (10 d [interquartile range, 0-18 d] vs 17 d (interquartile range 5.5-22 d]; p &lt; 0.0001). We matched 176 children based on propensity score for inhaled nitric oxide treatment. In the matched cohort, inhaled nitric oxide treatment was not associated with mortality (odds ratio, 1.3 [95% CI, 0.56-3.0]) or 28-day ventilator-free days (incidence rate ratio, 0.91 [95% CI, 0.80-1.04]). These results remained consistent in the entire study cohort when the propensity score for inhaled nitric oxide treatment was used for either inverse probability weighting or stratification in regression modeling with the exception that subjects treated with inhaled nitric oxide were more likely to have 0 ventilator-free days (p ≤ 0.02). In secondary analysis stratified by oxygenation response, inhaled nitric oxide treatment was not associated with mortality or 28-day ventilator-free days in children with a positive oxygenation response (all p &gt; 0.2) CONCLUSIONS:: Treatment with inhaled nitric oxide in pediatric acute respiratory distress syndrome is not associated with improvement in either mortality or ventilator-free days and may be associated with harm. Further prospective trials are required to define the role of inhaled nitric oxide treatment in pediatric acute respiratory distress syndrome.</w:t>
      </w:r>
    </w:p>
    <w:p/>
    <w:p>
      <w:pPr>
        <w:pStyle w:val="Normal"/>
      </w:pPr>
      <w:r>
        <w:rPr>
          <w:color w:val="323232"/>
        </w:rPr>
        <w:t xml:space="preserve">Critical Care Medicine, 2018 vol. 46 (11) pp. 1803-1810.</w:t>
      </w:r>
    </w:p>
    <w:p>
      <w:r>
        <w:rPr>
          <w:rStyle w:val="Hyperlink"/>
        </w:rPr>
        <w:fldChar w:fldCharType="begin"/>
      </w:r>
      <w:r>
        <w:rPr>
          <w:rStyle w:val="Hyperlink"/>
        </w:rPr>
        <w:instrText xml:space="preserve"> HYPERLINK "http://eutils.ncbi.nlm.nih.gov/entrez/eutils/elink.fcgi?dbfrom=pubmed&amp;id=30028363&amp;retmode=ref&amp;cmd=prlinks"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http://eutils.ncbi.nlm.nih.gov/entrez/eutils/elink.fcgi?dbfrom=pubmed&amp;id=30028363&amp;retmode=ref&amp;cmd=prlinks</w:t>
      </w:r>
      <w:r>
        <w:rPr>
          <w:rStyle w:val="Hyperlink"/>
        </w:rPr>
        <w:fldChar w:fldCharType="end"/>
      </w:r>
    </w:p>
    <w:p>
      <w:pPr>
        <w:pStyle w:val="Normal"/>
      </w:pPr>
      <w:r>
        <w:rPr>
          <w:color w:val="323232"/>
        </w:rPr>
        <w:t xml:space="preserve">————————</w:t>
      </w:r>
    </w:p>
    <w:p>
      <w:pPr>
        <w:pStyle w:val="Heading4"/>
      </w:pPr>
      <w:r>
        <w:t xml:space="preserve">The Association of Nutrition Status Expressed as Body Mass Index z Score With Outcomes in Children With Severe Sepsis: A Secondary Analysis From the Sepsis Prevalence, Outcomes, and Therapies (SPROUT) Study.</w:t>
      </w:r>
    </w:p>
    <w:p/>
    <w:p>
      <w:pPr>
        <w:pStyle w:val="Normal"/>
      </w:pPr>
      <w:r>
        <w:rPr>
          <w:color w:val="323232"/>
        </w:rPr>
        <w:t xml:space="preserve">Sharon Y Irving, Bridget Daly, Judy Verger, Katri V Typpo, Ann-Marie Brown, Alexandra Hanlon, Scott L Weiss, Julie C Fitzgerald, Vinay M Nadkarni, Neal J Thomas, Vijay Srinivasan, and Sepsis Prevalence, Outcomes, and Therapies (SPROUT) Study Investigators and Pediatric Acute Lung Injury and Sepsis Investigators (PALISI) Network.</w:t>
      </w:r>
    </w:p>
    <w:p/>
    <w:p>
      <w:pPr>
        <w:pStyle w:val="Normal"/>
      </w:pPr>
      <w:r>
        <w:rPr>
          <w:color w:val="323232"/>
        </w:rPr>
        <w:t xml:space="preserve">OBJECTIVES:The impact of nutrition status on outcomes in pediatric severe sepsis is unclear. We studied the association of nutrition status (expressed as body mass index z score) with outcomes in pediatric severe sepsis.</w:t>
      </w:r>
    </w:p>
    <w:p/>
    <w:p>
      <w:pPr>
        <w:pStyle w:val="Normal"/>
      </w:pPr>
      <w:r>
        <w:rPr>
          <w:color w:val="323232"/>
        </w:rPr>
        <w:t xml:space="preserve">DESIGN:Secondary analysis of the Sepsis Prevalence, Outcomes, and Therapies study. Patient characteristics, ICU interventions, and outcomes were compared across nutrition status categories (expressed as age- and sex-adjusted body mass index z scores using World Health Organization standards). Multivariable regression models were developed to determine adjusted differences in all-cause ICU mortality and ICU length of stay by nutrition status.</w:t>
      </w:r>
    </w:p>
    <w:p/>
    <w:p>
      <w:pPr>
        <w:pStyle w:val="Normal"/>
      </w:pPr>
      <w:r>
        <w:rPr>
          <w:color w:val="323232"/>
        </w:rPr>
        <w:t xml:space="preserve">SETTING:One-hundred twenty-eight PICUs across 26 countries.</w:t>
      </w:r>
    </w:p>
    <w:p/>
    <w:p>
      <w:pPr>
        <w:pStyle w:val="Normal"/>
      </w:pPr>
      <w:r>
        <w:rPr>
          <w:color w:val="323232"/>
        </w:rPr>
        <w:t xml:space="preserve">PATIENTS:Children less than 18 years with severe sepsis enrolled in the Sepsis Prevalence, Outcomes, and Therapies study (n = 567).</w:t>
      </w:r>
    </w:p>
    <w:p/>
    <w:p>
      <w:pPr>
        <w:pStyle w:val="Normal"/>
      </w:pPr>
      <w:r>
        <w:rPr>
          <w:color w:val="323232"/>
        </w:rPr>
        <w:t xml:space="preserve">INTERVENTIONS:None.</w:t>
      </w:r>
    </w:p>
    <w:p/>
    <w:p>
      <w:pPr>
        <w:pStyle w:val="Normal"/>
      </w:pPr>
      <w:r>
        <w:rPr>
          <w:color w:val="323232"/>
        </w:rPr>
        <w:t xml:space="preserve">MEASUREMENTS AND MAIN RESULTS:Nutrition status data were available for 417 patients. Severe undernutrition was seen in Europe (25%), Asia (20%), South Africa (17%), and South America (10%), with severe overnutrition seen in Australia/New Zealand (17%) and North America (14%). Severe undernutrition was independently associated with all-cause ICU mortality (adjusted odds ratio, 3.0; 95% CI, 1.2-7.7; p = 0.02), whereas severe overnutrition in survivors was independently associated with longer ICU length of stay (1.6 d; p = 0.01).</w:t>
      </w:r>
    </w:p>
    <w:p/>
    <w:p>
      <w:pPr>
        <w:pStyle w:val="Normal"/>
      </w:pPr>
      <w:r>
        <w:rPr>
          <w:color w:val="323232"/>
        </w:rPr>
        <w:t xml:space="preserve">CONCLUSIONS:There is considerable variation in nutrition status for children with severe sepsis treated across this selected network of PICUs from different geographic regions. Severe undernutrition was independently associated with higher all-cause ICU mortality in children with severe sepsis. Severe overnutrition was independently associated with greater ICU length of stay in childhood survivors of severe sepsis.</w:t>
      </w:r>
    </w:p>
    <w:p/>
    <w:p>
      <w:pPr>
        <w:pStyle w:val="Normal"/>
      </w:pPr>
      <w:r>
        <w:rPr>
          <w:color w:val="323232"/>
        </w:rPr>
        <w:t xml:space="preserve">Critical Care Medicine, 2018 vol. 46 (11) pp. e1029-e1039.</w:t>
      </w:r>
    </w:p>
    <w:p>
      <w:r>
        <w:rPr>
          <w:rStyle w:val="Hyperlink"/>
        </w:rPr>
        <w:fldChar w:fldCharType="begin"/>
      </w:r>
      <w:r>
        <w:rPr>
          <w:rStyle w:val="Hyperlink"/>
        </w:rPr>
        <w:instrText xml:space="preserve"> HYPERLINK "http://eutils.ncbi.nlm.nih.gov/entrez/eutils/elink.fcgi?dbfrom=pubmed&amp;id=30095495&amp;retmode=ref&amp;cmd=prlinks"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http://eutils.ncbi.nlm.nih.gov/entrez/eutils/elink.fcgi?dbfrom=pubmed&amp;id=30095495&amp;retmode=ref&amp;cmd=prlinks</w:t>
      </w:r>
      <w:r>
        <w:rPr>
          <w:rStyle w:val="Hyperlink"/>
        </w:rPr>
        <w:fldChar w:fldCharType="end"/>
      </w:r>
    </w:p>
    <w:p>
      <w:pPr>
        <w:pStyle w:val="Normal"/>
      </w:pPr>
      <w:r>
        <w:rPr>
          <w:color w:val="323232"/>
        </w:rPr>
        <w:t xml:space="preserve">————————</w:t>
      </w:r>
    </w:p>
    <w:p>
      <w:pPr>
        <w:pStyle w:val="Heading4"/>
      </w:pPr>
      <w:r>
        <w:t xml:space="preserve">Early Enteral Nutrition Reduces Mortality and Improves Other Key Outcomes in Patients With Major Burn Injury: A Meta-Analysis of Randomized Controlled Trials.</w:t>
      </w:r>
    </w:p>
    <w:p/>
    <w:p>
      <w:pPr>
        <w:pStyle w:val="Normal"/>
      </w:pPr>
      <w:r>
        <w:rPr>
          <w:color w:val="323232"/>
        </w:rPr>
        <w:t xml:space="preserve">Hong Pu, Gordon S Doig, Philippa T Heighes, and Matilde J Allingstrup.</w:t>
      </w:r>
    </w:p>
    <w:p/>
    <w:p>
      <w:pPr>
        <w:pStyle w:val="Normal"/>
      </w:pPr>
      <w:r>
        <w:rPr>
          <w:color w:val="323232"/>
        </w:rPr>
        <w:t xml:space="preserve">OBJECTIVES:To identify, appraise, and synthesize current evidence to determine whether early enteral nutrition alters patient outcomes from major burn injury.</w:t>
      </w:r>
    </w:p>
    <w:p/>
    <w:p>
      <w:pPr>
        <w:pStyle w:val="Normal"/>
      </w:pPr>
      <w:r>
        <w:rPr>
          <w:color w:val="323232"/>
        </w:rPr>
        <w:t xml:space="preserve">DATA SOURCES:Medline, Embase, and the China National Knowledge Infrastructure were searched. The close out date was May 1, 2018.</w:t>
      </w:r>
    </w:p>
    <w:p/>
    <w:p>
      <w:pPr>
        <w:pStyle w:val="Normal"/>
      </w:pPr>
      <w:r>
        <w:rPr>
          <w:color w:val="323232"/>
        </w:rPr>
        <w:t xml:space="preserve">STUDY SELECTION:Early enteral nutrition was defined as a standard formula commenced within 24 hours of injury or admission to ICU or burn unit. Comparators included any form of nutrition support "except" early enteral nutrition. Only randomized controlled trials reporting patient-centered outcomes were eligible for inclusion.</w:t>
      </w:r>
    </w:p>
    <w:p/>
    <w:p>
      <w:pPr>
        <w:pStyle w:val="Normal"/>
      </w:pPr>
      <w:r>
        <w:rPr>
          <w:color w:val="323232"/>
        </w:rPr>
        <w:t xml:space="preserve">DATA EXTRACTION:The primary outcome was mortality. Gastrointestinal hemorrhage, sepsis, pneumonia, renal failure, and hospital stay were evaluated as secondary outcomes.</w:t>
      </w:r>
    </w:p>
    <w:p/>
    <w:p>
      <w:pPr>
        <w:pStyle w:val="Normal"/>
      </w:pPr>
      <w:r>
        <w:rPr>
          <w:color w:val="323232"/>
        </w:rPr>
        <w:t xml:space="preserve">DATA SYNTHESIS:Nine-hundred fifty-eight full-text articles were retrieved and screened. Seven randomized controlled trials enrolling 527 participants with major burn injury were included. Compared with all other types of nutrition support, early enteral nutrition significantly reduced mortality (odds ratio, 0.36; 95% CI, 0.18-0.72; p = 0.003; I = 0%). Early enteral nutrition also significantly reduced gastrointestinal hemorrhage (odds ratio, 0.21; 95% CI, 0.09-0.51; p = 0.0005; I = 0%), sepsis (odds ratio, 0.23; 95% CI, 0.11-0.48; p &lt; 0.0001; I = 0%), pneumonia (odds ratio, 0.41; 95% CI, 0.21-0.81; p = 0.01; I = 63%), renal failure (odds ratio, 0.27; 95% CI, 0.09-0.82; p = 0.02; I = 32%), and duration of hospital stay (-15.31 d; 95% CI, -20.43 to -10.20; p &lt; 0.00001; I = 0%).</w:t>
      </w:r>
    </w:p>
    <w:p/>
    <w:p>
      <w:pPr>
        <w:pStyle w:val="Normal"/>
      </w:pPr>
      <w:r>
        <w:rPr>
          <w:color w:val="323232"/>
        </w:rPr>
        <w:t xml:space="preserve">CONCLUSIONS:The improvements in clinical outcomes demonstrated in this meta-analysis are consistent with the physiologic rationale cited to support clinical recommendations for early enteral nutrition made by major clinical practice guidelines: gut integrity is preserved leading to fewer gastrointestinal hemorrhages, less infectious complications, a reduction in consequent organ failures, and a reduction in the onset of sepsis. The cumulative benefit of these effects improves patient survival and reduces hospital length of stay.</w:t>
      </w:r>
    </w:p>
    <w:p/>
    <w:p>
      <w:pPr>
        <w:pStyle w:val="Normal"/>
      </w:pPr>
      <w:r>
        <w:rPr>
          <w:color w:val="323232"/>
        </w:rPr>
        <w:t xml:space="preserve">Critical Care Medicine, 2018 vol. 46 (12) pp. 2036-2042.</w:t>
      </w:r>
    </w:p>
    <w:p>
      <w:r>
        <w:rPr>
          <w:rStyle w:val="Hyperlink"/>
        </w:rPr>
        <w:fldChar w:fldCharType="begin"/>
      </w:r>
      <w:r>
        <w:rPr>
          <w:rStyle w:val="Hyperlink"/>
        </w:rPr>
        <w:instrText xml:space="preserve"> HYPERLINK "http://eutils.ncbi.nlm.nih.gov/entrez/eutils/elink.fcgi?dbfrom=pubmed&amp;id=30222632&amp;retmode=ref&amp;cmd=prlinks"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http://eutils.ncbi.nlm.nih.gov/entrez/eutils/elink.fcgi?dbfrom=pubmed&amp;id=30222632&amp;retmode=ref&amp;cmd=prlinks</w:t>
      </w:r>
      <w:r>
        <w:rPr>
          <w:rStyle w:val="Hyperlink"/>
        </w:rPr>
        <w:fldChar w:fldCharType="end"/>
      </w:r>
    </w:p>
    <w:p>
      <w:pPr>
        <w:pStyle w:val="Normal"/>
      </w:pPr>
      <w:r>
        <w:rPr>
          <w:color w:val="323232"/>
        </w:rPr>
        <w:t xml:space="preserve">————————</w:t>
      </w:r>
    </w:p>
    <w:p>
      <w:pPr>
        <w:pStyle w:val="Heading4"/>
      </w:pPr>
      <w:r>
        <w:t xml:space="preserve">Impact of Mean Arterial Pressure Fluctuation on Mortality in Critically Ill Patients.</w:t>
      </w:r>
    </w:p>
    <w:p/>
    <w:p>
      <w:pPr>
        <w:pStyle w:val="Normal"/>
      </w:pPr>
      <w:r>
        <w:rPr>
          <w:color w:val="323232"/>
        </w:rPr>
        <w:t xml:space="preserve">Ya Gao, Qinfen Wang, Jiamei Li, Jingjing Zhang, Ruohan Li, Lu Sun, Qi Guo, Yong Xia, Bangjiang Fang, and Gang Wang.</w:t>
      </w:r>
    </w:p>
    <w:p/>
    <w:p>
      <w:pPr>
        <w:pStyle w:val="Normal"/>
      </w:pPr>
      <w:r>
        <w:rPr>
          <w:color w:val="323232"/>
        </w:rPr>
        <w:t xml:space="preserve">OBJECTIVE:The purpose of this study was to investigate the association between mean arterial pressure fluctuations and mortality in critically ill patients admitted to the ICU.</w:t>
      </w:r>
    </w:p>
    <w:p/>
    <w:p>
      <w:pPr>
        <w:pStyle w:val="Normal"/>
      </w:pPr>
      <w:r>
        <w:rPr>
          <w:color w:val="323232"/>
        </w:rPr>
        <w:t xml:space="preserve">DESIGN:Retrospective cohort.</w:t>
      </w:r>
    </w:p>
    <w:p/>
    <w:p>
      <w:pPr>
        <w:pStyle w:val="Normal"/>
      </w:pPr>
      <w:r>
        <w:rPr>
          <w:color w:val="323232"/>
        </w:rPr>
        <w:t xml:space="preserve">SETTING:All adult ICUs at a tertiary care hospital.</w:t>
      </w:r>
    </w:p>
    <w:p/>
    <w:p>
      <w:pPr>
        <w:pStyle w:val="Normal"/>
      </w:pPr>
      <w:r>
        <w:rPr>
          <w:color w:val="323232"/>
        </w:rPr>
        <w:t xml:space="preserve">PATIENTS:All adult patients with complete mean arterial pressure records were selected for analysis in the Multiparameter Intelligent Monitoring in Intensive Care II database. Patients in the external cohort were newly recruited adult patients in the Medical Information Mart for Intensive Care III database.</w:t>
      </w:r>
    </w:p>
    <w:p/>
    <w:p>
      <w:pPr>
        <w:pStyle w:val="Normal"/>
      </w:pPr>
      <w:r>
        <w:rPr>
          <w:color w:val="323232"/>
        </w:rPr>
        <w:t xml:space="preserve">INTERVENTIONS:None.</w:t>
      </w:r>
    </w:p>
    <w:p/>
    <w:p>
      <w:pPr>
        <w:pStyle w:val="Normal"/>
      </w:pPr>
      <w:r>
        <w:rPr>
          <w:color w:val="323232"/>
        </w:rPr>
        <w:t xml:space="preserve">MEASUREMENTS AND MAIN RESULTS:The records of 8,242 patients were extracted. Mean arterial pressure fluctuation was calculated as follows: (mean nighttime mean arterial pressure - mean daytime mean arterial pressure)/mean arterial pressure. Patients were divided into two groups according to the degree of mean arterial pressure fluctuation: group A (between -5% and 5%) and group B (&lt;-5% and &gt;5%). The endpoints of this study were ICU and hospital mortality. Patients in group A (n = 4,793) had higher ICU and hospital mortality than those in group B (n = 3,449; 11.1% vs 8.1%, p &lt; 0.001 and 13.8% vs 10.1%, p &lt; 0.001, respectively). After adjusting for other covariates, the mean arterial pressure fluctuations between -5% and 5% were significantly correlated with ICU mortality (odds ratio, 1.296; 95% CI, 1.103-1.521; p = 0.002) and hospital mortality (odds ratio, 1.323; 95% CI, 1.142-1.531; p &lt; 0.001). This relationship remained remarkable in patients with low or high Sequential Organ Failure Assessment scores in the sensitive analysis. Furthermore, external validation on a total of 4,502 individuals revealed that patients in group A still had significantly higher ICU (p &lt; 0.001) and hospital mortality (p &lt; 0.001) than those in group B.</w:t>
      </w:r>
    </w:p>
    <w:p/>
    <w:p>
      <w:pPr>
        <w:pStyle w:val="Normal"/>
      </w:pPr>
      <w:r>
        <w:rPr>
          <w:color w:val="323232"/>
        </w:rPr>
        <w:t xml:space="preserve">CONCLUSIONS:The reduced mean arterial pressure fluctuation (within -5% and 5%) may be associated with ICU and hospital mortality in critically ill patients.</w:t>
      </w:r>
    </w:p>
    <w:p/>
    <w:p>
      <w:pPr>
        <w:pStyle w:val="Normal"/>
      </w:pPr>
      <w:r>
        <w:rPr>
          <w:color w:val="323232"/>
        </w:rPr>
        <w:t xml:space="preserve">Critical Care Medicine, 2018 vol. 46 (12) pp. e1167-e1174.</w:t>
      </w:r>
    </w:p>
    <w:p>
      <w:r>
        <w:rPr>
          <w:rStyle w:val="Hyperlink"/>
        </w:rPr>
        <w:fldChar w:fldCharType="begin"/>
      </w:r>
      <w:r>
        <w:rPr>
          <w:rStyle w:val="Hyperlink"/>
        </w:rPr>
        <w:instrText xml:space="preserve"> HYPERLINK "http://eutils.ncbi.nlm.nih.gov/entrez/eutils/elink.fcgi?dbfrom=pubmed&amp;id=30247271&amp;retmode=ref&amp;cmd=prlinks"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http://eutils.ncbi.nlm.nih.gov/entrez/eutils/elink.fcgi?dbfrom=pubmed&amp;id=30247271&amp;retmode=ref&amp;cmd=prlinks</w:t>
      </w:r>
      <w:r>
        <w:rPr>
          <w:rStyle w:val="Hyperlink"/>
        </w:rPr>
        <w:fldChar w:fldCharType="end"/>
      </w:r>
    </w:p>
    <w:p>
      <w:pPr>
        <w:pStyle w:val="Normal"/>
      </w:pPr>
      <w:r>
        <w:rPr>
          <w:color w:val="323232"/>
        </w:rPr>
        <w:t xml:space="preserve">————————</w:t>
      </w:r>
    </w:p>
    <w:p>
      <w:pPr>
        <w:pStyle w:val="Heading4"/>
      </w:pPr>
      <w:r>
        <w:t xml:space="preserve">Randomized Feasibility Trial of a Low Tidal Volume-Airway Pressure Release Ventilation Protocol Compared With Traditional Airway Pressure Release Ventilation and Volume Control Ventilation Protocols.</w:t>
      </w:r>
    </w:p>
    <w:p/>
    <w:p>
      <w:pPr>
        <w:pStyle w:val="Normal"/>
      </w:pPr>
      <w:r>
        <w:rPr>
          <w:color w:val="323232"/>
        </w:rPr>
        <w:t xml:space="preserve">Eliotte L Hirshberg, Michael J Lanspa, Juhee Peterson, Lori Carpenter, Emily L Wilson, Samuel M Brown, Nathan C Dean, James Orme, and Colin K Grissom.</w:t>
      </w:r>
    </w:p>
    <w:p/>
    <w:p>
      <w:pPr>
        <w:pStyle w:val="Normal"/>
      </w:pPr>
      <w:r>
        <w:rPr>
          <w:color w:val="323232"/>
        </w:rPr>
        <w:t xml:space="preserve">OBJECTIVES:Low tidal volume (= tidal volume ≤ 6</w:t>
      </w:r>
      <w:r>
        <w:rPr>
          <w:color w:val="323232"/>
        </w:rPr>
        <w:t xml:space="preserve"> </w:t>
      </w:r>
      <w:r>
        <w:rPr>
          <w:color w:val="323232"/>
        </w:rPr>
        <w:t xml:space="preserve">mL/kg, predicted body weight) ventilation using volume control benefits patients with acute respiratory distress syndrome. Airway pressure release ventilation is an alternative to low tidal volume-volume control ventilation, but the release breaths generated are variable and can exceed tidal volume breaths of low tidal volume-volume control. We evaluate the application of a low tidal volume-compatible airway pressure release ventilation protocol that manages release volumes on both clinical and feasibility endpoints.</w:t>
      </w:r>
    </w:p>
    <w:p/>
    <w:p>
      <w:pPr>
        <w:pStyle w:val="Normal"/>
      </w:pPr>
      <w:r>
        <w:rPr>
          <w:color w:val="323232"/>
        </w:rPr>
        <w:t xml:space="preserve">DESIGN:We designed a prospective randomized trial in patients with acute hypoxemic respiratory failure. We randomized patients to low tidal volume-volume control, low tidal volume-airway pressure release ventilation, and traditional airway pressure release ventilation with a planned enrollment of 246 patients. The study was stopped early because of low enrollment and inability to consistently achieve tidal volumes less than 6.5</w:t>
      </w:r>
      <w:r>
        <w:rPr>
          <w:color w:val="323232"/>
        </w:rPr>
        <w:t xml:space="preserve"> </w:t>
      </w:r>
      <w:r>
        <w:rPr>
          <w:color w:val="323232"/>
        </w:rPr>
        <w:t xml:space="preserve">mL/ kg in the low tidal volume-airway pressure release ventilation arm. Although the primary clinical study endpoint was PaO2/FIO2 on study day 3, we highlight the feasibility outcomes related to tidal volumes in both arms.</w:t>
      </w:r>
    </w:p>
    <w:p/>
    <w:p>
      <w:pPr>
        <w:pStyle w:val="Normal"/>
      </w:pPr>
      <w:r>
        <w:rPr>
          <w:color w:val="323232"/>
        </w:rPr>
        <w:t xml:space="preserve">SETTING:Four Intermountain Healthcare tertiary ICUs.</w:t>
      </w:r>
    </w:p>
    <w:p/>
    <w:p>
      <w:pPr>
        <w:pStyle w:val="Normal"/>
      </w:pPr>
      <w:r>
        <w:rPr>
          <w:color w:val="323232"/>
        </w:rPr>
        <w:t xml:space="preserve">PATIENTS:Adult ICU patients with hypoxemic respiratory failure anticipated to require prolonged mechanical ventilation.</w:t>
      </w:r>
    </w:p>
    <w:p/>
    <w:p>
      <w:pPr>
        <w:pStyle w:val="Normal"/>
      </w:pPr>
      <w:r>
        <w:rPr>
          <w:color w:val="323232"/>
        </w:rPr>
        <w:t xml:space="preserve">INTERVENTIONS:Low tidal volume-volume control, airway pressure release ventilation, and low tidal volume-airway pressure release ventilation.</w:t>
      </w:r>
    </w:p>
    <w:p/>
    <w:p>
      <w:pPr>
        <w:pStyle w:val="Normal"/>
      </w:pPr>
      <w:r>
        <w:rPr>
          <w:color w:val="323232"/>
        </w:rPr>
        <w:t xml:space="preserve">MEASUREMENTS AND MAIN RESULTS:We observed wide variability and higher tidal (release for airway pressure release ventilation) volumes in both airway pressure release ventilation (8.6</w:t>
      </w:r>
      <w:r>
        <w:rPr>
          <w:color w:val="323232"/>
        </w:rPr>
        <w:t xml:space="preserve"> </w:t>
      </w:r>
      <w:r>
        <w:rPr>
          <w:color w:val="323232"/>
        </w:rPr>
        <w:t xml:space="preserve">mL</w:t>
      </w:r>
      <w:r>
        <w:rPr>
          <w:i w:val="1"/>
          <w:color w:val="323232"/>
        </w:rPr>
        <w:t xml:space="preserve">kg; 95% CI, 7.8-9.6) and low tidal volume-airway pressure release ventilation (8.0; 95% CI, 7.3-8.9) than volume control (6.8; 95% CI, 6.2-7.5; p = 0.005) with no difference between airway pressure release ventilation and low tidal volume-airway pressure release ventilation (p = 0.58). Recognizing the limitations of small sample size, we observed no difference in 52 patients in day 3 PaO2</w:t>
      </w:r>
      <w:r>
        <w:rPr>
          <w:color w:val="323232"/>
        </w:rPr>
        <w:t xml:space="preserve"> FIO2 (p = 0.92). We also observed no significant difference between arms in sedation, vasoactive medications, or occurrence of pneumothorax.</w:t>
      </w:r>
    </w:p>
    <w:p/>
    <w:p>
      <w:pPr>
        <w:pStyle w:val="Normal"/>
      </w:pPr>
      <w:r>
        <w:rPr>
          <w:color w:val="323232"/>
        </w:rPr>
        <w:t xml:space="preserve">CONCLUSIONS:Airway pressure release ventilation resulted in release volumes often exceeding 12</w:t>
      </w:r>
      <w:r>
        <w:rPr>
          <w:color w:val="323232"/>
        </w:rPr>
        <w:t xml:space="preserve"> </w:t>
      </w:r>
      <w:r>
        <w:rPr>
          <w:color w:val="323232"/>
        </w:rPr>
        <w:t xml:space="preserve">mL/kg despite a protocol designed to target low tidal volume ventilation. Current airway pressure release ventilation protocols are unable to achieve consistent and reproducible delivery of low tidal volume ventilation goals. A large-scale efficacy trial of low tidal volume-airway pressure release ventilation is not feasible at this time in the absence of an explicit, generalizable, and reproducible low tidal volume-airway pressure release ventilation protocol.</w:t>
      </w:r>
    </w:p>
    <w:p/>
    <w:p>
      <w:pPr>
        <w:pStyle w:val="Normal"/>
      </w:pPr>
      <w:r>
        <w:rPr>
          <w:color w:val="323232"/>
        </w:rPr>
        <w:t xml:space="preserve">Critical Care Medicine, 2018 vol. 46 (12) pp. 1943-1952.</w:t>
      </w:r>
    </w:p>
    <w:p>
      <w:r>
        <w:rPr>
          <w:rStyle w:val="Hyperlink"/>
        </w:rPr>
        <w:fldChar w:fldCharType="begin"/>
      </w:r>
      <w:r>
        <w:rPr>
          <w:rStyle w:val="Hyperlink"/>
        </w:rPr>
        <w:instrText xml:space="preserve"> HYPERLINK "http://eutils.ncbi.nlm.nih.gov/entrez/eutils/elink.fcgi?dbfrom=pubmed&amp;id=30277890&amp;retmode=ref&amp;cmd=prlinks"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http://eutils.ncbi.nlm.nih.gov/entrez/eutils/elink.fcgi?dbfrom=pubmed&amp;id=30277890&amp;retmode=ref&amp;cmd=prlinks</w:t>
      </w:r>
      <w:r>
        <w:rPr>
          <w:rStyle w:val="Hyperlink"/>
        </w:rPr>
        <w:fldChar w:fldCharType="end"/>
      </w:r>
    </w:p>
    <w:p>
      <w:pPr>
        <w:pStyle w:val="Normal"/>
      </w:pPr>
      <w:r>
        <w:rPr>
          <w:color w:val="323232"/>
        </w:rPr>
        <w:t xml:space="preserve">————————</w:t>
      </w:r>
    </w:p>
    <w:p>
      <w:pPr>
        <w:pStyle w:val="Heading4"/>
      </w:pPr>
      <w:r>
        <w:t xml:space="preserve">Risk Factors for Persistent Cognitive Impairment After Critical Illness, Nested Case-Control Study.</w:t>
      </w:r>
    </w:p>
    <w:p/>
    <w:p>
      <w:pPr>
        <w:pStyle w:val="Normal"/>
      </w:pPr>
      <w:r>
        <w:rPr>
          <w:color w:val="323232"/>
        </w:rPr>
        <w:t xml:space="preserve">Amra Sakusic, Ognjen Gajic, Tarun D Singh, John C O’Horo, Gregory Jenkins, Gregory A Wilson, Ronald Petersen, John D Fryer, Rahul Kashyap, and Alejandro A Rabinstein.</w:t>
      </w:r>
    </w:p>
    <w:p/>
    <w:p>
      <w:pPr>
        <w:pStyle w:val="Normal"/>
      </w:pPr>
      <w:r>
        <w:rPr>
          <w:color w:val="323232"/>
        </w:rPr>
        <w:t xml:space="preserve">OBJECTIVES:Persistent cognitive impairment after critical illness is an important healthcare problem forecasted to worsen in the near future. However, the epidemiology is insufficiently explored. We aimed to determine potentially modifiable risk factors during ICU hospitalization that play a significant role in developing persistent cognitive impairment.</w:t>
      </w:r>
    </w:p>
    <w:p/>
    <w:p>
      <w:pPr>
        <w:pStyle w:val="Normal"/>
      </w:pPr>
      <w:r>
        <w:rPr>
          <w:color w:val="323232"/>
        </w:rPr>
        <w:t xml:space="preserve">DESIGN:An observational case-control study.</w:t>
      </w:r>
    </w:p>
    <w:p/>
    <w:p>
      <w:pPr>
        <w:pStyle w:val="Normal"/>
      </w:pPr>
      <w:r>
        <w:rPr>
          <w:color w:val="323232"/>
        </w:rPr>
        <w:t xml:space="preserve">SETTINGS:Mayo Clinic ICUs between July 1, 2004, and November 20, 2015.</w:t>
      </w:r>
    </w:p>
    <w:p/>
    <w:p>
      <w:pPr>
        <w:pStyle w:val="Normal"/>
      </w:pPr>
      <w:r>
        <w:rPr>
          <w:color w:val="323232"/>
        </w:rPr>
        <w:t xml:space="preserve">PATIENTS:We conducted a study nested in a large cohort of 98,227 adult critically ill patients. Using previously validated computable phenotypes for dementia and cognitive impairment, we determined the onset of cognitive impairment relative to ICU hospitalization and associated risk factors. The primary endpoint of the study was new and persistent cognitive impairment documented between 3 and 24 months after ICU discharge.</w:t>
      </w:r>
    </w:p>
    <w:p/>
    <w:p>
      <w:pPr>
        <w:pStyle w:val="Normal"/>
      </w:pPr>
      <w:r>
        <w:rPr>
          <w:color w:val="323232"/>
        </w:rPr>
        <w:t xml:space="preserve">INTERVENTIONS:Unadjusted and adjusted analyses were performed to identify potentially modifiable risk factors during ICU hospitalization.</w:t>
      </w:r>
    </w:p>
    <w:p/>
    <w:p>
      <w:pPr>
        <w:pStyle w:val="Normal"/>
      </w:pPr>
      <w:r>
        <w:rPr>
          <w:color w:val="323232"/>
        </w:rPr>
        <w:t xml:space="preserve">MEASUREMENTS AND MAIN RESULTS:Among 21,923 unique patients identified as cognitively impaired (22% of the entire ICU cohort), 2,428 (2.5%) developed incident new and persistent cognitive dysfunction after the index ICU admission. Compared with age- and sex-matched ICU controls (2,401 pairs), cases had higher chronic illness burden (Charlson Comorbidity Index, 6.2 vs 5.1; p &lt; 0.01), and were more likely to have multiple ICU stays (22% vs 14%; p &lt; 0.01). After adjustment for baseline differences, new and persistent cognitive dysfunction was associated with higher frequency of acute brain failure in the ICU, a higher exposure to severe hypotension, hypoxemia, hyperthermia, fluctuations in serum glucose, and treatment with quinolones or vancomycin. Association with sepsis observed in univariate analysis did not persist after adjustment.</w:t>
      </w:r>
    </w:p>
    <w:p/>
    <w:p>
      <w:pPr>
        <w:pStyle w:val="Normal"/>
      </w:pPr>
      <w:r>
        <w:rPr>
          <w:color w:val="323232"/>
        </w:rPr>
        <w:t xml:space="preserve">CONCLUSIONS:Cognitive dysfunction is highly prevalent in ICU patients. Incident new and persistent cognitive impairment is less common but important, potentially preventable problem after critical illness. Chronic comorbidities and number of ICU stays increase the risk of post-ICU cognitive dysfunction irrespective of age. Modifiable ICU exposures were identified as potential targets for future prevention trials.</w:t>
      </w:r>
    </w:p>
    <w:p/>
    <w:p>
      <w:pPr>
        <w:pStyle w:val="Normal"/>
      </w:pPr>
      <w:r>
        <w:rPr>
          <w:color w:val="323232"/>
        </w:rPr>
        <w:t xml:space="preserve">Critical Care Medicine, 2018 vol. 46 (12) pp. 1977-1984.</w:t>
      </w:r>
    </w:p>
    <w:p>
      <w:r>
        <w:rPr>
          <w:rStyle w:val="Hyperlink"/>
        </w:rPr>
        <w:fldChar w:fldCharType="begin"/>
      </w:r>
      <w:r>
        <w:rPr>
          <w:rStyle w:val="Hyperlink"/>
        </w:rPr>
        <w:instrText xml:space="preserve"> HYPERLINK "http://eutils.ncbi.nlm.nih.gov/entrez/eutils/elink.fcgi?dbfrom=pubmed&amp;id=30222636&amp;retmode=ref&amp;cmd=prlinks"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http://eutils.ncbi.nlm.nih.gov/entrez/eutils/elink.fcgi?dbfrom=pubmed&amp;id=30222636&amp;retmode=ref&amp;cmd=prlinks</w:t>
      </w:r>
      <w:r>
        <w:rPr>
          <w:rStyle w:val="Hyperlink"/>
        </w:rPr>
        <w:fldChar w:fldCharType="end"/>
      </w:r>
    </w:p>
    <w:p>
      <w:pPr>
        <w:pStyle w:val="Normal"/>
      </w:pPr>
      <w:r>
        <w:rPr>
          <w:color w:val="323232"/>
        </w:rPr>
        <w:t xml:space="preserve">————————</w:t>
      </w:r>
    </w:p>
    <w:p>
      <w:pPr>
        <w:pStyle w:val="Heading4"/>
      </w:pPr>
      <w:r>
        <w:t xml:space="preserve">Risk Factors on Hospital Arrival for Acute Respiratory Distress Syndrome Following Pediatric Trauma.</w:t>
      </w:r>
    </w:p>
    <w:p/>
    <w:p>
      <w:pPr>
        <w:pStyle w:val="Normal"/>
      </w:pPr>
      <w:r>
        <w:rPr>
          <w:color w:val="323232"/>
        </w:rPr>
        <w:t xml:space="preserve">Elizabeth Y Killien, Brianna Mills, R Scott Watson, Monica S Vavilala, and Frederick P Rivara.</w:t>
      </w:r>
    </w:p>
    <w:p/>
    <w:p>
      <w:pPr>
        <w:pStyle w:val="Normal"/>
      </w:pPr>
      <w:r>
        <w:rPr>
          <w:color w:val="323232"/>
        </w:rPr>
        <w:t xml:space="preserve">OBJECTIVES:To determine risk factors identifiable at hospital arrival associated with acute respiratory distress syndrome development among critically injured children.</w:t>
      </w:r>
    </w:p>
    <w:p/>
    <w:p>
      <w:pPr>
        <w:pStyle w:val="Normal"/>
      </w:pPr>
      <w:r>
        <w:rPr>
          <w:color w:val="323232"/>
        </w:rPr>
        <w:t xml:space="preserve">DESIGN:Retrospective cohort study.</w:t>
      </w:r>
    </w:p>
    <w:p/>
    <w:p>
      <w:pPr>
        <w:pStyle w:val="Normal"/>
      </w:pPr>
      <w:r>
        <w:rPr>
          <w:color w:val="323232"/>
        </w:rPr>
        <w:t xml:space="preserve">SETTING:Level I or II adult or pediatric trauma centers contributing to the National Trauma Data Bank from 2007 to 2016.</w:t>
      </w:r>
    </w:p>
    <w:p/>
    <w:p>
      <w:pPr>
        <w:pStyle w:val="Normal"/>
      </w:pPr>
      <w:r>
        <w:rPr>
          <w:color w:val="323232"/>
        </w:rPr>
        <w:t xml:space="preserve">PATIENTS:Patients less than 18 years admitted to an ICU with traumatic injury.</w:t>
      </w:r>
    </w:p>
    <w:p/>
    <w:p>
      <w:pPr>
        <w:pStyle w:val="Normal"/>
      </w:pPr>
      <w:r>
        <w:rPr>
          <w:color w:val="323232"/>
        </w:rPr>
        <w:t xml:space="preserve">INTERVENTIONS:None.</w:t>
      </w:r>
    </w:p>
    <w:p/>
    <w:p>
      <w:pPr>
        <w:pStyle w:val="Normal"/>
      </w:pPr>
      <w:r>
        <w:rPr>
          <w:color w:val="323232"/>
        </w:rPr>
        <w:t xml:space="preserve">MEASUREMENTS AND MAIN RESULTS:We determined associations between patient, injury, and clinical characteristics present at hospital arrival with development of acute respiratory distress syndrome recorded as a hospital complication. Acute respiratory distress syndrome occurred in 1.8% of 146,058 critically injured children (n = 2,590). The only demographic factor associated with higher risk of developing acute respiratory distress syndrome on multivariable analysis was African American race (relative risk, 1.42 vs white; 95% CI, 1.13-1.78). Injury characteristics included firearm injuries (relative risk 1.93; 1.50-2.48) and motor vehicle crashes (relative risk, 1.91; 1.57-2.31) relative to falls; spine (relative risk, 1.39; 1.20-1.60), chest (relative risk, 1.36; 1.22-1.52), or lower extremity injuries (relative risk, 1.26; 1.10-1.44); amputations (relative risk, 2.10; 1.51-2.91); and more severe injury (relative risk, 3.69 for Injury Severity Score 40-75 vs 1-8; 2.50-5.44). Clinical variables included abnormal respiratory status (intubated relative risk, 1.67; 1.23-2.26 and hypopnea relative risk, 1.23; 1.05-1.45 and tachypnea relative risk, 1.26; 1.10-1.44) and lower Glasgow Coma Scale score (relative risk, 5.61 for Glasgow Coma Scale score 3 vs 15; 4.44-7.07).</w:t>
      </w:r>
    </w:p>
    <w:p/>
    <w:p>
      <w:pPr>
        <w:pStyle w:val="Normal"/>
      </w:pPr>
      <w:r>
        <w:rPr>
          <w:color w:val="323232"/>
        </w:rPr>
        <w:t xml:space="preserve">CONCLUSIONS:We provide the first description of the incidence of and risk factors for acute respiratory distress syndrome among pediatric trauma patients. Improved understanding of the risk factors associated with acute respiratory distress syndrome following pediatric trauma may help providers anticipate its development and intervene early to improve outcomes for severely injured children.</w:t>
      </w:r>
    </w:p>
    <w:p/>
    <w:p>
      <w:pPr>
        <w:pStyle w:val="Normal"/>
      </w:pPr>
      <w:r>
        <w:rPr>
          <w:color w:val="323232"/>
        </w:rPr>
        <w:t xml:space="preserve">Critical Care Medicine, 2018 vol. 46 (12) pp. e1088-e1096.</w:t>
      </w:r>
    </w:p>
    <w:p>
      <w:r>
        <w:rPr>
          <w:rStyle w:val="Hyperlink"/>
        </w:rPr>
        <w:fldChar w:fldCharType="begin"/>
      </w:r>
      <w:r>
        <w:rPr>
          <w:rStyle w:val="Hyperlink"/>
        </w:rPr>
        <w:instrText xml:space="preserve"> HYPERLINK "http://eutils.ncbi.nlm.nih.gov/entrez/eutils/elink.fcgi?dbfrom=pubmed&amp;id=30119074&amp;retmode=ref&amp;cmd=prlinks"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http://eutils.ncbi.nlm.nih.gov/entrez/eutils/elink.fcgi?dbfrom=pubmed&amp;id=30119074&amp;retmode=ref&amp;cmd=prlinks</w:t>
      </w:r>
      <w:r>
        <w:rPr>
          <w:rStyle w:val="Hyperlink"/>
        </w:rPr>
        <w:fldChar w:fldCharType="end"/>
      </w:r>
    </w:p>
    <w:p>
      <w:pPr>
        <w:pStyle w:val="Normal"/>
      </w:pPr>
      <w:r>
        <w:rPr>
          <w:color w:val="323232"/>
        </w:rPr>
        <w:t xml:space="preserve">————————</w:t>
      </w:r>
    </w:p>
    <w:p>
      <w:pPr>
        <w:pStyle w:val="Heading4"/>
      </w:pPr>
      <w:r>
        <w:t xml:space="preserve">The Effects of Storage Age of Blood in Massively Transfused Burn Patients: A Secondary Analysis of the Randomized Transfusion Requirement in Burn Care Evaluation Study.</w:t>
      </w:r>
    </w:p>
    <w:p/>
    <w:p>
      <w:pPr>
        <w:pStyle w:val="Normal"/>
      </w:pPr>
      <w:r>
        <w:rPr>
          <w:color w:val="323232"/>
        </w:rPr>
        <w:t xml:space="preserve">Robert Cartotto, Sandra L Taylor, James H Holmes, Michael Peck, Amalia Cochran, Booker T King, Daval Bhavsar, Edward E Tredget, David Mozingo, David Greenhalgh, Brad H Pollock, and Tina L Palmieri.</w:t>
      </w:r>
    </w:p>
    <w:p/>
    <w:p>
      <w:pPr>
        <w:pStyle w:val="Normal"/>
      </w:pPr>
      <w:r>
        <w:rPr>
          <w:color w:val="323232"/>
        </w:rPr>
        <w:t xml:space="preserve">OBJECTIVES:Major trials examining storage age of blood transfused to critically ill patients administered relatively few blood transfusions. We sought to determine if the storage age of blood affects outcomes when very large amounts of blood are transfused.</w:t>
      </w:r>
    </w:p>
    <w:p/>
    <w:p>
      <w:pPr>
        <w:pStyle w:val="Normal"/>
      </w:pPr>
      <w:r>
        <w:rPr>
          <w:color w:val="323232"/>
        </w:rPr>
        <w:t xml:space="preserve">DESIGN:A secondary analysis of the multicenter randomized Transfusion Requirement in Burn Care Evaluation study which compared restrictive and liberal transfusion strategies.</w:t>
      </w:r>
    </w:p>
    <w:p/>
    <w:p>
      <w:pPr>
        <w:pStyle w:val="Normal"/>
      </w:pPr>
      <w:r>
        <w:rPr>
          <w:color w:val="323232"/>
        </w:rPr>
        <w:t xml:space="preserve">SETTING:Eighteen tertiary-care burn centers.</w:t>
      </w:r>
    </w:p>
    <w:p/>
    <w:p>
      <w:pPr>
        <w:pStyle w:val="Normal"/>
      </w:pPr>
      <w:r>
        <w:rPr>
          <w:color w:val="323232"/>
        </w:rPr>
        <w:t xml:space="preserve">PATIENTS:Transfusion Requirement in Burn Care Evaluation evaluated 345 adults with burns greater than or equal to 20% of the body surface area. We included only the 303 patients that received blood transfusions.</w:t>
      </w:r>
    </w:p>
    <w:p/>
    <w:p>
      <w:pPr>
        <w:pStyle w:val="Normal"/>
      </w:pPr>
      <w:r>
        <w:rPr>
          <w:color w:val="323232"/>
        </w:rPr>
        <w:t xml:space="preserve">INTERVENTIONS:The storage ages of all transfused red cell units were collected during Transfusion Requirement in Burn Care Evaluation. A priori measures of storage age were the the mean storage age of all transfused blood and the proportion of all transfused blood considered very old (stored ≥ 35 d).</w:t>
      </w:r>
    </w:p>
    <w:p/>
    <w:p>
      <w:pPr>
        <w:pStyle w:val="Normal"/>
      </w:pPr>
      <w:r>
        <w:rPr>
          <w:color w:val="323232"/>
        </w:rPr>
        <w:t xml:space="preserve">MEASUREMENTS AND MAIN RESULTS:The primary outcome was the severity of multiple organ dysfunction. Secondary outcomes included time to wound healing, the duration of mechanical ventilation, and in-hospital mortality. There were 6,786 red cell transfusions with a mean (± SD) storage age of 25.6</w:t>
      </w:r>
      <w:r>
        <w:rPr>
          <w:color w:val="323232"/>
        </w:rPr>
        <w:t xml:space="preserve"> </w:t>
      </w:r>
      <w:r>
        <w:rPr>
          <w:color w:val="323232"/>
        </w:rPr>
        <w:t xml:space="preserve">±</w:t>
      </w:r>
      <w:r>
        <w:rPr>
          <w:color w:val="323232"/>
        </w:rPr>
        <w:t xml:space="preserve"> </w:t>
      </w:r>
      <w:r>
        <w:rPr>
          <w:color w:val="323232"/>
        </w:rPr>
        <w:t xml:space="preserve">10.2 days. Participants received a mean of 23.4</w:t>
      </w:r>
      <w:r>
        <w:rPr>
          <w:color w:val="323232"/>
        </w:rPr>
        <w:t xml:space="preserve"> </w:t>
      </w:r>
      <w:r>
        <w:rPr>
          <w:color w:val="323232"/>
        </w:rPr>
        <w:t xml:space="preserve">±</w:t>
      </w:r>
      <w:r>
        <w:rPr>
          <w:color w:val="323232"/>
        </w:rPr>
        <w:t xml:space="preserve"> </w:t>
      </w:r>
      <w:r>
        <w:rPr>
          <w:color w:val="323232"/>
        </w:rPr>
        <w:t xml:space="preserve">31.2 blood transfusions (range, 1-219) and a mean of 5.3</w:t>
      </w:r>
      <w:r>
        <w:rPr>
          <w:color w:val="323232"/>
        </w:rPr>
        <w:t xml:space="preserve"> </w:t>
      </w:r>
      <w:r>
        <w:rPr>
          <w:color w:val="323232"/>
        </w:rPr>
        <w:t xml:space="preserve">±</w:t>
      </w:r>
      <w:r>
        <w:rPr>
          <w:color w:val="323232"/>
        </w:rPr>
        <w:t xml:space="preserve"> </w:t>
      </w:r>
      <w:r>
        <w:rPr>
          <w:color w:val="323232"/>
        </w:rPr>
        <w:t xml:space="preserve">10.7 units of very old blood. Neither mean storage age nor proportion of very old blood had any influence on multiple organ dysfunction severity, time to wound healing, or mortality. Duration of ventilation was significantly predicted by both mean blood storage age and the proportion of very old blood, but this was of questionable clinical relevance given extreme variability in duration of ventilation (adjusted r ≤ 0.01).</w:t>
      </w:r>
    </w:p>
    <w:p/>
    <w:p>
      <w:pPr>
        <w:pStyle w:val="Normal"/>
      </w:pPr>
      <w:r>
        <w:rPr>
          <w:color w:val="323232"/>
        </w:rPr>
        <w:t xml:space="preserve">CONCLUSIONS:Despite massive blood transfusion, including very old blood, the duration of red cell storage did not influence outcome in burn patients. Provision of the oldest blood first by Blood Banks is rational, even for massive transfusion.</w:t>
      </w:r>
    </w:p>
    <w:p/>
    <w:p>
      <w:pPr>
        <w:pStyle w:val="Normal"/>
      </w:pPr>
      <w:r>
        <w:rPr>
          <w:color w:val="323232"/>
        </w:rPr>
        <w:t xml:space="preserve">Critical Care Medicine, 2018 vol. 46 (12) pp. e1097-e1104.</w:t>
      </w:r>
    </w:p>
    <w:p>
      <w:r>
        <w:rPr>
          <w:rStyle w:val="Hyperlink"/>
        </w:rPr>
        <w:fldChar w:fldCharType="begin"/>
      </w:r>
      <w:r>
        <w:rPr>
          <w:rStyle w:val="Hyperlink"/>
        </w:rPr>
        <w:instrText xml:space="preserve"> HYPERLINK "http://eutils.ncbi.nlm.nih.gov/entrez/eutils/elink.fcgi?dbfrom=pubmed&amp;id=30234568&amp;retmode=ref&amp;cmd=prlinks"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http://eutils.ncbi.nlm.nih.gov/entrez/eutils/elink.fcgi?dbfrom=pubmed&amp;id=30234568&amp;retmode=ref&amp;cmd=prlinks</w:t>
      </w:r>
      <w:r>
        <w:rPr>
          <w:rStyle w:val="Hyperlink"/>
        </w:rPr>
        <w:fldChar w:fldCharType="end"/>
      </w:r>
    </w:p>
    <w:p>
      <w:pPr>
        <w:pStyle w:val="Normal"/>
      </w:pPr>
      <w:r>
        <w:rPr>
          <w:color w:val="323232"/>
        </w:rPr>
        <w:t xml:space="preserve">————————</w:t>
      </w:r>
    </w:p>
    <w:p>
      <w:pPr>
        <w:pStyle w:val="Heading4"/>
      </w:pPr>
      <w:r>
        <w:t xml:space="preserve">Use of Vasopressor Increases the Risk of Mortality in Traumatic Hemorrhagic Shock: A Nationwide Cohort Study in Japan.</w:t>
      </w:r>
    </w:p>
    <w:p/>
    <w:p>
      <w:pPr>
        <w:pStyle w:val="Normal"/>
      </w:pPr>
      <w:r>
        <w:rPr>
          <w:color w:val="323232"/>
        </w:rPr>
        <w:t xml:space="preserve">Makoto Aoki, Toshikazu Abe, Daizoh Saitoh, Shuichi Hagiwara, and Kiyohiro Oshima.</w:t>
      </w:r>
    </w:p>
    <w:p/>
    <w:p>
      <w:pPr>
        <w:pStyle w:val="Normal"/>
      </w:pPr>
      <w:r>
        <w:rPr>
          <w:color w:val="323232"/>
        </w:rPr>
        <w:t xml:space="preserve">OBJECTIVES:To evaluate the possible association of vasopressor use with mortality in traumatic hemorrhagic shock patients.</w:t>
      </w:r>
    </w:p>
    <w:p/>
    <w:p>
      <w:pPr>
        <w:pStyle w:val="Normal"/>
      </w:pPr>
      <w:r>
        <w:rPr>
          <w:color w:val="323232"/>
        </w:rPr>
        <w:t xml:space="preserve">DESIGN:Retrospective cohort study.</w:t>
      </w:r>
    </w:p>
    <w:p/>
    <w:p>
      <w:pPr>
        <w:pStyle w:val="Normal"/>
      </w:pPr>
      <w:r>
        <w:rPr>
          <w:color w:val="323232"/>
        </w:rPr>
        <w:t xml:space="preserve">SETTING:Traumatic hemorrhagic shock patients at 260 emergency hospitals in Japan between 2004 and 2015.</w:t>
      </w:r>
    </w:p>
    <w:p/>
    <w:p>
      <w:pPr>
        <w:pStyle w:val="Normal"/>
      </w:pPr>
      <w:r>
        <w:rPr>
          <w:color w:val="323232"/>
        </w:rPr>
        <w:t xml:space="preserve">PATIENTS:Three-thousand five-hundred fifty-one traumatic hemorrhagic shock patients who had systolic hypotension (&lt; 90</w:t>
      </w:r>
      <w:r>
        <w:rPr>
          <w:color w:val="323232"/>
        </w:rPr>
        <w:t xml:space="preserve"> </w:t>
      </w:r>
      <w:r>
        <w:rPr>
          <w:color w:val="323232"/>
        </w:rPr>
        <w:t xml:space="preserve">mm Hg) on arrival at the emergency department and a blood transfusion received within the first 24 hours.</w:t>
      </w:r>
    </w:p>
    <w:p/>
    <w:p>
      <w:pPr>
        <w:pStyle w:val="Normal"/>
      </w:pPr>
      <w:r>
        <w:rPr>
          <w:color w:val="323232"/>
        </w:rPr>
        <w:t xml:space="preserve">INTERVENTIONS:The use of vasopressor for traumatic hemorrhagic shock within the first 24 hours.</w:t>
      </w:r>
    </w:p>
    <w:p/>
    <w:p>
      <w:pPr>
        <w:pStyle w:val="Normal"/>
      </w:pPr>
      <w:r>
        <w:rPr>
          <w:color w:val="323232"/>
        </w:rPr>
        <w:t xml:space="preserve">MEASUREMENTS AND MAIN RESULTS:Among 236,698 trauma patients, 3,551 were included in the study. Overall, 198 of 459 patients (43%) in the vasopressor+ group expired compared with 481 of 3,092 patients (16%) in the vasopressor- group. Use of vasopressor had an odds ratio of 2.172 (95% CI, 1.666-2.833) for in-hospital mortality adjusted for age, gender, year of onset, cause of injury, mechanism of injury, vital signs at the emergency department, Injury Severity Score, use of prehospital IV fluid, and volume of blood transfusion within the first 24 hours. In the propensity score-matched cohort and two subgroup analyses (massive transfusion and survivable injury models), use of vasopressor was associated with higher mortality (odds ratio, 2.168; 95% C, 1.442-3.320), (odds ratio, 2.029; 95% CI, 1.414-2.911; massive transfusion model), and (odds ratio, 1.959; 95% CI, 1.364-2.814; survivable injury model).</w:t>
      </w:r>
    </w:p>
    <w:p/>
    <w:p>
      <w:pPr>
        <w:pStyle w:val="Normal"/>
      </w:pPr>
      <w:r>
        <w:rPr>
          <w:color w:val="323232"/>
        </w:rPr>
        <w:t xml:space="preserve">CONCLUSIONS:Use of vasopressor for traumatic hemorrhagic shock was associated with mortality after controlling for biases (trauma severity; volume of fluid resuscitation).</w:t>
      </w:r>
    </w:p>
    <w:p/>
    <w:p>
      <w:pPr>
        <w:pStyle w:val="Normal"/>
      </w:pPr>
      <w:r>
        <w:rPr>
          <w:color w:val="323232"/>
        </w:rPr>
        <w:t xml:space="preserve">Critical Care Medicine, 2018 vol. 46 (12) pp. e1145-e1151.</w:t>
      </w:r>
    </w:p>
    <w:p>
      <w:r>
        <w:rPr>
          <w:rStyle w:val="Hyperlink"/>
        </w:rPr>
        <w:fldChar w:fldCharType="begin"/>
      </w:r>
      <w:r>
        <w:rPr>
          <w:rStyle w:val="Hyperlink"/>
        </w:rPr>
        <w:instrText xml:space="preserve"> HYPERLINK "http://eutils.ncbi.nlm.nih.gov/entrez/eutils/elink.fcgi?dbfrom=pubmed&amp;id=30199392&amp;retmode=ref&amp;cmd=prlinks"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http://eutils.ncbi.nlm.nih.gov/entrez/eutils/elink.fcgi?dbfrom=pubmed&amp;id=30199392&amp;retmode=ref&amp;cmd=prlinks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