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Critical Care Medicine 2017</w:t>
      </w:r>
    </w:p>
    <w:p>
      <w:pPr>
        <w:pStyle w:val="Heading2"/>
      </w:pPr>
      <w:r>
        <w:t xml:space="preserve">CCM 2017; Vol 45; Issue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Evaluating Pulmonary Function: An Assessment of PaO2/FIO2.</w:t>
      </w:r>
    </w:p>
    <w:p/>
    <w:p>
      <w:pPr>
        <w:pStyle w:val="Normal"/>
      </w:pPr>
      <w:r>
        <w:rPr>
          <w:color w:val="323232"/>
        </w:rPr>
        <w:t xml:space="preserve">John R Feiner and Richard B Weiskopf.</w:t>
      </w:r>
    </w:p>
    <w:p/>
    <w:p>
      <w:pPr>
        <w:pStyle w:val="Normal"/>
      </w:pPr>
      <w:r>
        <w:rPr>
          <w:color w:val="323232"/>
        </w:rPr>
        <w:t xml:space="preserve">OBJECTIVES:PaO2/FIO2 is used commonly for diagnosis of lung injury (acute respiratory distress syndrome and transfusion-related acute lung injury), for assessment of pulmonary disease course and therapy, and in pulmonary transplantation for evaluation of donor lungs and clinical outcome. It was developed for convenience, without formal mathematical and graphic assessment to validate its suitability for these purposes.</w:t>
      </w:r>
    </w:p>
    <w:p/>
    <w:p>
      <w:pPr>
        <w:pStyle w:val="Normal"/>
      </w:pPr>
      <w:r>
        <w:rPr>
          <w:color w:val="323232"/>
        </w:rPr>
        <w:t xml:space="preserve">DESIGN:We examined, mathematically and graphically, the relationship of PaO2/FIO2 to FIO2 at constant normal and several degrees of increased intrapulmonary shunting (QS/ QT), assessing the impact of intra- and extrapulmonary factors on the relationship and thus the reliability of PaO2/FIO2.</w:t>
      </w:r>
    </w:p>
    <w:p/>
    <w:p>
      <w:pPr>
        <w:pStyle w:val="Normal"/>
      </w:pPr>
      <w:r>
        <w:rPr>
          <w:color w:val="323232"/>
        </w:rPr>
        <w:t xml:space="preserve">MEASUREMENTS AND MAIN RESULTS:The relationship of PaO2/FIO2 varies at all shunt fractions but most with QS/ QT from 0.1 to 0.3 with FIO2 approximately greater than 0.4. At higher QS/ QT, the relationship is more constant and changes less with FIO2 more than 0.4. Hemoglobin concentration and arterial-venous oxygen content difference have large effects that can confound interpretation of PaO2/ FIO2. Barometric pressure has a substantial effect; PCO2, base excess, and respiratory quotient have small effects.</w:t>
      </w:r>
    </w:p>
    <w:p/>
    <w:p>
      <w:pPr>
        <w:pStyle w:val="Normal"/>
      </w:pPr>
      <w:r>
        <w:rPr>
          <w:color w:val="323232"/>
        </w:rPr>
        <w:t xml:space="preserve">CONCLUSIONS:At high QS/ QT with FIO2 more than 0.4, the relationship of PaO2/ FIO2 to FIO2 is relatively constant. However, with QS/ QT of 0.1-0.3, PaO2/ FIO2 changes substantially with FIO2. Understanding the important effects of nonpulmonary factors (especially hemoglobin concentration and arterial-venous oxygen content difference) should enhance appropriate clinical use, interpretation of PaO2/FIO2, and interpretation of previous publications and future studies (especially those seeking to assess effects of anemia or transfusion on lung function). The ratio of PaO2/FIO2 is a good tool for some, but not many clinical circumstances, and is insufficiently robust for most research applications.</w:t>
      </w:r>
    </w:p>
    <w:p/>
    <w:p>
      <w:pPr>
        <w:pStyle w:val="Normal"/>
      </w:pPr>
      <w:r>
        <w:rPr>
          <w:color w:val="323232"/>
        </w:rPr>
        <w:t xml:space="preserve">Critical Care Medicine, 2017 vol. 45 (1) pp. e40-e48.</w:t>
      </w:r>
    </w:p>
    <w:p>
      <w:r>
        <w:rPr>
          <w:rStyle w:val="Hyperlink"/>
        </w:rPr>
        <w:fldChar w:fldCharType="begin"/>
      </w:r>
      <w:r>
        <w:rPr>
          <w:rStyle w:val="Hyperlink"/>
        </w:rPr>
        <w:instrText xml:space="preserve"> HYPERLINK "http://eutils.ncbi.nlm.nih.gov/entrez/eutils/elink.fcgi?dbfrom=pubmed&amp;id=27618274&amp;retmode=ref&amp;cmd=prlinks"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http://eutils.ncbi.nlm.nih.gov/entrez/eutils/elink.fcgi?dbfrom=pubmed&amp;id=27618274&amp;retmode=ref&amp;cmd=prlinks</w:t>
      </w:r>
      <w:r>
        <w:rPr>
          <w:rStyle w:val="Hyperlink"/>
        </w:rPr>
        <w:fldChar w:fldCharType="end"/>
      </w:r>
    </w:p>
    <w:p>
      <w:pPr>
        <w:pStyle w:val="Normal"/>
      </w:pPr>
      <w:r>
        <w:rPr>
          <w:color w:val="323232"/>
        </w:rPr>
        <w:t xml:space="preserve">————————</w:t>
      </w:r>
    </w:p>
    <w:p>
      <w:pPr>
        <w:pStyle w:val="Heading4"/>
      </w:pPr>
      <w:r>
        <w:t xml:space="preserve">Metrics of Arterial Hyperoxia and Associated Outcomes in Critical Care.</w:t>
      </w:r>
    </w:p>
    <w:p/>
    <w:p>
      <w:pPr>
        <w:pStyle w:val="Normal"/>
      </w:pPr>
      <w:r>
        <w:rPr>
          <w:color w:val="323232"/>
        </w:rPr>
        <w:t xml:space="preserve">Hendrik J F Helmerhorst, Derk L Arts, Marcus J Schultz, Peter H J van der Voort, Ameen Abu-Hanna, Evert de Jonge, and David J van Westerloo.</w:t>
      </w:r>
    </w:p>
    <w:p/>
    <w:p>
      <w:pPr>
        <w:pStyle w:val="Normal"/>
      </w:pPr>
      <w:r>
        <w:rPr>
          <w:color w:val="323232"/>
        </w:rPr>
        <w:t xml:space="preserve">OBJECTIVE:Emerging evidence has shown the potential risks of arterial hyperoxia, but the lack of a clinical definition and methodologic limitations hamper the interpretation and clinical relevance of previous studies. Our purpose was to evaluate previously used and newly constructed metrics of arterial hyperoxia and systematically assess their association with clinical outcomes in different subgroups in the ICU.</w:t>
      </w:r>
    </w:p>
    <w:p/>
    <w:p>
      <w:pPr>
        <w:pStyle w:val="Normal"/>
      </w:pPr>
      <w:r>
        <w:rPr>
          <w:color w:val="323232"/>
        </w:rPr>
        <w:t xml:space="preserve">DESIGN:Observational cohort study.</w:t>
      </w:r>
    </w:p>
    <w:p/>
    <w:p>
      <w:pPr>
        <w:pStyle w:val="Normal"/>
      </w:pPr>
      <w:r>
        <w:rPr>
          <w:color w:val="323232"/>
        </w:rPr>
        <w:t xml:space="preserve">SETTING:Three large tertiary care ICUs in the Netherlands.</w:t>
      </w:r>
    </w:p>
    <w:p/>
    <w:p>
      <w:pPr>
        <w:pStyle w:val="Normal"/>
      </w:pPr>
      <w:r>
        <w:rPr>
          <w:color w:val="323232"/>
        </w:rPr>
        <w:t xml:space="preserve">PATIENTS:A total of 14,441 eligible ICU patients.</w:t>
      </w:r>
    </w:p>
    <w:p/>
    <w:p>
      <w:pPr>
        <w:pStyle w:val="Normal"/>
      </w:pPr>
      <w:r>
        <w:rPr>
          <w:color w:val="323232"/>
        </w:rPr>
        <w:t xml:space="preserve">INTERVENTIONS:None.</w:t>
      </w:r>
    </w:p>
    <w:p/>
    <w:p>
      <w:pPr>
        <w:pStyle w:val="Normal"/>
      </w:pPr>
      <w:r>
        <w:rPr>
          <w:color w:val="323232"/>
        </w:rPr>
        <w:t xml:space="preserve">MEASUREMENTS AND MAIN RESULTS:In total, 295,079 arterial blood gas analyses, including the PaO2, between July 2011 and July 2014 were extracted from the patient data management system database. Data from all admissions with more than one PaO2 measurement were supplemented with anonymous demographic and admission and discharge data from the Dutch National Intensive Care Evaluation registry. Mild hyperoxia was defined as PaO2 between 120 and 200</w:t>
      </w:r>
      <w:r>
        <w:rPr>
          <w:color w:val="323232"/>
        </w:rPr>
        <w:t xml:space="preserve"> </w:t>
      </w:r>
      <w:r>
        <w:rPr>
          <w:color w:val="323232"/>
        </w:rPr>
        <w:t xml:space="preserve">mm Hg; severe hyperoxia as PaO2 greater than 200</w:t>
      </w:r>
      <w:r>
        <w:rPr>
          <w:color w:val="323232"/>
        </w:rPr>
        <w:t xml:space="preserve"> </w:t>
      </w:r>
      <w:r>
        <w:rPr>
          <w:color w:val="323232"/>
        </w:rPr>
        <w:t xml:space="preserve">mm Hg. Characteristics of existing and newly constructed metrics for arterial hyperoxia were examined, and the associations with hospital mortality (primary outcome), ICU mortality, and ventilator-free days and alive at day 28 were retrospectively analyzed using regression models in different subgroups of patients. Severe hyperoxia was associated with higher mortality rates and fewer ventilator-free days in comparison to both mild hyperoxia and normoxia for all metrics except for the worst PaO2. Adjusted effect estimates for conditional mortality were larger for severe hyperoxia than for mild hyperoxia. This association was found both within and beyond the first 24 hours of admission and was consistent for large subgroups. The largest point estimates were found for the exposure identified by the average PaO2, closely followed by the median PaO2, and these estimates differed substantially between subsets. Time spent in hyperoxia showed a linear and positive relationship with hospital mortality.</w:t>
      </w:r>
    </w:p>
    <w:p/>
    <w:p>
      <w:pPr>
        <w:pStyle w:val="Normal"/>
      </w:pPr>
      <w:r>
        <w:rPr>
          <w:color w:val="323232"/>
        </w:rPr>
        <w:t xml:space="preserve">CONCLUSIONS:Our results suggest that we should limit the PaO2 levels of critically ill patients within a safe range, as we do with other physiologic variables. Analytical metrics of arterial hyperoxia should be judiciously considered when interpreting and comparing study results and future studies are needed to validate our findings in a randomized fashion design.</w:t>
      </w:r>
    </w:p>
    <w:p/>
    <w:p>
      <w:pPr>
        <w:pStyle w:val="Normal"/>
      </w:pPr>
      <w:r>
        <w:rPr>
          <w:color w:val="323232"/>
        </w:rPr>
        <w:t xml:space="preserve">Critical Care Medicine, 2017 vol. 45 (2) pp. 187-195.</w:t>
      </w:r>
    </w:p>
    <w:p>
      <w:r>
        <w:rPr>
          <w:rStyle w:val="Hyperlink"/>
        </w:rPr>
        <w:fldChar w:fldCharType="begin"/>
      </w:r>
      <w:r>
        <w:rPr>
          <w:rStyle w:val="Hyperlink"/>
        </w:rPr>
        <w:instrText xml:space="preserve"> HYPERLINK "http://eutils.ncbi.nlm.nih.gov/entrez/eutils/elink.fcgi?dbfrom=pubmed&amp;id=27763912&amp;retmode=ref&amp;cmd=prlinks"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http://eutils.ncbi.nlm.nih.gov/entrez/eutils/elink.fcgi?dbfrom=pubmed&amp;id=27763912&amp;retmode=ref&amp;cmd=prlinks</w:t>
      </w:r>
      <w:r>
        <w:rPr>
          <w:rStyle w:val="Hyperlink"/>
        </w:rPr>
        <w:fldChar w:fldCharType="end"/>
      </w:r>
    </w:p>
    <w:p>
      <w:pPr>
        <w:pStyle w:val="Normal"/>
      </w:pPr>
      <w:r>
        <w:rPr>
          <w:color w:val="323232"/>
        </w:rPr>
        <w:t xml:space="preserve">————————</w:t>
      </w:r>
    </w:p>
    <w:p>
      <w:pPr>
        <w:pStyle w:val="Heading4"/>
      </w:pPr>
      <w:r>
        <w:t xml:space="preserve">Relative Bradycardia in Patients With Septic Shock Requiring Vasopressor Therapy.</w:t>
      </w:r>
    </w:p>
    <w:p/>
    <w:p>
      <w:pPr>
        <w:pStyle w:val="Normal"/>
      </w:pPr>
      <w:r>
        <w:rPr>
          <w:color w:val="323232"/>
        </w:rPr>
        <w:t xml:space="preserve">Sarah J Beesley, Emily L Wilson, Michael J Lanspa, Colin K Grissom, Sajid Shahul, Daniel Talmor, and Samuel M Brown.</w:t>
      </w:r>
    </w:p>
    <w:p/>
    <w:p>
      <w:pPr>
        <w:pStyle w:val="Normal"/>
      </w:pPr>
      <w:r>
        <w:rPr>
          <w:color w:val="323232"/>
        </w:rPr>
        <w:t xml:space="preserve">OBJECTIVES:Tachycardia is common in septic shock, but many patients with septic shock are relatively bradycardic. The prevalence, determinants, and implications of relative bradycardia (heart rate, &lt; 80 beats/min) in septic shock are unknown. To determine mortality associated with patients who are relatively bradycardic while in septic shock.</w:t>
      </w:r>
    </w:p>
    <w:p/>
    <w:p>
      <w:pPr>
        <w:pStyle w:val="Normal"/>
      </w:pPr>
      <w:r>
        <w:rPr>
          <w:color w:val="323232"/>
        </w:rPr>
        <w:t xml:space="preserve">DESIGN:Retrospective study of patients admitted for septic shock to study ICUs during 2005-2013.</w:t>
      </w:r>
    </w:p>
    <w:p/>
    <w:p>
      <w:pPr>
        <w:pStyle w:val="Normal"/>
      </w:pPr>
      <w:r>
        <w:rPr>
          <w:color w:val="323232"/>
        </w:rPr>
        <w:t xml:space="preserve">SETTING:One large academic referral hospital and two community hospitals.</w:t>
      </w:r>
    </w:p>
    <w:p/>
    <w:p>
      <w:pPr>
        <w:pStyle w:val="Normal"/>
      </w:pPr>
      <w:r>
        <w:rPr>
          <w:color w:val="323232"/>
        </w:rPr>
        <w:t xml:space="preserve">PATIENTS:Adult patients with septic shock requiring vasopressors.</w:t>
      </w:r>
    </w:p>
    <w:p/>
    <w:p>
      <w:pPr>
        <w:pStyle w:val="Normal"/>
      </w:pPr>
      <w:r>
        <w:rPr>
          <w:color w:val="323232"/>
        </w:rPr>
        <w:t xml:space="preserve">INTERVENTION:None.</w:t>
      </w:r>
    </w:p>
    <w:p/>
    <w:p>
      <w:pPr>
        <w:pStyle w:val="Normal"/>
      </w:pPr>
      <w:r>
        <w:rPr>
          <w:color w:val="323232"/>
        </w:rPr>
        <w:t xml:space="preserve">MEASUREMENTS:Primary outcome was 28-day mortality. We used multivariate logistic regression to evaluate the association between relative bradycardia and mortality, controlling for confounding with inverse probability treatment weighting using a propensity score.</w:t>
      </w:r>
    </w:p>
    <w:p/>
    <w:p>
      <w:pPr>
        <w:pStyle w:val="Normal"/>
      </w:pPr>
      <w:r>
        <w:rPr>
          <w:color w:val="323232"/>
        </w:rPr>
        <w:t xml:space="preserve">RESULTS:We identified 1,554 patients with septic shock, of whom 686 (44%) met criteria for relative bradycardia at some time. Twenty-eight-day mortality in this group was 21% compared to 34% in the never-bradycardic group (p &lt; 0.001). Relatively bradycardic patients were older (65 vs 60 yr; p &lt; 0.001) and had slightly lower illness severity (Sequential Organ Failure Assessment, 10 vs 11; p = 0.004; and Acute Physiology and Chronic Health Evaluation II, 27 vs 28; p = 0.008). After inverse probability treatment weighting, covariates were balanced, and the association between relative bradycardia and survival persisted (p &lt; 0.001).</w:t>
      </w:r>
    </w:p>
    <w:p/>
    <w:p>
      <w:pPr>
        <w:pStyle w:val="Normal"/>
      </w:pPr>
      <w:r>
        <w:rPr>
          <w:color w:val="323232"/>
        </w:rPr>
        <w:t xml:space="preserve">CONCLUSIONS:Relative bradycardia in patients with septic shock is associated with lower mortality, even after adjustment for confounding. Our data support expanded investigation into whether inducing relative bradycardia will benefit patients with septic shock.</w:t>
      </w:r>
    </w:p>
    <w:p/>
    <w:p>
      <w:pPr>
        <w:pStyle w:val="Normal"/>
      </w:pPr>
      <w:r>
        <w:rPr>
          <w:color w:val="323232"/>
        </w:rPr>
        <w:t xml:space="preserve">Critical Care Medicine, 2017 vol. 45 (2) pp. 225-233.</w:t>
      </w:r>
    </w:p>
    <w:p>
      <w:r>
        <w:rPr>
          <w:rStyle w:val="Hyperlink"/>
        </w:rPr>
        <w:fldChar w:fldCharType="begin"/>
      </w:r>
      <w:r>
        <w:rPr>
          <w:rStyle w:val="Hyperlink"/>
        </w:rPr>
        <w:instrText xml:space="preserve"> HYPERLINK "http://eutils.ncbi.nlm.nih.gov/entrez/eutils/elink.fcgi?dbfrom=pubmed&amp;id=27618277&amp;retmode=ref&amp;cmd=prlinks"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http://eutils.ncbi.nlm.nih.gov/entrez/eutils/elink.fcgi?dbfrom=pubmed&amp;id=27618277&amp;retmode=ref&amp;cmd=prlinks</w:t>
      </w:r>
      <w:r>
        <w:rPr>
          <w:rStyle w:val="Hyperlink"/>
        </w:rPr>
        <w:fldChar w:fldCharType="end"/>
      </w:r>
    </w:p>
    <w:p>
      <w:pPr>
        <w:pStyle w:val="Normal"/>
      </w:pPr>
      <w:r>
        <w:rPr>
          <w:color w:val="323232"/>
        </w:rPr>
        <w:t xml:space="preserve">————————</w:t>
      </w:r>
    </w:p>
    <w:p>
      <w:pPr>
        <w:pStyle w:val="Heading4"/>
      </w:pPr>
      <w:r>
        <w:t xml:space="preserve">Sepsis Pathophysiology, Chronic Critical Illness, and Persistent Inflammation-Immunosuppression and Catabolism Syndrome.</w:t>
      </w:r>
    </w:p>
    <w:p/>
    <w:p>
      <w:pPr>
        <w:pStyle w:val="Normal"/>
      </w:pPr>
      <w:r>
        <w:rPr>
          <w:color w:val="323232"/>
        </w:rPr>
        <w:t xml:space="preserve">Juan C Mira, Lori F Gentile, Brittany J Mathias, Philip A Efron, Scott C Brakenridge, Alicia M Mohr, Frederick A Moore, and Lyle L Moldawer.</w:t>
      </w:r>
    </w:p>
    <w:p/>
    <w:p>
      <w:pPr>
        <w:pStyle w:val="Normal"/>
      </w:pPr>
      <w:r>
        <w:rPr>
          <w:color w:val="323232"/>
        </w:rPr>
        <w:t xml:space="preserve">OBJECTIVES:To provide an appraisal of the evolving paradigms in the pathophysiology of sepsis and propose the evolution of a new phenotype of critically ill patients, its potential underlying mechanism, and its implications for the future of sepsis management and research.</w:t>
      </w:r>
    </w:p>
    <w:p/>
    <w:p>
      <w:pPr>
        <w:pStyle w:val="Normal"/>
      </w:pPr>
      <w:r>
        <w:rPr>
          <w:color w:val="323232"/>
        </w:rPr>
        <w:t xml:space="preserve">DESIGN:Literature search using PubMed, MEDLINE, EMBASE, and Google Scholar.</w:t>
      </w:r>
    </w:p>
    <w:p/>
    <w:p>
      <w:pPr>
        <w:pStyle w:val="Normal"/>
      </w:pPr>
      <w:r>
        <w:rPr>
          <w:color w:val="323232"/>
        </w:rPr>
        <w:t xml:space="preserve">MEASUREMENTS AND MAIN RESULTS:Sepsis remains one of the most debilitating and expensive illnesses, and its prevalence is not declining. What is changing is our definition(s), its clinical course, and how we manage the septic patient. Once thought to be predominantly a syndrome of over exuberant inflammation, sepsis is now recognized as a syndrome of aberrant host protective immunity. Earlier recognition and compliance with treatment bundles has fortunately led to a decline in multiple organ failure and in-hospital mortality. Unfortunately, more and more sepsis patients, especially the aged, are suffering chronic critical illness, rarely fully recover, and often experience an indolent death. Patients with chronic critical illness often exhibit "a persistent inflammation-immunosuppression and catabolism syndrome," and it is proposed here that this state of persisting inflammation, immunosuppression and catabolism contributes to many of these adverse clinical outcomes. The underlying cause of inflammation-immunosuppression and catabolism syndrome is currently unknown, but there is increasing evidence that altered myelopoiesis, reduced effector T-cell function, and expansion of immature myeloid-derived suppressor cells are all contributory.</w:t>
      </w:r>
    </w:p>
    <w:p/>
    <w:p>
      <w:pPr>
        <w:pStyle w:val="Normal"/>
      </w:pPr>
      <w:r>
        <w:rPr>
          <w:color w:val="323232"/>
        </w:rPr>
        <w:t xml:space="preserve">CONCLUSIONS:Although newer therapeutic interventions are targeting the inflammatory, the immunosuppressive, and the protein catabolic responses individually, successful treatment of the septic patient with chronic critical illness and persistent inflammation-immunosuppression and catabolism syndrome may require a more complementary approach.</w:t>
      </w:r>
    </w:p>
    <w:p/>
    <w:p>
      <w:pPr>
        <w:pStyle w:val="Normal"/>
      </w:pPr>
      <w:r>
        <w:rPr>
          <w:color w:val="323232"/>
        </w:rPr>
        <w:t xml:space="preserve">Critical Care Medicine, 2017 vol. 45 (2) pp. 253-262.</w:t>
      </w:r>
    </w:p>
    <w:p>
      <w:r>
        <w:rPr>
          <w:rStyle w:val="Hyperlink"/>
        </w:rPr>
        <w:fldChar w:fldCharType="begin"/>
      </w:r>
      <w:r>
        <w:rPr>
          <w:rStyle w:val="Hyperlink"/>
        </w:rPr>
        <w:instrText xml:space="preserve"> HYPERLINK "http://eutils.ncbi.nlm.nih.gov/entrez/eutils/elink.fcgi?dbfrom=pubmed&amp;id=27632674&amp;retmode=ref&amp;cmd=prlinks"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http://eutils.ncbi.nlm.nih.gov/entrez/eutils/elink.fcgi?dbfrom=pubmed&amp;id=27632674&amp;retmode=ref&amp;cmd=prlinks</w:t>
      </w:r>
      <w:r>
        <w:rPr>
          <w:rStyle w:val="Hyperlink"/>
        </w:rPr>
        <w:fldChar w:fldCharType="end"/>
      </w:r>
    </w:p>
    <w:p>
      <w:pPr>
        <w:pStyle w:val="Normal"/>
      </w:pPr>
      <w:r>
        <w:rPr>
          <w:color w:val="323232"/>
        </w:rPr>
        <w:t xml:space="preserve">————————</w:t>
      </w:r>
    </w:p>
    <w:p>
      <w:pPr>
        <w:pStyle w:val="Heading4"/>
      </w:pPr>
      <w:r>
        <w:t xml:space="preserve">Hemodynamic Effect of Different Doses of Fluids for a Fluid Challenge: A Quasi-Randomized Controlled Study.</w:t>
      </w:r>
    </w:p>
    <w:p/>
    <w:p>
      <w:pPr>
        <w:pStyle w:val="Normal"/>
      </w:pPr>
      <w:r>
        <w:rPr>
          <w:color w:val="323232"/>
        </w:rPr>
        <w:t xml:space="preserve">Hollmann D Aya, Andrew Rhodes, Irina Chis Ster, Nick Fletcher, R Michael Grounds, and Maurizio Cecconi.</w:t>
      </w:r>
    </w:p>
    <w:p/>
    <w:p>
      <w:pPr>
        <w:pStyle w:val="Normal"/>
      </w:pPr>
      <w:r>
        <w:rPr>
          <w:color w:val="323232"/>
        </w:rPr>
        <w:t xml:space="preserve">OBJECTIVE:The objectives of this study are to determine what is the minimal volume required to perform an effective fluid challenge and to investigate how different doses of IV fluids in an fluid challenge affect the changes in cardiac output and the proportion of responders and nonresponders.</w:t>
      </w:r>
    </w:p>
    <w:p/>
    <w:p>
      <w:pPr>
        <w:pStyle w:val="Normal"/>
      </w:pPr>
      <w:r>
        <w:rPr>
          <w:color w:val="323232"/>
        </w:rPr>
        <w:t xml:space="preserve">DESIGN:Quasi-randomized controlled trial.</w:t>
      </w:r>
    </w:p>
    <w:p/>
    <w:p>
      <w:pPr>
        <w:pStyle w:val="Normal"/>
      </w:pPr>
      <w:r>
        <w:rPr>
          <w:color w:val="323232"/>
        </w:rPr>
        <w:t xml:space="preserve">SETTING:Cardiothoracic ICU, tertiary university hospital.</w:t>
      </w:r>
    </w:p>
    <w:p/>
    <w:p>
      <w:pPr>
        <w:pStyle w:val="Normal"/>
      </w:pPr>
      <w:r>
        <w:rPr>
          <w:color w:val="323232"/>
        </w:rPr>
        <w:t xml:space="preserve">PATIENTS:Eighty postcardiac surgery patients.</w:t>
      </w:r>
    </w:p>
    <w:p/>
    <w:p>
      <w:pPr>
        <w:pStyle w:val="Normal"/>
      </w:pPr>
      <w:r>
        <w:rPr>
          <w:color w:val="323232"/>
        </w:rPr>
        <w:t xml:space="preserve">INTERVENTION:IV infusion of 1, 2, 3, or 4</w:t>
      </w:r>
      <w:r>
        <w:rPr>
          <w:color w:val="323232"/>
        </w:rPr>
        <w:t xml:space="preserve"> </w:t>
      </w:r>
      <w:r>
        <w:rPr>
          <w:color w:val="323232"/>
        </w:rPr>
        <w:t xml:space="preserve">mL/Kg (body weight) of crystalloid over 5 minutes.</w:t>
      </w:r>
    </w:p>
    <w:p/>
    <w:p>
      <w:pPr>
        <w:pStyle w:val="Normal"/>
      </w:pPr>
      <w:r>
        <w:rPr>
          <w:color w:val="323232"/>
        </w:rPr>
        <w:t xml:space="preserve">MEASUREMENTS AND MAIN RESULTS:Mean systemic filling pressure measured using the transient stop-flow arm arterial-venous equilibrium pressure, arterial and central venous pressure, cardiac output (LiDCOplus; LiDCO, Cambridge, United Kingdom), and heart rate. The groups were well matched with respect to demographic and baseline physiologic variables. The proportion of responders increased from 20% in the group of 1</w:t>
      </w:r>
      <w:r>
        <w:rPr>
          <w:color w:val="323232"/>
        </w:rPr>
        <w:t xml:space="preserve"> </w:t>
      </w:r>
      <w:r>
        <w:rPr>
          <w:color w:val="323232"/>
        </w:rPr>
        <w:t xml:space="preserve">mL/ kg to 65% in the group of 4</w:t>
      </w:r>
      <w:r>
        <w:rPr>
          <w:color w:val="323232"/>
        </w:rPr>
        <w:t xml:space="preserve"> </w:t>
      </w:r>
      <w:r>
        <w:rPr>
          <w:color w:val="323232"/>
        </w:rPr>
        <w:t xml:space="preserve">mL/ kg (p = 0.04). The predicted minimal volume required for an fluid challenge was between 321 and 509</w:t>
      </w:r>
      <w:r>
        <w:rPr>
          <w:color w:val="323232"/>
        </w:rPr>
        <w:t xml:space="preserve"> </w:t>
      </w:r>
      <w:r>
        <w:rPr>
          <w:color w:val="323232"/>
        </w:rPr>
        <w:t xml:space="preserve">mL. Only 4</w:t>
      </w:r>
      <w:r>
        <w:rPr>
          <w:color w:val="323232"/>
        </w:rPr>
        <w:t xml:space="preserve"> </w:t>
      </w:r>
      <w:r>
        <w:rPr>
          <w:color w:val="323232"/>
        </w:rPr>
        <w:t xml:space="preserve">mL/Kg increases transient stop-flow arm arterial-venous equilibrium pressure beyond the limits of precision and was significantly associated with a positive response (odds ratio, 7.73; 95% CI, 1.78-31.04).</w:t>
      </w:r>
    </w:p>
    <w:p/>
    <w:p>
      <w:pPr>
        <w:pStyle w:val="Normal"/>
      </w:pPr>
      <w:r>
        <w:rPr>
          <w:color w:val="323232"/>
        </w:rPr>
        <w:t xml:space="preserve">CONCLUSION:The doses of fluids used for an fluid challenge modify the proportions of responders in postoperative patients. A dose of 4</w:t>
      </w:r>
      <w:r>
        <w:rPr>
          <w:color w:val="323232"/>
        </w:rPr>
        <w:t xml:space="preserve"> </w:t>
      </w:r>
      <w:r>
        <w:rPr>
          <w:color w:val="323232"/>
        </w:rPr>
        <w:t xml:space="preserve">mL/Kg increases transient stop-flow arm arterial-venous equilibrium pressure and reliably detects responders and nonresponders.</w:t>
      </w:r>
    </w:p>
    <w:p/>
    <w:p>
      <w:pPr>
        <w:pStyle w:val="Normal"/>
      </w:pPr>
      <w:r>
        <w:rPr>
          <w:color w:val="323232"/>
        </w:rPr>
        <w:t xml:space="preserve">Critical Care Medicine, 2017 vol. 45 (2) pp. e161-e168.</w:t>
      </w:r>
    </w:p>
    <w:p>
      <w:r>
        <w:rPr>
          <w:rStyle w:val="Hyperlink"/>
        </w:rPr>
        <w:fldChar w:fldCharType="begin"/>
      </w:r>
      <w:r>
        <w:rPr>
          <w:rStyle w:val="Hyperlink"/>
        </w:rPr>
        <w:instrText xml:space="preserve"> HYPERLINK "http://eutils.ncbi.nlm.nih.gov/entrez/eutils/elink.fcgi?dbfrom=pubmed&amp;id=27655325&amp;retmode=ref&amp;cmd=prlinks"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http://eutils.ncbi.nlm.nih.gov/entrez/eutils/elink.fcgi?dbfrom=pubmed&amp;id=27655325&amp;retmode=ref&amp;cmd=prlinks</w:t>
      </w:r>
      <w:r>
        <w:rPr>
          <w:rStyle w:val="Hyperlink"/>
        </w:rPr>
        <w:fldChar w:fldCharType="end"/>
      </w:r>
    </w:p>
    <w:p>
      <w:pPr>
        <w:pStyle w:val="Normal"/>
      </w:pPr>
      <w:r>
        <w:rPr>
          <w:color w:val="323232"/>
        </w:rPr>
        <w:t xml:space="preserve">————————</w:t>
      </w:r>
    </w:p>
    <w:p>
      <w:pPr>
        <w:pStyle w:val="Heading4"/>
      </w:pPr>
      <w:r>
        <w:t xml:space="preserve">Greater Protein and Energy Intake May Be Associated With Improved Mortality in Higher Risk Critically Ill Patients: A Multicenter, Multinational Observational Study.</w:t>
      </w:r>
    </w:p>
    <w:p/>
    <w:p>
      <w:pPr>
        <w:pStyle w:val="Normal"/>
      </w:pPr>
      <w:r>
        <w:rPr>
          <w:color w:val="323232"/>
        </w:rPr>
        <w:t xml:space="preserve">Charlene Compher, Jesse Chittams, Therese Sammarco, Michele Nicolo, and Daren K Heyland.</w:t>
      </w:r>
    </w:p>
    <w:p/>
    <w:p>
      <w:pPr>
        <w:pStyle w:val="Normal"/>
      </w:pPr>
      <w:r>
        <w:rPr>
          <w:color w:val="323232"/>
        </w:rPr>
        <w:t xml:space="preserve">OBJECTIVES:Controversy exists about the value of greater nutritional intake in critically ill patients, possibly due to varied patient nutritional risk. The objective of this study was to investigate whether clinical outcomes vary by protein or energy intake in patients with risk evaluated by the NUTrition Risk in the Critically Ill score.</w:t>
      </w:r>
    </w:p>
    <w:p/>
    <w:p>
      <w:pPr>
        <w:pStyle w:val="Normal"/>
      </w:pPr>
      <w:r>
        <w:rPr>
          <w:color w:val="323232"/>
        </w:rPr>
        <w:t xml:space="preserve">DESIGN:Prospective observational cohort.</w:t>
      </w:r>
    </w:p>
    <w:p/>
    <w:p>
      <w:pPr>
        <w:pStyle w:val="Normal"/>
      </w:pPr>
      <w:r>
        <w:rPr>
          <w:color w:val="323232"/>
        </w:rPr>
        <w:t xml:space="preserve">SETTING:A total of 202 ICUs.</w:t>
      </w:r>
    </w:p>
    <w:p/>
    <w:p>
      <w:pPr>
        <w:pStyle w:val="Normal"/>
      </w:pPr>
      <w:r>
        <w:rPr>
          <w:color w:val="323232"/>
        </w:rPr>
        <w:t xml:space="preserve">PATIENTS:A total of 2,853 mechanically ventilated patients in ICU greater than or equal to 4 days and a subset of 1,605 patients in ICU greater than or equal to 12 days.</w:t>
      </w:r>
    </w:p>
    <w:p/>
    <w:p>
      <w:pPr>
        <w:pStyle w:val="Normal"/>
      </w:pPr>
      <w:r>
        <w:rPr>
          <w:color w:val="323232"/>
        </w:rPr>
        <w:t xml:space="preserve">INTERVENTIONS:None.</w:t>
      </w:r>
    </w:p>
    <w:p/>
    <w:p>
      <w:pPr>
        <w:pStyle w:val="Normal"/>
      </w:pPr>
      <w:r>
        <w:rPr>
          <w:color w:val="323232"/>
        </w:rPr>
        <w:t xml:space="preserve">MEASUREMENTS AND MAIN RESULTS:In low-risk (NUTrition Risk in the Critically Ill, &lt; 5) and high-risk (NUTrition Risk in the Critically Ill, ≥ 5) patients, mortality and time to discharge alive up to day 60 were assessed relative to nutritional intake over the first 12 days using logistic regression and Cox proportional hazard regression, respectively. In high-risk but not low-risk patients, mortality was lower with greater protein (4-d sample: odds ratio, 0.93; 95% CI, 0.89-0.98; p = 0.003 and 12-d sample: odds ratio, 0.90; 95% CI, 0.84-0.96; p = 0.003) and energy (4-d sample: odds ratio, 0.93; 95% CI, 0.89-0.97; p &lt; 0.001 and 12-d sample: odds ratio, 0.88; 95% CI, 0.83-0.94; p &lt; 0.001) intake. In the 12-day sample, there was significant interaction among NUTrition Risk in the Critically Ill category, mortality, and protein and energy intake, whereas in the 4-day sample, the test for interaction was not significant. In high-risk but not low-risk patients, time to discharge alive was shorter with greater protein (4-d sample: hazard ratio, 1.05; 95% CI, 1.01-1.09; p = 0.01 and 12-d sample: hazard ratio, 1.09; 95% CI, 1.03-1.16; p = 0.002) and energy intake (4-d sample: hazard ratio, 1.05; 95% CI, 1.01-1.09; p = 0.02 and 12-d sample: hazard ratio, 1.09; 95% CI, 1.03-1.16; p = 0.002). In the 12-day sample, there was significant interaction among NUTrition Risk in the Critically Ill category, time to discharge alive, and protein and energy intake, whereas in the 4-day sample, the test for interaction was not significant.</w:t>
      </w:r>
    </w:p>
    <w:p/>
    <w:p>
      <w:pPr>
        <w:pStyle w:val="Normal"/>
      </w:pPr>
      <w:r>
        <w:rPr>
          <w:color w:val="323232"/>
        </w:rPr>
        <w:t xml:space="preserve">CONCLUSIONS:Greater nutritional intake is associated with lower mortality and faster time to discharge alive in high-risk, longer stay patients but not significantly so in nutritionally low-risk patients.</w:t>
      </w:r>
    </w:p>
    <w:p/>
    <w:p>
      <w:pPr>
        <w:pStyle w:val="Normal"/>
      </w:pPr>
      <w:r>
        <w:rPr>
          <w:color w:val="323232"/>
        </w:rPr>
        <w:t xml:space="preserve">Critical Care Medicine, 2017 vol. 45 (2) pp. 156-163.</w:t>
      </w:r>
    </w:p>
    <w:p>
      <w:r>
        <w:rPr>
          <w:rStyle w:val="Hyperlink"/>
        </w:rPr>
        <w:fldChar w:fldCharType="begin"/>
      </w:r>
      <w:r>
        <w:rPr>
          <w:rStyle w:val="Hyperlink"/>
        </w:rPr>
        <w:instrText xml:space="preserve"> HYPERLINK "http://eutils.ncbi.nlm.nih.gov/entrez/eutils/elink.fcgi?dbfrom=pubmed&amp;id=28098623&amp;retmode=ref&amp;cmd=prlinks"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http://eutils.ncbi.nlm.nih.gov/entrez/eutils/elink.fcgi?dbfrom=pubmed&amp;id=28098623&amp;retmode=ref&amp;cmd=prlinks</w:t>
      </w:r>
      <w:r>
        <w:rPr>
          <w:rStyle w:val="Hyperlink"/>
        </w:rPr>
        <w:fldChar w:fldCharType="end"/>
      </w:r>
    </w:p>
    <w:p>
      <w:pPr>
        <w:pStyle w:val="Normal"/>
      </w:pPr>
      <w:r>
        <w:rPr>
          <w:color w:val="323232"/>
        </w:rPr>
        <w:t xml:space="preserve">————————</w:t>
      </w:r>
    </w:p>
    <w:p>
      <w:pPr>
        <w:pStyle w:val="Heading4"/>
      </w:pPr>
      <w:r>
        <w:t xml:space="preserve">Evaluation of RBC Transfusion Practice in Adult ICUs and the Effect of Restrictive Transfusion Protocols on Routine Care.</w:t>
      </w:r>
    </w:p>
    <w:p/>
    <w:p>
      <w:pPr>
        <w:pStyle w:val="Normal"/>
      </w:pPr>
      <w:r>
        <w:rPr>
          <w:color w:val="323232"/>
        </w:rPr>
        <w:t xml:space="preserve">Kevin P Seitz, Jonathan E Sevransky, Greg S Martin, John D Roback, and David J Murphy.</w:t>
      </w:r>
    </w:p>
    <w:p/>
    <w:p>
      <w:pPr>
        <w:pStyle w:val="Normal"/>
      </w:pPr>
      <w:r>
        <w:rPr>
          <w:color w:val="323232"/>
        </w:rPr>
        <w:t xml:space="preserve">OBJECTIVE:Research supports the efficacy and safety of restrictive transfusion protocols to reduce avoidable RBC transfusions, but evidence of their effectiveness in practice is limited. This study assessed whether admission to an ICU with an restrictive transfusion protocol reduces the likelihood of transfusion for adult patients.</w:t>
      </w:r>
    </w:p>
    <w:p/>
    <w:p>
      <w:pPr>
        <w:pStyle w:val="Normal"/>
      </w:pPr>
      <w:r>
        <w:rPr>
          <w:color w:val="323232"/>
        </w:rPr>
        <w:t xml:space="preserve">DESIGN:Observational study using data from the multicenter, cohort Critical Illness Outcomes Study. Patient-level analyses were conducted with RBC transfusion on day of enrollment as the outcome and admission to an ICU with a restrictive transfusion protocol as the exposure of interest. Covariates included demographics, hospital course (e.g., lowest hematocrit, blood loss), severity of illness (e.g., Sequential Organ Failure Assessment score), interventions (e.g., sedation/analgesia), and ICU characteristics (e.g., size). Multivariable logistic regression modeling assessed the independent effects of restrictive transfusion protocols on transfusions.</w:t>
      </w:r>
    </w:p>
    <w:p/>
    <w:p>
      <w:pPr>
        <w:pStyle w:val="Normal"/>
      </w:pPr>
      <w:r>
        <w:rPr>
          <w:color w:val="323232"/>
        </w:rPr>
        <w:t xml:space="preserve">SETTING:Fifty-nine U.S. ICUs.</w:t>
      </w:r>
    </w:p>
    <w:p/>
    <w:p>
      <w:pPr>
        <w:pStyle w:val="Normal"/>
      </w:pPr>
      <w:r>
        <w:rPr>
          <w:color w:val="323232"/>
        </w:rPr>
        <w:t xml:space="preserve">PATIENTS:A total of 6,027 adult ICU patients.</w:t>
      </w:r>
    </w:p>
    <w:p/>
    <w:p>
      <w:pPr>
        <w:pStyle w:val="Normal"/>
      </w:pPr>
      <w:r>
        <w:rPr>
          <w:color w:val="323232"/>
        </w:rPr>
        <w:t xml:space="preserve">INTERVENTIONS:None.</w:t>
      </w:r>
    </w:p>
    <w:p/>
    <w:p>
      <w:pPr>
        <w:pStyle w:val="Normal"/>
      </w:pPr>
      <w:r>
        <w:rPr>
          <w:color w:val="323232"/>
        </w:rPr>
        <w:t xml:space="preserve">MEASUREMENTS AND MAIN RESULTS:Of the 59 study ICUs, 24 had an restrictive transfusion protocol; 2,510 patients (41.6%) were in an ICU with an restrictive transfusion protocol. The frequency of RBC transfusion among patients with severe (hematocrit, &lt; 21%), moderate (hematocrit, 21-30%), and mild (hematocrit, &gt; 30%) anemia in restrictive transfusion protocol ICUs was 67%, 19%, and 4%, respectively, compared with 60%, 14%, and 2% for those in ICUs without an restrictive transfusion protocol. Only 27% of transfusions were associated with a hematocrit less than 21%. Adjusting for confounding factors, restrictive transfusion protocols independently reduced the odds of transfusion in moderate anemia with an odds ratio of 0.59 (95% CI, 0.36-0.96) while demonstrating no effect in mild (p = 0.93) or severe (p = 0.52) anemia.</w:t>
      </w:r>
    </w:p>
    <w:p/>
    <w:p>
      <w:pPr>
        <w:pStyle w:val="Normal"/>
      </w:pPr>
      <w:r>
        <w:rPr>
          <w:color w:val="323232"/>
        </w:rPr>
        <w:t xml:space="preserve">CONCLUSIONS:In this sample of ICU patients, transfusions often occurred outside evidence-based guidelines, but admission to an ICU with an restrictive transfusion protocol did reduce the risk of transfusion in moderately anemic patients controlling for patient and ICU factors. This study supports the effectiveness of restrictive transfusion protocols for influencing transfusions in clinical practice.</w:t>
      </w:r>
    </w:p>
    <w:p/>
    <w:p>
      <w:pPr>
        <w:pStyle w:val="Normal"/>
      </w:pPr>
      <w:r>
        <w:rPr>
          <w:color w:val="323232"/>
        </w:rPr>
        <w:t xml:space="preserve">Critical Care Medicine, 2017 vol. 45 (2) pp. 271-281.</w:t>
      </w:r>
    </w:p>
    <w:p>
      <w:r>
        <w:rPr>
          <w:rStyle w:val="Hyperlink"/>
        </w:rPr>
        <w:fldChar w:fldCharType="begin"/>
      </w:r>
      <w:r>
        <w:rPr>
          <w:rStyle w:val="Hyperlink"/>
        </w:rPr>
        <w:instrText xml:space="preserve"> HYPERLINK "http://eutils.ncbi.nlm.nih.gov/entrez/eutils/elink.fcgi?dbfrom=pubmed&amp;id=27632673&amp;retmode=ref&amp;cmd=prlinks"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http://eutils.ncbi.nlm.nih.gov/entrez/eutils/elink.fcgi?dbfrom=pubmed&amp;id=27632673&amp;retmode=ref&amp;cmd=prlinks</w:t>
      </w:r>
      <w:r>
        <w:rPr>
          <w:rStyle w:val="Hyperlink"/>
        </w:rPr>
        <w:fldChar w:fldCharType="end"/>
      </w:r>
    </w:p>
    <w:p>
      <w:pPr>
        <w:pStyle w:val="Normal"/>
      </w:pPr>
      <w:r>
        <w:rPr>
          <w:color w:val="323232"/>
        </w:rPr>
        <w:t xml:space="preserve">————————</w:t>
      </w:r>
    </w:p>
    <w:p>
      <w:pPr>
        <w:pStyle w:val="Heading4"/>
      </w:pPr>
      <w:r>
        <w:t xml:space="preserve">Chloride Content of Fluids Used for Large-Volume Resuscitation Is Associated With Reduced Survival.</w:t>
      </w:r>
    </w:p>
    <w:p/>
    <w:p>
      <w:pPr>
        <w:pStyle w:val="Normal"/>
      </w:pPr>
      <w:r>
        <w:rPr>
          <w:color w:val="323232"/>
        </w:rPr>
        <w:t xml:space="preserve">Ayan Sen, Christopher M Keener, Florentina E Sileanu, Emily Foldes, Gilles Clermont, Raghavan Murugan, and John A Kellum.</w:t>
      </w:r>
    </w:p>
    <w:p/>
    <w:p>
      <w:pPr>
        <w:pStyle w:val="Normal"/>
      </w:pPr>
      <w:r>
        <w:rPr>
          <w:color w:val="323232"/>
        </w:rPr>
        <w:t xml:space="preserve">OBJECTIVE:We sought to investigate if the chloride content of fluids used in resuscitation was associated with short- and long-term outcomes.</w:t>
      </w:r>
    </w:p>
    <w:p/>
    <w:p>
      <w:pPr>
        <w:pStyle w:val="Normal"/>
      </w:pPr>
      <w:r>
        <w:rPr>
          <w:color w:val="323232"/>
        </w:rPr>
        <w:t xml:space="preserve">DESIGN:We identified patients who received large-volume fluid resuscitation, defined as greater than 60</w:t>
      </w:r>
      <w:r>
        <w:rPr>
          <w:color w:val="323232"/>
        </w:rPr>
        <w:t xml:space="preserve"> </w:t>
      </w:r>
      <w:r>
        <w:rPr>
          <w:color w:val="323232"/>
        </w:rPr>
        <w:t xml:space="preserve">mL/kg over a 24-hour period. Chloride load was determined for each patient based on the chloride ion concentration of the fluids they received during large-volume fluid resuscitation multiplied by the volume of fluids. We compared the development of hyperchloremic acidosis, acute kidney injury, and survival among those with higher and lower chloride loads.</w:t>
      </w:r>
    </w:p>
    <w:p/>
    <w:p>
      <w:pPr>
        <w:pStyle w:val="Normal"/>
      </w:pPr>
      <w:r>
        <w:rPr>
          <w:color w:val="323232"/>
        </w:rPr>
        <w:t xml:space="preserve">SETTING:University Medical Center.</w:t>
      </w:r>
    </w:p>
    <w:p/>
    <w:p>
      <w:pPr>
        <w:pStyle w:val="Normal"/>
      </w:pPr>
      <w:r>
        <w:rPr>
          <w:color w:val="323232"/>
        </w:rPr>
        <w:t xml:space="preserve">PATIENTS:Patients admitted to ICUs from 2000 to 2008.</w:t>
      </w:r>
    </w:p>
    <w:p/>
    <w:p>
      <w:pPr>
        <w:pStyle w:val="Normal"/>
      </w:pPr>
      <w:r>
        <w:rPr>
          <w:color w:val="323232"/>
        </w:rPr>
        <w:t xml:space="preserve">INTERVENTIONS:None.</w:t>
      </w:r>
    </w:p>
    <w:p/>
    <w:p>
      <w:pPr>
        <w:pStyle w:val="Normal"/>
      </w:pPr>
      <w:r>
        <w:rPr>
          <w:color w:val="323232"/>
        </w:rPr>
        <w:t xml:space="preserve">MEASUREMENTS AND MAIN RESULTS:Among 4,710 patients receiving large-volume fluid resuscitation, hyperchloremic acidosis was documented in 523 (11%). Crude rates of hyperchloremic acidosis, acute kidney injury, and hospital mortality all increased significantly as chloride load increased (p &lt; 0.001). However, chloride load was no longer associated with hyperchloremic acidosis or acute kidney injury after controlling for total fluids, age, and baseline severity. Conversely, each 100 mEq increase in chloride load was associated with a 5.5% increase in the hazard of death even after controlling for total fluid volume, age, and severity (p = 0.0015) over 1 year.</w:t>
      </w:r>
    </w:p>
    <w:p/>
    <w:p>
      <w:pPr>
        <w:pStyle w:val="Normal"/>
      </w:pPr>
      <w:r>
        <w:rPr>
          <w:color w:val="323232"/>
        </w:rPr>
        <w:t xml:space="preserve">CONCLUSIONS:Chloride load is associated with significant adverse effects on survival out to 1 year even after controlling for total fluid load, age, and baseline severity of illness. However, the relationship between chloride load and development of hyperchloremic acidosis or acute kidney injury is less clear, and further research is needed to elucidate the mechanisms underlying the adverse effects of chloride load on survival.</w:t>
      </w:r>
    </w:p>
    <w:p/>
    <w:p>
      <w:pPr>
        <w:pStyle w:val="Normal"/>
      </w:pPr>
      <w:r>
        <w:rPr>
          <w:color w:val="323232"/>
        </w:rPr>
        <w:t xml:space="preserve">Critical Care Medicine, 2017 vol. 45 (2) pp. e146-e153.</w:t>
      </w:r>
    </w:p>
    <w:p>
      <w:r>
        <w:rPr>
          <w:rStyle w:val="Hyperlink"/>
        </w:rPr>
        <w:fldChar w:fldCharType="begin"/>
      </w:r>
      <w:r>
        <w:rPr>
          <w:rStyle w:val="Hyperlink"/>
        </w:rPr>
        <w:instrText xml:space="preserve"> HYPERLINK "http://eutils.ncbi.nlm.nih.gov/entrez/eutils/elink.fcgi?dbfrom=pubmed&amp;id=27635770&amp;retmode=ref&amp;cmd=prlinks"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http://eutils.ncbi.nlm.nih.gov/entrez/eutils/elink.fcgi?dbfrom=pubmed&amp;id=27635770&amp;retmode=ref&amp;cmd=prlinks</w:t>
      </w:r>
      <w:r>
        <w:rPr>
          <w:rStyle w:val="Hyperlink"/>
        </w:rPr>
        <w:fldChar w:fldCharType="end"/>
      </w:r>
    </w:p>
    <w:p>
      <w:pPr>
        <w:pStyle w:val="Normal"/>
      </w:pPr>
      <w:r>
        <w:rPr>
          <w:color w:val="323232"/>
        </w:rPr>
        <w:t xml:space="preserve">————————</w:t>
      </w:r>
    </w:p>
    <w:p>
      <w:pPr>
        <w:pStyle w:val="Heading4"/>
      </w:pPr>
      <w:r>
        <w:t xml:space="preserve">Diagnostic Accuracy of the Inferior Vena Cava Collapsibility to Predict Fluid Responsiveness in Spontaneously Breathing Patients With Sepsis and Acute Circulatory Failure.</w:t>
      </w:r>
    </w:p>
    <w:p/>
    <w:p>
      <w:pPr>
        <w:pStyle w:val="Normal"/>
      </w:pPr>
      <w:r>
        <w:rPr>
          <w:color w:val="323232"/>
        </w:rPr>
        <w:t xml:space="preserve">Sebastien Preau, Perrine Bortolotti, Delphine Colling, Florent Dewavrin, Vincent Colas, Benoit Voisin, Thierry Onimus, Elodie Drumez, Alain Durocher, Alban Redheuil, and Fabienne Saulnier.</w:t>
      </w:r>
    </w:p>
    <w:p/>
    <w:p>
      <w:pPr>
        <w:pStyle w:val="Normal"/>
      </w:pPr>
      <w:r>
        <w:rPr>
          <w:color w:val="323232"/>
        </w:rPr>
        <w:t xml:space="preserve">OBJECTIVE:To investigate whether the collapsibility index of the inferior vena cava recorded during a deep standardized inspiration predicts fluid responsiveness in nonintubated patients.</w:t>
      </w:r>
    </w:p>
    <w:p/>
    <w:p>
      <w:pPr>
        <w:pStyle w:val="Normal"/>
      </w:pPr>
      <w:r>
        <w:rPr>
          <w:color w:val="323232"/>
        </w:rPr>
        <w:t xml:space="preserve">DESIGN:Prospective, nonrandomized study.</w:t>
      </w:r>
    </w:p>
    <w:p/>
    <w:p>
      <w:pPr>
        <w:pStyle w:val="Normal"/>
      </w:pPr>
      <w:r>
        <w:rPr>
          <w:color w:val="323232"/>
        </w:rPr>
        <w:t xml:space="preserve">SETTING:ICUs at a general and a university hospital.</w:t>
      </w:r>
    </w:p>
    <w:p/>
    <w:p>
      <w:pPr>
        <w:pStyle w:val="Normal"/>
      </w:pPr>
      <w:r>
        <w:rPr>
          <w:color w:val="323232"/>
        </w:rPr>
        <w:t xml:space="preserve">PATIENTS:Nonintubated patients without mechanical ventilation (n = 90) presenting with sepsis-induced acute circulatory failure and considered for volume expansion.</w:t>
      </w:r>
    </w:p>
    <w:p/>
    <w:p>
      <w:pPr>
        <w:pStyle w:val="Normal"/>
      </w:pPr>
      <w:r>
        <w:rPr>
          <w:color w:val="323232"/>
        </w:rPr>
        <w:t xml:space="preserve">INTERVENTIONS:We assessed hemodynamic status at baseline and after a volume expansion induced by a 30-minute infusion of 500-mL gelatin 4%.</w:t>
      </w:r>
    </w:p>
    <w:p/>
    <w:p>
      <w:pPr>
        <w:pStyle w:val="Normal"/>
      </w:pPr>
      <w:r>
        <w:rPr>
          <w:color w:val="323232"/>
        </w:rPr>
        <w:t xml:space="preserve">MEASUREMENTS AND MAIN RESULTS:We measured stroke volume index and collapsibility index of the inferior vena cava under a deep standardized inspiration using transthoracic echocardiography. Vena cava pertinent diameters were measured 15-20</w:t>
      </w:r>
      <w:r>
        <w:rPr>
          <w:color w:val="323232"/>
        </w:rPr>
        <w:t xml:space="preserve"> </w:t>
      </w:r>
      <w:r>
        <w:rPr>
          <w:color w:val="323232"/>
        </w:rPr>
        <w:t xml:space="preserve">mm caudal to the hepatic vein junction and recorded by bidimensional imaging on a subcostal long-axis view. Standardized respiratory cycles consisted of a deep standardized inspiration followed by passive exhalation. The collapsibility index expressed in percentage equaled the ratio of the difference between end-expiratory and minimum-inspiratory diameter over the end-expiratory diameter. After volume expansion, a relevant (≥ 10%) stroke volume index increase was recorded in 56% patients. In receiver operating characteristic analysis, the area under curve for that collapsibility index was 0.89 (95% CI, 0.82-0.97). When such index is superior or equal to 48%, fluid responsiveness is predicted with a sensitivity of 84% and a specificity of 90%.</w:t>
      </w:r>
    </w:p>
    <w:p/>
    <w:p>
      <w:pPr>
        <w:pStyle w:val="Normal"/>
      </w:pPr>
      <w:r>
        <w:rPr>
          <w:color w:val="323232"/>
        </w:rPr>
        <w:t xml:space="preserve">CONCLUSIONS:The collapsibility index of the inferior vena cava during a deep standardized inspiration is a simple, noninvasive bedside predictor of fluid responsiveness in nonintubated patients with sepsis-related acute circulatory failure.</w:t>
      </w:r>
    </w:p>
    <w:p/>
    <w:p>
      <w:pPr>
        <w:pStyle w:val="Normal"/>
      </w:pPr>
      <w:r>
        <w:rPr>
          <w:color w:val="323232"/>
        </w:rPr>
        <w:t xml:space="preserve">Critical Care Medicine, 2017 vol. 45 (3) pp. e290-e297.</w:t>
      </w:r>
    </w:p>
    <w:p>
      <w:r>
        <w:rPr>
          <w:rStyle w:val="Hyperlink"/>
        </w:rPr>
        <w:fldChar w:fldCharType="begin"/>
      </w:r>
      <w:r>
        <w:rPr>
          <w:rStyle w:val="Hyperlink"/>
        </w:rPr>
        <w:instrText xml:space="preserve"> HYPERLINK "http://eutils.ncbi.nlm.nih.gov/entrez/eutils/elink.fcgi?dbfrom=pubmed&amp;id=27749318&amp;retmode=ref&amp;cmd=prlinks"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http://eutils.ncbi.nlm.nih.gov/entrez/eutils/elink.fcgi?dbfrom=pubmed&amp;id=27749318&amp;retmode=ref&amp;cmd=prlinks</w:t>
      </w:r>
      <w:r>
        <w:rPr>
          <w:rStyle w:val="Hyperlink"/>
        </w:rPr>
        <w:fldChar w:fldCharType="end"/>
      </w:r>
    </w:p>
    <w:p>
      <w:pPr>
        <w:pStyle w:val="Normal"/>
      </w:pPr>
      <w:r>
        <w:rPr>
          <w:color w:val="323232"/>
        </w:rPr>
        <w:t xml:space="preserve">————————</w:t>
      </w:r>
    </w:p>
    <w:p>
      <w:pPr>
        <w:pStyle w:val="Heading4"/>
      </w:pPr>
      <w:r>
        <w:t xml:space="preserve">Experts Consensus Recommendations for the Management of Calcium Channel Blocker Poisoning in Adults.</w:t>
      </w:r>
    </w:p>
    <w:p/>
    <w:p>
      <w:pPr>
        <w:pStyle w:val="Normal"/>
      </w:pPr>
      <w:r>
        <w:rPr>
          <w:color w:val="323232"/>
        </w:rPr>
        <w:t xml:space="preserve">Maude St-Onge, Kurt Anseeuw, Frank Lee Cantrell, Ian C Gilchrist, Philippe Hantson, Benoit Bailey, Valéry Lavergne, Sophie Gosselin, William Kerns, Martin Laliberté, Eric J Lavonas, David N Juurlink, John Muscedere, Chen-Chang Yang, Tasnim Sinuff, Michael Rieder, and Bruno Mégarbane.</w:t>
      </w:r>
    </w:p>
    <w:p/>
    <w:p>
      <w:pPr>
        <w:pStyle w:val="Normal"/>
      </w:pPr>
      <w:r>
        <w:rPr>
          <w:color w:val="323232"/>
        </w:rPr>
        <w:t xml:space="preserve">OBJECTIVE:To provide a management approach for adults with calcium channel blocker poisoning.</w:t>
      </w:r>
    </w:p>
    <w:p/>
    <w:p>
      <w:pPr>
        <w:pStyle w:val="Normal"/>
      </w:pPr>
      <w:r>
        <w:rPr>
          <w:color w:val="323232"/>
        </w:rPr>
        <w:t xml:space="preserve">DATA SOURCES, STUDY SELECTION, AND DATA EXTRACTION:Following the Appraisal of Guidelines for Research &amp; Evaluation II instrument, initial voting statements were constructed based on summaries outlining the evidence, risks, and benefits.</w:t>
      </w:r>
    </w:p>
    <w:p/>
    <w:p>
      <w:pPr>
        <w:pStyle w:val="Normal"/>
      </w:pPr>
      <w:r>
        <w:rPr>
          <w:color w:val="323232"/>
        </w:rPr>
        <w:t xml:space="preserve">DATA SYNTHESIS:We recommend 1) for asymptomatic patients, observation and consideration of decontamination following a potentially toxic calcium channel blocker ingestion (1D); 2) as first-line therapies (prioritized based on desired effect), IV calcium (1D), high-dose insulin therapy (1D-2D), and norepinephrine and/or epinephrine (1D). We also suggest dobutamine or epinephrine in the presence of cardiogenic shock (2D) and atropine in the presence of symptomatic bradycardia or conduction disturbance (2D); 3) in patients refractory to the first-line treatments, we suggest incremental doses of high-dose insulin therapy if myocardial dysfunction is present (2D), IV lipid-emulsion therapy (2D), and using a pacemaker in the presence of unstable bradycardia or high-grade arteriovenous block without significant alteration in cardiac inotropism (2D); 4) in patients with refractory shock or who are periarrest, we recommend incremental doses of high-dose insulin (1D) and IV lipid-emulsion therapy (1D) if not already tried. We suggest venoarterial extracorporeal membrane oxygenation, if available, when refractory shock has a significant cardiogenic component (2D), and using pacemaker in the presence of unstable bradycardia or high-grade arteriovenous block in the absence of myocardial dysfunction (2D) if not already tried; 5) in patients with cardiac arrest, we recommend IV calcium in addition to the standard advanced cardiac life-support (1D), lipid-emulsion therapy (1D), and we suggest venoarterial extracorporeal membrane oxygenation if available (2D).</w:t>
      </w:r>
    </w:p>
    <w:p/>
    <w:p>
      <w:pPr>
        <w:pStyle w:val="Normal"/>
      </w:pPr>
      <w:r>
        <w:rPr>
          <w:color w:val="323232"/>
        </w:rPr>
        <w:t xml:space="preserve">CONCLUSION:We offer recommendations for the stepwise management of calcium channel blocker toxicity. For all interventions, the level of evidence was very low.</w:t>
      </w:r>
    </w:p>
    <w:p/>
    <w:p>
      <w:pPr>
        <w:pStyle w:val="Normal"/>
      </w:pPr>
      <w:r>
        <w:rPr>
          <w:color w:val="323232"/>
        </w:rPr>
        <w:t xml:space="preserve">Crit Care Med, 2017 vol. 45 (3) pp. e306-e315.</w:t>
      </w:r>
    </w:p>
    <w:p>
      <w:r>
        <w:rPr>
          <w:rStyle w:val="Hyperlink"/>
        </w:rPr>
        <w:fldChar w:fldCharType="begin"/>
      </w:r>
      <w:r>
        <w:rPr>
          <w:rStyle w:val="Hyperlink"/>
        </w:rPr>
        <w:instrText xml:space="preserve"> HYPERLINK "http://eutils.ncbi.nlm.nih.gov/entrez/eutils/elink.fcgi?dbfrom=pubmed&amp;id=27749343&amp;retmode=ref&amp;cmd=prlinks"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http://eutils.ncbi.nlm.nih.gov/entrez/eutils/elink.fcgi?dbfrom=pubmed&amp;id=27749343&amp;retmode=ref&amp;cmd=prlinks</w:t>
      </w:r>
      <w:r>
        <w:rPr>
          <w:rStyle w:val="Hyperlink"/>
        </w:rPr>
        <w:fldChar w:fldCharType="end"/>
      </w:r>
    </w:p>
    <w:p>
      <w:pPr>
        <w:pStyle w:val="Normal"/>
      </w:pPr>
      <w:r>
        <w:rPr>
          <w:color w:val="323232"/>
        </w:rPr>
        <w:t xml:space="preserve">————————</w:t>
      </w:r>
    </w:p>
    <w:p>
      <w:pPr>
        <w:pStyle w:val="Heading4"/>
      </w:pPr>
      <w:r>
        <w:t xml:space="preserve">Higher Fluid Balance Increases the Risk of Death From Sepsis: Results From a Large International Audit.</w:t>
      </w:r>
    </w:p>
    <w:p/>
    <w:p>
      <w:pPr>
        <w:pStyle w:val="Normal"/>
      </w:pPr>
      <w:r>
        <w:rPr>
          <w:color w:val="323232"/>
        </w:rPr>
        <w:t xml:space="preserve">Yasser Sakr, Paolo Nahuel Rubatto Birri, Katarzyna Kotfis, Rahul Nanchal, Bhagyesh Shah, Stefan Kluge, Mary E Schroeder, John C Marshall, Jean-Louis Vincent, and Intensive Care Over Nations Investigators.</w:t>
      </w:r>
    </w:p>
    <w:p/>
    <w:p>
      <w:pPr>
        <w:pStyle w:val="Normal"/>
      </w:pPr>
      <w:r>
        <w:rPr>
          <w:color w:val="323232"/>
        </w:rPr>
        <w:t xml:space="preserve">OBJECTIVES:Excessive fluid therapy in patients with sepsis may be associated with risks that outweigh any benefit. We investigated the possible influence of early fluid balance on outcome in a large international database of ICU patients with sepsis.</w:t>
      </w:r>
    </w:p>
    <w:p/>
    <w:p>
      <w:pPr>
        <w:pStyle w:val="Normal"/>
      </w:pPr>
      <w:r>
        <w:rPr>
          <w:color w:val="323232"/>
        </w:rPr>
        <w:t xml:space="preserve">DESIGN:Observational cohort study.</w:t>
      </w:r>
    </w:p>
    <w:p/>
    <w:p>
      <w:pPr>
        <w:pStyle w:val="Normal"/>
      </w:pPr>
      <w:r>
        <w:rPr>
          <w:color w:val="323232"/>
        </w:rPr>
        <w:t xml:space="preserve">SETTING:Seven hundred and thirty ICUs in 84 countries.</w:t>
      </w:r>
    </w:p>
    <w:p/>
    <w:p>
      <w:pPr>
        <w:pStyle w:val="Normal"/>
      </w:pPr>
      <w:r>
        <w:rPr>
          <w:color w:val="323232"/>
        </w:rPr>
        <w:t xml:space="preserve">PATIENTS:All adult patients admitted between May 8 and May 18, 2012, except admissions for routine postoperative surveillance. For this analysis, we included only the 1,808 patients with an admission diagnosis of sepsis. Patients were stratified according to quartiles of cumulative fluid balance 24 hours and 3 days after ICU admission.</w:t>
      </w:r>
    </w:p>
    <w:p/>
    <w:p>
      <w:pPr>
        <w:pStyle w:val="Normal"/>
      </w:pPr>
      <w:r>
        <w:rPr>
          <w:color w:val="323232"/>
        </w:rPr>
        <w:t xml:space="preserve">MEASUREMENTS AND MAIN RESULTS:ICU and hospital mortality rates were 27.6% and 37.3%, respectively. The cumulative fluid balance increased from 1,217</w:t>
      </w:r>
      <w:r>
        <w:rPr>
          <w:color w:val="323232"/>
        </w:rPr>
        <w:t xml:space="preserve"> </w:t>
      </w:r>
      <w:r>
        <w:rPr>
          <w:color w:val="323232"/>
        </w:rPr>
        <w:t xml:space="preserve">mL (-90 to 2,783</w:t>
      </w:r>
      <w:r>
        <w:rPr>
          <w:color w:val="323232"/>
        </w:rPr>
        <w:t xml:space="preserve"> </w:t>
      </w:r>
      <w:r>
        <w:rPr>
          <w:color w:val="323232"/>
        </w:rPr>
        <w:t xml:space="preserve">mL) in the first 24 hours after ICU admission to 1,794</w:t>
      </w:r>
      <w:r>
        <w:rPr>
          <w:color w:val="323232"/>
        </w:rPr>
        <w:t xml:space="preserve"> </w:t>
      </w:r>
      <w:r>
        <w:rPr>
          <w:color w:val="323232"/>
        </w:rPr>
        <w:t xml:space="preserve">mL (-951 to 5,108</w:t>
      </w:r>
      <w:r>
        <w:rPr>
          <w:color w:val="323232"/>
        </w:rPr>
        <w:t xml:space="preserve"> </w:t>
      </w:r>
      <w:r>
        <w:rPr>
          <w:color w:val="323232"/>
        </w:rPr>
        <w:t xml:space="preserve">mL) on day 3 and decreased thereafter. The cumulative fluid intake was similar in survivors and nonsurvivors, but fluid balance was less positive in survivors because of higher fluid output in these patients. Fluid balances became negative after the third ICU day in survivors but remained positive in nonsurvivors. After adjustment for possible confounders in multivariable analysis, the 24-hour cumulative fluid balance was not associated with an increased hazard of 28-day in-hospital death. However, there was a stepwise increase in the hazard of death with higher quartiles of 3-day cumulative fluid balance in the whole population and after stratification according to the presence of septic shock.</w:t>
      </w:r>
    </w:p>
    <w:p/>
    <w:p>
      <w:pPr>
        <w:pStyle w:val="Normal"/>
      </w:pPr>
      <w:r>
        <w:rPr>
          <w:color w:val="323232"/>
        </w:rPr>
        <w:t xml:space="preserve">CONCLUSIONS:In this large cohort of patients with sepsis, higher cumulative fluid balance at day 3 but not in the first 24 hours after ICU admission was independently associated with an increase in the hazard of death.</w:t>
      </w:r>
    </w:p>
    <w:p/>
    <w:p>
      <w:pPr>
        <w:pStyle w:val="Normal"/>
      </w:pPr>
      <w:r>
        <w:rPr>
          <w:color w:val="323232"/>
        </w:rPr>
        <w:t xml:space="preserve">Critical Care Medicine, 2017 vol. 45 (3) pp. 386-394.</w:t>
      </w:r>
    </w:p>
    <w:p>
      <w:r>
        <w:rPr>
          <w:rStyle w:val="Hyperlink"/>
        </w:rPr>
        <w:fldChar w:fldCharType="begin"/>
      </w:r>
      <w:r>
        <w:rPr>
          <w:rStyle w:val="Hyperlink"/>
        </w:rPr>
        <w:instrText xml:space="preserve"> HYPERLINK "http://eutils.ncbi.nlm.nih.gov/entrez/eutils/elink.fcgi?dbfrom=pubmed&amp;id=27922878&amp;retmode=ref&amp;cmd=prlinks"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http://eutils.ncbi.nlm.nih.gov/entrez/eutils/elink.fcgi?dbfrom=pubmed&amp;id=27922878&amp;retmode=ref&amp;cmd=prlinks</w:t>
      </w:r>
      <w:r>
        <w:rPr>
          <w:rStyle w:val="Hyperlink"/>
        </w:rPr>
        <w:fldChar w:fldCharType="end"/>
      </w:r>
    </w:p>
    <w:p>
      <w:pPr>
        <w:pStyle w:val="Normal"/>
      </w:pPr>
      <w:r>
        <w:rPr>
          <w:color w:val="323232"/>
        </w:rPr>
        <w:t xml:space="preserve">————————</w:t>
      </w:r>
    </w:p>
    <w:p>
      <w:pPr>
        <w:pStyle w:val="Heading4"/>
      </w:pPr>
      <w:r>
        <w:t xml:space="preserve">Prior Use of Calcium Channel Blockers Is Associated With Decreased Mortality in Critically Ill Patients With Sepsis: A Prospective Observational Study.</w:t>
      </w:r>
    </w:p>
    <w:p/>
    <w:p>
      <w:pPr>
        <w:pStyle w:val="Normal"/>
      </w:pPr>
      <w:r>
        <w:rPr>
          <w:color w:val="323232"/>
        </w:rPr>
        <w:t xml:space="preserve">Maryse A Wiewel, Lonneke A van Vught, Brendon P Scicluna, Arie J Hoogendijk, Jos F Frencken, Aeilko H Zwinderman, Janneke Horn, Olaf L Cremer, Marc J Bonten, Marcus J Schultz, Tom van der Poll, and Molecular Diagnosis and Risk Stratification of Sepsis (MARS) Consortium.</w:t>
      </w:r>
    </w:p>
    <w:p/>
    <w:p>
      <w:pPr>
        <w:pStyle w:val="Normal"/>
      </w:pPr>
      <w:r>
        <w:rPr>
          <w:color w:val="323232"/>
        </w:rPr>
        <w:t xml:space="preserve">OBJECTIVES:Experimental studies suggest that calcium channel blockers can improve sepsis outcome. The aim of this study was to determine the association between prior use of calcium channel blockers and the outcome of patients admitted to the ICU with sepsis.</w:t>
      </w:r>
    </w:p>
    <w:p/>
    <w:p>
      <w:pPr>
        <w:pStyle w:val="Normal"/>
      </w:pPr>
      <w:r>
        <w:rPr>
          <w:color w:val="323232"/>
        </w:rPr>
        <w:t xml:space="preserve">DESIGN:A prospective observational study.</w:t>
      </w:r>
    </w:p>
    <w:p/>
    <w:p>
      <w:pPr>
        <w:pStyle w:val="Normal"/>
      </w:pPr>
      <w:r>
        <w:rPr>
          <w:color w:val="323232"/>
        </w:rPr>
        <w:t xml:space="preserve">SETTING:The ICUs of two tertiary care hospitals in the Netherlands.</w:t>
      </w:r>
    </w:p>
    <w:p/>
    <w:p>
      <w:pPr>
        <w:pStyle w:val="Normal"/>
      </w:pPr>
      <w:r>
        <w:rPr>
          <w:color w:val="323232"/>
        </w:rPr>
        <w:t xml:space="preserve">PATIENTS:In total, 1,060 consecutive patients admitted with sepsis were analyzed, 18.6% of whom used calcium channel blockers.</w:t>
      </w:r>
    </w:p>
    <w:p/>
    <w:p>
      <w:pPr>
        <w:pStyle w:val="Normal"/>
      </w:pPr>
      <w:r>
        <w:rPr>
          <w:color w:val="323232"/>
        </w:rPr>
        <w:t xml:space="preserve">INTERVENTIONS:None.</w:t>
      </w:r>
    </w:p>
    <w:p/>
    <w:p>
      <w:pPr>
        <w:pStyle w:val="Normal"/>
      </w:pPr>
      <w:r>
        <w:rPr>
          <w:color w:val="323232"/>
        </w:rPr>
        <w:t xml:space="preserve">MEASUREMENTS AND MAIN RESULTS:Considering large baseline differences between calcium channel blocker users and nonusers, a propensity score matched cohort was constructed to account for differential likelihoods of receiving calcium channel blockers. Fifteen plasma biomarkers providing insight in key host responses implicated in sepsis pathogenesis were measured during the first 4 days after admission. Severity of illness over the first 24 hours, sites of infection and causative pathogens were similar in both groups. Prior use of calcium channel blockers was associated with improved 30-day survival in the propensity-matched cohort (20.2% vs 32.9% in non-calcium channel blockers users; p = 0.009) and in multivariate analysis (odds ratio, 0.48; 95% CI, 0.31-0.74; p = 0.0007). Prior calcium channel blocker use was not associated with changes in the plasma levels of host biomarkers indicative of activation of the cytokine network, the vascular endothelium and the coagulation system, with the exception of antithrombin levels, which were less decreased in calcium channel blocker users.</w:t>
      </w:r>
    </w:p>
    <w:p/>
    <w:p>
      <w:pPr>
        <w:pStyle w:val="Normal"/>
      </w:pPr>
      <w:r>
        <w:rPr>
          <w:color w:val="323232"/>
        </w:rPr>
        <w:t xml:space="preserve">CONCLUSIONS:Prior calcium channel blocker use is associated with reduced mortality in patients following ICU admission with sepsis.</w:t>
      </w:r>
    </w:p>
    <w:p/>
    <w:p>
      <w:pPr>
        <w:pStyle w:val="Normal"/>
      </w:pPr>
      <w:r>
        <w:rPr>
          <w:color w:val="323232"/>
        </w:rPr>
        <w:t xml:space="preserve">Critical Care Medicine, 2017 vol. 45 (3) pp. 454-463.</w:t>
      </w:r>
    </w:p>
    <w:p>
      <w:r>
        <w:rPr>
          <w:rStyle w:val="Hyperlink"/>
        </w:rPr>
        <w:fldChar w:fldCharType="begin"/>
      </w:r>
      <w:r>
        <w:rPr>
          <w:rStyle w:val="Hyperlink"/>
        </w:rPr>
        <w:instrText xml:space="preserve"> HYPERLINK "http://eutils.ncbi.nlm.nih.gov/entrez/eutils/elink.fcgi?dbfrom=pubmed&amp;id=28079604&amp;retmode=ref&amp;cmd=prlinks"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http://eutils.ncbi.nlm.nih.gov/entrez/eutils/elink.fcgi?dbfrom=pubmed&amp;id=28079604&amp;retmode=ref&amp;cmd=prlinks</w:t>
      </w:r>
      <w:r>
        <w:rPr>
          <w:rStyle w:val="Hyperlink"/>
        </w:rPr>
        <w:fldChar w:fldCharType="end"/>
      </w:r>
    </w:p>
    <w:p>
      <w:pPr>
        <w:pStyle w:val="Normal"/>
      </w:pPr>
      <w:r>
        <w:rPr>
          <w:color w:val="323232"/>
        </w:rPr>
        <w:t xml:space="preserve">————————</w:t>
      </w:r>
    </w:p>
    <w:p>
      <w:pPr>
        <w:pStyle w:val="Heading4"/>
      </w:pPr>
      <w:r>
        <w:t xml:space="preserve">Pulmonary Arterial Compliance in Acute Respiratory Distress Syndrome: Clinical Determinants and Association With Outcome From the Fluid and Catheter Treatment Trial Cohort.</w:t>
      </w:r>
    </w:p>
    <w:p/>
    <w:p>
      <w:pPr>
        <w:pStyle w:val="Normal"/>
      </w:pPr>
      <w:r>
        <w:rPr>
          <w:color w:val="323232"/>
        </w:rPr>
        <w:t xml:space="preserve">Thomas S Metkus, Emmanouil Tampakakis, Christopher J Mullin, Brian A Houston, Todd M Kolb, Stephen C Mathai, Rachel Damico, Bradley A Maron, Paul M Hassoun, Roy G Brower, and Ryan J Tedford.</w:t>
      </w:r>
    </w:p>
    <w:p/>
    <w:p>
      <w:pPr>
        <w:pStyle w:val="Normal"/>
      </w:pPr>
      <w:r>
        <w:rPr>
          <w:color w:val="323232"/>
        </w:rPr>
        <w:t xml:space="preserve">OBJECTIVES:Pulmonary vascular dysfunction is associated with adverse prognosis in patients with the acute respiratory distress syndrome; however, the prognostic impact of pulmonary arterial compliance in acute respiratory distress syndrome is not established.</w:t>
      </w:r>
    </w:p>
    <w:p/>
    <w:p>
      <w:pPr>
        <w:pStyle w:val="Normal"/>
      </w:pPr>
      <w:r>
        <w:rPr>
          <w:color w:val="323232"/>
        </w:rPr>
        <w:t xml:space="preserve">DESIGN, SETTING, PATIENTS:We performed a retrospective analysis of 363 subjects with acute respiratory distress syndrome who had complete baseline right heart catheterization data from the Fluid and Catheter Treatment Trial to test whether pulmonary arterial compliance at baseline and over the course of treatment predicted mortality.</w:t>
      </w:r>
    </w:p>
    <w:p/>
    <w:p>
      <w:pPr>
        <w:pStyle w:val="Normal"/>
      </w:pPr>
      <w:r>
        <w:rPr>
          <w:color w:val="323232"/>
        </w:rPr>
        <w:t xml:space="preserve">MAIN RESULTS:Baseline pulmonary arterial compliance (hazard ratio, 1.18 per interquartile range of 1/pulmonary arterial compliance; 95% CI, 1.02-1.37; p = 0.03) and pulmonary vascular resistance (hazard ratio, 1.28 per interquartile range; 95% CI, 1.07-1.53; p = 0.006) both modestly predicted 60-day mortality. Baseline pulmonary arterial compliance remained predictive of mortality when pulmonary vascular resistance was in the normal range (p = 0.02). Between day 0 and day 3, pulmonary arterial compliance increased in acute respiratory distress syndrome survivors and remained unchanged in nonsurvivors, whereas pulmonary vascular resistance did not change in either group. The resistance-compliance product (resistance-compliance time) increased in survivors compared with nonsurvivors, suggesting improvements in right ventricular load.</w:t>
      </w:r>
    </w:p>
    <w:p/>
    <w:p>
      <w:pPr>
        <w:pStyle w:val="Normal"/>
      </w:pPr>
      <w:r>
        <w:rPr>
          <w:color w:val="323232"/>
        </w:rPr>
        <w:t xml:space="preserve">CONCLUSIONS:Baseline measures of pulmonary arterial compliance and pulmonary vascular resistance predict mortality in acute respiratory distress syndrome, and pulmonary arterial compliance remains predictive even when pulmonary vascular resistance is normal. Pulmonary arterial compliance and right ventricular load improve over time in acute respiratory distress syndrome survivors. Future studies should assess the impact of right ventricular protective acute respiratory distress syndrome treatment on right ventricular afterload and outcome.</w:t>
      </w:r>
    </w:p>
    <w:p/>
    <w:p>
      <w:pPr>
        <w:pStyle w:val="Normal"/>
      </w:pPr>
      <w:r>
        <w:rPr>
          <w:color w:val="323232"/>
        </w:rPr>
        <w:t xml:space="preserve">Critical Care Medicine, 2017 vol. 45 (3) pp. 422-429.</w:t>
      </w:r>
    </w:p>
    <w:p>
      <w:r>
        <w:rPr>
          <w:rStyle w:val="Hyperlink"/>
        </w:rPr>
        <w:fldChar w:fldCharType="begin"/>
      </w:r>
      <w:r>
        <w:rPr>
          <w:rStyle w:val="Hyperlink"/>
        </w:rPr>
        <w:instrText xml:space="preserve"> HYPERLINK "http://eutils.ncbi.nlm.nih.gov/entrez/eutils/elink.fcgi?dbfrom=pubmed&amp;id=27941369&amp;retmode=ref&amp;cmd=prlinks"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http://eutils.ncbi.nlm.nih.gov/entrez/eutils/elink.fcgi?dbfrom=pubmed&amp;id=27941369&amp;retmode=ref&amp;cmd=prlinks</w:t>
      </w:r>
      <w:r>
        <w:rPr>
          <w:rStyle w:val="Hyperlink"/>
        </w:rPr>
        <w:fldChar w:fldCharType="end"/>
      </w:r>
    </w:p>
    <w:p>
      <w:pPr>
        <w:pStyle w:val="Normal"/>
      </w:pPr>
      <w:r>
        <w:rPr>
          <w:color w:val="323232"/>
        </w:rPr>
        <w:t xml:space="preserve">————————</w:t>
      </w:r>
    </w:p>
    <w:p>
      <w:pPr>
        <w:pStyle w:val="Heading4"/>
      </w:pPr>
      <w:r>
        <w:t xml:space="preserve">Relationship Between Alternative Resuscitation Strategies, Host Response and Injury Biomarkers, and Outcome in Septic Shock: Analysis of the Protocol-Based Care for Early Septic Shock Study.</w:t>
      </w:r>
    </w:p>
    <w:p/>
    <w:p>
      <w:pPr>
        <w:pStyle w:val="Normal"/>
      </w:pPr>
      <w:r>
        <w:rPr>
          <w:color w:val="323232"/>
        </w:rPr>
        <w:t xml:space="preserve">John A Kellum, Francis Pike, Donald M Yealy, David T Huang, Nathan I Shapiro, Derek C Angus, and and the Protocol-based Care for Early Septic Shock Investigators (ProCESS) Investigators.</w:t>
      </w:r>
    </w:p>
    <w:p/>
    <w:p>
      <w:pPr>
        <w:pStyle w:val="Normal"/>
      </w:pPr>
      <w:r>
        <w:rPr>
          <w:color w:val="323232"/>
        </w:rPr>
        <w:t xml:space="preserve">OBJECTIVES:The Protocol-based Care for Early Septic Shock trial found no differences across alternative resuscitation strategies in all-cause mortality. A separate aim was to determine whether differences in resuscitation strategies affected trajectories of biomarkers of key pathways associated with downstream clinical outcomes of sepsis and whether there were differences in survival across treatment arms for patients with different baseline biomarker profiles.</w:t>
      </w:r>
    </w:p>
    <w:p/>
    <w:p>
      <w:pPr>
        <w:pStyle w:val="Normal"/>
      </w:pPr>
      <w:r>
        <w:rPr>
          <w:color w:val="323232"/>
        </w:rPr>
        <w:t xml:space="preserve">DESIGN:Secondary analysis of a large randomized clinical trial.</w:t>
      </w:r>
    </w:p>
    <w:p/>
    <w:p>
      <w:pPr>
        <w:pStyle w:val="Normal"/>
      </w:pPr>
      <w:r>
        <w:rPr>
          <w:color w:val="323232"/>
        </w:rPr>
        <w:t xml:space="preserve">SETTING:Thirty-one U.S. hospitals.</w:t>
      </w:r>
    </w:p>
    <w:p/>
    <w:p>
      <w:pPr>
        <w:pStyle w:val="Normal"/>
      </w:pPr>
      <w:r>
        <w:rPr>
          <w:color w:val="323232"/>
        </w:rPr>
        <w:t xml:space="preserve">PATIENTS:Six hundred twenty-eight patients with septic shock.</w:t>
      </w:r>
    </w:p>
    <w:p/>
    <w:p>
      <w:pPr>
        <w:pStyle w:val="Normal"/>
      </w:pPr>
      <w:r>
        <w:rPr>
          <w:color w:val="323232"/>
        </w:rPr>
        <w:t xml:space="preserve">INTERVENTIONS:Two resuscitation protocols versus usual care.</w:t>
      </w:r>
    </w:p>
    <w:p/>
    <w:p>
      <w:pPr>
        <w:pStyle w:val="Normal"/>
      </w:pPr>
      <w:r>
        <w:rPr>
          <w:color w:val="323232"/>
        </w:rPr>
        <w:t xml:space="preserve">MEASUREMENTS AND MAIN RESULTS:We measured a panel of biomarkers representing four pathophysiologic domains: "inflammation" (tumor necrosis factor, interleukin-6, and -10); "coagulation" (D-dimers, thrombin-antithrombin complex); "oxidative stress" (urine isoprostane); and "tissue hypoxia" (lactate) at 0, 6, 24, and 72 hours after treatment. We analyzed whether alternative resuscitation strategies affected biomarker trajectories over 72 hours and whether effects on 90-day hospital mortality varied by baseline (time 0) biomarker profiles-both using regression models with interaction terms for treatment arms. For all baseline biomarkers, higher concentrations were associated with increased risk of death by 90 days. However, there was no significant effect of treatment assignment on subsequent biomarker trajectories. We did find evidence for heterogeneity of treatment effect of protocol-based care on mortality for patients with different baseline [interleukin-6] and [interleukin-6] × [interleukin-10] profiles, whereas patients with the lowest quartiles fared better with protocol-based care (odds ratios, 0.32 [0.13-075]; p = 0.01 and 0.32 [0.14-0.73]; p = 0.01, respectively).</w:t>
      </w:r>
    </w:p>
    <w:p/>
    <w:p>
      <w:pPr>
        <w:pStyle w:val="Normal"/>
      </w:pPr>
      <w:r>
        <w:rPr>
          <w:color w:val="323232"/>
        </w:rPr>
        <w:t xml:space="preserve">CONCLUSIONS:In patients with septic shock, alterations in inflammation, coagulation, oxidative stress, and tissue hypoxia are common and associated with adverse outcomes but are not influenced by protocol-based resuscitation compared with usual care. However, contrary to expectation, protocol-based resuscitation appeared to be superior in patients with lower concentrations of inflammatory biomarkers. The mechanisms responsible for this effect are unclear.</w:t>
      </w:r>
    </w:p>
    <w:p/>
    <w:p>
      <w:pPr>
        <w:pStyle w:val="Normal"/>
      </w:pPr>
      <w:r>
        <w:rPr>
          <w:color w:val="323232"/>
        </w:rPr>
        <w:t xml:space="preserve">Critical Care Medicine, 2017 vol. 45 (3) pp. 438-445.</w:t>
      </w:r>
    </w:p>
    <w:p>
      <w:r>
        <w:rPr>
          <w:rStyle w:val="Hyperlink"/>
        </w:rPr>
        <w:fldChar w:fldCharType="begin"/>
      </w:r>
      <w:r>
        <w:rPr>
          <w:rStyle w:val="Hyperlink"/>
        </w:rPr>
        <w:instrText xml:space="preserve"> HYPERLINK "http://eutils.ncbi.nlm.nih.gov/entrez/eutils/elink.fcgi?dbfrom=pubmed&amp;id=28079606&amp;retmode=ref&amp;cmd=prlinks"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http://eutils.ncbi.nlm.nih.gov/entrez/eutils/elink.fcgi?dbfrom=pubmed&amp;id=28079606&amp;retmode=ref&amp;cmd=prlinks</w:t>
      </w:r>
      <w:r>
        <w:rPr>
          <w:rStyle w:val="Hyperlink"/>
        </w:rPr>
        <w:fldChar w:fldCharType="end"/>
      </w:r>
    </w:p>
    <w:p>
      <w:pPr>
        <w:pStyle w:val="Normal"/>
      </w:pPr>
      <w:r>
        <w:rPr>
          <w:color w:val="323232"/>
        </w:rPr>
        <w:t xml:space="preserve">————————</w:t>
      </w:r>
    </w:p>
    <w:p>
      <w:pPr>
        <w:pStyle w:val="Heading4"/>
      </w:pPr>
      <w:r>
        <w:t xml:space="preserve">The Changes in Pulse Pressure Variation or Stroke Volume Variation After a "Tidal Volume Challenge" Reliably Predict Fluid Responsiveness During Low Tidal Volume Ventilation.</w:t>
      </w:r>
    </w:p>
    <w:p/>
    <w:p>
      <w:pPr>
        <w:pStyle w:val="Normal"/>
      </w:pPr>
      <w:r>
        <w:rPr>
          <w:color w:val="323232"/>
        </w:rPr>
        <w:t xml:space="preserve">Sheila Nainan Myatra, Natesh R Prabu, Jigeeshu Vasishtha Divatia, Xavier Monnet, Atul Prabhakar Kulkarni, and Jean-Louis Teboul.</w:t>
      </w:r>
    </w:p>
    <w:p/>
    <w:p>
      <w:pPr>
        <w:pStyle w:val="Normal"/>
      </w:pPr>
      <w:r>
        <w:rPr>
          <w:color w:val="323232"/>
        </w:rPr>
        <w:t xml:space="preserve">OBJECTIVES:Stroke volume variation and pulse pressure variation do not reliably predict fluid responsiveness during low tidal volume ventilation. We hypothesized that with transient increase in tidal volume from 6 to 8</w:t>
      </w:r>
      <w:r>
        <w:rPr>
          <w:color w:val="323232"/>
        </w:rPr>
        <w:t xml:space="preserve"> </w:t>
      </w:r>
      <w:r>
        <w:rPr>
          <w:color w:val="323232"/>
        </w:rPr>
        <w:t xml:space="preserve">mL/kg predicted body weight, that is, "tidal volume challenge," the changes in pulse pressure variation and stroke volume variation will predict fluid responsiveness.</w:t>
      </w:r>
    </w:p>
    <w:p/>
    <w:p>
      <w:pPr>
        <w:pStyle w:val="Normal"/>
      </w:pPr>
      <w:r>
        <w:rPr>
          <w:color w:val="323232"/>
        </w:rPr>
        <w:t xml:space="preserve">DESIGN:Prospective, single-arm study.</w:t>
      </w:r>
    </w:p>
    <w:p/>
    <w:p>
      <w:pPr>
        <w:pStyle w:val="Normal"/>
      </w:pPr>
      <w:r>
        <w:rPr>
          <w:color w:val="323232"/>
        </w:rPr>
        <w:t xml:space="preserve">SETTING:Medical-surgical ICU in a university hospital.</w:t>
      </w:r>
    </w:p>
    <w:p/>
    <w:p>
      <w:pPr>
        <w:pStyle w:val="Normal"/>
      </w:pPr>
      <w:r>
        <w:rPr>
          <w:color w:val="323232"/>
        </w:rPr>
        <w:t xml:space="preserve">PATIENTS:Adult patients with acute circulatory failure, having continuous cardiac output monitoring, and receiving controlled low tidal volume ventilation.</w:t>
      </w:r>
    </w:p>
    <w:p/>
    <w:p>
      <w:pPr>
        <w:pStyle w:val="Normal"/>
      </w:pPr>
      <w:r>
        <w:rPr>
          <w:color w:val="323232"/>
        </w:rPr>
        <w:t xml:space="preserve">INTERVENTIONS:The pulse pressure variation, stroke volume variation, and cardiac index were recorded at tidal volume 6</w:t>
      </w:r>
      <w:r>
        <w:rPr>
          <w:color w:val="323232"/>
        </w:rPr>
        <w:t xml:space="preserve"> </w:t>
      </w:r>
      <w:r>
        <w:rPr>
          <w:color w:val="323232"/>
        </w:rPr>
        <w:t xml:space="preserve">mL/ kg predicted body weight and 1 minute after the "tidal volume challenge." The tidal volume was reduced back to 6</w:t>
      </w:r>
      <w:r>
        <w:rPr>
          <w:color w:val="323232"/>
        </w:rPr>
        <w:t xml:space="preserve"> </w:t>
      </w:r>
      <w:r>
        <w:rPr>
          <w:color w:val="323232"/>
        </w:rPr>
        <w:t xml:space="preserve">mL/ kg predicted body weight, and a fluid bolus was given to identify fluid responders (increase in cardiac index &gt; 15%). The end-expiratory occlusion test was performed at tidal volumes 6 and 8</w:t>
      </w:r>
      <w:r>
        <w:rPr>
          <w:color w:val="323232"/>
        </w:rPr>
        <w:t xml:space="preserve"> </w:t>
      </w:r>
      <w:r>
        <w:rPr>
          <w:color w:val="323232"/>
        </w:rPr>
        <w:t xml:space="preserve">mL/ kg predicted body weight and after reducing tidal volume back to 6</w:t>
      </w:r>
      <w:r>
        <w:rPr>
          <w:color w:val="323232"/>
        </w:rPr>
        <w:t xml:space="preserve"> </w:t>
      </w:r>
      <w:r>
        <w:rPr>
          <w:color w:val="323232"/>
        </w:rPr>
        <w:t xml:space="preserve">mL/ kg predicted body weight.</w:t>
      </w:r>
    </w:p>
    <w:p/>
    <w:p>
      <w:pPr>
        <w:pStyle w:val="Normal"/>
      </w:pPr>
      <w:r>
        <w:rPr>
          <w:color w:val="323232"/>
        </w:rPr>
        <w:t xml:space="preserve">RESULTS:Thirty measurements were obtained in 20 patients. The absolute change in pulse pressure variation and stroke volume variation after increasing tidal volume from 6 to 8</w:t>
      </w:r>
      <w:r>
        <w:rPr>
          <w:color w:val="323232"/>
        </w:rPr>
        <w:t xml:space="preserve"> </w:t>
      </w:r>
      <w:r>
        <w:rPr>
          <w:color w:val="323232"/>
        </w:rPr>
        <w:t xml:space="preserve">mL/ kg predicted body weight predicted fluid responsiveness with areas under the receiver operating characteristic curves (with 95% CIs) being 0.99 (0.98-1.00) and 0.97 (0.92-1.00), respectively. The best cutoff values of the absolute change in pulse pressure variation and stroke volume variation after increasing tidal volume from 6 to 8</w:t>
      </w:r>
      <w:r>
        <w:rPr>
          <w:color w:val="323232"/>
        </w:rPr>
        <w:t xml:space="preserve"> </w:t>
      </w:r>
      <w:r>
        <w:rPr>
          <w:color w:val="323232"/>
        </w:rPr>
        <w:t xml:space="preserve">mL/ kg predicted body weight were 3.5% and 2.5%, respectively. The pulse pressure variation, stroke volume variation, central venous pressure, and end-expiratory occlusion test obtained during tidal volume 6</w:t>
      </w:r>
      <w:r>
        <w:rPr>
          <w:color w:val="323232"/>
        </w:rPr>
        <w:t xml:space="preserve"> </w:t>
      </w:r>
      <w:r>
        <w:rPr>
          <w:color w:val="323232"/>
        </w:rPr>
        <w:t xml:space="preserve">mL/kg predicted body weight did not predict fluid responsiveness.</w:t>
      </w:r>
    </w:p>
    <w:p/>
    <w:p>
      <w:pPr>
        <w:pStyle w:val="Normal"/>
      </w:pPr>
      <w:r>
        <w:rPr>
          <w:color w:val="323232"/>
        </w:rPr>
        <w:t xml:space="preserve">CONCLUSIONS:The changes in pulse pressure variation or stroke volume variation obtained by transiently increasing tidal volume (tidal volume challenge) are superior to pulse pressure variation and stroke volume variation in predicting fluid responsiveness during low tidal volume ventilation.</w:t>
      </w:r>
    </w:p>
    <w:p/>
    <w:p>
      <w:pPr>
        <w:pStyle w:val="Normal"/>
      </w:pPr>
      <w:r>
        <w:rPr>
          <w:color w:val="323232"/>
        </w:rPr>
        <w:t xml:space="preserve">Critical Care Medicine, 2017 vol. 45 (3) pp. 415-421.</w:t>
      </w:r>
    </w:p>
    <w:p>
      <w:r>
        <w:rPr>
          <w:rStyle w:val="Hyperlink"/>
        </w:rPr>
        <w:fldChar w:fldCharType="begin"/>
      </w:r>
      <w:r>
        <w:rPr>
          <w:rStyle w:val="Hyperlink"/>
        </w:rPr>
        <w:instrText xml:space="preserve"> HYPERLINK "http://eutils.ncbi.nlm.nih.gov/entrez/eutils/elink.fcgi?dbfrom=pubmed&amp;id=27922879&amp;retmode=ref&amp;cmd=prlinks"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http://eutils.ncbi.nlm.nih.gov/entrez/eutils/elink.fcgi?dbfrom=pubmed&amp;id=27922879&amp;retmode=ref&amp;cmd=prlinks</w:t>
      </w:r>
      <w:r>
        <w:rPr>
          <w:rStyle w:val="Hyperlink"/>
        </w:rPr>
        <w:fldChar w:fldCharType="end"/>
      </w:r>
    </w:p>
    <w:p>
      <w:pPr>
        <w:pStyle w:val="Normal"/>
      </w:pPr>
      <w:r>
        <w:rPr>
          <w:color w:val="323232"/>
        </w:rPr>
        <w:t xml:space="preserve">————————</w:t>
      </w:r>
    </w:p>
    <w:p>
      <w:pPr>
        <w:pStyle w:val="Heading4"/>
      </w:pPr>
      <w:r>
        <w:t xml:space="preserve">Calcium/Calmodulin Protein Kinase II-Dependent Ryanodine Receptor Phosphorylation Mediates Cardiac Contractile Dysfunction Associated With Sepsis.</w:t>
      </w:r>
    </w:p>
    <w:p/>
    <w:p>
      <w:pPr>
        <w:pStyle w:val="Normal"/>
      </w:pPr>
      <w:r>
        <w:rPr>
          <w:color w:val="323232"/>
        </w:rPr>
        <w:t xml:space="preserve">Marisa Sepúlveda, Luis A Gonano, Manuel Viotti, Malena Morell, Paula Blanco, Micaela López Alarcón, Isalira Peroba Ramos, Adriana Bastos Carvalho, Emiliano Medei, and Martín Vila Petroff.</w:t>
      </w:r>
    </w:p>
    <w:p/>
    <w:p>
      <w:pPr>
        <w:pStyle w:val="Normal"/>
      </w:pPr>
      <w:r>
        <w:rPr>
          <w:color w:val="323232"/>
        </w:rPr>
        <w:t xml:space="preserve">OBJECTIVES:Sepsis is associated with cardiac contractile dysfunction attributed to alterations in Ca handling. We examined the subcellular mechanisms involved in sarcoplasmic reticulum Ca loss that mediate altered Ca handling and contractile dysfunction associated with sepsis.</w:t>
      </w:r>
    </w:p>
    <w:p/>
    <w:p>
      <w:pPr>
        <w:pStyle w:val="Normal"/>
      </w:pPr>
      <w:r>
        <w:rPr>
          <w:color w:val="323232"/>
        </w:rPr>
        <w:t xml:space="preserve">DESIGN:Randomized controlled trial.</w:t>
      </w:r>
    </w:p>
    <w:p/>
    <w:p>
      <w:pPr>
        <w:pStyle w:val="Normal"/>
      </w:pPr>
      <w:r>
        <w:rPr>
          <w:color w:val="323232"/>
        </w:rPr>
        <w:t xml:space="preserve">SETTING:Research laboratorySUBJECTS:: Male wild type and transgenic miceINTERVENTIONS:: We induced sepsis in mice using the colon ascendens stent peritonitis model.</w:t>
      </w:r>
    </w:p>
    <w:p/>
    <w:p>
      <w:pPr>
        <w:pStyle w:val="Normal"/>
      </w:pPr>
      <w:r>
        <w:rPr>
          <w:color w:val="323232"/>
        </w:rPr>
        <w:t xml:space="preserve">MEASUREMENTS AND MAIN RESULTS:Twenty-four hours after colon ascendens stent peritonitis surgery, we observed that wild type mice had significantly elevated proinflammatory cytokine levels, reduced ejection fraction, and fractional shortening (ejection fraction %, 54.76</w:t>
      </w:r>
      <w:r>
        <w:rPr>
          <w:color w:val="323232"/>
        </w:rPr>
        <w:t xml:space="preserve"> </w:t>
      </w:r>
      <w:r>
        <w:rPr>
          <w:color w:val="323232"/>
        </w:rPr>
        <w:t xml:space="preserve">±</w:t>
      </w:r>
      <w:r>
        <w:rPr>
          <w:color w:val="323232"/>
        </w:rPr>
        <w:t xml:space="preserve"> </w:t>
      </w:r>
      <w:r>
        <w:rPr>
          <w:color w:val="323232"/>
        </w:rPr>
        <w:t xml:space="preserve">0.67; fractional shortening %, 27.53</w:t>
      </w:r>
      <w:r>
        <w:rPr>
          <w:color w:val="323232"/>
        </w:rPr>
        <w:t xml:space="preserve"> </w:t>
      </w:r>
      <w:r>
        <w:rPr>
          <w:color w:val="323232"/>
        </w:rPr>
        <w:t xml:space="preserve">±</w:t>
      </w:r>
      <w:r>
        <w:rPr>
          <w:color w:val="323232"/>
        </w:rPr>
        <w:t xml:space="preserve"> </w:t>
      </w:r>
      <w:r>
        <w:rPr>
          <w:color w:val="323232"/>
        </w:rPr>
        <w:t xml:space="preserve">0.50) compared with sham controls (ejection fraction %, 73.57</w:t>
      </w:r>
      <w:r>
        <w:rPr>
          <w:color w:val="323232"/>
        </w:rPr>
        <w:t xml:space="preserve"> </w:t>
      </w:r>
      <w:r>
        <w:rPr>
          <w:color w:val="323232"/>
        </w:rPr>
        <w:t xml:space="preserve">±</w:t>
      </w:r>
      <w:r>
        <w:rPr>
          <w:color w:val="323232"/>
        </w:rPr>
        <w:t xml:space="preserve"> </w:t>
      </w:r>
      <w:r>
        <w:rPr>
          <w:color w:val="323232"/>
        </w:rPr>
        <w:t xml:space="preserve">0.20; fractional shortening %, 46.75</w:t>
      </w:r>
      <w:r>
        <w:rPr>
          <w:color w:val="323232"/>
        </w:rPr>
        <w:t xml:space="preserve"> </w:t>
      </w:r>
      <w:r>
        <w:rPr>
          <w:color w:val="323232"/>
        </w:rPr>
        <w:t xml:space="preserve">±</w:t>
      </w:r>
      <w:r>
        <w:rPr>
          <w:color w:val="323232"/>
        </w:rPr>
        <w:t xml:space="preserve"> </w:t>
      </w:r>
      <w:r>
        <w:rPr>
          <w:color w:val="323232"/>
        </w:rPr>
        <w:t xml:space="preserve">0.38). At the cardiac myocyte level, colon ascendens stent peritonitis cells showed reduced cell shortening, Ca transient amplitude and sarcoplasmic reticulum Ca content compared with sham cardiomyocytes. Colon ascendens stent peritonitis hearts showed a significant increase in oxidation-dependent calcium and calmodulin-dependent protein kinase II activity, which could be prevented by pretreating animals with the antioxidant tempol. Pharmacologic inhibition of calcium and calmodulin-dependent protein kinase II with 2.5 µM of KN93 prevented the decrease in cell shortening, Ca transient amplitude, and sarcoplasmic reticulum Ca content in colon ascendens stent peritonitis myocytes. Contractile function was also preserved in colon ascendens stent peritonitis myocytes isolated from transgenic mice expressing a calcium and calmodulin-dependent protein kinase II inhibitory peptide (AC3-I) and in colon ascendens stent peritonitis myocytes isolated from mutant mice that have the ryanodine receptor 2 calcium and calmodulin-dependent protein kinase II-dependent phosphorylation site (serine 2814) mutated to alanine (S2814A). Furthermore, colon ascendens stent peritonitis S2814A mice showed preserved ejection fraction and fractional shortening (ejection fraction %, 73.06</w:t>
      </w:r>
      <w:r>
        <w:rPr>
          <w:color w:val="323232"/>
        </w:rPr>
        <w:t xml:space="preserve"> </w:t>
      </w:r>
      <w:r>
        <w:rPr>
          <w:color w:val="323232"/>
        </w:rPr>
        <w:t xml:space="preserve">±</w:t>
      </w:r>
      <w:r>
        <w:rPr>
          <w:color w:val="323232"/>
        </w:rPr>
        <w:t xml:space="preserve"> </w:t>
      </w:r>
      <w:r>
        <w:rPr>
          <w:color w:val="323232"/>
        </w:rPr>
        <w:t xml:space="preserve">6.31; fractional shortening %, 42.33</w:t>
      </w:r>
      <w:r>
        <w:rPr>
          <w:color w:val="323232"/>
        </w:rPr>
        <w:t xml:space="preserve"> </w:t>
      </w:r>
      <w:r>
        <w:rPr>
          <w:color w:val="323232"/>
        </w:rPr>
        <w:t xml:space="preserve">±</w:t>
      </w:r>
      <w:r>
        <w:rPr>
          <w:color w:val="323232"/>
        </w:rPr>
        <w:t xml:space="preserve"> </w:t>
      </w:r>
      <w:r>
        <w:rPr>
          <w:color w:val="323232"/>
        </w:rPr>
        <w:t xml:space="preserve">5.70) compared with sham S2814A mice (ejection fraction %, 71.60</w:t>
      </w:r>
      <w:r>
        <w:rPr>
          <w:color w:val="323232"/>
        </w:rPr>
        <w:t xml:space="preserve"> </w:t>
      </w:r>
      <w:r>
        <w:rPr>
          <w:color w:val="323232"/>
        </w:rPr>
        <w:t xml:space="preserve">±</w:t>
      </w:r>
      <w:r>
        <w:rPr>
          <w:color w:val="323232"/>
        </w:rPr>
        <w:t xml:space="preserve"> </w:t>
      </w:r>
      <w:r>
        <w:rPr>
          <w:color w:val="323232"/>
        </w:rPr>
        <w:t xml:space="preserve">4.02; fractional shortening %, 39.63</w:t>
      </w:r>
      <w:r>
        <w:rPr>
          <w:color w:val="323232"/>
        </w:rPr>
        <w:t xml:space="preserve"> </w:t>
      </w:r>
      <w:r>
        <w:rPr>
          <w:color w:val="323232"/>
        </w:rPr>
        <w:t xml:space="preserve">±</w:t>
      </w:r>
      <w:r>
        <w:rPr>
          <w:color w:val="323232"/>
        </w:rPr>
        <w:t xml:space="preserve"> </w:t>
      </w:r>
      <w:r>
        <w:rPr>
          <w:color w:val="323232"/>
        </w:rPr>
        <w:t xml:space="preserve">3.23).</w:t>
      </w:r>
    </w:p>
    <w:p/>
    <w:p>
      <w:pPr>
        <w:pStyle w:val="Normal"/>
      </w:pPr>
      <w:r>
        <w:rPr>
          <w:color w:val="323232"/>
        </w:rPr>
        <w:t xml:space="preserve">CONCLUSIONS:Results indicate that oxidation and subsequent activation of calcium and calmodulin-dependent protein kinase II has a causal role in the contractile dysfunction associated with sepsis. Calcium and calmodulin-dependent protein kinase II, through phosphorylation of the ryanodine receptor would lead to Ca leak from the sarcoplasmic reticulum, reducing sarcoplasmic reticulum Ca content, Ca transient amplitude and contractility. Development of organ-specific calcium and calmodulin-dependent protein kinase II inhibitors may result in a beneficial therapeutic strategy to ameliorate contractile dysfunction associated with sepsis.</w:t>
      </w:r>
    </w:p>
    <w:p/>
    <w:p>
      <w:pPr>
        <w:pStyle w:val="Normal"/>
      </w:pPr>
      <w:r>
        <w:rPr>
          <w:color w:val="323232"/>
        </w:rPr>
        <w:t xml:space="preserve">Critical Care Medicine, 2017 vol. 45 (4) pp. e399-e408.</w:t>
      </w:r>
    </w:p>
    <w:p>
      <w:r>
        <w:rPr>
          <w:rStyle w:val="Hyperlink"/>
        </w:rPr>
        <w:fldChar w:fldCharType="begin"/>
      </w:r>
      <w:r>
        <w:rPr>
          <w:rStyle w:val="Hyperlink"/>
        </w:rPr>
        <w:instrText xml:space="preserve"> HYPERLINK "http://eutils.ncbi.nlm.nih.gov/entrez/eutils/elink.fcgi?dbfrom=pubmed&amp;id=27648519&amp;retmode=ref&amp;cmd=prlinks"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http://eutils.ncbi.nlm.nih.gov/entrez/eutils/elink.fcgi?dbfrom=pubmed&amp;id=27648519&amp;retmode=ref&amp;cmd=prlinks</w:t>
      </w:r>
      <w:r>
        <w:rPr>
          <w:rStyle w:val="Hyperlink"/>
        </w:rPr>
        <w:fldChar w:fldCharType="end"/>
      </w:r>
    </w:p>
    <w:p>
      <w:pPr>
        <w:pStyle w:val="Normal"/>
      </w:pPr>
      <w:r>
        <w:rPr>
          <w:color w:val="323232"/>
        </w:rPr>
        <w:t xml:space="preserve">————————</w:t>
      </w:r>
    </w:p>
    <w:p>
      <w:pPr>
        <w:pStyle w:val="Heading4"/>
      </w:pPr>
      <w:r>
        <w:t xml:space="preserve">Causes and Consequences of Treatment Variation in Moderate and Severe Traumatic Brain Injury: A Multicenter Study.</w:t>
      </w:r>
    </w:p>
    <w:p/>
    <w:p>
      <w:pPr>
        <w:pStyle w:val="Normal"/>
      </w:pPr>
      <w:r>
        <w:rPr>
          <w:color w:val="323232"/>
        </w:rPr>
        <w:t xml:space="preserve">Maryse C Cnossen, Suzanne Polinder, Teuntje M Andriessen, Joukje van der Naalt, Iain Haitsma, Janneke Horn, Gaby Franschman, Pieter E Vos, Ewout W Steyerberg, and Hester Lingsma.</w:t>
      </w:r>
    </w:p>
    <w:p/>
    <w:p>
      <w:pPr>
        <w:pStyle w:val="Normal"/>
      </w:pPr>
      <w:r>
        <w:rPr>
          <w:color w:val="323232"/>
        </w:rPr>
        <w:t xml:space="preserve">OBJECTIVES:Although guidelines have been developed to standardize care in traumatic brain injury, between-center variation in treatment approach has been frequently reported. We examined variation in treatment for traumatic brain injury by assessing factors influencing treatment and the association between treatment and patient outcome.</w:t>
      </w:r>
    </w:p>
    <w:p/>
    <w:p>
      <w:pPr>
        <w:pStyle w:val="Normal"/>
      </w:pPr>
      <w:r>
        <w:rPr>
          <w:color w:val="323232"/>
        </w:rPr>
        <w:t xml:space="preserve">DESIGN:Secondary analysis of prospectively collected data.</w:t>
      </w:r>
    </w:p>
    <w:p/>
    <w:p>
      <w:pPr>
        <w:pStyle w:val="Normal"/>
      </w:pPr>
      <w:r>
        <w:rPr>
          <w:color w:val="323232"/>
        </w:rPr>
        <w:t xml:space="preserve">SETTING:Five level I trauma centers in the Netherlands (2008-2009).</w:t>
      </w:r>
    </w:p>
    <w:p/>
    <w:p>
      <w:pPr>
        <w:pStyle w:val="Normal"/>
      </w:pPr>
      <w:r>
        <w:rPr>
          <w:color w:val="323232"/>
        </w:rPr>
        <w:t xml:space="preserve">PATIENTS:Five hundred three patients with moderate or severe traumatic brain injury (Glasgow Coma Scale, 3-13).</w:t>
      </w:r>
    </w:p>
    <w:p/>
    <w:p>
      <w:pPr>
        <w:pStyle w:val="Normal"/>
      </w:pPr>
      <w:r>
        <w:rPr>
          <w:color w:val="323232"/>
        </w:rPr>
        <w:t xml:space="preserve">INTERVENTIONS:We examined variation in seven treatment parameters: direct transfer, involvement of mobile medical team, mechanical ventilation, intracranial pressure monitoring, vasopressors, acute neurosurgical intervention, and extracranial operation.</w:t>
      </w:r>
    </w:p>
    <w:p/>
    <w:p>
      <w:pPr>
        <w:pStyle w:val="Normal"/>
      </w:pPr>
      <w:r>
        <w:rPr>
          <w:color w:val="323232"/>
        </w:rPr>
        <w:t xml:space="preserve">MEASUREMENTS AND MAIN RESULTS:Data were collected on patient characteristics, treatment, and 6-month Glasgow Outcome Scale-Extended. Multivariable logistic regression models were used to assess the extent to which treatment was determined by patient characteristics. To examine whether there were between-center differences in treatment, we used unadjusted and adjusted random effect models with the seven treatment parameters as dependent variables. The influence of treatment approach in a center (defined as aggressive and nonaggressive based on the frequency intracranial pressure monitoring) on outcome was assessed using multivariable random effect proportional odds regression models in those patients with an indication for intracranial pressure monitoring. Sensitivity analyses were performed to test alternative definitions of aggressiveness. Treatment was modestly related to patient characteristics (Nagelkerke R range, 0.12-0.52) and varied widely among centers, even after case-mix correction. Outcome was more favorable in patients treated in aggressive centers than those treated in nonaggressive centers (OR, 1.73; 95% CI, 1.05-3.15). Sensitivity analyses, however, illustrated that the aggressiveness-outcome association was dependent on the definition used.</w:t>
      </w:r>
    </w:p>
    <w:p/>
    <w:p>
      <w:pPr>
        <w:pStyle w:val="Normal"/>
      </w:pPr>
      <w:r>
        <w:rPr>
          <w:color w:val="323232"/>
        </w:rPr>
        <w:t xml:space="preserve">CONCLUSIONS:The considerable between-center variation in treatment for patients with brain injury can only partly be explained by differences in patient characteristics. An aggressive treatment approach may imply better outcome although further confirmation is required.</w:t>
      </w:r>
    </w:p>
    <w:p/>
    <w:p>
      <w:pPr>
        <w:pStyle w:val="Normal"/>
      </w:pPr>
      <w:r>
        <w:rPr>
          <w:color w:val="323232"/>
        </w:rPr>
        <w:t xml:space="preserve">Critical Care Medicine, 2017 vol. 45 (4) pp. 660-669.</w:t>
      </w:r>
    </w:p>
    <w:p>
      <w:r>
        <w:rPr>
          <w:rStyle w:val="Hyperlink"/>
        </w:rPr>
        <w:fldChar w:fldCharType="begin"/>
      </w:r>
      <w:r>
        <w:rPr>
          <w:rStyle w:val="Hyperlink"/>
        </w:rPr>
        <w:instrText xml:space="preserve"> HYPERLINK "http://eutils.ncbi.nlm.nih.gov/entrez/eutils/elink.fcgi?dbfrom=pubmed&amp;id=28169945&amp;retmode=ref&amp;cmd=prlinks"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http://eutils.ncbi.nlm.nih.gov/entrez/eutils/elink.fcgi?dbfrom=pubmed&amp;id=28169945&amp;retmode=ref&amp;cmd=prlinks</w:t>
      </w:r>
      <w:r>
        <w:rPr>
          <w:rStyle w:val="Hyperlink"/>
        </w:rPr>
        <w:fldChar w:fldCharType="end"/>
      </w:r>
    </w:p>
    <w:p>
      <w:pPr>
        <w:pStyle w:val="Normal"/>
      </w:pPr>
      <w:r>
        <w:rPr>
          <w:color w:val="323232"/>
        </w:rPr>
        <w:t xml:space="preserve">————————</w:t>
      </w:r>
    </w:p>
    <w:p>
      <w:pPr>
        <w:pStyle w:val="Heading4"/>
      </w:pPr>
      <w:r>
        <w:t xml:space="preserve">Cumulative Evidence of Randomized Controlled and Observational Studies on Catheter-Related Infection Risk of Central Venous Catheter Insertion Site in ICU Patients: A Pairwise and Network Meta-Analysis.</w:t>
      </w:r>
    </w:p>
    <w:p/>
    <w:p>
      <w:pPr>
        <w:pStyle w:val="Normal"/>
      </w:pPr>
      <w:r>
        <w:rPr>
          <w:color w:val="323232"/>
        </w:rPr>
        <w:t xml:space="preserve">Kostoula Arvaniti, Dimitrios Lathyris, Stijn Blot, Fani Apostolidou-Kiouti, Despoina Koulenti, and Anna-Bettina Haidich.</w:t>
      </w:r>
    </w:p>
    <w:p/>
    <w:p>
      <w:pPr>
        <w:pStyle w:val="Normal"/>
      </w:pPr>
      <w:r>
        <w:rPr>
          <w:color w:val="323232"/>
        </w:rPr>
        <w:t xml:space="preserve">BACKGROUND:Selection of central venous catheter insertion site in ICU patients could help reduce catheter-related infections. Although subclavian was considered the most appropriate site, its preferential use in ICU patients is not generalized and questioned by contradicted meta-analysis results. In addition, conflicting data exist on alternative site selection whenever subclavian is contraindicated.</w:t>
      </w:r>
    </w:p>
    <w:p/>
    <w:p>
      <w:pPr>
        <w:pStyle w:val="Normal"/>
      </w:pPr>
      <w:r>
        <w:rPr>
          <w:color w:val="323232"/>
        </w:rPr>
        <w:t xml:space="preserve">OBJECTIVE:To compare catheter-related bloodstream infection and colonization risk between the three sites (subclavian, internal jugular, and femoral) in adult ICU patients.</w:t>
      </w:r>
    </w:p>
    <w:p/>
    <w:p>
      <w:pPr>
        <w:pStyle w:val="Normal"/>
      </w:pPr>
      <w:r>
        <w:rPr>
          <w:color w:val="323232"/>
        </w:rPr>
        <w:t xml:space="preserve">DATA SOURCE:We searched MEDLINE, EMBASE, Cochrane Central Register of Controlled trials, CINAHL, and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w:t>
      </w:r>
    </w:p>
    <w:p/>
    <w:p>
      <w:pPr>
        <w:pStyle w:val="Normal"/>
      </w:pPr>
      <w:r>
        <w:rPr>
          <w:color w:val="323232"/>
        </w:rPr>
        <w:t xml:space="preserve">STUDY SELECTION:Eligible studies were randomized controlled trials and observational ones.</w:t>
      </w:r>
    </w:p>
    <w:p/>
    <w:p>
      <w:pPr>
        <w:pStyle w:val="Normal"/>
      </w:pPr>
      <w:r>
        <w:rPr>
          <w:color w:val="323232"/>
        </w:rPr>
        <w:t xml:space="preserve">DATA EXTRACTION:Extracted data were analyzed by pairwise and network meta-analysis.</w:t>
      </w:r>
    </w:p>
    <w:p/>
    <w:p>
      <w:pPr>
        <w:pStyle w:val="Normal"/>
      </w:pPr>
      <w:r>
        <w:rPr>
          <w:color w:val="323232"/>
        </w:rPr>
        <w:t xml:space="preserve">DATA SYNTHESIS:Twenty studies were included; 11 were observational, seven were randomized controlled trials for other outcomes, and two were randomized controlled trials for sites. We evaluated 18,554 central venous catheters: 9,331 from observational studies, 5,482 from randomized controlled trials for other outcomes, and 3,741 from randomized controlled trials for sites. Colonization risk was higher for internal jugular (relative risk, 2.25 [95% CI, 1.84-2.75]; I = 0%) and femoral (relative risk, 2.92 [95% CI, 2.11-4.04]; I = 24%), compared with subclavian. Catheter-related bloodstream infection risk was comparable for internal jugular and subclavian, higher for femoral than subclavian (relative risk, 2.44 [95% CI, 1.25-4.75]; I = 61%), and lower for internal jugular than femoral (relative risk, 0.55 [95% CI, 0.34-0.89]; I = 61%). When observational studies that did not control for baseline characteristics were excluded, catheter-related bloodstream infection risk was comparable between the sites.</w:t>
      </w:r>
    </w:p>
    <w:p/>
    <w:p>
      <w:pPr>
        <w:pStyle w:val="Normal"/>
      </w:pPr>
      <w:r>
        <w:rPr>
          <w:color w:val="323232"/>
        </w:rPr>
        <w:t xml:space="preserve">CONCLUSIONS:In ICU patients, internal jugular and subclavian may, similarly, decrease catheter-related bloodstream infection risk, when compared with femoral. Subclavian could be suggested as the most appropriate site, whenever colonization risk is considered and not, otherwise, contraindicated. Current evidence on catheter-related bloodstream infection femoral risk, compared with the other sites, is inconclusive.</w:t>
      </w:r>
    </w:p>
    <w:p/>
    <w:p>
      <w:pPr>
        <w:pStyle w:val="Normal"/>
      </w:pPr>
      <w:r>
        <w:rPr>
          <w:color w:val="323232"/>
        </w:rPr>
        <w:t xml:space="preserve">Critical Care Medicine, 2017 vol. 45 (4) pp. e437-e448.</w:t>
      </w:r>
    </w:p>
    <w:p>
      <w:r>
        <w:rPr>
          <w:rStyle w:val="Hyperlink"/>
        </w:rPr>
        <w:fldChar w:fldCharType="begin"/>
      </w:r>
      <w:r>
        <w:rPr>
          <w:rStyle w:val="Hyperlink"/>
        </w:rPr>
        <w:instrText xml:space="preserve"> HYPERLINK "http://eutils.ncbi.nlm.nih.gov/entrez/eutils/elink.fcgi?dbfrom=pubmed&amp;id=27632678&amp;retmode=ref&amp;cmd=prlinks"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http://eutils.ncbi.nlm.nih.gov/entrez/eutils/elink.fcgi?dbfrom=pubmed&amp;id=27632678&amp;retmode=ref&amp;cmd=prlinks</w:t>
      </w:r>
      <w:r>
        <w:rPr>
          <w:rStyle w:val="Hyperlink"/>
        </w:rPr>
        <w:fldChar w:fldCharType="end"/>
      </w:r>
    </w:p>
    <w:p>
      <w:pPr>
        <w:pStyle w:val="Normal"/>
      </w:pPr>
      <w:r>
        <w:rPr>
          <w:color w:val="323232"/>
        </w:rPr>
        <w:t xml:space="preserve">————————</w:t>
      </w:r>
    </w:p>
    <w:p>
      <w:pPr>
        <w:pStyle w:val="Heading4"/>
      </w:pPr>
      <w:r>
        <w:t xml:space="preserve">Fever in the Emergency Department Predicts Survival of Patients With Severe Sepsis and Septic Shock Admitted to the ICU.</w:t>
      </w:r>
    </w:p>
    <w:p/>
    <w:p>
      <w:pPr>
        <w:pStyle w:val="Normal"/>
      </w:pPr>
      <w:r>
        <w:rPr>
          <w:color w:val="323232"/>
        </w:rPr>
        <w:t xml:space="preserve">Jonas Sundén-Cullberg, Rebecca Rylance, Jesper Svefors, Anna Norrby-Teglund, Jonas Björk, and Malin Inghammar.</w:t>
      </w:r>
    </w:p>
    <w:p/>
    <w:p>
      <w:pPr>
        <w:pStyle w:val="Normal"/>
      </w:pPr>
      <w:r>
        <w:rPr>
          <w:color w:val="323232"/>
        </w:rPr>
        <w:t xml:space="preserve">OBJECTIVES:To study the prognostic value of fever in the emergency department in septic patients subsequently admitted to the ICU.</w:t>
      </w:r>
    </w:p>
    <w:p/>
    <w:p>
      <w:pPr>
        <w:pStyle w:val="Normal"/>
      </w:pPr>
      <w:r>
        <w:rPr>
          <w:color w:val="323232"/>
        </w:rPr>
        <w:t xml:space="preserve">DESIGN:Observational cohort study from the Swedish national quality register for sepsis.</w:t>
      </w:r>
    </w:p>
    <w:p/>
    <w:p>
      <w:pPr>
        <w:pStyle w:val="Normal"/>
      </w:pPr>
      <w:r>
        <w:rPr>
          <w:color w:val="323232"/>
        </w:rPr>
        <w:t xml:space="preserve">SETTING:Thirty ICU's in Sweden.</w:t>
      </w:r>
    </w:p>
    <w:p/>
    <w:p>
      <w:pPr>
        <w:pStyle w:val="Normal"/>
      </w:pPr>
      <w:r>
        <w:rPr>
          <w:color w:val="323232"/>
        </w:rPr>
        <w:t xml:space="preserve">PATIENTS:Two thousand two hundred twenty-five adults who were admitted to an ICU within 24 hours of hospital arrival with a diagnosis of severe sepsis or septic shock were included.</w:t>
      </w:r>
    </w:p>
    <w:p/>
    <w:p>
      <w:pPr>
        <w:pStyle w:val="Normal"/>
      </w:pPr>
      <w:r>
        <w:rPr>
          <w:color w:val="323232"/>
        </w:rPr>
        <w:t xml:space="preserve">INTERVENTIONS:None.</w:t>
      </w:r>
    </w:p>
    <w:p/>
    <w:p>
      <w:pPr>
        <w:pStyle w:val="Normal"/>
      </w:pPr>
      <w:r>
        <w:rPr>
          <w:color w:val="323232"/>
        </w:rPr>
        <w:t xml:space="preserve">MEASUREMENTS AND MAIN RESULTS:Body temperature was measured and classified according to four categories (&lt; 37°C, 37-38.29°C, 38.3-39.5°C, ≥ 39.5°C). The main outcome was in-hospital mortality. Odds ratios for mortality according to body temperature were estimated using multivariable logistic regression. Subgroup analyses were conducted according to age, sex, underlying comorbidity, and time to given antibiotics. Overall mortality was 25%. More than half of patients had a body temperature below 38.3°C. Mortality was inversely correlated with temperature and decreased, on average, more than 5% points per °C increase, from 50% in those with the lowest temperatures to 9% in those with the highest. Increased body temperature in survivors was also associated with shorter hospital stays. Patients with fever received better quality of care, but the inverse association between body temperature and mortality was robust and remained consistent after adjustment for quality of care measures and other factors that could have confounded the association. Among vital signs, body temperature was best at predicting mortality.</w:t>
      </w:r>
    </w:p>
    <w:p/>
    <w:p>
      <w:pPr>
        <w:pStyle w:val="Normal"/>
      </w:pPr>
      <w:r>
        <w:rPr>
          <w:color w:val="323232"/>
        </w:rPr>
        <w:t xml:space="preserve">CONCLUSIONS:Contrary to common perceptions and current guidelines for care of critically ill septic patients, increased body temperature in the emergency department was strongly associated with lower mortality and shorter hospital stays in patients with severe sepsis or septic shock subsequently admitted to the ICU.</w:t>
      </w:r>
    </w:p>
    <w:p/>
    <w:p>
      <w:pPr>
        <w:pStyle w:val="Normal"/>
      </w:pPr>
      <w:r>
        <w:rPr>
          <w:color w:val="323232"/>
        </w:rPr>
        <w:t xml:space="preserve">Critical Care Medicine, 2017 vol. 45 (4) pp. 591-599.</w:t>
      </w:r>
    </w:p>
    <w:p>
      <w:r>
        <w:rPr>
          <w:rStyle w:val="Hyperlink"/>
        </w:rPr>
        <w:fldChar w:fldCharType="begin"/>
      </w:r>
      <w:r>
        <w:rPr>
          <w:rStyle w:val="Hyperlink"/>
        </w:rPr>
        <w:instrText xml:space="preserve"> HYPERLINK "http://eutils.ncbi.nlm.nih.gov/entrez/eutils/elink.fcgi?dbfrom=pubmed&amp;id=28141683&amp;retmode=ref&amp;cmd=prlinks"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http://eutils.ncbi.nlm.nih.gov/entrez/eutils/elink.fcgi?dbfrom=pubmed&amp;id=28141683&amp;retmode=ref&amp;cmd=prlinks</w:t>
      </w:r>
      <w:r>
        <w:rPr>
          <w:rStyle w:val="Hyperlink"/>
        </w:rPr>
        <w:fldChar w:fldCharType="end"/>
      </w:r>
    </w:p>
    <w:p>
      <w:pPr>
        <w:pStyle w:val="Normal"/>
      </w:pPr>
      <w:r>
        <w:rPr>
          <w:color w:val="323232"/>
        </w:rPr>
        <w:t xml:space="preserve">————————</w:t>
      </w:r>
    </w:p>
    <w:p>
      <w:pPr>
        <w:pStyle w:val="Heading4"/>
      </w:pPr>
      <w:r>
        <w:t xml:space="preserve">Impact of Acute Kidney Injury in Patients Hospitalized With Pneumonia.</w:t>
      </w:r>
    </w:p>
    <w:p/>
    <w:p>
      <w:pPr>
        <w:pStyle w:val="Normal"/>
      </w:pPr>
      <w:r>
        <w:rPr>
          <w:color w:val="323232"/>
        </w:rPr>
        <w:t xml:space="preserve">Lakhmir S Chawla, Richard L Amdur, Charles Faselis, Ping Li, Paul L Kimmel, and Carlos E Palant.</w:t>
      </w:r>
    </w:p>
    <w:p/>
    <w:p>
      <w:pPr>
        <w:pStyle w:val="Normal"/>
      </w:pPr>
      <w:r>
        <w:rPr>
          <w:color w:val="323232"/>
        </w:rPr>
        <w:t xml:space="preserve">OBJECTIVES:Pneumonia is a common cause of hospitalization and can be complicated by the development of acute kidney injury. Acute kidney injury is associated with major adverse kidney events (death, dialysis, and durable loss of renal function [chronic kidney disease]). Because pneumonia and acute kidney injury are in part mediated by inflammation, we hypothesized that when acute kidney injury complicates pneumonia, major adverse kidney events outcomes would be exacerbated. We sought to assess the frequency of major adverse kidney events after a hospitalization for either pneumonia, acute kidney injury, or the combination of both.</w:t>
      </w:r>
    </w:p>
    <w:p/>
    <w:p>
      <w:pPr>
        <w:pStyle w:val="Normal"/>
      </w:pPr>
      <w:r>
        <w:rPr>
          <w:color w:val="323232"/>
        </w:rPr>
        <w:t xml:space="preserve">DESIGN AND SETTING:We conducted a retrospective database analysis of the national Veterans Affairs database for patients with a admission diagnosis of International Classification of Diseases-9 code 584.xx (acute kidney injury) or 486.xx (pneumonia) between October 1, 1999, and December 31, 2005. Three groups of patients were created, based on the diagnosis of the index admission and serum creatinine values: 1) acute kidney injury, 2) pneumonia, and 3) pneumonia with acute kidney injury. Patients with mean baseline estimated glomerular filtration rate less than 45 mL/min/1.73 m were excluded.</w:t>
      </w:r>
    </w:p>
    <w:p/>
    <w:p>
      <w:pPr>
        <w:pStyle w:val="Normal"/>
      </w:pPr>
      <w:r>
        <w:rPr>
          <w:color w:val="323232"/>
        </w:rPr>
        <w:t xml:space="preserve">MEASUREMENTS AND MAIN RESULTS:The primary endpoint was major adverse kidney events defined as the composite of death, chronic dialysis, or a permanent loss of renal function after the primary discharge. The observations of 54,894 subjects were analyzed. Mean age was 68.7 ± 12.3 years. The percentage of female was 2.4, 73.3% were Caucasian, and 19.7% were African-American. Differences across the three diagnostic groups were significant for death, 25% decrease in estimated glomerular filtration rate from baseline, major adverse kidney events following admission, and major adverse kidney events during admission (all p &lt; 0.0001). Death alone and major adverse kidney events after discharge were most common in the pneumonia + acute kidney injury group (51% died and 62% reached major adverse kidney events). In both unadjusted and adjusted time to event analyses, patients with pneumonia + acute kidney injury were most likely to die or reach major adverse kidney events.</w:t>
      </w:r>
    </w:p>
    <w:p/>
    <w:p>
      <w:pPr>
        <w:pStyle w:val="Normal"/>
      </w:pPr>
      <w:r>
        <w:rPr>
          <w:color w:val="323232"/>
        </w:rPr>
        <w:t xml:space="preserve">CONCLUSIONS:When acute kidney injury accompanies pneumonia, postdischarge outcomes are worse than either diagnosis alone. Patients who survive a pneumonia hospitalization and develop acute kidney injury are at high risk for major adverse kidney events including death and should receive careful follow-up.</w:t>
      </w:r>
    </w:p>
    <w:p/>
    <w:p>
      <w:pPr>
        <w:pStyle w:val="Normal"/>
      </w:pPr>
      <w:r>
        <w:rPr>
          <w:color w:val="323232"/>
        </w:rPr>
        <w:t xml:space="preserve">Critical Care Medicine, 2017 vol. 45 (4) pp. 600-606.</w:t>
      </w:r>
    </w:p>
    <w:p>
      <w:r>
        <w:rPr>
          <w:rStyle w:val="Hyperlink"/>
        </w:rPr>
        <w:fldChar w:fldCharType="begin"/>
      </w:r>
      <w:r>
        <w:rPr>
          <w:rStyle w:val="Hyperlink"/>
        </w:rPr>
        <w:instrText xml:space="preserve"> HYPERLINK "http://eutils.ncbi.nlm.nih.gov/entrez/eutils/elink.fcgi?dbfrom=pubmed&amp;id=28291091&amp;retmode=ref&amp;cmd=prlinks"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http://eutils.ncbi.nlm.nih.gov/entrez/eutils/elink.fcgi?dbfrom=pubmed&amp;id=28291091&amp;retmode=ref&amp;cmd=prlinks</w:t>
      </w:r>
      <w:r>
        <w:rPr>
          <w:rStyle w:val="Hyperlink"/>
        </w:rPr>
        <w:fldChar w:fldCharType="end"/>
      </w:r>
    </w:p>
    <w:p>
      <w:pPr>
        <w:pStyle w:val="Normal"/>
      </w:pPr>
      <w:r>
        <w:rPr>
          <w:color w:val="323232"/>
        </w:rPr>
        <w:t xml:space="preserve">————————</w:t>
      </w:r>
    </w:p>
    <w:p>
      <w:pPr>
        <w:pStyle w:val="Heading4"/>
      </w:pPr>
      <w:r>
        <w:t xml:space="preserve">Increased Time to Initial Antimicrobial Administration Is Associated With Progression to Septic Shock in Severe Sepsis Patients.</w:t>
      </w:r>
    </w:p>
    <w:p/>
    <w:p>
      <w:pPr>
        <w:pStyle w:val="Normal"/>
      </w:pPr>
      <w:r>
        <w:rPr>
          <w:color w:val="323232"/>
        </w:rPr>
        <w:t xml:space="preserve">Bristol B Whiles, Amanda S Deis, and Steven Q Simpson.</w:t>
      </w:r>
    </w:p>
    <w:p/>
    <w:p>
      <w:pPr>
        <w:pStyle w:val="Normal"/>
      </w:pPr>
      <w:r>
        <w:rPr>
          <w:color w:val="323232"/>
        </w:rPr>
        <w:t xml:space="preserve">OBJECTIVES:To determine if time to initial antimicrobial is associated with progression of severe sepsis to septic shock.</w:t>
      </w:r>
    </w:p>
    <w:p/>
    <w:p>
      <w:pPr>
        <w:pStyle w:val="Normal"/>
      </w:pPr>
      <w:r>
        <w:rPr>
          <w:color w:val="323232"/>
        </w:rPr>
        <w:t xml:space="preserve">DESIGN:Retrospective cohort.</w:t>
      </w:r>
    </w:p>
    <w:p/>
    <w:p>
      <w:pPr>
        <w:pStyle w:val="Normal"/>
      </w:pPr>
      <w:r>
        <w:rPr>
          <w:color w:val="323232"/>
        </w:rPr>
        <w:t xml:space="preserve">SETTING:Six hundred fifty-six bed urban academic medical center.</w:t>
      </w:r>
    </w:p>
    <w:p/>
    <w:p>
      <w:pPr>
        <w:pStyle w:val="Normal"/>
      </w:pPr>
      <w:r>
        <w:rPr>
          <w:color w:val="323232"/>
        </w:rPr>
        <w:t xml:space="preserve">PATIENTS:Emergency department patients greater than or equal to 18 years old with severe sepsis and/or septic shock and antimicrobial administration within 24 hours. Patients with shock on presentation were excluded.</w:t>
      </w:r>
    </w:p>
    <w:p/>
    <w:p>
      <w:pPr>
        <w:pStyle w:val="Normal"/>
      </w:pPr>
      <w:r>
        <w:rPr>
          <w:color w:val="323232"/>
        </w:rPr>
        <w:t xml:space="preserve">INTERVENTIONS:Not available.</w:t>
      </w:r>
    </w:p>
    <w:p/>
    <w:p>
      <w:pPr>
        <w:pStyle w:val="Normal"/>
      </w:pPr>
      <w:r>
        <w:rPr>
          <w:color w:val="323232"/>
        </w:rPr>
        <w:t xml:space="preserve">MEASUREMENTS AND MAIN RESULTS:We identified 3,929 severe sepsis patients, with overall mortality 12.8%. Nine hundred eighty-four patients (25.0%) progressed to septic shock. The median time to antimicrobial was 3.77 hours (interquartile range = 1.96-6.42) in those who progressed versus 2.76 hours (interquartile range = 1.60-4.82) in those who did not (p &lt; 0.001). Multivariate logistic regression demonstrated that male sex (odds ratio = 1.18; 95% CI, 1.01-1.36), Charlson Comorbidity Index (odds ratio = 1.18; 95% CI, 1.11-1.27), number of infections (odds ratio = 1.05; 95% CI, 1.02-1.08), and time to first antimicrobial (odds ratio = 1.08; 95% CI, 1.06-1.10) were associated with progression. Each hour until initial antimicrobial administration was associated with a 8.0% increase in progression to septic shock. Additionally, time to broad-spectrum antimicrobial was associated with progression (odds ratio = 1.06; 95% CI, 1.05-1.08). Time to initial antimicrobial was also associated with in-hospital mortality (odds ratio = 1.05; 95% CI, 1.03-1.07).</w:t>
      </w:r>
    </w:p>
    <w:p/>
    <w:p>
      <w:pPr>
        <w:pStyle w:val="Normal"/>
      </w:pPr>
      <w:r>
        <w:rPr>
          <w:color w:val="323232"/>
        </w:rPr>
        <w:t xml:space="preserve">CONCLUSIONS:This study emphasizes the importance of early, broad-spectrum antimicrobial administration in severe sepsis patients admitted through the emergency department, as longer time to initial antimicrobial administration is associated with increased progression of severe sepsis to septic shock and increased mortality.</w:t>
      </w:r>
    </w:p>
    <w:p/>
    <w:p>
      <w:pPr>
        <w:pStyle w:val="Normal"/>
      </w:pPr>
      <w:r>
        <w:rPr>
          <w:color w:val="323232"/>
        </w:rPr>
        <w:t xml:space="preserve">Critical Care Medicine, 2017 vol. 45 (4) pp. 623-629.</w:t>
      </w:r>
    </w:p>
    <w:p>
      <w:r>
        <w:rPr>
          <w:rStyle w:val="Hyperlink"/>
        </w:rPr>
        <w:fldChar w:fldCharType="begin"/>
      </w:r>
      <w:r>
        <w:rPr>
          <w:rStyle w:val="Hyperlink"/>
        </w:rPr>
        <w:instrText xml:space="preserve"> HYPERLINK "http://eutils.ncbi.nlm.nih.gov/entrez/eutils/elink.fcgi?dbfrom=pubmed&amp;id=28169944&amp;retmode=ref&amp;cmd=prlinks"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http://eutils.ncbi.nlm.nih.gov/entrez/eutils/elink.fcgi?dbfrom=pubmed&amp;id=28169944&amp;retmode=ref&amp;cmd=prlinks</w:t>
      </w:r>
      <w:r>
        <w:rPr>
          <w:rStyle w:val="Hyperlink"/>
        </w:rPr>
        <w:fldChar w:fldCharType="end"/>
      </w:r>
    </w:p>
    <w:p>
      <w:pPr>
        <w:pStyle w:val="Normal"/>
      </w:pPr>
      <w:r>
        <w:rPr>
          <w:color w:val="323232"/>
        </w:rPr>
        <w:t xml:space="preserve">————————</w:t>
      </w:r>
    </w:p>
    <w:p>
      <w:pPr>
        <w:pStyle w:val="Heading4"/>
      </w:pPr>
      <w:r>
        <w:t xml:space="preserve">Meta-Analysis of Therapeutic Hypothermia for Traumatic Brain Injury in Adult and Pediatric Patients.</w:t>
      </w:r>
    </w:p>
    <w:p/>
    <w:p>
      <w:pPr>
        <w:pStyle w:val="Normal"/>
      </w:pPr>
      <w:r>
        <w:rPr>
          <w:color w:val="323232"/>
        </w:rPr>
        <w:t xml:space="preserve">Ellie M Crompton, Irina Lubomirova, Ioana Cotlarciuc, Thang S Han, Sapna D Sharma, and Pankaj Sharma.</w:t>
      </w:r>
    </w:p>
    <w:p/>
    <w:p>
      <w:pPr>
        <w:pStyle w:val="Normal"/>
      </w:pPr>
      <w:r>
        <w:rPr>
          <w:color w:val="323232"/>
        </w:rPr>
        <w:t xml:space="preserve">OBJECTIVE:Therapeutic hypothermia has been used to attenuate the effects of traumatic brain injuries. However, the required degree of hypothermia, length of its use, and its timing are uncertain. We undertook a comprehensive meta-analysis to quantify benefits of hypothermia therapy for traumatic brain injuries in adults and children by analyzing mortality rates, neurologic outcomes, and adverse effects.</w:t>
      </w:r>
    </w:p>
    <w:p/>
    <w:p>
      <w:pPr>
        <w:pStyle w:val="Normal"/>
      </w:pPr>
      <w:r>
        <w:rPr>
          <w:color w:val="323232"/>
        </w:rPr>
        <w:t xml:space="preserve">DATA SOURCES:Electronic databases PubMed, Google Scholar, Web of Science, Cochrane Central Register of Controlled Trials, and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and manual searches of studies were conducted for relevant publications up until February 2016.</w:t>
      </w:r>
    </w:p>
    <w:p/>
    <w:p>
      <w:pPr>
        <w:pStyle w:val="Normal"/>
      </w:pPr>
      <w:r>
        <w:rPr>
          <w:color w:val="323232"/>
        </w:rPr>
        <w:t xml:space="preserve">STUDY SELECTION:Forty-one studies in adults (n = 3,109; age range, 18-81 yr) and eight studies in children (n = 454; age range, 3 mo to 18 yr) met eligibility criteria.</w:t>
      </w:r>
    </w:p>
    <w:p/>
    <w:p>
      <w:pPr>
        <w:pStyle w:val="Normal"/>
      </w:pPr>
      <w:r>
        <w:rPr>
          <w:color w:val="323232"/>
        </w:rPr>
        <w:t xml:space="preserve">DATA EXTRACTION:Baseline patient characteristics, enrollment time, methodology of cooling, target temperature, duration of hypothermia, and rewarming protocols were extracted.</w:t>
      </w:r>
    </w:p>
    <w:p/>
    <w:p>
      <w:pPr>
        <w:pStyle w:val="Normal"/>
      </w:pPr>
      <w:r>
        <w:rPr>
          <w:color w:val="323232"/>
        </w:rPr>
        <w:t xml:space="preserve">DATA SYNTHESIS:Risk ratios with 95% CIs were calculated. Compared with adults who were kept normothermic, those who underwent therapeutic hypothermia were associated with 18% reduction in mortality (risk ratio, 0.82; 95% CI, 0.70-0.96; p = 0.01) and a 35% improvement in neurologic outcome (risk ratio, 1.35; 95% CI, 1.18-1.54; p &lt; 0.00001). The optimal management strategy for adult patients included cooling patients to a minimum of 33°C for 72 hours, followed by spontaneous, natural rewarming. In contrast, adverse outcomes were observed in children who underwent hypothermic treatment with a 66% increase in mortality (risk ratio, 1.66; 95% CI, 1.06-2.59; p = 0.03) and a marginal deterioration of neurologic outcome (risk ratio, 0.90; 95% CI, 0.80-1.01; p = 0.06).</w:t>
      </w:r>
    </w:p>
    <w:p/>
    <w:p>
      <w:pPr>
        <w:pStyle w:val="Normal"/>
      </w:pPr>
      <w:r>
        <w:rPr>
          <w:color w:val="323232"/>
        </w:rPr>
        <w:t xml:space="preserve">CONCLUSIONS:Therapeutic hypothermia is likely a beneficial treatment following traumatic brain injuries in adults but cannot be recommended in children.</w:t>
      </w:r>
    </w:p>
    <w:p/>
    <w:p>
      <w:pPr>
        <w:pStyle w:val="Normal"/>
      </w:pPr>
      <w:r>
        <w:rPr>
          <w:color w:val="323232"/>
        </w:rPr>
        <w:t xml:space="preserve">Critical Care Medicine, 2017 vol. 45 (4) pp. 575-583.</w:t>
      </w:r>
    </w:p>
    <w:p>
      <w:r>
        <w:rPr>
          <w:rStyle w:val="Hyperlink"/>
        </w:rPr>
        <w:fldChar w:fldCharType="begin"/>
      </w:r>
      <w:r>
        <w:rPr>
          <w:rStyle w:val="Hyperlink"/>
        </w:rPr>
        <w:instrText xml:space="preserve"> HYPERLINK "http://eutils.ncbi.nlm.nih.gov/entrez/eutils/elink.fcgi?dbfrom=pubmed&amp;id=27941370&amp;retmode=ref&amp;cmd=prlinks"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http://eutils.ncbi.nlm.nih.gov/entrez/eutils/elink.fcgi?dbfrom=pubmed&amp;id=27941370&amp;retmode=ref&amp;cmd=prlinks</w:t>
      </w:r>
      <w:r>
        <w:rPr>
          <w:rStyle w:val="Hyperlink"/>
        </w:rPr>
        <w:fldChar w:fldCharType="end"/>
      </w:r>
    </w:p>
    <w:p>
      <w:pPr>
        <w:pStyle w:val="Normal"/>
      </w:pPr>
      <w:r>
        <w:rPr>
          <w:color w:val="323232"/>
        </w:rPr>
        <w:t xml:space="preserve">————————</w:t>
      </w:r>
    </w:p>
    <w:p>
      <w:pPr>
        <w:pStyle w:val="Heading4"/>
      </w:pPr>
      <w:r>
        <w:t xml:space="preserve">A Quantile Analysis of Plateau and Driving Pressures: Effects on Mortality in Patients With Acute Respiratory Distress Syndrome Receiving Lung-Protective Ventilation.</w:t>
      </w:r>
    </w:p>
    <w:p/>
    <w:p>
      <w:pPr>
        <w:pStyle w:val="Normal"/>
      </w:pPr>
      <w:r>
        <w:rPr>
          <w:color w:val="323232"/>
        </w:rPr>
        <w:t xml:space="preserve">Jesús Villar, Carmen Martín-Rodríguez, Ana M Domínguez-Berrot, Lorena Fernández, Carlos Ferrando, Juan A Soler, Ana M Díaz-Lamas, Elena González-Higueras, Leonor Nogales, Alfonso Ambrós, Demetrio Carriedo, Mónica Hernández, Domingo Martínez, Jesús Blanco, Javier Belda, Dácil Parrilla, Fernando Suárez-Sipmann, Concepción Tarancón, Juan M Mora-Ordoñez, Lluís Blanch, Lina Pérez-Méndez, Rosa L Fernández, Robert M Kacmarek, and Spanish Initiative for Epidemiology, Stratification and Therapies for ARDS (SIESTA) Investigators Network.</w:t>
      </w:r>
    </w:p>
    <w:p/>
    <w:p>
      <w:pPr>
        <w:pStyle w:val="Normal"/>
      </w:pPr>
      <w:r>
        <w:rPr>
          <w:color w:val="323232"/>
        </w:rPr>
        <w:t xml:space="preserve">OBJECTIVES:The driving pressure (plateau pressure minus positive end-expiratory pressure) has been suggested as the major determinant for the beneficial effects of lung-protective ventilation. We tested whether driving pressure was superior to the variables that define it in predicting outcome in patients with acute respiratory distress syndrome.</w:t>
      </w:r>
    </w:p>
    <w:p/>
    <w:p>
      <w:pPr>
        <w:pStyle w:val="Normal"/>
      </w:pPr>
      <w:r>
        <w:rPr>
          <w:color w:val="323232"/>
        </w:rPr>
        <w:t xml:space="preserve">DESIGN:A secondary analysis of existing data from previously reported observational studies.</w:t>
      </w:r>
    </w:p>
    <w:p/>
    <w:p>
      <w:pPr>
        <w:pStyle w:val="Normal"/>
      </w:pPr>
      <w:r>
        <w:rPr>
          <w:color w:val="323232"/>
        </w:rPr>
        <w:t xml:space="preserve">SETTING:A network of ICUs.</w:t>
      </w:r>
    </w:p>
    <w:p/>
    <w:p>
      <w:pPr>
        <w:pStyle w:val="Normal"/>
      </w:pPr>
      <w:r>
        <w:rPr>
          <w:color w:val="323232"/>
        </w:rPr>
        <w:t xml:space="preserve">PATIENTS:We studied 778 patients with moderate to severe acute respiratory distress syndrome.</w:t>
      </w:r>
    </w:p>
    <w:p/>
    <w:p>
      <w:pPr>
        <w:pStyle w:val="Normal"/>
      </w:pPr>
      <w:r>
        <w:rPr>
          <w:color w:val="323232"/>
        </w:rPr>
        <w:t xml:space="preserve">INTERVENTIONS:None.</w:t>
      </w:r>
    </w:p>
    <w:p/>
    <w:p>
      <w:pPr>
        <w:pStyle w:val="Normal"/>
      </w:pPr>
      <w:r>
        <w:rPr>
          <w:color w:val="323232"/>
        </w:rPr>
        <w:t xml:space="preserve">MEASUREMENTS AND MAIN RESULTS:We assessed the risk of hospital death based on quantiles of tidal volume, positive end-expiratory pressure, plateau pressure, and driving pressure evaluated at 24 hours after acute respiratory distress syndrome diagnosis while ventilated with standardized lung-protective ventilation. We derived our model using individual data from 478 acute respiratory distress syndrome patients and assessed its replicability in a separate cohort of 300 acute respiratory distress syndrome patients. Tidal volume and positive end-expiratory pressure had no impact on mortality. We identified a plateau pressure cut-off value of 29</w:t>
      </w:r>
      <w:r>
        <w:rPr>
          <w:color w:val="323232"/>
        </w:rPr>
        <w:t xml:space="preserve"> </w:t>
      </w:r>
      <w:r>
        <w:rPr>
          <w:color w:val="323232"/>
        </w:rPr>
        <w:t xml:space="preserve">cm H2O, above which an ordinal increment was accompanied by an increment of risk of death. We identified a driving pressure cut-off value of 19</w:t>
      </w:r>
      <w:r>
        <w:rPr>
          <w:color w:val="323232"/>
        </w:rPr>
        <w:t xml:space="preserve"> </w:t>
      </w:r>
      <w:r>
        <w:rPr>
          <w:color w:val="323232"/>
        </w:rPr>
        <w:t xml:space="preserve">cm H2O where an ordinal increment was accompanied by an increment of risk of death. When we cross tabulated patients with plateau pressure less than 30 and plateau pressure greater than or equal to 30 with those with driving pressure less than 19 and driving pressure greater than or equal to 19, plateau pressure provided a slightly better prediction of outcome than driving pressure in both the derivation and validation cohorts (p &lt; 0.0000001).</w:t>
      </w:r>
    </w:p>
    <w:p/>
    <w:p>
      <w:pPr>
        <w:pStyle w:val="Normal"/>
      </w:pPr>
      <w:r>
        <w:rPr>
          <w:color w:val="323232"/>
        </w:rPr>
        <w:t xml:space="preserve">CONCLUSIONS:Plateau pressure was slightly better than driving pressure in predicting hospital death in patients managed with lung-protective ventilation evaluated on standardized ventilator settings 24 hours after acute respiratory distress syndrome onset.</w:t>
      </w:r>
    </w:p>
    <w:p/>
    <w:p>
      <w:pPr>
        <w:pStyle w:val="Normal"/>
      </w:pPr>
      <w:r>
        <w:rPr>
          <w:color w:val="323232"/>
        </w:rPr>
        <w:t xml:space="preserve">Critical Care Medicine, 2017 vol. 45 (5) pp. 843-850.</w:t>
      </w:r>
    </w:p>
    <w:p>
      <w:r>
        <w:rPr>
          <w:rStyle w:val="Hyperlink"/>
        </w:rPr>
        <w:fldChar w:fldCharType="begin"/>
      </w:r>
      <w:r>
        <w:rPr>
          <w:rStyle w:val="Hyperlink"/>
        </w:rPr>
        <w:instrText xml:space="preserve"> HYPERLINK "http://eutils.ncbi.nlm.nih.gov/entrez/eutils/elink.fcgi?dbfrom=pubmed&amp;id=28252536&amp;retmode=ref&amp;cmd=prlinks"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http://eutils.ncbi.nlm.nih.gov/entrez/eutils/elink.fcgi?dbfrom=pubmed&amp;id=28252536&amp;retmode=ref&amp;cmd=prlinks</w:t>
      </w:r>
      <w:r>
        <w:rPr>
          <w:rStyle w:val="Hyperlink"/>
        </w:rPr>
        <w:fldChar w:fldCharType="end"/>
      </w:r>
    </w:p>
    <w:p>
      <w:pPr>
        <w:pStyle w:val="Normal"/>
      </w:pPr>
      <w:r>
        <w:rPr>
          <w:color w:val="323232"/>
        </w:rPr>
        <w:t xml:space="preserve">————————</w:t>
      </w:r>
    </w:p>
    <w:p>
      <w:pPr>
        <w:pStyle w:val="Heading4"/>
      </w:pPr>
      <w:r>
        <w:t xml:space="preserve">An Unbalanced Inflammatory Cytokine Response Is Not Associated With Mortality Following Sepsis: A Prospective Cohort Study.</w:t>
      </w:r>
    </w:p>
    <w:p/>
    <w:p>
      <w:pPr>
        <w:pStyle w:val="Normal"/>
      </w:pPr>
      <w:r>
        <w:rPr>
          <w:color w:val="323232"/>
        </w:rPr>
        <w:t xml:space="preserve">Jos F Frencken, Lonneke A van Vught, Linda M Peelen, David S Y Ong, Peter M C Klein Klouwenberg, Janneke Horn, Marc J M Bonten, Tom van der Poll, Olaf L Cremer, and MARS Consortium.</w:t>
      </w:r>
    </w:p>
    <w:p/>
    <w:p>
      <w:pPr>
        <w:pStyle w:val="Normal"/>
      </w:pPr>
      <w:r>
        <w:rPr>
          <w:color w:val="323232"/>
        </w:rPr>
        <w:t xml:space="preserve">OBJECTIVE:The prevailing theory of host response during sepsis states that an excessive production of pro-inflammatory mediators causes early deaths, whereas a predominantly anti-inflammatory response may lead to immunosuppression, secondary infection, and late deaths. We assessed inflammatory (im)balance by measuring pro-inflammatory interleukin-6 and anti-inflammatory interleukin-10 during three distinct time periods after sepsis, and assessed its association with mortality.</w:t>
      </w:r>
    </w:p>
    <w:p/>
    <w:p>
      <w:pPr>
        <w:pStyle w:val="Normal"/>
      </w:pPr>
      <w:r>
        <w:rPr>
          <w:color w:val="323232"/>
        </w:rPr>
        <w:t xml:space="preserve">DESIGN:Prospective observational cohort.</w:t>
      </w:r>
    </w:p>
    <w:p/>
    <w:p>
      <w:pPr>
        <w:pStyle w:val="Normal"/>
      </w:pPr>
      <w:r>
        <w:rPr>
          <w:color w:val="323232"/>
        </w:rPr>
        <w:t xml:space="preserve">SETTING:Two tertiary mixed ICUs in The Netherlands.</w:t>
      </w:r>
    </w:p>
    <w:p/>
    <w:p>
      <w:pPr>
        <w:pStyle w:val="Normal"/>
      </w:pPr>
      <w:r>
        <w:rPr>
          <w:color w:val="323232"/>
        </w:rPr>
        <w:t xml:space="preserve">PATIENTS:Consecutive patients presenting with severe sepsis or septic shock from 2011 to 2013.</w:t>
      </w:r>
    </w:p>
    <w:p/>
    <w:p>
      <w:pPr>
        <w:pStyle w:val="Normal"/>
      </w:pPr>
      <w:r>
        <w:rPr>
          <w:color w:val="323232"/>
        </w:rPr>
        <w:t xml:space="preserve">INTERVENTIONS:None.</w:t>
      </w:r>
    </w:p>
    <w:p/>
    <w:p>
      <w:pPr>
        <w:pStyle w:val="Normal"/>
      </w:pPr>
      <w:r>
        <w:rPr>
          <w:color w:val="323232"/>
        </w:rPr>
        <w:t xml:space="preserve">MEASUREMENTS AND MAIN RESULTS:We repeatedly measured plasma interleukin-6 and interleukin-10 concentrations using cytometric bead array. Poisson regression was used to analyze the relation between inflammatory markers measured on 1) ICU admission and day 4 mortality, 2) day 4 and day 28 mortality, and 3) ICU discharge and 1-year mortality. Secondary outcome was development of ICU-acquired infections. Among 708 patients, 86 (12%) died within 4 days, 140 (20%) died between days 4 and 28, and an additional 155 (22%) died before 1 year. Interleukin-6 and interleukin-10 levels were both independently associated with mortality, but the balance of this response as modelled by an interleukin-6 and interleukin-10 interaction term was not (relative risk, 0.99; 95% CI, 0.95-1.04 on admission; relative risk, 1.02; 95% CI, 0.98-1.06 on day 4; and relative risk, 1.12; 95% CI, 0.98-1.29 at ICU discharge). However, inflammatory imbalance on day 4 was associated with development of ICU-acquired infections (subdistribution hazard ratio, 0.87; 95% CI, 0.77-0.98).</w:t>
      </w:r>
    </w:p>
    <w:p/>
    <w:p>
      <w:pPr>
        <w:pStyle w:val="Normal"/>
      </w:pPr>
      <w:r>
        <w:rPr>
          <w:color w:val="323232"/>
        </w:rPr>
        <w:t xml:space="preserve">CONCLUSIONS:Although both interleukin-6 and interleukin-10 productions are associated with death, the balance of these inflammatory mediators does not seem to impact either early, intermediate, or late mortality in patients presenting to the ICU with sepsis.</w:t>
      </w:r>
    </w:p>
    <w:p/>
    <w:p>
      <w:pPr>
        <w:pStyle w:val="Normal"/>
      </w:pPr>
      <w:r>
        <w:rPr>
          <w:color w:val="323232"/>
        </w:rPr>
        <w:t xml:space="preserve">Critical Care Medicine, 2017 vol. 45 (5) pp. e493-e499.</w:t>
      </w:r>
    </w:p>
    <w:p>
      <w:r>
        <w:rPr>
          <w:rStyle w:val="Hyperlink"/>
        </w:rPr>
        <w:fldChar w:fldCharType="begin"/>
      </w:r>
      <w:r>
        <w:rPr>
          <w:rStyle w:val="Hyperlink"/>
        </w:rPr>
        <w:instrText xml:space="preserve"> HYPERLINK "http://eutils.ncbi.nlm.nih.gov/entrez/eutils/elink.fcgi?dbfrom=pubmed&amp;id=28257334&amp;retmode=ref&amp;cmd=prlinks"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http://eutils.ncbi.nlm.nih.gov/entrez/eutils/elink.fcgi?dbfrom=pubmed&amp;id=28257334&amp;retmode=ref&amp;cmd=prlinks</w:t>
      </w:r>
      <w:r>
        <w:rPr>
          <w:rStyle w:val="Hyperlink"/>
        </w:rPr>
        <w:fldChar w:fldCharType="end"/>
      </w:r>
    </w:p>
    <w:p>
      <w:pPr>
        <w:pStyle w:val="Normal"/>
      </w:pPr>
      <w:r>
        <w:rPr>
          <w:color w:val="323232"/>
        </w:rPr>
        <w:t xml:space="preserve">————————</w:t>
      </w:r>
    </w:p>
    <w:p>
      <w:pPr>
        <w:pStyle w:val="Heading4"/>
      </w:pPr>
      <w:r>
        <w:t xml:space="preserve">Antipyretic Therapy in Critically Ill Septic Patients: A Systematic Review and Meta-Analysis.</w:t>
      </w:r>
    </w:p>
    <w:p/>
    <w:p>
      <w:pPr>
        <w:pStyle w:val="Normal"/>
      </w:pPr>
      <w:r>
        <w:rPr>
          <w:color w:val="323232"/>
        </w:rPr>
        <w:t xml:space="preserve">Anne M Drewry, Enyo A Ablordeppey, Ellen T Murray, Carolyn R T Stoll, Sonya R Izadi, Catherine M Dalton, Angela C Hardi, Susan A Fowler, Brian M Fuller, and Graham A Colditz.</w:t>
      </w:r>
    </w:p>
    <w:p/>
    <w:p>
      <w:pPr>
        <w:pStyle w:val="Normal"/>
      </w:pPr>
      <w:r>
        <w:rPr>
          <w:color w:val="323232"/>
        </w:rPr>
        <w:t xml:space="preserve">OBJECTIVE:This meta-analysis aimed to examine the impact of antipyretic therapy on mortality in critically ill septic adults.</w:t>
      </w:r>
    </w:p>
    <w:p/>
    <w:p>
      <w:pPr>
        <w:pStyle w:val="Normal"/>
      </w:pPr>
      <w:r>
        <w:rPr>
          <w:color w:val="323232"/>
        </w:rPr>
        <w:t xml:space="preserve">DATA SOURCES:Literature searches were implemented in Ovid Medline, Embase, Scopus, Cumulative Index of Nursing and Allied Health Literature, Cochrane Central Register of Controlled Trials, NHS Economic Evaluation Database, and </w:t>
      </w:r>
      <w:r>
        <w:rPr>
          <w:rStyle w:val="Hyperlink"/>
        </w:rPr>
        <w:fldChar w:fldCharType="begin"/>
      </w:r>
      <w:r>
        <w:rPr>
          <w:rStyle w:val="Hyperlink"/>
        </w:rPr>
        <w:instrText xml:space="preserve"> HYPERLINK "http://ClinicalTrials.gov" </w:instrText>
      </w:r>
      <w:r>
        <w:rPr>
          <w:rStyle w:val="Hyperlink"/>
        </w:rPr>
      </w:r>
      <w:r>
        <w:rPr>
          <w:rStyle w:val="Hyperlink"/>
        </w:rPr>
        <w:fldChar w:fldCharType="separate"/>
      </w:r>
      <w:r>
        <w:rPr>
          <w:rStyle w:val="Hyperlink"/>
        </w:rPr>
        <w:t xml:space="preserve">ClinicalTrials.gov</w:t>
      </w:r>
      <w:r>
        <w:rPr>
          <w:rStyle w:val="Hyperlink"/>
        </w:rPr>
        <w:fldChar w:fldCharType="end"/>
      </w:r>
      <w:r>
        <w:rPr>
          <w:color w:val="323232"/>
        </w:rPr>
        <w:t xml:space="preserve"> through February 2016.</w:t>
      </w:r>
    </w:p>
    <w:p/>
    <w:p>
      <w:pPr>
        <w:pStyle w:val="Normal"/>
      </w:pPr>
      <w:r>
        <w:rPr>
          <w:color w:val="323232"/>
        </w:rPr>
        <w:t xml:space="preserve">STUDY SELECTION:Inclusion criteria were observational or randomized studies of septic patients, evaluation of antipyretic treatment, mortality reported, and English-language version available. Studies were excluded if they enrolled pediatric patients, patients with neurologic injury, or healthy volunteers. Criteria were applied by two independent reviewers.</w:t>
      </w:r>
    </w:p>
    <w:p/>
    <w:p>
      <w:pPr>
        <w:pStyle w:val="Normal"/>
      </w:pPr>
      <w:r>
        <w:rPr>
          <w:color w:val="323232"/>
        </w:rPr>
        <w:t xml:space="preserve">DATA EXTRACTION:Two reviewers independently extracted data and evaluated methodologic quality. Outcomes included mortality, frequency of shock reversal, acquisition of nosocomial infections, and changes in body temperature, heart rate, and minute ventilation. Randomized and observational studies were analyzed separately.</w:t>
      </w:r>
    </w:p>
    <w:p/>
    <w:p>
      <w:pPr>
        <w:pStyle w:val="Normal"/>
      </w:pPr>
      <w:r>
        <w:rPr>
          <w:color w:val="323232"/>
        </w:rPr>
        <w:t xml:space="preserve">DATA SYNTHESIS:Eight randomized studies (1,507 patients) and eight observational studies (17,432 patients) were analyzed. Antipyretic therapy did not reduce 28-day/hospital mortality in the randomized studies (relative risk, 0.93; 95% CI, 0.77-1.13; I = 0.0%) or observational studies (odds ratio, 0.90; 95% CI, 0.54-1.51; I = 76.1%). Shock reversal (relative risk, 1.13; 95% CI, 0.68-1.90; I = 51.6%) and acquisition of nosocomial infections (relative risk, 1.13; 95% CI, 0.61-2.09; I = 61.0%) were also unchanged. Antipyretic therapy decreased body temperature (mean difference, -0.38°C; 95% CI, -0.63 to -0.13; I = 84.0%), but not heart rate or minute ventilation.</w:t>
      </w:r>
    </w:p>
    <w:p/>
    <w:p>
      <w:pPr>
        <w:pStyle w:val="Normal"/>
      </w:pPr>
      <w:r>
        <w:rPr>
          <w:color w:val="323232"/>
        </w:rPr>
        <w:t xml:space="preserve">CONCLUSIONS:Antipyretic treatment does not significantly improve 28-day/hospital mortality in adult patients with sepsis.</w:t>
      </w:r>
    </w:p>
    <w:p/>
    <w:p>
      <w:pPr>
        <w:pStyle w:val="Normal"/>
      </w:pPr>
      <w:r>
        <w:rPr>
          <w:color w:val="323232"/>
        </w:rPr>
        <w:t xml:space="preserve">Critical Care Medicine, 2017 vol. 45 (5) pp. 806-813.</w:t>
      </w:r>
    </w:p>
    <w:p>
      <w:r>
        <w:rPr>
          <w:rStyle w:val="Hyperlink"/>
        </w:rPr>
        <w:fldChar w:fldCharType="begin"/>
      </w:r>
      <w:r>
        <w:rPr>
          <w:rStyle w:val="Hyperlink"/>
        </w:rPr>
        <w:instrText xml:space="preserve"> HYPERLINK "http://eutils.ncbi.nlm.nih.gov/entrez/eutils/elink.fcgi?dbfrom=pubmed&amp;id=28221185&amp;retmode=ref&amp;cmd=prlinks"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http://eutils.ncbi.nlm.nih.gov/entrez/eutils/elink.fcgi?dbfrom=pubmed&amp;id=28221185&amp;retmode=ref&amp;cmd=prlinks</w:t>
      </w:r>
      <w:r>
        <w:rPr>
          <w:rStyle w:val="Hyperlink"/>
        </w:rPr>
        <w:fldChar w:fldCharType="end"/>
      </w:r>
    </w:p>
    <w:p>
      <w:pPr>
        <w:pStyle w:val="Normal"/>
      </w:pPr>
      <w:r>
        <w:rPr>
          <w:color w:val="323232"/>
        </w:rPr>
        <w:t xml:space="preserve">————————</w:t>
      </w:r>
    </w:p>
    <w:p>
      <w:pPr>
        <w:pStyle w:val="Heading4"/>
      </w:pPr>
      <w:r>
        <w:t xml:space="preserve">Daily Lowest Hemoglobin and Risk of Organ Dysfunctions in Critically Ill Patients.</w:t>
      </w:r>
    </w:p>
    <w:p/>
    <w:p>
      <w:pPr>
        <w:pStyle w:val="Normal"/>
      </w:pPr>
      <w:r>
        <w:rPr>
          <w:color w:val="323232"/>
        </w:rPr>
        <w:t xml:space="preserve">Sarah J Hemauer, Adam J Kingeter, Xue Han, Matthew S Shotwell, Pratik P Pandharipande, and Liza M Weavind.</w:t>
      </w:r>
    </w:p>
    <w:p/>
    <w:p>
      <w:pPr>
        <w:pStyle w:val="Normal"/>
      </w:pPr>
      <w:r>
        <w:rPr>
          <w:color w:val="323232"/>
        </w:rPr>
        <w:t xml:space="preserve">OBJECTIVES:To determine the association between hemoglobin levels and the daily risk of individual organ dysfunctions in critically ill patients.</w:t>
      </w:r>
    </w:p>
    <w:p/>
    <w:p>
      <w:pPr>
        <w:pStyle w:val="Normal"/>
      </w:pPr>
      <w:r>
        <w:rPr>
          <w:color w:val="323232"/>
        </w:rPr>
        <w:t xml:space="preserve">DESIGN:Post hoc analysis of prospectively collected data.</w:t>
      </w:r>
    </w:p>
    <w:p/>
    <w:p>
      <w:pPr>
        <w:pStyle w:val="Normal"/>
      </w:pPr>
      <w:r>
        <w:rPr>
          <w:color w:val="323232"/>
        </w:rPr>
        <w:t xml:space="preserve">SETTING:Vanderbilt University Medical Center and Saint Thomas Hospital Medical and Surgical ICUs.</w:t>
      </w:r>
    </w:p>
    <w:p/>
    <w:p>
      <w:pPr>
        <w:pStyle w:val="Normal"/>
      </w:pPr>
      <w:r>
        <w:rPr>
          <w:color w:val="323232"/>
        </w:rPr>
        <w:t xml:space="preserve">PATIENTS:Medical and surgical ICU patients admitted with respiratory failure or shock.</w:t>
      </w:r>
    </w:p>
    <w:p/>
    <w:p>
      <w:pPr>
        <w:pStyle w:val="Normal"/>
      </w:pPr>
      <w:r>
        <w:rPr>
          <w:color w:val="323232"/>
        </w:rPr>
        <w:t xml:space="preserve">INTERVENTIONS:Baseline demographic data, and detailed in-ICU and hospital data, including daily lowest hemoglobin, were collected up to hospital day 30. We assessed patients daily for brain dysfunction (delirium, using Confusion Assessment Method for ICU), for renal and respiratory dysfunction (using the ordinal renal and respiratory Sequential Organ Failure Assessment score), and for ICU mortality. Associations between the lowest hemoglobin on a given day and organ dysfunctions the following day were assessed using multivariable regressions, adjusting for age, Acute Physiology and Chronic Health Evaluation II score, Charlson comorbidity index, Framingham Stroke Risk Profile, ICU day, ICU type, sepsis, and current organ dysfunction status. A sensitivity analysis further adjusted for daily transfusions and fluid balance in a subset of our patients.</w:t>
      </w:r>
    </w:p>
    <w:p/>
    <w:p>
      <w:pPr>
        <w:pStyle w:val="Normal"/>
      </w:pPr>
      <w:r>
        <w:rPr>
          <w:color w:val="323232"/>
        </w:rPr>
        <w:t xml:space="preserve">MEASUREMENTS AND MAIN RESULTS:We enrolled 821 patients with a median (interquartile range) age of 61 (51-71) years, Acute Physiology and Chronic Health Evaluation II score of 25 (19-31), and hemoglobin level of 10.0 (9.0-11.1) g/dL. There was no evidence of an association between lowest daily hemoglobin and brain dysfunction (p = 0.69 for delirium), renal dysfunction (p = 0.30), or ICU mortality (p = 0.95). The lowest hemoglobin on a given day was significantly associated with the respiratory Sequential Organ Failure Assessment score the following day; for each increasing hemoglobin unit, the odds of worsened respiratory Sequential Organ Failure Assessment score the following day were decreased by 36% (OR, 0.64; 95% CI, 0.53-0.77; p &lt; 0.001). The sensitivity analysis including daily transfusions and fluid balance (in a subset of 518 patients) did not qualitatively change any of these associations.</w:t>
      </w:r>
    </w:p>
    <w:p/>
    <w:p>
      <w:pPr>
        <w:pStyle w:val="Normal"/>
      </w:pPr>
      <w:r>
        <w:rPr>
          <w:color w:val="323232"/>
        </w:rPr>
        <w:t xml:space="preserve">CONCLUSIONS:In this study in ICU patients, lower hemoglobin was associated with a higher probability of worsening respiratory dysfunction scores the following day. There was no evidence of association between hemoglobin and brain or renal dysfunction, or ICU mortality. The possible differential effects of anemia on organ dysfunctions seen in this hypothesis-generating study will have to be studied in a larger prospective study before any alterations to present restrictive transfusion guidelines can be recommended.</w:t>
      </w:r>
    </w:p>
    <w:p/>
    <w:p>
      <w:pPr>
        <w:pStyle w:val="Normal"/>
      </w:pPr>
      <w:r>
        <w:rPr>
          <w:color w:val="323232"/>
        </w:rPr>
        <w:t xml:space="preserve">Critical Care Medicine, 2017 vol. 45 (5) pp. e479-e484.</w:t>
      </w:r>
    </w:p>
    <w:p>
      <w:r>
        <w:rPr>
          <w:rStyle w:val="Hyperlink"/>
        </w:rPr>
        <w:fldChar w:fldCharType="begin"/>
      </w:r>
      <w:r>
        <w:rPr>
          <w:rStyle w:val="Hyperlink"/>
        </w:rPr>
        <w:instrText xml:space="preserve"> HYPERLINK "http://eutils.ncbi.nlm.nih.gov/entrez/eutils/elink.fcgi?dbfrom=pubmed&amp;id=28252537&amp;retmode=ref&amp;cmd=prlinks"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http://eutils.ncbi.nlm.nih.gov/entrez/eutils/elink.fcgi?dbfrom=pubmed&amp;id=28252537&amp;retmode=ref&amp;cmd=prlinks</w:t>
      </w:r>
      <w:r>
        <w:rPr>
          <w:rStyle w:val="Hyperlink"/>
        </w:rPr>
        <w:fldChar w:fldCharType="end"/>
      </w:r>
    </w:p>
    <w:p>
      <w:pPr>
        <w:pStyle w:val="Normal"/>
      </w:pPr>
      <w:r>
        <w:rPr>
          <w:color w:val="323232"/>
        </w:rPr>
        <w:t xml:space="preserve">————————</w:t>
      </w:r>
    </w:p>
    <w:p>
      <w:pPr>
        <w:pStyle w:val="Heading4"/>
      </w:pPr>
      <w:r>
        <w:t xml:space="preserve">Elevated Mean Airway Pressure and Central Venous Pressure in the First Day of Mechanical Ventilation Indicated Poor Outcome.</w:t>
      </w:r>
    </w:p>
    <w:p/>
    <w:p>
      <w:pPr>
        <w:pStyle w:val="Normal"/>
      </w:pPr>
      <w:r>
        <w:rPr>
          <w:color w:val="323232"/>
        </w:rPr>
        <w:t xml:space="preserve">Yun Long, Longxiang Su, Qing Zhang, Xiang Zhou, Hao Wang, Na Cui, Wenzhao Chai, Xiaoting Wang, Xi Rui, and Dawei Liu.</w:t>
      </w:r>
    </w:p>
    <w:p/>
    <w:p>
      <w:pPr>
        <w:pStyle w:val="Normal"/>
      </w:pPr>
      <w:r>
        <w:rPr>
          <w:color w:val="323232"/>
        </w:rPr>
        <w:t xml:space="preserve">OBJECTIVES:The relationship between respiratory mechanical parameters and hemodynamic variables remains unclear. This study was performed to determine whether mean airway pressure and central venous pressure in the first day of mechanical ventilation are associated with patient outcomes.</w:t>
      </w:r>
    </w:p>
    <w:p/>
    <w:p>
      <w:pPr>
        <w:pStyle w:val="Normal"/>
      </w:pPr>
      <w:r>
        <w:rPr>
          <w:color w:val="323232"/>
        </w:rPr>
        <w:t xml:space="preserve">DESIGN:Retrospective first 24-hour comparison during ICU stay.</w:t>
      </w:r>
    </w:p>
    <w:p/>
    <w:p>
      <w:pPr>
        <w:pStyle w:val="Normal"/>
      </w:pPr>
      <w:r>
        <w:rPr>
          <w:color w:val="323232"/>
        </w:rPr>
        <w:t xml:space="preserve">SETTING:The Department of Critical Care Medicine of Peking Union Medical College Hospital.</w:t>
      </w:r>
    </w:p>
    <w:p/>
    <w:p>
      <w:pPr>
        <w:pStyle w:val="Normal"/>
      </w:pPr>
      <w:r>
        <w:rPr>
          <w:color w:val="323232"/>
        </w:rPr>
        <w:t xml:space="preserve">PATIENTS:Patients with mechanical ventilation.</w:t>
      </w:r>
    </w:p>
    <w:p/>
    <w:p>
      <w:pPr>
        <w:pStyle w:val="Normal"/>
      </w:pPr>
      <w:r>
        <w:rPr>
          <w:color w:val="323232"/>
        </w:rPr>
        <w:t xml:space="preserve">INTERVENTIONS:None.</w:t>
      </w:r>
    </w:p>
    <w:p/>
    <w:p>
      <w:pPr>
        <w:pStyle w:val="Normal"/>
      </w:pPr>
      <w:r>
        <w:rPr>
          <w:color w:val="323232"/>
        </w:rPr>
        <w:t xml:space="preserve">MEASUREMENTS AND MAIN RESULTS:The clinical data of patients who received mechanical ventilation, especially respiratory and hemodynamic data, were collected and analyzed. In terms of the hemodynamic and perfusion data, the nonsurvivors group (177/2,208) had higher heart rate, respiratory rate, central venous pressure, and lactates and a lower perfusion index and P(v-a)CO2 (p &lt; 0.05). In terms of respiratory condition, mean airway pressure, peak airway pressure, positive end-expiratory pressure, driving pressure, and inspiratory time/total respiration time of nonsurvivors were significantly higher, and arterial oxygen pressure and dynamic compliance worsened and were lower than the survivors (p &lt; 0.05). Increased central venous pressure (odds ratio, 1.125; 95% CI, 1.069-1.184; p &lt; 0.001) and elevated mean airway pressure (odds ratio, 1.125; 95% CI, 1.069-1.184; p &lt; 0.001) were independently associated with 28-day mortality. The area under receiver operating characteristic demonstrated that central venous pressure and mean airway pressure were measured at 0.795 (95% CI, 0.654-0.757) and 0.833 (95% CI, 0.608-0.699), respectively. Based on the cutoff of central venous pressure and mean airway pressure, all of the participants were divided into the following groups: low central venous pressure and mean airway pressure, only high central venous pressure or mean airway pressure, or high central venous pressure and mean airway pressure. Post hoc tests showed significant differences among these three groups based on 28-day survival (log rank [Mantel-Cox], 131.931; p &lt; 0.001).</w:t>
      </w:r>
    </w:p>
    <w:p/>
    <w:p>
      <w:pPr>
        <w:pStyle w:val="Normal"/>
      </w:pPr>
      <w:r>
        <w:rPr>
          <w:color w:val="323232"/>
        </w:rPr>
        <w:t xml:space="preserve">CONCLUSIONS:During the first 24 hours of mechanical ventilation, patients with elevated mean airway pressure and elevated central venous pressure had worse outcomes.</w:t>
      </w:r>
    </w:p>
    <w:p/>
    <w:p>
      <w:pPr>
        <w:pStyle w:val="Normal"/>
      </w:pPr>
      <w:r>
        <w:rPr>
          <w:color w:val="323232"/>
        </w:rPr>
        <w:t xml:space="preserve">Critical Care Medicine, 2017 vol. 45 (5) pp. e485-e492.</w:t>
      </w:r>
    </w:p>
    <w:p>
      <w:r>
        <w:rPr>
          <w:rStyle w:val="Hyperlink"/>
        </w:rPr>
        <w:fldChar w:fldCharType="begin"/>
      </w:r>
      <w:r>
        <w:rPr>
          <w:rStyle w:val="Hyperlink"/>
        </w:rPr>
        <w:instrText xml:space="preserve"> HYPERLINK "http://eutils.ncbi.nlm.nih.gov/entrez/eutils/elink.fcgi?dbfrom=pubmed&amp;id=28244940&amp;retmode=ref&amp;cmd=prlinks"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http://eutils.ncbi.nlm.nih.gov/entrez/eutils/elink.fcgi?dbfrom=pubmed&amp;id=28244940&amp;retmode=ref&amp;cmd=prlinks</w:t>
      </w:r>
      <w:r>
        <w:rPr>
          <w:rStyle w:val="Hyperlink"/>
        </w:rPr>
        <w:fldChar w:fldCharType="end"/>
      </w:r>
    </w:p>
    <w:p>
      <w:pPr>
        <w:pStyle w:val="Normal"/>
      </w:pPr>
      <w:r>
        <w:rPr>
          <w:color w:val="323232"/>
        </w:rPr>
        <w:t xml:space="preserve">————————</w:t>
      </w:r>
    </w:p>
    <w:p>
      <w:pPr>
        <w:pStyle w:val="Heading4"/>
      </w:pPr>
      <w:r>
        <w:t xml:space="preserve">New-Onset Atrial Fibrillation in the Critically Ill.</w:t>
      </w:r>
    </w:p>
    <w:p/>
    <w:p>
      <w:pPr>
        <w:pStyle w:val="Normal"/>
      </w:pPr>
      <w:r>
        <w:rPr>
          <w:color w:val="323232"/>
        </w:rPr>
        <w:t xml:space="preserve">Travis J Moss, James Forrest Calland, Kyle B Enfield, Diana C Gomez-Manjarres, Caroline Ruminski, John P DiMarco, Douglas E Lake, and J Randall Moorman.</w:t>
      </w:r>
    </w:p>
    <w:p/>
    <w:p>
      <w:pPr>
        <w:pStyle w:val="Normal"/>
      </w:pPr>
      <w:r>
        <w:rPr>
          <w:color w:val="323232"/>
        </w:rPr>
        <w:t xml:space="preserve">OBJECTIVE:To determine the association of new-onset atrial fibrillation with outcomes, including ICU length of stay and survival.</w:t>
      </w:r>
    </w:p>
    <w:p/>
    <w:p>
      <w:pPr>
        <w:pStyle w:val="Normal"/>
      </w:pPr>
      <w:r>
        <w:rPr>
          <w:color w:val="323232"/>
        </w:rPr>
        <w:t xml:space="preserve">DESIGN:Retrospective cohort of ICU admissions. We found atrial fibrillation using automated detection (≥ 90</w:t>
      </w:r>
      <w:r>
        <w:rPr>
          <w:color w:val="323232"/>
        </w:rPr>
        <w:t xml:space="preserve"> </w:t>
      </w:r>
      <w:r>
        <w:rPr>
          <w:color w:val="323232"/>
        </w:rPr>
        <w:t xml:space="preserve">s in 30</w:t>
      </w:r>
      <w:r>
        <w:rPr>
          <w:color w:val="323232"/>
        </w:rPr>
        <w:t xml:space="preserve"> </w:t>
      </w:r>
      <w:r>
        <w:rPr>
          <w:color w:val="323232"/>
        </w:rPr>
        <w:t xml:space="preserve">min) and classed as new-onset if there was no prior diagnosis of atrial fibrillation. We identified determinants of new-onset atrial fibrillation and, using propensity matching, characterized its impact on outcomes.</w:t>
      </w:r>
    </w:p>
    <w:p/>
    <w:p>
      <w:pPr>
        <w:pStyle w:val="Normal"/>
      </w:pPr>
      <w:r>
        <w:rPr>
          <w:color w:val="323232"/>
        </w:rPr>
        <w:t xml:space="preserve">SETTING:Tertiary care academic center.</w:t>
      </w:r>
    </w:p>
    <w:p/>
    <w:p>
      <w:pPr>
        <w:pStyle w:val="Normal"/>
      </w:pPr>
      <w:r>
        <w:rPr>
          <w:color w:val="323232"/>
        </w:rPr>
        <w:t xml:space="preserve">PATIENTS:A total of 8,356 consecutive adult admissions to either the medical or surgical</w:t>
      </w:r>
      <w:r>
        <w:rPr>
          <w:i w:val="1"/>
          <w:color w:val="323232"/>
        </w:rPr>
        <w:t xml:space="preserve">trauma</w:t>
      </w:r>
      <w:r>
        <w:rPr>
          <w:color w:val="323232"/>
        </w:rPr>
        <w:t xml:space="preserve">burn ICU with available continuous electrocardiogram data.</w:t>
      </w:r>
    </w:p>
    <w:p/>
    <w:p>
      <w:pPr>
        <w:pStyle w:val="Normal"/>
      </w:pPr>
      <w:r>
        <w:rPr>
          <w:color w:val="323232"/>
        </w:rPr>
        <w:t xml:space="preserve">INTERVENTIONS:None.</w:t>
      </w:r>
    </w:p>
    <w:p/>
    <w:p>
      <w:pPr>
        <w:pStyle w:val="Normal"/>
      </w:pPr>
      <w:r>
        <w:rPr>
          <w:color w:val="323232"/>
        </w:rPr>
        <w:t xml:space="preserve">MEASUREMENTS AND MAIN RESULTS:From 74 patient-years of every 15-minute observations, we detected atrial fibrillation in 1,610 admissions (19%), with median burden less than 2%. Most atrial fibrillation was paroxysmal; less than 2% of admissions were always in atrial fibrillation. New-onset atrial fibrillation was subclinical or went undocumented in 626, or 8% of all ICU admissions. Advanced age, acute respiratory failure, and sepsis were the strongest predictors of new-onset atrial fibrillation. In propensity-adjusted regression analyses, clinical new-onset atrial fibrillation was associated with increased hospital mortality (odds ratio, 1.63; 95% CI, 1.01-2.63) and longer length of stay (2.25 d; CI, 0.58-3.92). New-onset atrial fibrillation was not associated with survival after hospital discharge (hazard ratio, 0.99; 95% CI, 0.76-1.28 and hazard ratio, 1.11; 95% CI, 0.67-1.83, respectively, for subclinical and clinical new-onset atrial fibrillation).</w:t>
      </w:r>
    </w:p>
    <w:p/>
    <w:p>
      <w:pPr>
        <w:pStyle w:val="Normal"/>
      </w:pPr>
      <w:r>
        <w:rPr>
          <w:color w:val="323232"/>
        </w:rPr>
        <w:t xml:space="preserve">CONCLUSIONS:Automated analysis of continuous electrocardiogram heart rate dynamics detects new-onset atrial fibrillation in many ICU patients. Though often transient and frequently unrecognized, new-onset atrial fibrillation is associated with poor hospital outcomes.</w:t>
      </w:r>
    </w:p>
    <w:p/>
    <w:p>
      <w:pPr>
        <w:pStyle w:val="Normal"/>
      </w:pPr>
      <w:r>
        <w:rPr>
          <w:color w:val="323232"/>
        </w:rPr>
        <w:t xml:space="preserve">Critical Care Medicine, 2017 vol. 45 (5) pp. 790-797.</w:t>
      </w:r>
    </w:p>
    <w:p>
      <w:r>
        <w:rPr>
          <w:rStyle w:val="Hyperlink"/>
        </w:rPr>
        <w:fldChar w:fldCharType="begin"/>
      </w:r>
      <w:r>
        <w:rPr>
          <w:rStyle w:val="Hyperlink"/>
        </w:rPr>
        <w:instrText xml:space="preserve"> HYPERLINK "http://eutils.ncbi.nlm.nih.gov/entrez/eutils/elink.fcgi?dbfrom=pubmed&amp;id=28296811&amp;retmode=ref&amp;cmd=prlinks"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http://eutils.ncbi.nlm.nih.gov/entrez/eutils/elink.fcgi?dbfrom=pubmed&amp;id=28296811&amp;retmode=ref&amp;cmd=prlinks</w:t>
      </w:r>
      <w:r>
        <w:rPr>
          <w:rStyle w:val="Hyperlink"/>
        </w:rPr>
        <w:fldChar w:fldCharType="end"/>
      </w:r>
    </w:p>
    <w:p>
      <w:pPr>
        <w:pStyle w:val="Normal"/>
      </w:pPr>
      <w:r>
        <w:rPr>
          <w:color w:val="323232"/>
        </w:rPr>
        <w:t xml:space="preserve">————————</w:t>
      </w:r>
    </w:p>
    <w:p>
      <w:pPr>
        <w:pStyle w:val="Heading4"/>
      </w:pPr>
      <w:r>
        <w:t xml:space="preserve">Serial Procalcitonin Predicts Mortality in Severe Sepsis Patients: Results From the Multicenter Procalcitonin MOnitoring SEpsis (MOSES) Study.</w:t>
      </w:r>
    </w:p>
    <w:p/>
    <w:p>
      <w:pPr>
        <w:pStyle w:val="Normal"/>
      </w:pPr>
      <w:r>
        <w:rPr>
          <w:color w:val="323232"/>
        </w:rPr>
        <w:t xml:space="preserve">Philipp Schuetz, Robert Birkhahn, Robert Sherwin, Alan E Jones, Adam Singer, Jeffrey A Kline, Michael S Runyon, Wesley H Self, D Mark Courtney, Richard M Nowak, David F Gaieski, Stefan Ebmeyer, Sascha Johannes, Jan C Wiemer, Andrej Schwabe, and Nathan I Shapiro.</w:t>
      </w:r>
    </w:p>
    <w:p/>
    <w:p>
      <w:pPr>
        <w:pStyle w:val="Normal"/>
      </w:pPr>
      <w:r>
        <w:rPr>
          <w:color w:val="323232"/>
        </w:rPr>
        <w:t xml:space="preserve">OBJECTIVES:To prospectively validate that the inability to decrease procalcitonin levels by more than 80% between baseline and day 4 is associated with increased 28-day all-cause mortality in a large sepsis patient population recruited across the United States.</w:t>
      </w:r>
    </w:p>
    <w:p/>
    <w:p>
      <w:pPr>
        <w:pStyle w:val="Normal"/>
      </w:pPr>
      <w:r>
        <w:rPr>
          <w:color w:val="323232"/>
        </w:rPr>
        <w:t xml:space="preserve">DESIGN:Blinded, prospective multicenter observational clinical trial following an Food and Drug Administration-approved protocol.</w:t>
      </w:r>
    </w:p>
    <w:p/>
    <w:p>
      <w:pPr>
        <w:pStyle w:val="Normal"/>
      </w:pPr>
      <w:r>
        <w:rPr>
          <w:color w:val="323232"/>
        </w:rPr>
        <w:t xml:space="preserve">SETTING:Thirteen U.S.-based emergency departments and ICUs.</w:t>
      </w:r>
    </w:p>
    <w:p/>
    <w:p>
      <w:pPr>
        <w:pStyle w:val="Normal"/>
      </w:pPr>
      <w:r>
        <w:rPr>
          <w:color w:val="323232"/>
        </w:rPr>
        <w:t xml:space="preserve">PATIENTS:Consecutive patients meeting criteria for severe sepsis or septic shock who were admitted to the ICU from the emergency department, other wards, or directly from out of hospital were included.</w:t>
      </w:r>
    </w:p>
    <w:p/>
    <w:p>
      <w:pPr>
        <w:pStyle w:val="Normal"/>
      </w:pPr>
      <w:r>
        <w:rPr>
          <w:color w:val="323232"/>
        </w:rPr>
        <w:t xml:space="preserve">INTERVENTIONS:Procalcitonin was measured daily over the first 5 days.</w:t>
      </w:r>
    </w:p>
    <w:p/>
    <w:p>
      <w:pPr>
        <w:pStyle w:val="Normal"/>
      </w:pPr>
      <w:r>
        <w:rPr>
          <w:color w:val="323232"/>
        </w:rPr>
        <w:t xml:space="preserve">MEASUREMENTS AND MAIN RESULTS:The primary analysis of interest was the relationship between a procalcitonin decrease of more than 80% from baseline to day 4 and 28-day mortality using Cox proportional hazards regression. Among 858 enrolled patients, 646 patients were alive and in the hospital on day 4 and included in the main intention-to-diagnose analysis. The 28-day all-cause mortality was two-fold higher when procalcitonin did not show a decrease of more than 80% from baseline to day 4 (20% vs 10%; p = 0.001). This was confirmed as an independent predictor in Cox regression analysis (hazard ratio, 1.97 [95% CI, 1.18-3.30; p &lt; 0.009]) after adjusting for demographics, Acute Physiology and Chronic Health Evaluation II, ICU residence on day 4, sepsis syndrome severity, antibiotic administration time, and other relevant confounders.</w:t>
      </w:r>
    </w:p>
    <w:p/>
    <w:p>
      <w:pPr>
        <w:pStyle w:val="Normal"/>
      </w:pPr>
      <w:r>
        <w:rPr>
          <w:color w:val="323232"/>
        </w:rPr>
        <w:t xml:space="preserve">CONCLUSIONS:Results of this large, prospective multicenter U.S. study indicate that inability to decrease procalcitonin by more than 80% is a significant independent predictor of mortality and may aid in sepsis care.</w:t>
      </w:r>
    </w:p>
    <w:p/>
    <w:p>
      <w:pPr>
        <w:pStyle w:val="Normal"/>
      </w:pPr>
      <w:r>
        <w:rPr>
          <w:color w:val="323232"/>
        </w:rPr>
        <w:t xml:space="preserve">Critical Care Medicine, 2017 vol. 45 (5) pp. 781-789.</w:t>
      </w:r>
    </w:p>
    <w:p>
      <w:r>
        <w:rPr>
          <w:rStyle w:val="Hyperlink"/>
        </w:rPr>
        <w:fldChar w:fldCharType="begin"/>
      </w:r>
      <w:r>
        <w:rPr>
          <w:rStyle w:val="Hyperlink"/>
        </w:rPr>
        <w:instrText xml:space="preserve"> HYPERLINK "http://eutils.ncbi.nlm.nih.gov/entrez/eutils/elink.fcgi?dbfrom=pubmed&amp;id=28257335&amp;retmode=ref&amp;cmd=prlinks"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http://eutils.ncbi.nlm.nih.gov/entrez/eutils/elink.fcgi?dbfrom=pubmed&amp;id=28257335&amp;retmode=ref&amp;cmd=prlinks</w:t>
      </w:r>
      <w:r>
        <w:rPr>
          <w:rStyle w:val="Hyperlink"/>
        </w:rPr>
        <w:fldChar w:fldCharType="end"/>
      </w:r>
    </w:p>
    <w:p>
      <w:pPr>
        <w:pStyle w:val="Normal"/>
      </w:pPr>
      <w:r>
        <w:rPr>
          <w:color w:val="323232"/>
        </w:rPr>
        <w:t xml:space="preserve">————————</w:t>
      </w:r>
    </w:p>
    <w:p>
      <w:pPr>
        <w:pStyle w:val="Heading4"/>
      </w:pPr>
      <w:r>
        <w:t xml:space="preserve">Delayed Second Dose Antibiotics for Patients Admitted From the Emergency Department With Sepsis: Prevalence, Risk Factors, and Outcomes.</w:t>
      </w:r>
    </w:p>
    <w:p/>
    <w:p>
      <w:pPr>
        <w:pStyle w:val="Normal"/>
      </w:pPr>
      <w:r>
        <w:rPr>
          <w:color w:val="323232"/>
        </w:rPr>
        <w:t xml:space="preserve">Daniel Leisman, Victor Huang, Qiuping Zhou, Jeanie Gribben, Andrea Bianculli, Michelle Bernshteyn, Mary Frances Ward, and Sandra M Schneider.</w:t>
      </w:r>
    </w:p>
    <w:p/>
    <w:p>
      <w:pPr>
        <w:pStyle w:val="Normal"/>
      </w:pPr>
      <w:r>
        <w:rPr>
          <w:color w:val="323232"/>
        </w:rPr>
        <w:t xml:space="preserve">OBJECTIVE:1) Determine frequency and magnitude of delays in second antibiotic administration among patients admitted with sepsis; 2) Identify risk factors for these delays; and 3) Exploratory: determine association between delays and patient-centered outcomes (mortality and mechanical ventilation after second dose).</w:t>
      </w:r>
    </w:p>
    <w:p/>
    <w:p>
      <w:pPr>
        <w:pStyle w:val="Normal"/>
      </w:pPr>
      <w:r>
        <w:rPr>
          <w:color w:val="323232"/>
        </w:rPr>
        <w:t xml:space="preserve">DESIGN:Retrospective, consecutive sample sepsis cohort over 10 months.</w:t>
      </w:r>
    </w:p>
    <w:p/>
    <w:p>
      <w:pPr>
        <w:pStyle w:val="Normal"/>
      </w:pPr>
      <w:r>
        <w:rPr>
          <w:color w:val="323232"/>
        </w:rPr>
        <w:t xml:space="preserve">SETTING:Single, tertiary, academic medical center.</w:t>
      </w:r>
    </w:p>
    <w:p/>
    <w:p>
      <w:pPr>
        <w:pStyle w:val="Normal"/>
      </w:pPr>
      <w:r>
        <w:rPr>
          <w:color w:val="323232"/>
        </w:rPr>
        <w:t xml:space="preserve">PATIENTS:All patients admitted from the emergency department with sepsis or septic shock (defined: infection, ≥ 2 systemic inflammatory response syndrome criteria, hypoperfusion/organ dysfunction) identified by a prospective quality initiative.</w:t>
      </w:r>
    </w:p>
    <w:p/>
    <w:p>
      <w:pPr>
        <w:pStyle w:val="Normal"/>
      </w:pPr>
      <w:r>
        <w:rPr>
          <w:color w:val="323232"/>
        </w:rPr>
        <w:t xml:space="preserve">EXCLUSIONS:less than 18 years old, not receiving initial antibiotics in the emergency department, death before antibiotic redosing, and patient refusing antibiotics.</w:t>
      </w:r>
    </w:p>
    <w:p/>
    <w:p>
      <w:pPr>
        <w:pStyle w:val="Normal"/>
      </w:pPr>
      <w:r>
        <w:rPr>
          <w:color w:val="323232"/>
        </w:rPr>
        <w:t xml:space="preserve">INTERVENTIONS:We determined first-to-second antibiotic time and delay frequency. We considered delay major for first-to-second dose time greater than or equal to 25% of the recommended interval. Factors of interest were demographics, recommended interval length, comorbidities, clinical presentation, location at second dose, initial resuscitative care, and antimicrobial activity mechanism.</w:t>
      </w:r>
    </w:p>
    <w:p/>
    <w:p>
      <w:pPr>
        <w:pStyle w:val="Normal"/>
      </w:pPr>
      <w:r>
        <w:rPr>
          <w:color w:val="323232"/>
        </w:rPr>
        <w:t xml:space="preserve">MEASUREMENTS AND MAIN RESULTS:Of 828 sepsis cases, 272 (33%) had delay greater than or equal to 25%. Delay frequency increased dose dependently with shorter recommended interval: 11 (4%) delays for 24-hour intervals (median time, 18.52</w:t>
      </w:r>
      <w:r>
        <w:rPr>
          <w:color w:val="323232"/>
        </w:rPr>
        <w:t xml:space="preserve"> </w:t>
      </w:r>
      <w:r>
        <w:rPr>
          <w:color w:val="323232"/>
        </w:rPr>
        <w:t xml:space="preserve">hr); 31 (26%) for 12-hour intervals (median, 10.58</w:t>
      </w:r>
      <w:r>
        <w:rPr>
          <w:color w:val="323232"/>
        </w:rPr>
        <w:t xml:space="preserve"> </w:t>
      </w:r>
      <w:r>
        <w:rPr>
          <w:color w:val="323232"/>
        </w:rPr>
        <w:t xml:space="preserve">hr); 117 (47%) for 8-hour intervals (median, 9.60</w:t>
      </w:r>
      <w:r>
        <w:rPr>
          <w:color w:val="323232"/>
        </w:rPr>
        <w:t xml:space="preserve"> </w:t>
      </w:r>
      <w:r>
        <w:rPr>
          <w:color w:val="323232"/>
        </w:rPr>
        <w:t xml:space="preserve">hr); and 113 (72%) for 6-hour intervals (median, 9.55</w:t>
      </w:r>
      <w:r>
        <w:rPr>
          <w:color w:val="323232"/>
        </w:rPr>
        <w:t xml:space="preserve"> </w:t>
      </w:r>
      <w:r>
        <w:rPr>
          <w:color w:val="323232"/>
        </w:rPr>
        <w:t xml:space="preserve">hr). In multivariable regression, interval length significantly predicted major delay (12 hr: odds ratio, 6.98; CI, 2.33-20.89; 8 hr: odds ratio, 23.70; CI, 8.13-69.11; 6 hr: odds ratio, 71.95; CI, 25.13-206.0). Additional independent risk factors were inpatient boarding in the emergency department (odds ratio, 2.67; CI, 1.74-4.09), initial 3-hour sepsis bundle compliance (odds ratio, 1.57; CI, 1.07-2.30), and older age (odds ratio, 1.16 per 10 yr, CI, 1.01-1.34). In the exploratory multivariable analysis, major delay was associated with increased hospital mortality (odds ratio, 1.61; CI, 1.01-2.57) and mechanical ventilation (odds ratio, 2.44; CI, 1.27-4.69).</w:t>
      </w:r>
    </w:p>
    <w:p/>
    <w:p>
      <w:pPr>
        <w:pStyle w:val="Normal"/>
      </w:pPr>
      <w:r>
        <w:rPr>
          <w:color w:val="323232"/>
        </w:rPr>
        <w:t xml:space="preserve">CONCLUSIONS:Major second dose delays were common, especially for patients given shorter half-life pharmacotherapies and who boarded in the emergency department. They were paradoxically more frequent for patients receiving compliant initial care. We observed association between major second dose delay and increased mortality, length of stay, and mechanical ventilation requirement.</w:t>
      </w:r>
    </w:p>
    <w:p/>
    <w:p>
      <w:pPr>
        <w:pStyle w:val="Normal"/>
      </w:pPr>
      <w:r>
        <w:rPr>
          <w:color w:val="323232"/>
        </w:rPr>
        <w:t xml:space="preserve">Critical Care Medicine, 2017 vol. 45 (6) pp. 956-965.</w:t>
      </w:r>
    </w:p>
    <w:p>
      <w:r>
        <w:rPr>
          <w:rStyle w:val="Hyperlink"/>
        </w:rPr>
        <w:fldChar w:fldCharType="begin"/>
      </w:r>
      <w:r>
        <w:rPr>
          <w:rStyle w:val="Hyperlink"/>
        </w:rPr>
        <w:instrText xml:space="preserve"> HYPERLINK "http://eutils.ncbi.nlm.nih.gov/entrez/eutils/elink.fcgi?dbfrom=pubmed&amp;id=28328652&amp;retmode=ref&amp;cmd=prlinks"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http://eutils.ncbi.nlm.nih.gov/entrez/eutils/elink.fcgi?dbfrom=pubmed&amp;id=28328652&amp;retmode=ref&amp;cmd=prlinks</w:t>
      </w:r>
      <w:r>
        <w:rPr>
          <w:rStyle w:val="Hyperlink"/>
        </w:rPr>
        <w:fldChar w:fldCharType="end"/>
      </w:r>
    </w:p>
    <w:p>
      <w:pPr>
        <w:pStyle w:val="Normal"/>
      </w:pPr>
      <w:r>
        <w:rPr>
          <w:color w:val="323232"/>
        </w:rPr>
        <w:t xml:space="preserve">————————</w:t>
      </w:r>
    </w:p>
    <w:p>
      <w:pPr>
        <w:pStyle w:val="Heading4"/>
      </w:pPr>
      <w:r>
        <w:t xml:space="preserve">The Absence of Fever Is Associated With Higher Mortality and Decreased Antibiotic and IV Fluid Administration in Emergency Department Patients With Suspected Septic Shock.</w:t>
      </w:r>
    </w:p>
    <w:p/>
    <w:p>
      <w:pPr>
        <w:pStyle w:val="Normal"/>
      </w:pPr>
      <w:r>
        <w:rPr>
          <w:color w:val="323232"/>
        </w:rPr>
        <w:t xml:space="preserve">Daniel J Henning, Jeremy R Carey, Kimie Oedorf, Danielle E Day, Colby S Redfield, Colin J Huguenel, Jonathan C Roberts, Leon D Sanchez, Richard E Wolfe, and Nathan I Shapiro.</w:t>
      </w:r>
    </w:p>
    <w:p/>
    <w:p>
      <w:pPr>
        <w:pStyle w:val="Normal"/>
      </w:pPr>
      <w:r>
        <w:rPr>
          <w:color w:val="323232"/>
        </w:rPr>
        <w:t xml:space="preserve">OBJECTIVE:This study evaluates whether emergency department septic shock patients without a fever (reported or measured) receive less IV fluids, have decreased antibiotic administration, and suffer increased in-hospital mortality.</w:t>
      </w:r>
    </w:p>
    <w:p/>
    <w:p>
      <w:pPr>
        <w:pStyle w:val="Normal"/>
      </w:pPr>
      <w:r>
        <w:rPr>
          <w:color w:val="323232"/>
        </w:rPr>
        <w:t xml:space="preserve">DESIGN:This was a secondary analysis of a prospective, observational study of patients with shock.</w:t>
      </w:r>
    </w:p>
    <w:p/>
    <w:p>
      <w:pPr>
        <w:pStyle w:val="Normal"/>
      </w:pPr>
      <w:r>
        <w:rPr>
          <w:color w:val="323232"/>
        </w:rPr>
        <w:t xml:space="preserve">SETTING:The study was conducted in an urban, academic emergency department.</w:t>
      </w:r>
    </w:p>
    <w:p/>
    <w:p>
      <w:pPr>
        <w:pStyle w:val="Normal"/>
      </w:pPr>
      <w:r>
        <w:rPr>
          <w:color w:val="323232"/>
        </w:rPr>
        <w:t xml:space="preserve">PATIENTS:The original study enrolled consecutive adult (aged 18 yr or older) emergency department patients from November 11, 2012, to September 23, 2013, who met one of the following shock criteria: 1) systolic blood pressure less than 90 mm Hg after at least 1L IV fluids, 2) new vasopressor requirement, or 3) systolic blood pressure less than 90 mm Hg and IV fluids held for concern of fluid overload. The current study is limited to patients with septic shock. Patients were grouped as febrile if they had a subjective fever or a measured temperature &gt;100.4°F documented in the emergency department; afebrile patients lacked both.</w:t>
      </w:r>
    </w:p>
    <w:p/>
    <w:p>
      <w:pPr>
        <w:pStyle w:val="Normal"/>
      </w:pPr>
      <w:r>
        <w:rPr>
          <w:color w:val="323232"/>
        </w:rPr>
        <w:t xml:space="preserve">MEASUREMENTS AND MAIN RESULTS:Among 378 patients with septic shock, 207 of 378 (55%; 50-60%) were febrile by history or measurement. Afebrile patients had lower rates of antibiotic administration in the emergency department (81% vs 94%; p &lt; 0.01), lower mean volumes of IV fluids (2,607 vs 3,013</w:t>
      </w:r>
      <w:r>
        <w:rPr>
          <w:color w:val="323232"/>
        </w:rPr>
        <w:t xml:space="preserve"> </w:t>
      </w:r>
      <w:r>
        <w:rPr>
          <w:color w:val="323232"/>
        </w:rPr>
        <w:t xml:space="preserve">mL; p &lt; 0.01), and higher in-hospital mortality rates (33% vs 11%; p &lt; 0.01). After adjusting for bicarbonate less than 20 mEq</w:t>
      </w:r>
      <w:r>
        <w:rPr>
          <w:i w:val="1"/>
          <w:color w:val="323232"/>
        </w:rPr>
        <w:t xml:space="preserve">L, lactate concentration, respiratory rate greater than or equal to 24 breaths</w:t>
      </w:r>
      <w:r>
        <w:rPr>
          <w:color w:val="323232"/>
        </w:rPr>
        <w:t xml:space="preserve">min, emergency department antibiotics, and emergency department IV fluids volume, being afebrile remained a significant predictor of in-hospital mortality (odds ratio, 4.3; 95% CI, 2.2-8.2; area under the curve = 0.83).</w:t>
      </w:r>
    </w:p>
    <w:p/>
    <w:p>
      <w:pPr>
        <w:pStyle w:val="Normal"/>
      </w:pPr>
      <w:r>
        <w:rPr>
          <w:color w:val="323232"/>
        </w:rPr>
        <w:t xml:space="preserve">CONCLUSIONS:In emergency department patients with septic shock, afebrile patients received lower rates of emergency department antibiotic administration, lower mean IV fluids volume, and suffered higher in-hospital mortality.</w:t>
      </w:r>
    </w:p>
    <w:p/>
    <w:p>
      <w:pPr>
        <w:pStyle w:val="Normal"/>
      </w:pPr>
      <w:r>
        <w:rPr>
          <w:color w:val="323232"/>
        </w:rPr>
        <w:t xml:space="preserve">Critical Care Medicine, 2017 vol. 45 (6) pp. e575-e582.</w:t>
      </w:r>
    </w:p>
    <w:p>
      <w:r>
        <w:rPr>
          <w:rStyle w:val="Hyperlink"/>
        </w:rPr>
        <w:fldChar w:fldCharType="begin"/>
      </w:r>
      <w:r>
        <w:rPr>
          <w:rStyle w:val="Hyperlink"/>
        </w:rPr>
        <w:instrText xml:space="preserve"> HYPERLINK "http://eutils.ncbi.nlm.nih.gov/entrez/eutils/elink.fcgi?dbfrom=pubmed&amp;id=28333759&amp;retmode=ref&amp;cmd=prlinks"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http://eutils.ncbi.nlm.nih.gov/entrez/eutils/elink.fcgi?dbfrom=pubmed&amp;id=28333759&amp;retmode=ref&amp;cmd=prlinks</w:t>
      </w:r>
      <w:r>
        <w:rPr>
          <w:rStyle w:val="Hyperlink"/>
        </w:rPr>
        <w:fldChar w:fldCharType="end"/>
      </w:r>
    </w:p>
    <w:p>
      <w:pPr>
        <w:pStyle w:val="Normal"/>
      </w:pPr>
      <w:r>
        <w:rPr>
          <w:color w:val="323232"/>
        </w:rPr>
        <w:t xml:space="preserve">————————</w:t>
      </w:r>
    </w:p>
    <w:p>
      <w:pPr>
        <w:pStyle w:val="Heading4"/>
      </w:pPr>
      <w:r>
        <w:t xml:space="preserve">The Septic Shock 3.0 Definition and Trials: A Vasopressin and Septic Shock Trial Experience.</w:t>
      </w:r>
    </w:p>
    <w:p/>
    <w:p>
      <w:pPr>
        <w:pStyle w:val="Normal"/>
      </w:pPr>
      <w:r>
        <w:rPr>
          <w:color w:val="323232"/>
        </w:rPr>
        <w:t xml:space="preserve">James A Russell, Terry Lee, Joel Singer, John H Boyd, Keith R Walley, and Vasopressin and Septic Shock Trial (VASST) Group.</w:t>
      </w:r>
    </w:p>
    <w:p/>
    <w:p>
      <w:pPr>
        <w:pStyle w:val="Normal"/>
      </w:pPr>
      <w:r>
        <w:rPr>
          <w:color w:val="323232"/>
        </w:rPr>
        <w:t xml:space="preserve">OBJECTIVES:The Septic Shock 3.0 definition could alter treatment comparisons in randomized controlled trials in septic shock. Our first hypothesis was that the vasopressin versus norepinephrine comparison and 28-day mortality of patients with Septic Shock 3.0 definition (lactate &gt; 2 mmol/ L) differ from vasopressin versus norepinephrine and mortality in Vasopressin and Septic Shock Trial. Our second hypothesis was that there are differences in plasma cytokine levels in Vasopressin and Septic Shock Trial for lactate less than or equal to 2 versus greater than 2 mmol/L.</w:t>
      </w:r>
    </w:p>
    <w:p/>
    <w:p>
      <w:pPr>
        <w:pStyle w:val="Normal"/>
      </w:pPr>
      <w:r>
        <w:rPr>
          <w:color w:val="323232"/>
        </w:rPr>
        <w:t xml:space="preserve">DESIGN:Retrospective analysis of randomized controlled trial.</w:t>
      </w:r>
    </w:p>
    <w:p/>
    <w:p>
      <w:pPr>
        <w:pStyle w:val="Normal"/>
      </w:pPr>
      <w:r>
        <w:rPr>
          <w:color w:val="323232"/>
        </w:rPr>
        <w:t xml:space="preserve">SETTING:Multicenter ICUs.</w:t>
      </w:r>
    </w:p>
    <w:p/>
    <w:p>
      <w:pPr>
        <w:pStyle w:val="Normal"/>
      </w:pPr>
      <w:r>
        <w:rPr>
          <w:color w:val="323232"/>
        </w:rPr>
        <w:t xml:space="preserve">METHODS:We compared vasopressin-to-norepinephrine group 28- and 90-day mortality in Vasopressin and Septic Shock Trial in lactate subgroups. We measured 39 cytokines to compare patients with lactate less than or equal to 2 versus greater than 2 mmol/L.</w:t>
      </w:r>
    </w:p>
    <w:p/>
    <w:p>
      <w:pPr>
        <w:pStyle w:val="Normal"/>
      </w:pPr>
      <w:r>
        <w:rPr>
          <w:color w:val="323232"/>
        </w:rPr>
        <w:t xml:space="preserve">PATIENTS:Patients with septic shock with lactate greater than 2 mmol</w:t>
      </w:r>
      <w:r>
        <w:rPr>
          <w:i w:val="1"/>
          <w:color w:val="323232"/>
        </w:rPr>
        <w:t xml:space="preserve">L or less than or equal to 2 mmol</w:t>
      </w:r>
      <w:r>
        <w:rPr>
          <w:color w:val="323232"/>
        </w:rPr>
        <w:t xml:space="preserve">L, randomized to vasopressin or norepinephrine.</w:t>
      </w:r>
    </w:p>
    <w:p/>
    <w:p>
      <w:pPr>
        <w:pStyle w:val="Normal"/>
      </w:pPr>
      <w:r>
        <w:rPr>
          <w:color w:val="323232"/>
        </w:rPr>
        <w:t xml:space="preserve">INTERVENTIONS:Concealed vasopressin (0.03 U/min.) or norepinephrine infusions.</w:t>
      </w:r>
    </w:p>
    <w:p/>
    <w:p>
      <w:pPr>
        <w:pStyle w:val="Normal"/>
      </w:pPr>
      <w:r>
        <w:rPr>
          <w:color w:val="323232"/>
        </w:rPr>
        <w:t xml:space="preserve">MEASUREMENTS AND MAIN RESULTS:The Septic Shock 3.0 definition would have decreased sample size by about half. The 28- and 90-day mortality rates were 10-12 % higher than the original Vasopressin and Septic Shock Trial mortality. There was a significantly (p = 0.028) lower mortality with vasopressin versus norepinephrine in lactate less than or equal to 2 mmol/ L but no difference between treatment groups in lactate greater than 2 mmol/ L. Nearly all cytokine levels were significantly higher in patients with lactate greater than 2 versus less than or equal to 2 mmol/ L.</w:t>
      </w:r>
    </w:p>
    <w:p/>
    <w:p>
      <w:pPr>
        <w:pStyle w:val="Normal"/>
      </w:pPr>
      <w:r>
        <w:rPr>
          <w:color w:val="323232"/>
        </w:rPr>
        <w:t xml:space="preserve">CONCLUSIONS:The Septic Shock 3.0 definition decreased sample size by half and increased 28-day mortality rates by about 10%. Vasopressin lowered mortality versus norepinephrine if lactate was less than or equal to 2 mmol/ L. Patients had higher plasma cytokines in lactate greater than 2 versus less than or equal to 2 mmol/ L, a brisker cytokine response to infection. The Septic Shock 3.0 definition and our findings have important implications for trial design in septic shock.</w:t>
      </w:r>
    </w:p>
    <w:p/>
    <w:p>
      <w:pPr>
        <w:pStyle w:val="Normal"/>
      </w:pPr>
      <w:r>
        <w:rPr>
          <w:color w:val="323232"/>
        </w:rPr>
        <w:t xml:space="preserve">Critical Care Medicine, 2017 vol. 45 (6) pp. 940-948.</w:t>
      </w:r>
    </w:p>
    <w:p>
      <w:r>
        <w:rPr>
          <w:rStyle w:val="Hyperlink"/>
        </w:rPr>
        <w:fldChar w:fldCharType="begin"/>
      </w:r>
      <w:r>
        <w:rPr>
          <w:rStyle w:val="Hyperlink"/>
        </w:rPr>
        <w:instrText xml:space="preserve"> HYPERLINK "http://eutils.ncbi.nlm.nih.gov/entrez/eutils/elink.fcgi?dbfrom=pubmed&amp;id=28333757&amp;retmode=ref&amp;cmd=prlinks"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http://eutils.ncbi.nlm.nih.gov/entrez/eutils/elink.fcgi?dbfrom=pubmed&amp;id=28333757&amp;retmode=ref&amp;cmd=prlinks</w:t>
      </w:r>
      <w:r>
        <w:rPr>
          <w:rStyle w:val="Hyperlink"/>
        </w:rPr>
        <w:fldChar w:fldCharType="end"/>
      </w:r>
    </w:p>
    <w:p>
      <w:pPr>
        <w:pStyle w:val="Normal"/>
      </w:pPr>
      <w:r>
        <w:rPr>
          <w:color w:val="323232"/>
        </w:rPr>
        <w:t xml:space="preserve">————————</w:t>
      </w:r>
    </w:p>
    <w:p>
      <w:pPr>
        <w:pStyle w:val="Heading4"/>
      </w:pPr>
      <w:r>
        <w:t xml:space="preserve">Diaphragm Activation in Ventilated Patients Using a Novel Transvenous Phrenic Nerve Pacing Catheter.</w:t>
      </w:r>
    </w:p>
    <w:p/>
    <w:p>
      <w:pPr>
        <w:pStyle w:val="Normal"/>
      </w:pPr>
      <w:r>
        <w:rPr>
          <w:color w:val="323232"/>
        </w:rPr>
        <w:t xml:space="preserve">Steven Reynolds, Adrian Ebner, Tracy Meffen, Viral Thakkar, Matt Gani, Kaity Taylor, Linda Clark, Gautam Sadarangani, Ramasamy Meyyappan, Rodrigo Sandoval, Elizabeth Rohrs, and Joaquín A Hoffer.</w:t>
      </w:r>
    </w:p>
    <w:p/>
    <w:p>
      <w:pPr>
        <w:pStyle w:val="Normal"/>
      </w:pPr>
      <w:r>
        <w:rPr>
          <w:color w:val="323232"/>
        </w:rPr>
        <w:t xml:space="preserve">OBJECTIVES:Over 30% of critically ill patients on positive-pressure mechanical ventilation have difficulty weaning from the ventilator, many of whom acquire ventilator-induced diaphragm dysfunction. Temporary transvenous phrenic nerve pacing using a novel electrode-bearing catheter may provide a means to prevent diaphragm atrophy, to strengthen an atrophied diaphragm, and mitigate the harms of mechanical ventilation. We tested the initial safety, feasibility, and impact on ventilation of this novel approach.</w:t>
      </w:r>
    </w:p>
    <w:p/>
    <w:p>
      <w:pPr>
        <w:pStyle w:val="Normal"/>
      </w:pPr>
      <w:r>
        <w:rPr>
          <w:color w:val="323232"/>
        </w:rPr>
        <w:t xml:space="preserve">DESIGN:First-in-Humans case series.</w:t>
      </w:r>
    </w:p>
    <w:p/>
    <w:p>
      <w:pPr>
        <w:pStyle w:val="Normal"/>
      </w:pPr>
      <w:r>
        <w:rPr>
          <w:color w:val="323232"/>
        </w:rPr>
        <w:t xml:space="preserve">SETTING:Angiogram suite.</w:t>
      </w:r>
    </w:p>
    <w:p/>
    <w:p>
      <w:pPr>
        <w:pStyle w:val="Normal"/>
      </w:pPr>
      <w:r>
        <w:rPr>
          <w:color w:val="323232"/>
        </w:rPr>
        <w:t xml:space="preserve">PATIENTS:Twenty-four sedated, mechanically ventilated patients immediately prior to an elective atrial septal defect repair procedure.</w:t>
      </w:r>
    </w:p>
    <w:p/>
    <w:p>
      <w:pPr>
        <w:pStyle w:val="Normal"/>
      </w:pPr>
      <w:r>
        <w:rPr>
          <w:color w:val="323232"/>
        </w:rPr>
        <w:t xml:space="preserve">INTERVENTIONS:A 9.5-Fr central venous catheter with 19 embedded electrodes was placed via Seldinger technique into the left subclavian vein and superior vena cava and evaluated for up to 90 minutes. The electrode combinations determined to provide best transvenous stimulation of the right and left phrenic nerves were activated in synchrony with mechanically ventilated breaths.</w:t>
      </w:r>
    </w:p>
    <w:p/>
    <w:p>
      <w:pPr>
        <w:pStyle w:val="Normal"/>
      </w:pPr>
      <w:r>
        <w:rPr>
          <w:color w:val="323232"/>
        </w:rPr>
        <w:t xml:space="preserve">MEASUREMENTS AND MAIN RESULTS:One patient could not be tested for reasons unrelated to the device. In the 23 patients who underwent the full protocol, transvenous stimulation activated the diaphragm in 22 of 23 (96%) left phrenic capture attempts and 20 of 23 (87%) right phrenic capture attempts. In one subject, a congenital left-sided superior vena cava precluded right-sided capture. Significant reductions in ventilator pressure-time-product were achieved during stimulation assisted breaths in all 22 paced subjects (range, 9.9-48.6%; p &lt; 0.001). There were no adverse events either immediately or at 2-week follow-up.</w:t>
      </w:r>
    </w:p>
    <w:p/>
    <w:p>
      <w:pPr>
        <w:pStyle w:val="Normal"/>
      </w:pPr>
      <w:r>
        <w:rPr>
          <w:color w:val="323232"/>
        </w:rPr>
        <w:t xml:space="preserve">CONCLUSIONS:In this First-in-Human series, diaphragm pacing with a temporary catheter was safe and effectively contributed to ventilation in conjunction with a mechanical ventilator.</w:t>
      </w:r>
    </w:p>
    <w:p/>
    <w:p>
      <w:pPr>
        <w:pStyle w:val="Normal"/>
      </w:pPr>
      <w:r>
        <w:rPr>
          <w:color w:val="323232"/>
        </w:rPr>
        <w:t xml:space="preserve">Critical Care Medicine, 2017 vol. 45 (7) pp. e691-e694.</w:t>
      </w:r>
    </w:p>
    <w:p>
      <w:r>
        <w:rPr>
          <w:rStyle w:val="Hyperlink"/>
        </w:rPr>
        <w:fldChar w:fldCharType="begin"/>
      </w:r>
      <w:r>
        <w:rPr>
          <w:rStyle w:val="Hyperlink"/>
        </w:rPr>
        <w:instrText xml:space="preserve"> HYPERLINK "http://eutils.ncbi.nlm.nih.gov/entrez/eutils/elink.fcgi?dbfrom=pubmed&amp;id=28441238&amp;retmode=ref&amp;cmd=prlinks"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http://eutils.ncbi.nlm.nih.gov/entrez/eutils/elink.fcgi?dbfrom=pubmed&amp;id=28441238&amp;retmode=ref&amp;cmd=prlinks</w:t>
      </w:r>
      <w:r>
        <w:rPr>
          <w:rStyle w:val="Hyperlink"/>
        </w:rPr>
        <w:fldChar w:fldCharType="end"/>
      </w:r>
    </w:p>
    <w:p>
      <w:pPr>
        <w:pStyle w:val="Normal"/>
      </w:pPr>
      <w:r>
        <w:rPr>
          <w:color w:val="323232"/>
        </w:rPr>
        <w:t xml:space="preserve">————————</w:t>
      </w:r>
    </w:p>
    <w:p>
      <w:pPr>
        <w:pStyle w:val="Heading4"/>
      </w:pPr>
      <w:r>
        <w:t xml:space="preserve">Effects of Hypercapnia and Hypercapnic Acidosis on Hospital Mortality in Mechanically Ventilated Patients.</w:t>
      </w:r>
    </w:p>
    <w:p/>
    <w:p>
      <w:pPr>
        <w:pStyle w:val="Normal"/>
      </w:pPr>
      <w:r>
        <w:rPr>
          <w:color w:val="323232"/>
        </w:rPr>
        <w:t xml:space="preserve">Ravindranath Tiruvoipati, David Pilcher, Hergen Buscher, John Botha, and Michael Bailey.</w:t>
      </w:r>
    </w:p>
    <w:p/>
    <w:p>
      <w:pPr>
        <w:pStyle w:val="Normal"/>
      </w:pPr>
      <w:r>
        <w:rPr>
          <w:color w:val="323232"/>
        </w:rPr>
        <w:t xml:space="preserve">OBJECTIVES:Lung-protective ventilation is used to prevent further lung injury in patients on invasive mechanical ventilation. However, lung-protective ventilation can cause hypercapnia and hypercapnic acidosis. There are no large clinical studies evaluating the effects of hypercapnia and hypercapnic acidosis in patients requiring mechanical ventilation.</w:t>
      </w:r>
    </w:p>
    <w:p/>
    <w:p>
      <w:pPr>
        <w:pStyle w:val="Normal"/>
      </w:pPr>
      <w:r>
        <w:rPr>
          <w:color w:val="323232"/>
        </w:rPr>
        <w:t xml:space="preserve">DESIGN:Multicenter, binational, retrospective study aimed to assess the impact of compensated hypercapnia and hypercapnic acidosis in patients receiving mechanical ventilation.</w:t>
      </w:r>
    </w:p>
    <w:p/>
    <w:p>
      <w:pPr>
        <w:pStyle w:val="Normal"/>
      </w:pPr>
      <w:r>
        <w:rPr>
          <w:color w:val="323232"/>
        </w:rPr>
        <w:t xml:space="preserve">SETTINGS:Data were extracted from the Australian and New Zealand Intensive Care Society Centre for Outcome and Resource Evaluation Adult Patient Database over a 14-year period where 171 ICUs contributed deidentified data.</w:t>
      </w:r>
    </w:p>
    <w:p/>
    <w:p>
      <w:pPr>
        <w:pStyle w:val="Normal"/>
      </w:pPr>
      <w:r>
        <w:rPr>
          <w:color w:val="323232"/>
        </w:rPr>
        <w:t xml:space="preserve">PATIENTS:Patients were classified into three groups based on a combination of pH and carbon dioxide levels (normocapnia and normal pH, compensated hypercapnia [normal pH with elevated carbon dioxide], and hypercapnic acidosis) during the first 24 hours of ICU stay. Logistic regression analysis was used to identify the independent association of hypercapnia and hypercapnic acidosis with hospital mortality.</w:t>
      </w:r>
    </w:p>
    <w:p/>
    <w:p>
      <w:pPr>
        <w:pStyle w:val="Normal"/>
      </w:pPr>
      <w:r>
        <w:rPr>
          <w:color w:val="323232"/>
        </w:rPr>
        <w:t xml:space="preserve">INTERVENTIONS:Nil.</w:t>
      </w:r>
    </w:p>
    <w:p/>
    <w:p>
      <w:pPr>
        <w:pStyle w:val="Normal"/>
      </w:pPr>
      <w:r>
        <w:rPr>
          <w:color w:val="323232"/>
        </w:rPr>
        <w:t xml:space="preserve">MEASUREMENTS AND MAIN RESULTS:A total of 252,812 patients (normocapnia and normal pH, 110,104; compensated hypercapnia, 20,463; and hypercapnic acidosis, 122,245) were included in analysis. Patients with compensated hypercapnia and hypercapnic acidosis had higher Acute Physiology and Chronic Health Evaluation III scores (49.2 vs 53.2 vs 68.6; p &lt; 0.01). The mortality was higher in hypercapnic acidosis patients when compared with other groups, with the lowest mortality in patients with normocapnia and normal pH. After adjusting for severity of illness, the adjusted odds ratio for hospital mortality was higher in hypercapnic acidosis patients (odds ratio, 1.74; 95% CI, 1.62-1.88) and compensated hypercapnia (odds ratio, 1.18; 95% CI, 1.10-1.26) when compared with patients with normocapnia and normal pH (p &lt; 0.001). In patients with hypercapnic acidosis, the mortality increased with increasing PCO2 until 65</w:t>
      </w:r>
      <w:r>
        <w:rPr>
          <w:color w:val="323232"/>
        </w:rPr>
        <w:t xml:space="preserve"> </w:t>
      </w:r>
      <w:r>
        <w:rPr>
          <w:color w:val="323232"/>
        </w:rPr>
        <w:t xml:space="preserve">mm Hg after which the mortality plateaued.</w:t>
      </w:r>
    </w:p>
    <w:p/>
    <w:p>
      <w:pPr>
        <w:pStyle w:val="Normal"/>
      </w:pPr>
      <w:r>
        <w:rPr>
          <w:color w:val="323232"/>
        </w:rPr>
        <w:t xml:space="preserve">CONCLUSIONS:Hypercapnic acidosis during the first 24 hours of intensive care admission is more strongly associated with increased hospital mortality than compensated hypercapnia or normocapnia.</w:t>
      </w:r>
    </w:p>
    <w:p/>
    <w:p>
      <w:pPr>
        <w:pStyle w:val="Normal"/>
      </w:pPr>
      <w:r>
        <w:rPr>
          <w:color w:val="323232"/>
        </w:rPr>
        <w:t xml:space="preserve">Critical Care Medicine, 2017 vol. 45 (7) pp. e649-e656.</w:t>
      </w:r>
    </w:p>
    <w:p>
      <w:r>
        <w:rPr>
          <w:rStyle w:val="Hyperlink"/>
        </w:rPr>
        <w:fldChar w:fldCharType="begin"/>
      </w:r>
      <w:r>
        <w:rPr>
          <w:rStyle w:val="Hyperlink"/>
        </w:rPr>
        <w:instrText xml:space="preserve"> HYPERLINK "http://eutils.ncbi.nlm.nih.gov/entrez/eutils/elink.fcgi?dbfrom=pubmed&amp;id=28406813&amp;retmode=ref&amp;cmd=prlinks"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http://eutils.ncbi.nlm.nih.gov/entrez/eutils/elink.fcgi?dbfrom=pubmed&amp;id=28406813&amp;retmode=ref&amp;cmd=prlinks</w:t>
      </w:r>
      <w:r>
        <w:rPr>
          <w:rStyle w:val="Hyperlink"/>
        </w:rPr>
        <w:fldChar w:fldCharType="end"/>
      </w:r>
    </w:p>
    <w:p>
      <w:pPr>
        <w:pStyle w:val="Normal"/>
      </w:pPr>
      <w:r>
        <w:rPr>
          <w:color w:val="323232"/>
        </w:rPr>
        <w:t xml:space="preserve">————————</w:t>
      </w:r>
    </w:p>
    <w:p>
      <w:pPr>
        <w:pStyle w:val="Heading4"/>
      </w:pPr>
      <w:r>
        <w:t xml:space="preserve">Effects of IV Acetaminophen on Core Body Temperature and Hemodynamic Responses in Febrile Critically Ill Adults: A Randomized Controlled Trial.</w:t>
      </w:r>
    </w:p>
    <w:p/>
    <w:p>
      <w:pPr>
        <w:pStyle w:val="Normal"/>
      </w:pPr>
      <w:r>
        <w:rPr>
          <w:color w:val="323232"/>
        </w:rPr>
        <w:t xml:space="preserve">Hildy M Schell-Chaple, Kathleen D Liu, Michael A Matthay, Daniel I Sessler, and Kathleen A Puntillo.</w:t>
      </w:r>
    </w:p>
    <w:p/>
    <w:p>
      <w:pPr>
        <w:pStyle w:val="Normal"/>
      </w:pPr>
      <w:r>
        <w:rPr>
          <w:color w:val="323232"/>
        </w:rPr>
        <w:t xml:space="preserve">OBJECTIVE:To determine the effects of IV acetaminophen on core body temperature, blood pressure, and heart rate in febrile critically ill patients.</w:t>
      </w:r>
    </w:p>
    <w:p/>
    <w:p>
      <w:pPr>
        <w:pStyle w:val="Normal"/>
      </w:pPr>
      <w:r>
        <w:rPr>
          <w:color w:val="323232"/>
        </w:rPr>
        <w:t xml:space="preserve">DESIGN:Randomized, double-blind, placebo-controlled clinical trial.</w:t>
      </w:r>
    </w:p>
    <w:p/>
    <w:p>
      <w:pPr>
        <w:pStyle w:val="Normal"/>
      </w:pPr>
      <w:r>
        <w:rPr>
          <w:color w:val="323232"/>
        </w:rPr>
        <w:t xml:space="preserve">SETTING:Three adult ICUs at a large, urban, academic medical center.</w:t>
      </w:r>
    </w:p>
    <w:p/>
    <w:p>
      <w:pPr>
        <w:pStyle w:val="Normal"/>
      </w:pPr>
      <w:r>
        <w:rPr>
          <w:color w:val="323232"/>
        </w:rPr>
        <w:t xml:space="preserve">PATIENTS:Forty critically ill adults with fever (core temperature, ≥ 38.3°C).</w:t>
      </w:r>
    </w:p>
    <w:p/>
    <w:p>
      <w:pPr>
        <w:pStyle w:val="Normal"/>
      </w:pPr>
      <w:r>
        <w:rPr>
          <w:color w:val="323232"/>
        </w:rPr>
        <w:t xml:space="preserve">INTERVENTION:An infusion of acetaminophen 1</w:t>
      </w:r>
      <w:r>
        <w:rPr>
          <w:color w:val="323232"/>
        </w:rPr>
        <w:t xml:space="preserve"> </w:t>
      </w:r>
      <w:r>
        <w:rPr>
          <w:color w:val="323232"/>
        </w:rPr>
        <w:t xml:space="preserve">g or saline placebo over 15 minutes.</w:t>
      </w:r>
    </w:p>
    <w:p/>
    <w:p>
      <w:pPr>
        <w:pStyle w:val="Normal"/>
      </w:pPr>
      <w:r>
        <w:rPr>
          <w:color w:val="323232"/>
        </w:rPr>
        <w:t xml:space="preserve">MEASUREMENT AND MAIN RESULTS:Core temperature and vital signs were measured at baseline and at 5-15-minute intervals for 4 hours after infusion of study drug. The primary outcome was time-weighted average core temperature adjusted for baseline temperature. Secondary outcomes included adjusted time-weighted average heart rate, blood pressure, and respiratory rate, along with changes-over-time for each. Baseline patient characteristics were similar in those given acetaminophen and placebo. Patients given acetaminophen had an adjusted time-weighted average temperature that was 0.47°C less than those given placebo (95% CI, -0.76 to -0.18; p = 0.002). The acetaminophen group had significantly lower adjusted time-weighted average systolic blood pressure (-17</w:t>
      </w:r>
      <w:r>
        <w:rPr>
          <w:color w:val="323232"/>
        </w:rPr>
        <w:t xml:space="preserve"> </w:t>
      </w:r>
      <w:r>
        <w:rPr>
          <w:color w:val="323232"/>
        </w:rPr>
        <w:t xml:space="preserve">mm Hg; 95% CI, -25 to -8; p &lt; 0.001), mean arterial pressure (-7</w:t>
      </w:r>
      <w:r>
        <w:rPr>
          <w:color w:val="323232"/>
        </w:rPr>
        <w:t xml:space="preserve"> </w:t>
      </w:r>
      <w:r>
        <w:rPr>
          <w:color w:val="323232"/>
        </w:rPr>
        <w:t xml:space="preserve">mm Hg; 95% CI, -12 to -1; p = 0.02), and heart rate (-6 beats/min; 95% CI, -10 to -1; p = 0.03). Changes-over-time temperature, blood pressure, and heart rate outcomes were also significantly lower at 2 hours, but not at 4 hours.</w:t>
      </w:r>
    </w:p>
    <w:p/>
    <w:p>
      <w:pPr>
        <w:pStyle w:val="Normal"/>
      </w:pPr>
      <w:r>
        <w:rPr>
          <w:color w:val="323232"/>
        </w:rPr>
        <w:t xml:space="preserve">CONCLUSIONS:Among febrile critically ill adults, treatment with acetaminophen decreased temperature, blood pressure, and heart rate. IV acetaminophen thus produces modest fever reduction in critical care patients, along with clinically important reductions in blood pressure.</w:t>
      </w:r>
    </w:p>
    <w:p/>
    <w:p>
      <w:pPr>
        <w:pStyle w:val="Normal"/>
      </w:pPr>
      <w:r>
        <w:rPr>
          <w:color w:val="323232"/>
        </w:rPr>
        <w:t xml:space="preserve">Critical Care Medicine, 2017 vol. 45 (7) pp. 1199-1207.</w:t>
      </w:r>
    </w:p>
    <w:p>
      <w:r>
        <w:rPr>
          <w:rStyle w:val="Hyperlink"/>
        </w:rPr>
        <w:fldChar w:fldCharType="begin"/>
      </w:r>
      <w:r>
        <w:rPr>
          <w:rStyle w:val="Hyperlink"/>
        </w:rPr>
        <w:instrText xml:space="preserve"> HYPERLINK "http://eutils.ncbi.nlm.nih.gov/entrez/eutils/elink.fcgi?dbfrom=pubmed&amp;id=28319467&amp;retmode=ref&amp;cmd=prlinks"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http://eutils.ncbi.nlm.nih.gov/entrez/eutils/elink.fcgi?dbfrom=pubmed&amp;id=28319467&amp;retmode=ref&amp;cmd=prlinks</w:t>
      </w:r>
      <w:r>
        <w:rPr>
          <w:rStyle w:val="Hyperlink"/>
        </w:rPr>
        <w:fldChar w:fldCharType="end"/>
      </w:r>
    </w:p>
    <w:p>
      <w:pPr>
        <w:pStyle w:val="Normal"/>
      </w:pPr>
      <w:r>
        <w:rPr>
          <w:color w:val="323232"/>
        </w:rPr>
        <w:t xml:space="preserve">————————</w:t>
      </w:r>
    </w:p>
    <w:p>
      <w:pPr>
        <w:pStyle w:val="Heading4"/>
      </w:pPr>
      <w:r>
        <w:t xml:space="preserve">Noninvasive Ventilation in Acute Hypoxemic Nonhypercapnic Respiratory Failure: A Systematic Review and Meta-Analysis.</w:t>
      </w:r>
    </w:p>
    <w:p/>
    <w:p>
      <w:pPr>
        <w:pStyle w:val="Normal"/>
      </w:pPr>
      <w:r>
        <w:rPr>
          <w:color w:val="323232"/>
        </w:rPr>
        <w:t xml:space="preserve">Xiu-Ping Xu, Xin-Chang Zhang, Shu-Ling Hu, Jing-Yuan Xu, Jian-Feng Xie, Song-Qiao Liu, Ling Liu, Ying-Zi Huang, Feng-Mei Guo, Yi Yang, and Hai-Bo Qiu.</w:t>
      </w:r>
    </w:p>
    <w:p/>
    <w:p>
      <w:pPr>
        <w:pStyle w:val="Normal"/>
      </w:pPr>
      <w:r>
        <w:rPr>
          <w:color w:val="323232"/>
        </w:rPr>
        <w:t xml:space="preserve">OBJECTIVE:To evaluate the effectiveness of noninvasive ventilation in patients with acute hypoxemic nonhypercapnic respiratory failure unrelated to exacerbation of chronic obstructive pulmonary disease and cardiogenic pulmonary edema.</w:t>
      </w:r>
    </w:p>
    <w:p/>
    <w:p>
      <w:pPr>
        <w:pStyle w:val="Normal"/>
      </w:pPr>
      <w:r>
        <w:rPr>
          <w:color w:val="323232"/>
        </w:rPr>
        <w:t xml:space="preserve">DATA SOURCES:PubMed, EMBASE, Cochrane library, Web of Science, and bibliographies of articles were retrieved inception until June 2016.</w:t>
      </w:r>
    </w:p>
    <w:p/>
    <w:p>
      <w:pPr>
        <w:pStyle w:val="Normal"/>
      </w:pPr>
      <w:r>
        <w:rPr>
          <w:color w:val="323232"/>
        </w:rPr>
        <w:t xml:space="preserve">STUDY SELECTION:Randomized controlled trials comparing application of noninvasive ventilation with standard oxygen therapy in adults with acute hypoxemic nonhypercapnic respiratory failure were included. Chronic obstructive pulmonary disease exacerbation and cardiogenic pulmonary edema patients were excluded. The primary outcome was intubation rate; ICU mortality and hospital mortality were secondary outcomes.</w:t>
      </w:r>
    </w:p>
    <w:p/>
    <w:p>
      <w:pPr>
        <w:pStyle w:val="Normal"/>
      </w:pPr>
      <w:r>
        <w:rPr>
          <w:color w:val="323232"/>
        </w:rPr>
        <w:t xml:space="preserve">DATA EXTRACTION:Demographic variables, noninvasive ventilation application, and outcomes were retrieved. Internal validity was assessed using the risk of bias tool. The strength of evidence was assessed using Grading of Recommendations Assessment, Development, and Evaluation methodology.</w:t>
      </w:r>
    </w:p>
    <w:p/>
    <w:p>
      <w:pPr>
        <w:pStyle w:val="Normal"/>
      </w:pPr>
      <w:r>
        <w:rPr>
          <w:color w:val="323232"/>
        </w:rPr>
        <w:t xml:space="preserve">DATA SYNTHESIS:Eleven studies (1,480 patients) met the inclusion criteria and were analyzed by using a random effects model. Compared with standard oxygen therapy, the pooled effect showed that noninvasive ventilation significantly reduced intubation rate with a summary risk ratio of 0.59 (95% CI, 0.44-0.79; p = 0.0004). Furthermore, hospital mortality was also significantly reduced (risk ratio, 0.46; 95% CI, 0.24-0.87; p = 0.02). Subgroup meta-analysis showed that the application of bilevel positive support ventilation (bilevel positive airway pressure) was associated with a reduction in ICU mortality (p = 0.007). Helmet noninvasive ventilation could reduce hospital mortality (p = 0.0004), whereas face/nasal mask noninvasive ventilation could not.</w:t>
      </w:r>
    </w:p>
    <w:p/>
    <w:p>
      <w:pPr>
        <w:pStyle w:val="Normal"/>
      </w:pPr>
      <w:r>
        <w:rPr>
          <w:color w:val="323232"/>
        </w:rPr>
        <w:t xml:space="preserve">CONCLUSIONS:Noninvasive ventilation decreased endotracheal intubation rates and hospital mortality in acute hypoxemia nonhypercapnic respiratory failure excluding chronic obstructive pulmonary disease exacerbation and cardiogenic pulmonary edema patients. There is no sufficient scientific evidence to recommend bilevel positive airway pressure or helmet due to the limited number of trials available. Large rigorous randomized trials are needed to answer these questions definitely.</w:t>
      </w:r>
    </w:p>
    <w:p/>
    <w:p>
      <w:pPr>
        <w:pStyle w:val="Normal"/>
      </w:pPr>
      <w:r>
        <w:rPr>
          <w:color w:val="323232"/>
        </w:rPr>
        <w:t xml:space="preserve">Critical Care Medicine, 2017 vol. 45 (7) pp. e727-e733.</w:t>
      </w:r>
    </w:p>
    <w:p>
      <w:r>
        <w:rPr>
          <w:rStyle w:val="Hyperlink"/>
        </w:rPr>
        <w:fldChar w:fldCharType="begin"/>
      </w:r>
      <w:r>
        <w:rPr>
          <w:rStyle w:val="Hyperlink"/>
        </w:rPr>
        <w:instrText xml:space="preserve"> HYPERLINK "http://eutils.ncbi.nlm.nih.gov/entrez/eutils/elink.fcgi?dbfrom=pubmed&amp;id=28441237&amp;retmode=ref&amp;cmd=prlinks"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http://eutils.ncbi.nlm.nih.gov/entrez/eutils/elink.fcgi?dbfrom=pubmed&amp;id=28441237&amp;retmode=ref&amp;cmd=prlinks</w:t>
      </w:r>
      <w:r>
        <w:rPr>
          <w:rStyle w:val="Hyperlink"/>
        </w:rPr>
        <w:fldChar w:fldCharType="end"/>
      </w:r>
    </w:p>
    <w:p>
      <w:pPr>
        <w:pStyle w:val="Normal"/>
      </w:pPr>
      <w:r>
        <w:rPr>
          <w:color w:val="323232"/>
        </w:rPr>
        <w:t xml:space="preserve">————————</w:t>
      </w:r>
    </w:p>
    <w:p>
      <w:pPr>
        <w:pStyle w:val="Heading4"/>
      </w:pPr>
      <w:r>
        <w:t xml:space="preserve">Resuscitation With Balanced Fluids Is Associated With Improved Survival in Pediatric Severe Sepsis.</w:t>
      </w:r>
    </w:p>
    <w:p/>
    <w:p>
      <w:pPr>
        <w:pStyle w:val="Normal"/>
      </w:pPr>
      <w:r>
        <w:rPr>
          <w:color w:val="323232"/>
        </w:rPr>
        <w:t xml:space="preserve">Elizabeth T Emrath, James D Fortenberry, Curtis Travers, Courtney E McCracken, and Kiran B Hebbar.</w:t>
      </w:r>
    </w:p>
    <w:p/>
    <w:p>
      <w:pPr>
        <w:pStyle w:val="Normal"/>
      </w:pPr>
      <w:r>
        <w:rPr>
          <w:color w:val="323232"/>
        </w:rPr>
        <w:t xml:space="preserve">OBJECTIVE:To evaluate outcomes in patients receiving balanced fluids for resuscitation in pediatric severe sepsis.</w:t>
      </w:r>
    </w:p>
    <w:p/>
    <w:p>
      <w:pPr>
        <w:pStyle w:val="Normal"/>
      </w:pPr>
      <w:r>
        <w:rPr>
          <w:color w:val="323232"/>
        </w:rPr>
        <w:t xml:space="preserve">DESIGN:Observational cohort review of prospectively collected data from a large administrative database.</w:t>
      </w:r>
    </w:p>
    <w:p/>
    <w:p>
      <w:pPr>
        <w:pStyle w:val="Normal"/>
      </w:pPr>
      <w:r>
        <w:rPr>
          <w:color w:val="323232"/>
        </w:rPr>
        <w:t xml:space="preserve">SETTING:PICUs from 43 children's hospitals.</w:t>
      </w:r>
    </w:p>
    <w:p/>
    <w:p>
      <w:pPr>
        <w:pStyle w:val="Normal"/>
      </w:pPr>
      <w:r>
        <w:rPr>
          <w:color w:val="323232"/>
        </w:rPr>
        <w:t xml:space="preserve">PATIENTS:PICU patients diagnosed with severe sepsis.</w:t>
      </w:r>
    </w:p>
    <w:p/>
    <w:p>
      <w:pPr>
        <w:pStyle w:val="Normal"/>
      </w:pPr>
      <w:r>
        <w:rPr>
          <w:color w:val="323232"/>
        </w:rPr>
        <w:t xml:space="preserve">INTERVENTIONS:None.</w:t>
      </w:r>
    </w:p>
    <w:p/>
    <w:p>
      <w:pPr>
        <w:pStyle w:val="Normal"/>
      </w:pPr>
      <w:r>
        <w:rPr>
          <w:color w:val="323232"/>
        </w:rPr>
        <w:t xml:space="preserve">MEASUREMENTS AND MAIN RESULTS:We reviewed data from the Pediatric Health Information System database from 2004 to 2012. Children with pediatric severe sepsis receiving balanced fluids for resuscitation in the first 24 and 72 hours of treatment were compared to those receiving unbalanced fluids. Thirty-six thousand nine hundred eight patients met entry criteria for analysis. Two thousand three hundred ninety-eight patients received exclusively balanced fluids at 24 hours and 1,641 at 72 hours. After propensity matching, the 72-hour balanced fluids group had lower mortality (12.5% vs 15.9%; p = 0.007; odds ratio, 0.76; 95% CI, 0.62-0.93), lower prevalence of acute kidney injury (16.0% vs 19.2%; p = 0.028; odds ratio, 0.82; 95% CI, 0.68-0.98), and fewer vasoactive infusion days (3.0 vs 3.3 d; p &lt; 0.001) when compared with the unbalanced fluids group.</w:t>
      </w:r>
    </w:p>
    <w:p/>
    <w:p>
      <w:pPr>
        <w:pStyle w:val="Normal"/>
      </w:pPr>
      <w:r>
        <w:rPr>
          <w:color w:val="323232"/>
        </w:rPr>
        <w:t xml:space="preserve">CONCLUSIONS:In this retrospective analysis carried out by propensity matching, exclusive use of balanced fluids in pediatric severe sepsis patients for the first 72 hours of resuscitation was associated with improved survival, decreased prevalence of acute kidney injury, and shorter duration of vasoactive infusions when compared with exclusive use of unbalanced fluids.</w:t>
      </w:r>
    </w:p>
    <w:p/>
    <w:p>
      <w:pPr>
        <w:pStyle w:val="Normal"/>
      </w:pPr>
      <w:r>
        <w:rPr>
          <w:color w:val="323232"/>
        </w:rPr>
        <w:t xml:space="preserve">Critical Care Medicine, 2017 vol. 45 (7) pp. 1177-1183.</w:t>
      </w:r>
    </w:p>
    <w:p>
      <w:r>
        <w:rPr>
          <w:rStyle w:val="Hyperlink"/>
        </w:rPr>
        <w:fldChar w:fldCharType="begin"/>
      </w:r>
      <w:r>
        <w:rPr>
          <w:rStyle w:val="Hyperlink"/>
        </w:rPr>
        <w:instrText xml:space="preserve"> HYPERLINK "http://eutils.ncbi.nlm.nih.gov/entrez/eutils/elink.fcgi?dbfrom=pubmed&amp;id=28437373&amp;retmode=ref&amp;cmd=prlinks"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http://eutils.ncbi.nlm.nih.gov/entrez/eutils/elink.fcgi?dbfrom=pubmed&amp;id=28437373&amp;retmode=ref&amp;cmd=prlinks</w:t>
      </w:r>
      <w:r>
        <w:rPr>
          <w:rStyle w:val="Hyperlink"/>
        </w:rPr>
        <w:fldChar w:fldCharType="end"/>
      </w:r>
    </w:p>
    <w:p>
      <w:pPr>
        <w:pStyle w:val="Normal"/>
      </w:pPr>
      <w:r>
        <w:rPr>
          <w:color w:val="323232"/>
        </w:rPr>
        <w:t xml:space="preserve">————————</w:t>
      </w:r>
    </w:p>
    <w:p>
      <w:pPr>
        <w:pStyle w:val="Heading4"/>
      </w:pPr>
      <w:r>
        <w:t xml:space="preserve">Withholding Pantoprazole for Stress Ulcer Prophylaxis in Critically Ill Patients: A Pilot Randomized Clinical Trial and Meta-Analysis.</w:t>
      </w:r>
    </w:p>
    <w:p/>
    <w:p>
      <w:pPr>
        <w:pStyle w:val="Normal"/>
      </w:pPr>
      <w:r>
        <w:rPr>
          <w:color w:val="323232"/>
        </w:rPr>
        <w:t xml:space="preserve">Waleed Alhazzani, Gordon Guyatt, Mohammed Alshahrani, Adam M Deane, John C Marshall, Richard Hall, John Muscedere, Shane W English, François Lauzier, Lehana Thabane, Yaseen M Arabi, Tim Karachi, Bram Rochwerg, Simon Finfer, Nick Daneman, Fayez Alshamsi, Nicole Zytaruk, Diane Heel-Ansdell, Deborah Cook, and Canadian Critical Care Trials Group.</w:t>
      </w:r>
    </w:p>
    <w:p/>
    <w:p>
      <w:pPr>
        <w:pStyle w:val="Normal"/>
      </w:pPr>
      <w:r>
        <w:rPr>
          <w:color w:val="323232"/>
        </w:rPr>
        <w:t xml:space="preserve">INTRODUCTION:A decreased frequency of upper gastrointestinal bleeding and a possible association of proton pump inhibitor use with Clostridium difficile and ventilator-associated pneumonia have raised concerns recently. The Reevaluating the Inhibition of Stress Erosions Pilot Trial determined the feasibility of undertaking a larger trial investigating the efficacy and safety of withholding proton pump inhibitors in critically ill patients.</w:t>
      </w:r>
    </w:p>
    <w:p/>
    <w:p>
      <w:pPr>
        <w:pStyle w:val="Normal"/>
      </w:pPr>
      <w:r>
        <w:rPr>
          <w:color w:val="323232"/>
        </w:rPr>
        <w:t xml:space="preserve">METHODS:In 10 ICUs, we randomized adult ICU patients anticipated to be mechanically ventilated for greater than or equal to 48 hours to receive 40</w:t>
      </w:r>
      <w:r>
        <w:rPr>
          <w:color w:val="323232"/>
        </w:rPr>
        <w:t xml:space="preserve"> </w:t>
      </w:r>
      <w:r>
        <w:rPr>
          <w:color w:val="323232"/>
        </w:rPr>
        <w:t xml:space="preserve">mg of IV pantoprazole daily or placebo. We excluded patients who had acute or recent gastrointestinal bleed, used dual antiplatelet agents, had a medical condition requiring proton pump inhibitor treatment, or had already received more than one dose of acid suppression daily. Patients, families, clinicians, and research staff were blinded. We conducted a systematic review and meta-analysis of similar trials.</w:t>
      </w:r>
    </w:p>
    <w:p/>
    <w:p>
      <w:pPr>
        <w:pStyle w:val="Normal"/>
      </w:pPr>
      <w:r>
        <w:rPr>
          <w:color w:val="323232"/>
        </w:rPr>
        <w:t xml:space="preserve">MAIN RESULTS:Ninety-one patients (49 pantoprazole and 42 placebo) from 10 centers in Canada, Saudi Arabia, and Australia were enrolled. All feasibility goals were met: 1) recruitment rate was 2.6 patients per month; 2) consent rate was 77.8%; and 3) protocol adherence was 97.7%. Upper gastrointestinal bleeding developed in 6.1% of patients in the pantoprazole group and 4.8% in the placebo group (p = 1.0). Ventilator-associated pneumonia developed in 20.4% of patients in the pantoprazole group and 14.3% in the placebo group (p = 0.58). C. difficile was identified in 4.1% pantoprazole patients and in 2.4% placebo patients (p = 1.0). We meta-analyzed five trials (604 patients) of proton pump inhibitors versus placebo; there was no statistically significant difference in the risk of upper gastrointestinal bleeding, infections, or mortality.</w:t>
      </w:r>
    </w:p>
    <w:p/>
    <w:p>
      <w:pPr>
        <w:pStyle w:val="Normal"/>
      </w:pPr>
      <w:r>
        <w:rPr>
          <w:color w:val="323232"/>
        </w:rPr>
        <w:t xml:space="preserve">CONCLUSIONS:Our results support the feasibility of a larger trial to evaluate the safety of withholding stress ulcer prophylaxis. Although the results are imprecise, there was no alarming increase in the risk of upper gastrointestinal bleeding; the effect of proton pump inhibitors on ventilator-associated pneumonia and C. difficile remain unclear.</w:t>
      </w:r>
    </w:p>
    <w:p/>
    <w:p>
      <w:pPr>
        <w:pStyle w:val="Normal"/>
      </w:pPr>
      <w:r>
        <w:rPr>
          <w:color w:val="323232"/>
        </w:rPr>
        <w:t xml:space="preserve">Critical Care Medicine, 2017 vol. 45 (7) pp. 1121-1129.</w:t>
      </w:r>
    </w:p>
    <w:p>
      <w:r>
        <w:rPr>
          <w:rStyle w:val="Hyperlink"/>
        </w:rPr>
        <w:fldChar w:fldCharType="begin"/>
      </w:r>
      <w:r>
        <w:rPr>
          <w:rStyle w:val="Hyperlink"/>
        </w:rPr>
        <w:instrText xml:space="preserve"> HYPERLINK "http://eutils.ncbi.nlm.nih.gov/entrez/eutils/elink.fcgi?dbfrom=pubmed&amp;id=28459708&amp;retmode=ref&amp;cmd=prlinks"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http://eutils.ncbi.nlm.nih.gov/entrez/eutils/elink.fcgi?dbfrom=pubmed&amp;id=28459708&amp;retmode=ref&amp;cmd=prlinks</w:t>
      </w:r>
      <w:r>
        <w:rPr>
          <w:rStyle w:val="Hyperlink"/>
        </w:rPr>
        <w:fldChar w:fldCharType="end"/>
      </w:r>
    </w:p>
    <w:p>
      <w:pPr>
        <w:pStyle w:val="Normal"/>
      </w:pPr>
      <w:r>
        <w:rPr>
          <w:color w:val="323232"/>
        </w:rPr>
        <w:t xml:space="preserve">————————</w:t>
      </w:r>
    </w:p>
    <w:p>
      <w:pPr>
        <w:pStyle w:val="Heading4"/>
      </w:pPr>
      <w:r>
        <w:t xml:space="preserve">Antibiotic Therapy in Comatose Mechanically Ventilated Patients Following Aspiration: Differentiating Pneumonia From Pneumonitis.</w:t>
      </w:r>
    </w:p>
    <w:p/>
    <w:p>
      <w:pPr>
        <w:pStyle w:val="Normal"/>
      </w:pPr>
      <w:r>
        <w:rPr>
          <w:color w:val="323232"/>
        </w:rPr>
        <w:t xml:space="preserve">Jean-Baptiste Lascarrou, Floriane Lissonde, Aurélie Le Thuaut, Konstantinos Bachoumas, Gwenhael Colin, Matthieu Henry Lagarrigue, Isabelle Vinatier, Maud Fiancette, Jean Claude Lacherade, Aihem Yehia, Aurélie Joret, Christine Lebert, Sandra Bourdon, Laurent Martin Lefèvre, and Jean Reignier.</w:t>
      </w:r>
    </w:p>
    <w:p/>
    <w:p>
      <w:pPr>
        <w:pStyle w:val="Normal"/>
      </w:pPr>
      <w:r>
        <w:rPr>
          <w:color w:val="323232"/>
        </w:rPr>
        <w:t xml:space="preserve">OBJECTIVES:To determine the proportion of patients with documented bacterial aspiration pneumonia among comatose ICU patients with symptoms suggesting either bacterial aspiration pneumonia or non-bacterial aspiration pneumonitis.</w:t>
      </w:r>
    </w:p>
    <w:p/>
    <w:p>
      <w:pPr>
        <w:pStyle w:val="Normal"/>
      </w:pPr>
      <w:r>
        <w:rPr>
          <w:color w:val="323232"/>
        </w:rPr>
        <w:t xml:space="preserve">DESIGN:Prospective observational study.</w:t>
      </w:r>
    </w:p>
    <w:p/>
    <w:p>
      <w:pPr>
        <w:pStyle w:val="Normal"/>
      </w:pPr>
      <w:r>
        <w:rPr>
          <w:color w:val="323232"/>
        </w:rPr>
        <w:t xml:space="preserve">SETTING:University-affiliated 30-bed ICU.</w:t>
      </w:r>
    </w:p>
    <w:p/>
    <w:p>
      <w:pPr>
        <w:pStyle w:val="Normal"/>
      </w:pPr>
      <w:r>
        <w:rPr>
          <w:color w:val="323232"/>
        </w:rPr>
        <w:t xml:space="preserve">PATIENTS:Prospective cohort of 250 patients admitted to the ICU with coma (Glasgow Coma Scale score ≤ 8) and treated with invasive mechanical ventilation.</w:t>
      </w:r>
    </w:p>
    <w:p/>
    <w:p>
      <w:pPr>
        <w:pStyle w:val="Normal"/>
      </w:pPr>
      <w:r>
        <w:rPr>
          <w:color w:val="323232"/>
        </w:rPr>
        <w:t xml:space="preserve">INTERVENTIONS:None.</w:t>
      </w:r>
    </w:p>
    <w:p/>
    <w:p>
      <w:pPr>
        <w:pStyle w:val="Normal"/>
      </w:pPr>
      <w:r>
        <w:rPr>
          <w:color w:val="323232"/>
        </w:rPr>
        <w:t xml:space="preserve">MEASUREMENTS AND MAIN RESULTS:The primary outcome was the proportion of patients with microbiologically documented bacterial aspiration pneumonia. Patients meeting predefined criteria for aspiration syndrome routinely underwent telescopic plugged catheter sampling during bronchoscopy before starting probabilistic antibiotic treatment. When cultures were negative, the antibiotic treatment was stopped. Of 250 included patients, 98 (39.2%) had aspiration syndrome, including 92 before mechanical ventilation discontinuation. Telescopic plugged catheter in these 92 patients showed bacterial aspiration pneumonia in 43 patients (46.7%). Among the remaining 49 patients, 16 continued to receive antibiotics, usually for infections other than pneumonia; of the 33 patients whose antibiotics were discontinued, only two subsequently showed signs of lung infection. In the six patients with aspiration syndrome after mechanical ventilation, and therefore without telescopic plugged catheter, antibiotic treatment was continued for 7 days. Mechanical ventilation duration, ICU length of stay, and mortality did not differ between the 43 patients with bacterial aspiration pneumonia and the 49 patients with non-bacterial aspiration pneumonitis. The 152 patients without aspiration syndrome did not receive antibiotics.</w:t>
      </w:r>
    </w:p>
    <w:p/>
    <w:p>
      <w:pPr>
        <w:pStyle w:val="Normal"/>
      </w:pPr>
      <w:r>
        <w:rPr>
          <w:color w:val="323232"/>
        </w:rPr>
        <w:t xml:space="preserve">CONCLUSIONS:Among comatose patients receiving mechanical ventilation, those without clinical, laboratory, or radiologic evidence of bacterial aspiration pneumonia did not require antibiotics. In those with suspected bacterial aspiration pneumonia, stopping empirical antibiotic therapy when routine telescopic plugged catheter sampling recovered no microorganisms was nearly always effective. This strategy may be a valid alternative to routine full-course antibiotic therapy. Only half the patients with suspected bacterial aspiration pneumonia had this diagnosis confirmed by telescopic plugged catheter sampling.</w:t>
      </w:r>
    </w:p>
    <w:p/>
    <w:p>
      <w:pPr>
        <w:pStyle w:val="Normal"/>
      </w:pPr>
      <w:r>
        <w:rPr>
          <w:color w:val="323232"/>
        </w:rPr>
        <w:t xml:space="preserve">Critical Care Medicine, 2017 vol. 45 (8) pp. 1268-1275.</w:t>
      </w:r>
    </w:p>
    <w:p>
      <w:r>
        <w:rPr>
          <w:rStyle w:val="Hyperlink"/>
        </w:rPr>
        <w:fldChar w:fldCharType="begin"/>
      </w:r>
      <w:r>
        <w:rPr>
          <w:rStyle w:val="Hyperlink"/>
        </w:rPr>
        <w:instrText xml:space="preserve"> HYPERLINK "http://eutils.ncbi.nlm.nih.gov/entrez/eutils/elink.fcgi?dbfrom=pubmed&amp;id=28594680&amp;retmode=ref&amp;cmd=prlinks"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http://eutils.ncbi.nlm.nih.gov/entrez/eutils/elink.fcgi?dbfrom=pubmed&amp;id=28594680&amp;retmode=ref&amp;cmd=prlinks</w:t>
      </w:r>
      <w:r>
        <w:rPr>
          <w:rStyle w:val="Hyperlink"/>
        </w:rPr>
        <w:fldChar w:fldCharType="end"/>
      </w:r>
    </w:p>
    <w:p>
      <w:pPr>
        <w:pStyle w:val="Normal"/>
      </w:pPr>
      <w:r>
        <w:rPr>
          <w:color w:val="323232"/>
        </w:rPr>
        <w:t xml:space="preserve">————————</w:t>
      </w:r>
    </w:p>
    <w:p>
      <w:pPr>
        <w:pStyle w:val="Heading4"/>
      </w:pPr>
      <w:r>
        <w:t xml:space="preserve">Both Positive and Negative Fluid Balance May Be Associated With Reduced Long-Term Survival in the Critically Ill.</w:t>
      </w:r>
    </w:p>
    <w:p/>
    <w:p>
      <w:pPr>
        <w:pStyle w:val="Normal"/>
      </w:pPr>
      <w:r>
        <w:rPr>
          <w:color w:val="323232"/>
        </w:rPr>
        <w:t xml:space="preserve">Vikram Balakumar, Raghavan Murugan, Florentina E Sileanu, Paul Palevsky, Gilles Clermont, and John A Kellum.</w:t>
      </w:r>
    </w:p>
    <w:p/>
    <w:p>
      <w:pPr>
        <w:pStyle w:val="Normal"/>
      </w:pPr>
      <w:r>
        <w:rPr>
          <w:color w:val="323232"/>
        </w:rPr>
        <w:t xml:space="preserve">OBJECTIVES:Among critically ill patients with acute kidney injury, exposure to positive fluid balance, compared with negative fluid balance, has been associated with mortality and impaired renal recovery. However, it is unclear whether positive and negative fluid balances are associated with poor outcome compared to patients with even fluid balance (euvolemia). In this study, we examined the association between exposure to positive or negative fluid balance, compared with even fluid balance, on 1-year mortality and renal recovery.</w:t>
      </w:r>
    </w:p>
    <w:p/>
    <w:p>
      <w:pPr>
        <w:pStyle w:val="Normal"/>
      </w:pPr>
      <w:r>
        <w:rPr>
          <w:color w:val="323232"/>
        </w:rPr>
        <w:t xml:space="preserve">DESIGN:Retrospective cohort study.</w:t>
      </w:r>
    </w:p>
    <w:p/>
    <w:p>
      <w:pPr>
        <w:pStyle w:val="Normal"/>
      </w:pPr>
      <w:r>
        <w:rPr>
          <w:color w:val="323232"/>
        </w:rPr>
        <w:t xml:space="preserve">SETTING:Eight medical-surgical ICUs at the University of Pittsburgh Medical Center, Pittsburgh, PA.</w:t>
      </w:r>
    </w:p>
    <w:p/>
    <w:p>
      <w:pPr>
        <w:pStyle w:val="Normal"/>
      </w:pPr>
      <w:r>
        <w:rPr>
          <w:color w:val="323232"/>
        </w:rPr>
        <w:t xml:space="preserve">PATIENTS:Critically ill patients admitted between July 2000 and October 2008.</w:t>
      </w:r>
    </w:p>
    <w:p/>
    <w:p>
      <w:pPr>
        <w:pStyle w:val="Normal"/>
      </w:pPr>
      <w:r>
        <w:rPr>
          <w:color w:val="323232"/>
        </w:rPr>
        <w:t xml:space="preserve">INTERVENTIONS:None.</w:t>
      </w:r>
    </w:p>
    <w:p/>
    <w:p>
      <w:pPr>
        <w:pStyle w:val="Normal"/>
      </w:pPr>
      <w:r>
        <w:rPr>
          <w:color w:val="323232"/>
        </w:rPr>
        <w:t xml:space="preserve">MEASUREMENTS AND MAIN RESULTS:Among 18,084 patients, fluid balance was categorized as negative (&lt; 0%), even (0% to &lt; 5%), or positive (≥ 5%). Following propensity matching, positive fluid balance, compared with even or negative fluid balance, was associated with increased mortality (30.3% vs 21.1% vs 22%, respectively; p &lt; 0.001). Using Gray's model, negative fluid balance, compared with even fluid balance, was associated with lower short-term mortality (adjusted hazard ratio range, 0.81; 95% CI, 0.68-0.96) but higher long-term mortality (adjusted hazard ratio range, 1.16-1.22; p = 0.004). Conversely, positive fluid balance was associated with higher mortality throughout 1-year (adjusted hazard ratio range, 1.30-1.92; p &lt; 0.001), which was attenuated in those who received renal replacement therapy (positive fluid balance × renal replacement therapy interaction (adjusted hazard ratio range, 0.43-0.89; p &lt; 0.001). Of patients receiving renal replacement therapy, neither positive (adjusted odds ratio, 0.98; 95% CI, 0.68-1.4) nor negative (adjusted odds ratio, 0.81; 95% CI, 0.43-1.55) fluid balance was associated with renal recovery.</w:t>
      </w:r>
    </w:p>
    <w:p/>
    <w:p>
      <w:pPr>
        <w:pStyle w:val="Normal"/>
      </w:pPr>
      <w:r>
        <w:rPr>
          <w:color w:val="323232"/>
        </w:rPr>
        <w:t xml:space="preserve">CONCLUSIONS:Among critically ill patients, exposure to positive or negative fluid balance, compared with even fluid balance, was associated with higher 1-year mortality. This mortality risk associated with positive fluid balance, however, was attenuated by use of renal replacement therapy. We found no association between fluid balance and renal recovery.</w:t>
      </w:r>
    </w:p>
    <w:p/>
    <w:p>
      <w:pPr>
        <w:pStyle w:val="Normal"/>
      </w:pPr>
      <w:r>
        <w:rPr>
          <w:color w:val="323232"/>
        </w:rPr>
        <w:t xml:space="preserve">Critical Care Medicine, 2017 vol. 45 (8) pp. e749-e757.</w:t>
      </w:r>
    </w:p>
    <w:p>
      <w:r>
        <w:rPr>
          <w:rStyle w:val="Hyperlink"/>
        </w:rPr>
        <w:fldChar w:fldCharType="begin"/>
      </w:r>
      <w:r>
        <w:rPr>
          <w:rStyle w:val="Hyperlink"/>
        </w:rPr>
        <w:instrText xml:space="preserve"> HYPERLINK "http://eutils.ncbi.nlm.nih.gov/entrez/eutils/elink.fcgi?dbfrom=pubmed&amp;id=28437375&amp;retmode=ref&amp;cmd=prlinks"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http://eutils.ncbi.nlm.nih.gov/entrez/eutils/elink.fcgi?dbfrom=pubmed&amp;id=28437375&amp;retmode=ref&amp;cmd=prlinks</w:t>
      </w:r>
      <w:r>
        <w:rPr>
          <w:rStyle w:val="Hyperlink"/>
        </w:rPr>
        <w:fldChar w:fldCharType="end"/>
      </w:r>
    </w:p>
    <w:p>
      <w:pPr>
        <w:pStyle w:val="Normal"/>
      </w:pPr>
      <w:r>
        <w:rPr>
          <w:color w:val="323232"/>
        </w:rPr>
        <w:t xml:space="preserve">————————</w:t>
      </w:r>
    </w:p>
    <w:p>
      <w:pPr>
        <w:pStyle w:val="Heading4"/>
      </w:pPr>
      <w:r>
        <w:t xml:space="preserve">Clinical Experience With IV Angiotensin II Administration: A Systematic Review of Safety.</w:t>
      </w:r>
    </w:p>
    <w:p/>
    <w:p>
      <w:pPr>
        <w:pStyle w:val="Normal"/>
      </w:pPr>
      <w:r>
        <w:rPr>
          <w:color w:val="323232"/>
        </w:rPr>
        <w:t xml:space="preserve">Laurence W Busse, Xueyuan Shelly Wang, Divya M Chalikonda, Kevin W Finkel, Ashish K Khanna, Harold M Szerlip, David Yoo, Sharon L Dana, and Lakhmir S Chawla.</w:t>
      </w:r>
    </w:p>
    <w:p/>
    <w:p>
      <w:pPr>
        <w:pStyle w:val="Normal"/>
      </w:pPr>
      <w:r>
        <w:rPr>
          <w:color w:val="323232"/>
        </w:rPr>
        <w:t xml:space="preserve">OBJECTIVE:Angiotensin II is an endogenous hormone with vasopressor and endocrine activities. This is a systematic review of the safety of IV angiotensin II.</w:t>
      </w:r>
    </w:p>
    <w:p/>
    <w:p>
      <w:pPr>
        <w:pStyle w:val="Normal"/>
      </w:pPr>
      <w:r>
        <w:rPr>
          <w:color w:val="323232"/>
        </w:rPr>
        <w:t xml:space="preserve">DATA SOURCES:PubMed, Medline, Scopus, and Cochrane.</w:t>
      </w:r>
    </w:p>
    <w:p/>
    <w:p>
      <w:pPr>
        <w:pStyle w:val="Normal"/>
      </w:pPr>
      <w:r>
        <w:rPr>
          <w:color w:val="323232"/>
        </w:rPr>
        <w:t xml:space="preserve">STUDY SELECTION:Studies in which human subjects received IV angiotensin II were selected whether or not safety was discussed.</w:t>
      </w:r>
    </w:p>
    <w:p/>
    <w:p>
      <w:pPr>
        <w:pStyle w:val="Normal"/>
      </w:pPr>
      <w:r>
        <w:rPr>
          <w:color w:val="323232"/>
        </w:rPr>
        <w:t xml:space="preserve">DATA EXTRACTION:In total, 18,468 studies were screened by two reviewers and one arbiter. One thousand one hundred twenty-four studies, in which 31,281 participants received angiotensin II (0.5-3,780</w:t>
      </w:r>
      <w:r>
        <w:rPr>
          <w:color w:val="323232"/>
        </w:rPr>
        <w:t xml:space="preserve"> </w:t>
      </w:r>
      <w:r>
        <w:rPr>
          <w:color w:val="323232"/>
        </w:rPr>
        <w:t xml:space="preserve">ng</w:t>
      </w:r>
      <w:r>
        <w:rPr>
          <w:i w:val="1"/>
          <w:color w:val="323232"/>
        </w:rPr>
        <w:t xml:space="preserve">kg</w:t>
      </w:r>
      <w:r>
        <w:rPr>
          <w:color w:val="323232"/>
        </w:rPr>
        <w:t xml:space="preserve">min), were selected. Data recorded included number of subjects, comorbidities, angiotensin II dose and duration, pressor effects, other physiologic and side effects, and adverse events.</w:t>
      </w:r>
    </w:p>
    <w:p/>
    <w:p>
      <w:pPr>
        <w:pStyle w:val="Normal"/>
      </w:pPr>
      <w:r>
        <w:rPr>
          <w:color w:val="323232"/>
        </w:rPr>
        <w:t xml:space="preserve">DATA SYNTHESIS:The most common nonpressor effects included changes in plasma aldosterone, renal function, cardiac variables, and electrolytes. Adverse events were infrequent and included headache, chest pressure, and orthostatic symptoms. The most serious side effects were exacerbation of left ventricular failure in patients with congestive heart failure and bronchoconstriction. One patient with congestive heart failure died from refractory left ventricular failure. Refractory hypotensive shock was fatal in 55 of 115 patients treated with angiotensin II in case studies, cohort studies, and one placebo-controlled study. One healthy subject died after a pressor dose of angiotensin II was infused continuously for 6 days. No other serious adverse events attributable to angiotensin II were reported. Heterogeneity in study design prevented meta-analysis.</w:t>
      </w:r>
    </w:p>
    <w:p/>
    <w:p>
      <w:pPr>
        <w:pStyle w:val="Normal"/>
      </w:pPr>
      <w:r>
        <w:rPr>
          <w:color w:val="323232"/>
        </w:rPr>
        <w:t xml:space="preserve">CONCLUSION:Adverse events associated with angiotensin II were infrequent; however, exacerbation of asthma and congestive heart failure and one fatal cerebral hemorrhage were reported. This systematic review supports the notion that angiotensin II has an acceptable safety profile for use in humans.</w:t>
      </w:r>
    </w:p>
    <w:p/>
    <w:p>
      <w:pPr>
        <w:pStyle w:val="Normal"/>
      </w:pPr>
      <w:r>
        <w:rPr>
          <w:color w:val="323232"/>
        </w:rPr>
        <w:t xml:space="preserve">Critical Care Medicine, 2017 vol. 45 (8) pp. 1285-1294.</w:t>
      </w:r>
    </w:p>
    <w:p>
      <w:r>
        <w:rPr>
          <w:rStyle w:val="Hyperlink"/>
        </w:rPr>
        <w:fldChar w:fldCharType="begin"/>
      </w:r>
      <w:r>
        <w:rPr>
          <w:rStyle w:val="Hyperlink"/>
        </w:rPr>
        <w:instrText xml:space="preserve"> HYPERLINK "http://eutils.ncbi.nlm.nih.gov/entrez/eutils/elink.fcgi?dbfrom=pubmed&amp;id=28489648&amp;retmode=ref&amp;cmd=prlinks"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http://eutils.ncbi.nlm.nih.gov/entrez/eutils/elink.fcgi?dbfrom=pubmed&amp;id=28489648&amp;retmode=ref&amp;cmd=prlinks</w:t>
      </w:r>
      <w:r>
        <w:rPr>
          <w:rStyle w:val="Hyperlink"/>
        </w:rPr>
        <w:fldChar w:fldCharType="end"/>
      </w:r>
    </w:p>
    <w:p>
      <w:pPr>
        <w:pStyle w:val="Normal"/>
      </w:pPr>
      <w:r>
        <w:rPr>
          <w:color w:val="323232"/>
        </w:rPr>
        <w:t xml:space="preserve">————————</w:t>
      </w:r>
    </w:p>
    <w:p>
      <w:pPr>
        <w:pStyle w:val="Heading4"/>
      </w:pPr>
      <w:r>
        <w:t xml:space="preserve">Dysglycemia, Glycemic Variability, and Outcome After Cardiac Arrest and Temperature Management at 33°C and 36°C.</w:t>
      </w:r>
    </w:p>
    <w:p/>
    <w:p>
      <w:pPr>
        <w:pStyle w:val="Normal"/>
      </w:pPr>
      <w:r>
        <w:rPr>
          <w:color w:val="323232"/>
        </w:rPr>
        <w:t xml:space="preserve">Ola Borgquist, Matt P Wise, Niklas Nielsen, Nawaf Al-Subaie, Julius Cranshaw, Tobias Cronberg, Guy Glover, Christian Hassager, Jesper Kjaergaard, Michael Kuiper, Ondrej Smid, Andrew Walden, Hans Friberg, and TTM Trial Investigators.</w:t>
      </w:r>
    </w:p>
    <w:p/>
    <w:p>
      <w:pPr>
        <w:pStyle w:val="Normal"/>
      </w:pPr>
      <w:r>
        <w:rPr>
          <w:color w:val="323232"/>
        </w:rPr>
        <w:t xml:space="preserve">OBJECTIVES:Dysglycemia and glycemic variability are associated with poor outcomes in critically ill patients. Targeted temperature management alters blood glucose homeostasis. We investigated the association between blood glucose concentrations and glycemic variability and the neurologic outcomes of patients randomized to targeted temperature management at 33°C or 36°C after cardiac arrest.</w:t>
      </w:r>
    </w:p>
    <w:p/>
    <w:p>
      <w:pPr>
        <w:pStyle w:val="Normal"/>
      </w:pPr>
      <w:r>
        <w:rPr>
          <w:color w:val="323232"/>
        </w:rPr>
        <w:t xml:space="preserve">DESIGN:Post hoc analysis of the multicenter TTM-trial. Primary outcome of this analysis was neurologic outcome after 6 months, referred to as "Cerebral Performance Category."</w:t>
      </w:r>
    </w:p>
    <w:p/>
    <w:p>
      <w:pPr>
        <w:pStyle w:val="Normal"/>
      </w:pPr>
      <w:r>
        <w:rPr>
          <w:color w:val="323232"/>
        </w:rPr>
        <w:t xml:space="preserve">SETTING:Thirty-six sites in Europe and Australia.</w:t>
      </w:r>
    </w:p>
    <w:p/>
    <w:p>
      <w:pPr>
        <w:pStyle w:val="Normal"/>
      </w:pPr>
      <w:r>
        <w:rPr>
          <w:color w:val="323232"/>
        </w:rPr>
        <w:t xml:space="preserve">PATIENTS:All 939 patients with out-of-hospital cardiac arrest of presumed cardiac cause that had been included in the TTM-trial.</w:t>
      </w:r>
    </w:p>
    <w:p/>
    <w:p>
      <w:pPr>
        <w:pStyle w:val="Normal"/>
      </w:pPr>
      <w:r>
        <w:rPr>
          <w:color w:val="323232"/>
        </w:rPr>
        <w:t xml:space="preserve">INTERVENTIONS:Targeted temperature management at 33°C or 36°C.</w:t>
      </w:r>
    </w:p>
    <w:p/>
    <w:p>
      <w:pPr>
        <w:pStyle w:val="Normal"/>
      </w:pPr>
      <w:r>
        <w:rPr>
          <w:color w:val="323232"/>
        </w:rPr>
        <w:t xml:space="preserve">MEASUREMENTS AND MAIN RESULTS:Nonparametric tests as well as multiple logistic regression and mixed effects logistic regression models were used. Median glucose concentrations on hospital admission differed significantly between Cerebral Performance Category outcomes (p &lt; 0.0001). Hyper- and hypoglycemia were associated with poor neurologic outcome (p = 0.001 and p = 0.054). In the multiple logistic regression models, the median glycemic level was an independent predictor of poor Cerebral Performance Category (Cerebral Performance Category, 3-5) with an odds ratio (OR) of 1.13 in the adjusted model (p = 0.008; 95% CI, 1.03-1.24). It was also a predictor in the mixed model, which served as a sensitivity analysis to adjust for the multiple time points. The proportion of hyperglycemia was higher in the 33°C group compared with the 36°C group.</w:t>
      </w:r>
    </w:p>
    <w:p/>
    <w:p>
      <w:pPr>
        <w:pStyle w:val="Normal"/>
      </w:pPr>
      <w:r>
        <w:rPr>
          <w:color w:val="323232"/>
        </w:rPr>
        <w:t xml:space="preserve">CONCLUSION:Higher blood glucose levels at admission and during the first 36 hours, and higher glycemic variability, were associated with poor neurologic outcome and death. More patients in the 33°C treatment arm had hyperglycemia.</w:t>
      </w:r>
    </w:p>
    <w:p/>
    <w:p>
      <w:pPr>
        <w:pStyle w:val="Normal"/>
      </w:pPr>
      <w:r>
        <w:rPr>
          <w:color w:val="323232"/>
        </w:rPr>
        <w:t xml:space="preserve">Critical Care Medicine, 2017 vol. 45 (8) pp. 1337-1343.</w:t>
      </w:r>
    </w:p>
    <w:p>
      <w:r>
        <w:rPr>
          <w:rStyle w:val="Hyperlink"/>
        </w:rPr>
        <w:fldChar w:fldCharType="begin"/>
      </w:r>
      <w:r>
        <w:rPr>
          <w:rStyle w:val="Hyperlink"/>
        </w:rPr>
        <w:instrText xml:space="preserve"> HYPERLINK "http://eutils.ncbi.nlm.nih.gov/entrez/eutils/elink.fcgi?dbfrom=pubmed&amp;id=28708678&amp;retmode=ref&amp;cmd=prlinks"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http://eutils.ncbi.nlm.nih.gov/entrez/eutils/elink.fcgi?dbfrom=pubmed&amp;id=28708678&amp;retmode=ref&amp;cmd=prlinks</w:t>
      </w:r>
      <w:r>
        <w:rPr>
          <w:rStyle w:val="Hyperlink"/>
        </w:rPr>
        <w:fldChar w:fldCharType="end"/>
      </w:r>
    </w:p>
    <w:p>
      <w:pPr>
        <w:pStyle w:val="Normal"/>
      </w:pPr>
      <w:r>
        <w:rPr>
          <w:color w:val="323232"/>
        </w:rPr>
        <w:t xml:space="preserve">————————</w:t>
      </w:r>
    </w:p>
    <w:p>
      <w:pPr>
        <w:pStyle w:val="Heading4"/>
      </w:pPr>
      <w:r>
        <w:t xml:space="preserve">Nonlinear Imputation of PaO2/FIO2 From SpO2/FIO2 Among Mechanically Ventilated Patients in the ICU: A Prospective, Observational Study.</w:t>
      </w:r>
    </w:p>
    <w:p/>
    <w:p>
      <w:pPr>
        <w:pStyle w:val="Normal"/>
      </w:pPr>
      <w:r>
        <w:rPr>
          <w:color w:val="323232"/>
        </w:rPr>
        <w:t xml:space="preserve">Samuel M Brown, Abhijit Duggal, Peter C Hou, Mark Tidswell, Akram Khan, Matthew Exline, Pauline K Park, David A Schoenfeld, Ming Liu, Colin K Grissom, Marc Moss, Todd W Rice, Catherine L Hough, Emanuel Rivers, B Taylor Thompson, Roy G Brower, and National Institutes of Health (NIH)/National Heart, Lung, and Blood Institute (NHLBI) Prevention and Early Treatment of Acute Lung Injury (PETAL) Network.</w:t>
      </w:r>
    </w:p>
    <w:p/>
    <w:p>
      <w:pPr>
        <w:pStyle w:val="Normal"/>
      </w:pPr>
      <w:r>
        <w:rPr>
          <w:color w:val="323232"/>
        </w:rPr>
        <w:t xml:space="preserve">OBJECTIVES:In the contemporary ICU, mechanically ventilated patients may not have arterial blood gas measurements available at relevant timepoints. Severity criteria often depend on arterial blood gas results. Retrospective studies suggest that nonlinear imputation of PaO2/FIO2 from SpO2/FIO2 is accurate, but this has not been established prospectively among mechanically ventilated ICU patients. The objective was to validate the superiority of nonlinear imputation of PaO2/FIO2 among mechanically ventilated patients and understand what factors influence the accuracy of imputation.</w:t>
      </w:r>
    </w:p>
    <w:p/>
    <w:p>
      <w:pPr>
        <w:pStyle w:val="Normal"/>
      </w:pPr>
      <w:r>
        <w:rPr>
          <w:color w:val="323232"/>
        </w:rPr>
        <w:t xml:space="preserve">DESIGN:Simultaneous SpO2, oximeter characteristics, receipt of vasopressors, and skin pigmentation were recorded at the time of a clinical arterial blood gas. Acute respiratory distress syndrome criteria were recorded. For each imputation method, we calculated both imputation error and the area under the curve for patients meeting criteria for acute respiratory distress syndrome (PaO2/FIO2 ≤ 300) and moderate-severe acute respiratory distress syndrome (PaO2/FIO2 ≤ 150).</w:t>
      </w:r>
    </w:p>
    <w:p/>
    <w:p>
      <w:pPr>
        <w:pStyle w:val="Normal"/>
      </w:pPr>
      <w:r>
        <w:rPr>
          <w:color w:val="323232"/>
        </w:rPr>
        <w:t xml:space="preserve">SETTING:Nine hospitals within the Prevention and Early Treatment of Acute Lung Injury network.</w:t>
      </w:r>
    </w:p>
    <w:p/>
    <w:p>
      <w:pPr>
        <w:pStyle w:val="Normal"/>
      </w:pPr>
      <w:r>
        <w:rPr>
          <w:color w:val="323232"/>
        </w:rPr>
        <w:t xml:space="preserve">PATIENTS:We prospectively enrolled 703 mechanically ventilated patients admitted to the emergency departments or ICUs of participating study hospitals.</w:t>
      </w:r>
    </w:p>
    <w:p/>
    <w:p>
      <w:pPr>
        <w:pStyle w:val="Normal"/>
      </w:pPr>
      <w:r>
        <w:rPr>
          <w:color w:val="323232"/>
        </w:rPr>
        <w:t xml:space="preserve">INTERVENTIONS:None.</w:t>
      </w:r>
    </w:p>
    <w:p/>
    <w:p>
      <w:pPr>
        <w:pStyle w:val="Normal"/>
      </w:pPr>
      <w:r>
        <w:rPr>
          <w:color w:val="323232"/>
        </w:rPr>
        <w:t xml:space="preserve">MEASUREMENTS AND MAIN RESULTS:We studied 1,034 arterial blood gases from 703 patients; 650 arterial blood gases were associated with SpO2 less than or equal to 96%. Nonlinear imputation had consistently lower error than other techniques. Among all patients, nonlinear had a lower error (p &lt; 0.001) and higher (p &lt; 0.001) area under the curve (0.87; 95% CI, 0.85-0.90) for PaO2/FIO2 less than or equal to 300 than linear/ log-linear (0.80; 95% CI, 0.76-0.83) imputation. All imputation methods better identified moderate-severe acute respiratory distress syndrome (PaO2/FIO2 ≤ 150); nonlinear imputation remained superior (p &lt; 0.001). For PaO2/FIO2 less than or equal to 150, the sensitivity and specificity for nonlinear imputation were 0.87 (95% CI, 0.83-0.90) and 0.91 (95% CI, 0.88-0.93), respectively. Skin pigmentation and receipt of vasopressors were not associated with imputation accuracy.</w:t>
      </w:r>
    </w:p>
    <w:p/>
    <w:p>
      <w:pPr>
        <w:pStyle w:val="Normal"/>
      </w:pPr>
      <w:r>
        <w:rPr>
          <w:color w:val="323232"/>
        </w:rPr>
        <w:t xml:space="preserve">CONCLUSIONS:In mechanically ventilated patients, nonlinear imputation of PaO2/FIO2 from SpO2/FIO2 seems accurate, especially for moderate-severe hypoxemia. Linear and log-linear imputations cannot be recommended.</w:t>
      </w:r>
    </w:p>
    <w:p/>
    <w:p>
      <w:pPr>
        <w:pStyle w:val="Normal"/>
      </w:pPr>
      <w:r>
        <w:rPr>
          <w:color w:val="323232"/>
        </w:rPr>
        <w:t xml:space="preserve">Critical Care Medicine, 2017 vol. 45 (8) pp. 1317-1324.</w:t>
      </w:r>
    </w:p>
    <w:p>
      <w:r>
        <w:rPr>
          <w:rStyle w:val="Hyperlink"/>
        </w:rPr>
        <w:fldChar w:fldCharType="begin"/>
      </w:r>
      <w:r>
        <w:rPr>
          <w:rStyle w:val="Hyperlink"/>
        </w:rPr>
        <w:instrText xml:space="preserve"> HYPERLINK "http://eutils.ncbi.nlm.nih.gov/entrez/eutils/elink.fcgi?dbfrom=pubmed&amp;id=28538439&amp;retmode=ref&amp;cmd=prlinks"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http://eutils.ncbi.nlm.nih.gov/entrez/eutils/elink.fcgi?dbfrom=pubmed&amp;id=28538439&amp;retmode=ref&amp;cmd=prlinks</w:t>
      </w:r>
      <w:r>
        <w:rPr>
          <w:rStyle w:val="Hyperlink"/>
        </w:rPr>
        <w:fldChar w:fldCharType="end"/>
      </w:r>
    </w:p>
    <w:p>
      <w:pPr>
        <w:pStyle w:val="Normal"/>
      </w:pPr>
      <w:r>
        <w:rPr>
          <w:color w:val="323232"/>
        </w:rPr>
        <w:t xml:space="preserve">————————</w:t>
      </w:r>
    </w:p>
    <w:p>
      <w:pPr>
        <w:pStyle w:val="Heading4"/>
      </w:pPr>
      <w:r>
        <w:t xml:space="preserve">Delirium and Benzodiazepines Associated With Prolonged ICU Stay in Critically Ill Infants and Young Children.</w:t>
      </w:r>
    </w:p>
    <w:p/>
    <w:p>
      <w:pPr>
        <w:pStyle w:val="Normal"/>
      </w:pPr>
      <w:r>
        <w:rPr>
          <w:color w:val="323232"/>
        </w:rPr>
        <w:t xml:space="preserve">Heidi A B Smith, Maalobeeka Gangopadhyay, Christina M Goben, Natalie L Jacobowski, Mary Hamilton Chestnut, Jennifer L Thompson, Rameela Chandrasekhar, Stacey R Williams, Katherine Griffith, E Wesley Ely, D Catherine Fuchs, and Pratik P Pandharipande.</w:t>
      </w:r>
    </w:p>
    <w:p/>
    <w:p>
      <w:pPr>
        <w:pStyle w:val="Normal"/>
      </w:pPr>
      <w:r>
        <w:rPr>
          <w:color w:val="323232"/>
        </w:rPr>
        <w:t xml:space="preserve">OBJECTIVES:Delirium is prevalent among critically ill children, yet associated outcomes and modifiable risk factors are not well defined. The objective of this study was to determine associations between pediatric delirium and modifiable risk factors such as benzodiazepine exposure and short-term outcomes.</w:t>
      </w:r>
    </w:p>
    <w:p/>
    <w:p>
      <w:pPr>
        <w:pStyle w:val="Normal"/>
      </w:pPr>
      <w:r>
        <w:rPr>
          <w:color w:val="323232"/>
        </w:rPr>
        <w:t xml:space="preserve">DESIGN:Secondary analysis of collected data from the prospective validation study of the Preschool Confusion Assessment Method for the ICU.</w:t>
      </w:r>
    </w:p>
    <w:p/>
    <w:p>
      <w:pPr>
        <w:pStyle w:val="Normal"/>
      </w:pPr>
      <w:r>
        <w:rPr>
          <w:color w:val="323232"/>
        </w:rPr>
        <w:t xml:space="preserve">SETTING:Tertiary-level PICU.</w:t>
      </w:r>
    </w:p>
    <w:p/>
    <w:p>
      <w:pPr>
        <w:pStyle w:val="Normal"/>
      </w:pPr>
      <w:r>
        <w:rPr>
          <w:color w:val="323232"/>
        </w:rPr>
        <w:t xml:space="preserve">PATIENTS:Critically ill patients 6 months to 5 years old.</w:t>
      </w:r>
    </w:p>
    <w:p/>
    <w:p>
      <w:pPr>
        <w:pStyle w:val="Normal"/>
      </w:pPr>
      <w:r>
        <w:rPr>
          <w:color w:val="323232"/>
        </w:rPr>
        <w:t xml:space="preserve">INTERVENTIONS:None.</w:t>
      </w:r>
    </w:p>
    <w:p/>
    <w:p>
      <w:pPr>
        <w:pStyle w:val="Normal"/>
      </w:pPr>
      <w:r>
        <w:rPr>
          <w:color w:val="323232"/>
        </w:rPr>
        <w:t xml:space="preserve">MEASUREMENTS AND MAIN RESULTS:Daily delirium assessments were completed using the Preschool Confusion Assessment Method for the ICU. Associations between baseline and in-hospital risk factors were analyzed for likelihood of ICU discharge using Cox proportional hazards regression and delirium duration using negative binomial regression. Multinomial logistic regression was used to determine associations between daily risk factors and delirium presence the following day. Our 300-patient cohort had a median (interquartile range) age of 20 months (11-37 mo), and 44% had delirium for at least 1 day (1-2 d). Delirium was significantly associated with a decreased likelihood of ICU discharge in preschool-aged children (age-specific hazard ratios at 60, 36, and 12 mo old were 0.17 [95% CI, 0.05-0.61], 0.50 [0.32-0.80], and 0.98 [0.68-1.41], respectively). Greater benzodiazepine exposure (75-25th percentile) was significantly associated with a lower likelihood of ICU discharge (hazard ratio, 0.65 [0.42-1.00]; p = 0.01), longer delirium duration (incidence rate ratio, 2.47 [1.36-4.49]; p = 0.005), and increased risk for delirium the following day (odds ratio, 2.83 [1.27-6.59]; p = 0.02).</w:t>
      </w:r>
    </w:p>
    <w:p/>
    <w:p>
      <w:pPr>
        <w:pStyle w:val="Normal"/>
      </w:pPr>
      <w:r>
        <w:rPr>
          <w:color w:val="323232"/>
        </w:rPr>
        <w:t xml:space="preserve">CONCLUSIONS:Delirium is associated with a lower likelihood of ICU discharge in preschool-aged children. Benzodiazepine exposure is associated with the development and longer duration of delirium, and lower likelihood of ICU discharge. These findings advocate for future studies targeting modifiable risk factors, such as reduction in benzodiazepine exposure, to mitigate iatrogenic harm in pediatric patients.</w:t>
      </w:r>
    </w:p>
    <w:p/>
    <w:p>
      <w:pPr>
        <w:pStyle w:val="Normal"/>
      </w:pPr>
      <w:r>
        <w:rPr>
          <w:color w:val="323232"/>
        </w:rPr>
        <w:t xml:space="preserve">Critical Care Medicine, 2017 vol. 45 (9) pp. 1427-1435.</w:t>
      </w:r>
    </w:p>
    <w:p>
      <w:r>
        <w:rPr>
          <w:rStyle w:val="Hyperlink"/>
        </w:rPr>
        <w:fldChar w:fldCharType="begin"/>
      </w:r>
      <w:r>
        <w:rPr>
          <w:rStyle w:val="Hyperlink"/>
        </w:rPr>
        <w:instrText xml:space="preserve"> HYPERLINK "http://eutils.ncbi.nlm.nih.gov/entrez/eutils/elink.fcgi?dbfrom=pubmed&amp;id=28594681&amp;retmode=ref&amp;cmd=prlinks"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http://eutils.ncbi.nlm.nih.gov/entrez/eutils/elink.fcgi?dbfrom=pubmed&amp;id=28594681&amp;retmode=ref&amp;cmd=prlinks</w:t>
      </w:r>
      <w:r>
        <w:rPr>
          <w:rStyle w:val="Hyperlink"/>
        </w:rPr>
        <w:fldChar w:fldCharType="end"/>
      </w:r>
    </w:p>
    <w:p>
      <w:pPr>
        <w:pStyle w:val="Normal"/>
      </w:pPr>
      <w:r>
        <w:rPr>
          <w:color w:val="323232"/>
        </w:rPr>
        <w:t xml:space="preserve">————————</w:t>
      </w:r>
    </w:p>
    <w:p>
      <w:pPr>
        <w:pStyle w:val="Heading4"/>
      </w:pPr>
      <w:r>
        <w:t xml:space="preserve">Impact of Moderate Hyperchloremia on Clinical Outcomes in Intracerebral Hemorrhage Patients Treated With Continuous Infusion Hypertonic Saline: A Pilot Study.</w:t>
      </w:r>
    </w:p>
    <w:p/>
    <w:p>
      <w:pPr>
        <w:pStyle w:val="Normal"/>
      </w:pPr>
      <w:r>
        <w:rPr>
          <w:color w:val="323232"/>
        </w:rPr>
        <w:t xml:space="preserve">Heidi M Riha, Michael J Erdman, Joseph E Vandigo, Lauren A Kimmons, Nitin Goyal, K Erin Davidson, Abhi Pandhi, and G Morgan Jones.</w:t>
      </w:r>
    </w:p>
    <w:p/>
    <w:p>
      <w:pPr>
        <w:pStyle w:val="Normal"/>
      </w:pPr>
      <w:r>
        <w:rPr>
          <w:color w:val="323232"/>
        </w:rPr>
        <w:t xml:space="preserve">OBJECTIVES:Hyperchloremia has been associated with increased morbidity and mortality in critically ill patients. While previous research has demonstrated an association between hypertonic saline and hyperchloremia, limited data exist in neurocritical care patients. The objective of this study is to determine the impact of moderate hyperchloremia (chloride ≥ 115 mmol/L) on clinical outcomes in intracerebral hemorrhage patients treated with continuous IV infusion 3% hypertonic saline.</w:t>
      </w:r>
    </w:p>
    <w:p/>
    <w:p>
      <w:pPr>
        <w:pStyle w:val="Normal"/>
      </w:pPr>
      <w:r>
        <w:rPr>
          <w:color w:val="323232"/>
        </w:rPr>
        <w:t xml:space="preserve">DESIGN:Multicenter, retrospective, propensity-matched cohort study.</w:t>
      </w:r>
    </w:p>
    <w:p/>
    <w:p>
      <w:pPr>
        <w:pStyle w:val="Normal"/>
      </w:pPr>
      <w:r>
        <w:rPr>
          <w:color w:val="323232"/>
        </w:rPr>
        <w:t xml:space="preserve">SETTING:Neurocritical care units at two academic medical centers with dedicated neurocritical care teams and comprehensive stroke center designation.</w:t>
      </w:r>
    </w:p>
    <w:p/>
    <w:p>
      <w:pPr>
        <w:pStyle w:val="Normal"/>
      </w:pPr>
      <w:r>
        <w:rPr>
          <w:color w:val="323232"/>
        </w:rPr>
        <w:t xml:space="preserve">PATIENTS:Intracerebral hemorrhage patients discharged between September 2011 and September 2015 were evaluated and matched 1:1 based on propensity scoring.</w:t>
      </w:r>
    </w:p>
    <w:p/>
    <w:p>
      <w:pPr>
        <w:pStyle w:val="Normal"/>
      </w:pPr>
      <w:r>
        <w:rPr>
          <w:color w:val="323232"/>
        </w:rPr>
        <w:t xml:space="preserve">INTERVENTIONS:Continuous IV infusion 3% hypertonic saline.</w:t>
      </w:r>
    </w:p>
    <w:p/>
    <w:p>
      <w:pPr>
        <w:pStyle w:val="Normal"/>
      </w:pPr>
      <w:r>
        <w:rPr>
          <w:color w:val="323232"/>
        </w:rPr>
        <w:t xml:space="preserve">MEASUREMENTS AND MAIN RESULTS:A total of 219 patients were included in the unmatched cohort (143 moderate hyperchloremia and 76 nonhyperchloremia) and 100 patients in the propensity-matched cohort. In-hospital mortality was significantly higher in those who developed moderate hyperchloremia in a propensity-matched cohort (34% vs 14%; p = 0.02). Moderate hyperchloremia independently predicted in-hospital mortality in multivariable logistic regression analysis (odds ratio, 4.4 [95% CI, 1.4-13.5]; p = 0.01).</w:t>
      </w:r>
    </w:p>
    <w:p/>
    <w:p>
      <w:pPr>
        <w:pStyle w:val="Normal"/>
      </w:pPr>
      <w:r>
        <w:rPr>
          <w:color w:val="323232"/>
        </w:rPr>
        <w:t xml:space="preserve">CONCLUSIONS:We observed higher rates of in-hospital mortality in patients who developed moderate hyperchloremia during treatment with continuous IV infusion 3% hypertonic saline, with moderate hyperchloremia independently predicting in-hospital mortality. These results suggest that chloride values should be monitored closely during hypertonic saline treatment as moderate elevations may impact outcomes in intracerebral hemorrhage patients.</w:t>
      </w:r>
    </w:p>
    <w:p/>
    <w:p>
      <w:pPr>
        <w:pStyle w:val="Normal"/>
      </w:pPr>
      <w:r>
        <w:rPr>
          <w:color w:val="323232"/>
        </w:rPr>
        <w:t xml:space="preserve">Critical Care Medicine, 2017 vol. 45 (9) pp. e947-e953.</w:t>
      </w:r>
    </w:p>
    <w:p>
      <w:r>
        <w:rPr>
          <w:rStyle w:val="Hyperlink"/>
        </w:rPr>
        <w:fldChar w:fldCharType="begin"/>
      </w:r>
      <w:r>
        <w:rPr>
          <w:rStyle w:val="Hyperlink"/>
        </w:rPr>
        <w:instrText xml:space="preserve"> HYPERLINK "http://eutils.ncbi.nlm.nih.gov/entrez/eutils/elink.fcgi?dbfrom=pubmed&amp;id=28538442&amp;retmode=ref&amp;cmd=prlinks"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http://eutils.ncbi.nlm.nih.gov/entrez/eutils/elink.fcgi?dbfrom=pubmed&amp;id=28538442&amp;retmode=ref&amp;cmd=prlinks</w:t>
      </w:r>
      <w:r>
        <w:rPr>
          <w:rStyle w:val="Hyperlink"/>
        </w:rPr>
        <w:fldChar w:fldCharType="end"/>
      </w:r>
    </w:p>
    <w:p>
      <w:pPr>
        <w:pStyle w:val="Normal"/>
      </w:pPr>
      <w:r>
        <w:rPr>
          <w:color w:val="323232"/>
        </w:rPr>
        <w:t xml:space="preserve">————————</w:t>
      </w:r>
    </w:p>
    <w:p>
      <w:pPr>
        <w:pStyle w:val="Heading4"/>
      </w:pPr>
      <w:r>
        <w:t xml:space="preserve">The Impact of the Sepsis-3 Septic Shock Definition on Previously Defined Septic Shock Patients.</w:t>
      </w:r>
    </w:p>
    <w:p/>
    <w:p>
      <w:pPr>
        <w:pStyle w:val="Normal"/>
      </w:pPr>
      <w:r>
        <w:rPr>
          <w:color w:val="323232"/>
        </w:rPr>
        <w:t xml:space="preserve">Sarah A Sterling, Michael A Puskarich, Andrew F Glass, Faheem Guirgis, and Alan E Jones.</w:t>
      </w:r>
    </w:p>
    <w:p/>
    <w:p>
      <w:pPr>
        <w:pStyle w:val="Normal"/>
      </w:pPr>
      <w:r>
        <w:rPr>
          <w:color w:val="323232"/>
        </w:rPr>
        <w:t xml:space="preserve">OBJECTIVE:The Third International Consensus Definitions Task Force (Sepsis-3) recently recommended changes to the definitions of sepsis. The impact of these changes remains unclear. Our objective was to determine the outcomes of patients meeting Sepsis-3 septic shock criteria versus patients meeting the "old" (1991) criteria of septic shock only.</w:t>
      </w:r>
    </w:p>
    <w:p/>
    <w:p>
      <w:pPr>
        <w:pStyle w:val="Normal"/>
      </w:pPr>
      <w:r>
        <w:rPr>
          <w:color w:val="323232"/>
        </w:rPr>
        <w:t xml:space="preserve">DESIGN:Secondary analysis of two clinical trials of early septic shock resuscitation.</w:t>
      </w:r>
    </w:p>
    <w:p/>
    <w:p>
      <w:pPr>
        <w:pStyle w:val="Normal"/>
      </w:pPr>
      <w:r>
        <w:rPr>
          <w:color w:val="323232"/>
        </w:rPr>
        <w:t xml:space="preserve">SETTING:Large academic emergency departments in the United States.</w:t>
      </w:r>
    </w:p>
    <w:p/>
    <w:p>
      <w:pPr>
        <w:pStyle w:val="Normal"/>
      </w:pPr>
      <w:r>
        <w:rPr>
          <w:color w:val="323232"/>
        </w:rPr>
        <w:t xml:space="preserve">PATIENTS:Patients with suspected infection, more than or equal to two systemic inflammatory response syndrome criteria, and systolic blood pressure less than 90</w:t>
      </w:r>
      <w:r>
        <w:rPr>
          <w:color w:val="323232"/>
        </w:rPr>
        <w:t xml:space="preserve"> </w:t>
      </w:r>
      <w:r>
        <w:rPr>
          <w:color w:val="323232"/>
        </w:rPr>
        <w:t xml:space="preserve">mm Hg after fluid resuscitation.</w:t>
      </w:r>
    </w:p>
    <w:p/>
    <w:p>
      <w:pPr>
        <w:pStyle w:val="Normal"/>
      </w:pPr>
      <w:r>
        <w:rPr>
          <w:color w:val="323232"/>
        </w:rPr>
        <w:t xml:space="preserve">INTERVENTIONS:Patients were further categorized as Sepsis-3 septic shock if they demonstrated hypotension, received vasopressors, and exhibited a lactate greater than 2 mmol/L. We compared in-hospital mortality in patients who met the old definition only with those who met the Sepsis-3 criteria.</w:t>
      </w:r>
    </w:p>
    <w:p/>
    <w:p>
      <w:pPr>
        <w:pStyle w:val="Normal"/>
      </w:pPr>
      <w:r>
        <w:rPr>
          <w:color w:val="323232"/>
        </w:rPr>
        <w:t xml:space="preserve">MEASUREMENTS AND MAIN RESULTS:Four hundred seventy patients were included in the present analysis. Two hundred (42.5%) met Sepsis-3 criteria, whereas 270 (57.4%) met only the old definition. Patients meeting Sepsis-3 criteria demonstrated higher severity of illness by Sequential Organ Failure Assessment score (9 vs 5; p &lt; 0.001) and mortality (29% vs 14%; p &lt; 0.001). Subgroup analysis of 127 patients meeting only the old definition demonstrated significant mortality benefit following implementation of a quantitative resuscitation protocol (35% vs 10%; p = 0.006).</w:t>
      </w:r>
    </w:p>
    <w:p/>
    <w:p>
      <w:pPr>
        <w:pStyle w:val="Normal"/>
      </w:pPr>
      <w:r>
        <w:rPr>
          <w:color w:val="323232"/>
        </w:rPr>
        <w:t xml:space="preserve">CONCLUSION:In this analysis, 57% of patients meeting old definition for septic shock did not meet Sepsis-3 criteria. Although Sepsis-3 criteria identified a group of patients with increased organ failure and higher mortality, those patients who met the old criteria and not Sepsis-3 criteria still demonstrated significant organ failure and 14% mortality rate.</w:t>
      </w:r>
    </w:p>
    <w:p/>
    <w:p>
      <w:pPr>
        <w:pStyle w:val="Normal"/>
      </w:pPr>
      <w:r>
        <w:rPr>
          <w:color w:val="323232"/>
        </w:rPr>
        <w:t xml:space="preserve">Critical Care Medicine, 2017 vol. 45 (9) pp. 1436-1442.</w:t>
      </w:r>
    </w:p>
    <w:p>
      <w:r>
        <w:rPr>
          <w:rStyle w:val="Hyperlink"/>
        </w:rPr>
        <w:fldChar w:fldCharType="begin"/>
      </w:r>
      <w:r>
        <w:rPr>
          <w:rStyle w:val="Hyperlink"/>
        </w:rPr>
        <w:instrText xml:space="preserve"> HYPERLINK "http://Insights.ovid.com/crossref?an=00003246-201709000-00002" </w:instrText>
      </w:r>
      <w:r>
        <w:rPr>
          <w:rStyle w:val="Hyperlink"/>
        </w:rPr>
      </w:r>
      <w:r>
        <w:rPr>
          <w:rStyle w:val="Hyperlink"/>
        </w:rPr>
        <w:fldChar w:fldCharType="separate"/>
      </w:r>
      <w:pPr>
        <w:pStyle w:val="Normal"/>
      </w:pPr>
      <w:r>
        <w:rPr>
          <w:rStyle w:val="Hyperlink"/>
        </w:rPr>
        <w:t xml:space="preserve">http://Insights.ovid.com/crossref?an=00003246-201709000-00002</w:t>
      </w:r>
      <w:r>
        <w:rPr>
          <w:rStyle w:val="Hyperlink"/>
        </w:rPr>
        <w:fldChar w:fldCharType="end"/>
      </w:r>
    </w:p>
    <w:p>
      <w:pPr>
        <w:pStyle w:val="Normal"/>
      </w:pPr>
      <w:r>
        <w:rPr>
          <w:color w:val="323232"/>
        </w:rPr>
        <w:t xml:space="preserve">————————</w:t>
      </w:r>
    </w:p>
    <w:p>
      <w:pPr>
        <w:pStyle w:val="Heading4"/>
      </w:pPr>
      <w:r>
        <w:t xml:space="preserve">The Right Ventricle Is Dilated During Resuscitation From Cardiac Arrest Caused by Hypovolemia: A Porcine Ultrasound Study.</w:t>
      </w:r>
    </w:p>
    <w:p/>
    <w:p>
      <w:pPr>
        <w:pStyle w:val="Normal"/>
      </w:pPr>
      <w:r>
        <w:rPr>
          <w:color w:val="323232"/>
        </w:rPr>
        <w:t xml:space="preserve">Rasmus Aagaard, Asger Granfeldt, Morten T Bøtker, Troels Mygind-Klausen, Hans Kirkegaard, and Bo Løfgren.</w:t>
      </w:r>
    </w:p>
    <w:p/>
    <w:p>
      <w:pPr>
        <w:pStyle w:val="Normal"/>
      </w:pPr>
      <w:r>
        <w:rPr>
          <w:color w:val="323232"/>
        </w:rPr>
        <w:t xml:space="preserve">OBJECTIVES:Dilation of the right ventricle during cardiac arrest and resuscitation may be inherent to cardiac arrest rather than being associated with certain causes of arrest such as pulmonary embolism. This study aimed to compare right ventricle diameter during resuscitation from cardiac arrest caused by hypovolemia, hyperkalemia, or primary arrhythmia (i.e., ventricular fibrillation).</w:t>
      </w:r>
    </w:p>
    <w:p/>
    <w:p>
      <w:pPr>
        <w:pStyle w:val="Normal"/>
      </w:pPr>
      <w:r>
        <w:rPr>
          <w:color w:val="323232"/>
        </w:rPr>
        <w:t xml:space="preserve">DESIGN:Thirty pigs were anesthetized and then randomized to cardiac arrest induced by three diffrent methods. Seven minutes of untreated arrest was followed by resuscitation. Cardiac ultrasonographic images were obtained during induction of cardiac arrest, untreated cardiac arrest, and resuscitation. The right ventricle diameter was measured. Primary endpoint was the right ventricular diameter at the third rhythm analysis.</w:t>
      </w:r>
    </w:p>
    <w:p/>
    <w:p>
      <w:pPr>
        <w:pStyle w:val="Normal"/>
      </w:pPr>
      <w:r>
        <w:rPr>
          <w:color w:val="323232"/>
        </w:rPr>
        <w:t xml:space="preserve">SETTING:University hospital animal laboratory.</w:t>
      </w:r>
    </w:p>
    <w:p/>
    <w:p>
      <w:pPr>
        <w:pStyle w:val="Normal"/>
      </w:pPr>
      <w:r>
        <w:rPr>
          <w:color w:val="323232"/>
        </w:rPr>
        <w:t xml:space="preserve">SUBJECTS:Female crossbred Landrace</w:t>
      </w:r>
      <w:r>
        <w:rPr>
          <w:i w:val="1"/>
          <w:color w:val="323232"/>
        </w:rPr>
        <w:t xml:space="preserve">Yorkshire</w:t>
      </w:r>
      <w:r>
        <w:rPr>
          <w:color w:val="323232"/>
        </w:rPr>
        <w:t xml:space="preserve">Duroc pigs (27-32 kg).</w:t>
      </w:r>
    </w:p>
    <w:p/>
    <w:p>
      <w:pPr>
        <w:pStyle w:val="Normal"/>
      </w:pPr>
      <w:r>
        <w:rPr>
          <w:color w:val="323232"/>
        </w:rPr>
        <w:t xml:space="preserve">INTERVENTIONS:Pigs were randomly assigned to cardiac arrest caused by either hypovolemia, hyperkalemia, or primary arrhythmia.</w:t>
      </w:r>
    </w:p>
    <w:p/>
    <w:p>
      <w:pPr>
        <w:pStyle w:val="Normal"/>
      </w:pPr>
      <w:r>
        <w:rPr>
          <w:color w:val="323232"/>
        </w:rPr>
        <w:t xml:space="preserve">MEASUREMENTS AND MAIN RESULTS:At the third rhythm analysis during resuscitation, the right ventricle diameter was 32</w:t>
      </w:r>
      <w:r>
        <w:rPr>
          <w:color w:val="323232"/>
        </w:rPr>
        <w:t xml:space="preserve"> </w:t>
      </w:r>
      <w:r>
        <w:rPr>
          <w:color w:val="323232"/>
        </w:rPr>
        <w:t xml:space="preserve">mm (95% CI, 29-35) in the hypovolemia group, 29</w:t>
      </w:r>
      <w:r>
        <w:rPr>
          <w:color w:val="323232"/>
        </w:rPr>
        <w:t xml:space="preserve"> </w:t>
      </w:r>
      <w:r>
        <w:rPr>
          <w:color w:val="323232"/>
        </w:rPr>
        <w:t xml:space="preserve">mm (95% CI, 26-32) in the hyperkalemia group, and 25</w:t>
      </w:r>
      <w:r>
        <w:rPr>
          <w:color w:val="323232"/>
        </w:rPr>
        <w:t xml:space="preserve"> </w:t>
      </w:r>
      <w:r>
        <w:rPr>
          <w:color w:val="323232"/>
        </w:rPr>
        <w:t xml:space="preserve">mm (95% CI, 22-28) in the primary arrhythmia group. This was larger than baseline for all groups (p = 0.03). When comparing groups at the third rhythm analysis, the right ventricle was larger for hypovolemia than for primary arrhythmia (p &lt; 0.001).</w:t>
      </w:r>
    </w:p>
    <w:p/>
    <w:p>
      <w:pPr>
        <w:pStyle w:val="Normal"/>
      </w:pPr>
      <w:r>
        <w:rPr>
          <w:color w:val="323232"/>
        </w:rPr>
        <w:t xml:space="preserve">CONCLUSIONS:The right ventricle was dilated during resuscitation from cardiac arrest caused by hypovolemia, hyperkalemia, and primary arrhythmia. These findings indicate that right ventricle dilation may be inherent to cardiac arrest, rather than being associated with certain causes of arrest. This contradicts a widespread clinical assumption that in hypovolemic cardiac arrest, the ventricles are collapsed rather than dilated.</w:t>
      </w:r>
    </w:p>
    <w:p/>
    <w:p>
      <w:pPr>
        <w:pStyle w:val="Normal"/>
      </w:pPr>
      <w:r>
        <w:rPr>
          <w:color w:val="323232"/>
        </w:rPr>
        <w:t xml:space="preserve">Critical Care Medicine, 2017 vol. 45 (9) pp. e963-e970.</w:t>
      </w:r>
    </w:p>
    <w:p>
      <w:r>
        <w:rPr>
          <w:rStyle w:val="Hyperlink"/>
        </w:rPr>
        <w:fldChar w:fldCharType="begin"/>
      </w:r>
      <w:r>
        <w:rPr>
          <w:rStyle w:val="Hyperlink"/>
        </w:rPr>
        <w:instrText xml:space="preserve"> HYPERLINK "http://eutils.ncbi.nlm.nih.gov/entrez/eutils/elink.fcgi?dbfrom=pubmed&amp;id=28430698&amp;retmode=ref&amp;cmd=prlinks"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http://eutils.ncbi.nlm.nih.gov/entrez/eutils/elink.fcgi?dbfrom=pubmed&amp;id=28430698&amp;retmode=ref&amp;cmd=prlinks</w:t>
      </w:r>
      <w:r>
        <w:rPr>
          <w:rStyle w:val="Hyperlink"/>
        </w:rPr>
        <w:fldChar w:fldCharType="end"/>
      </w:r>
    </w:p>
    <w:p>
      <w:pPr>
        <w:pStyle w:val="Normal"/>
      </w:pPr>
      <w:r>
        <w:rPr>
          <w:color w:val="323232"/>
        </w:rPr>
        <w:t xml:space="preserve">————————</w:t>
      </w:r>
    </w:p>
    <w:p>
      <w:pPr>
        <w:pStyle w:val="Heading4"/>
      </w:pPr>
      <w:r>
        <w:t xml:space="preserve">Effectiveness and Safety of an Extended ICU Visitation Model for Delirium Prevention: A Before and After Study.</w:t>
      </w:r>
    </w:p>
    <w:p/>
    <w:p>
      <w:pPr>
        <w:pStyle w:val="Normal"/>
      </w:pPr>
      <w:r>
        <w:rPr>
          <w:color w:val="323232"/>
        </w:rPr>
        <w:t xml:space="preserve">Regis Goulart Rosa, Tulio Frederico Tonietto, Daiana Barbosa da Silva, Franciele Aparecida Gutierres, Aline Maria Ascoli, Laura Cordeiro Madeira, William Rutzen, Maicon Falavigna, Caroline Cabral Robinson, Jorge Ibrain Salluh, Alexandre Biasi Cavalcanti, Luciano Cesar Azevedo, Rafael Viegas Cremonese, Tarissa Ribeiro Haack, Cláudia Severgnini Eugênio, Aline Dornelles, Marina Bessel, José Mario Meira Teles, Yoanna Skrobik, Cassiano Teixeira, and ICU Visits Study Group Investigators.</w:t>
      </w:r>
    </w:p>
    <w:p/>
    <w:p>
      <w:pPr>
        <w:pStyle w:val="Normal"/>
      </w:pPr>
      <w:r>
        <w:rPr>
          <w:color w:val="323232"/>
        </w:rPr>
        <w:t xml:space="preserve">OBJECTIVES:To evaluate the effect of an extended visitation model compared with a restricted visitation model on the occurrence of delirium among ICU patients.</w:t>
      </w:r>
    </w:p>
    <w:p/>
    <w:p>
      <w:pPr>
        <w:pStyle w:val="Normal"/>
      </w:pPr>
      <w:r>
        <w:rPr>
          <w:color w:val="323232"/>
        </w:rPr>
        <w:t xml:space="preserve">DESIGN:Prospective single-center before and after study.</w:t>
      </w:r>
    </w:p>
    <w:p/>
    <w:p>
      <w:pPr>
        <w:pStyle w:val="Normal"/>
      </w:pPr>
      <w:r>
        <w:rPr>
          <w:color w:val="323232"/>
        </w:rPr>
        <w:t xml:space="preserve">SETTING:Thirty-one-bed medical-surgical ICU.</w:t>
      </w:r>
    </w:p>
    <w:p/>
    <w:p>
      <w:pPr>
        <w:pStyle w:val="Normal"/>
      </w:pPr>
      <w:r>
        <w:rPr>
          <w:color w:val="323232"/>
        </w:rPr>
        <w:t xml:space="preserve">PATIENTS:All patients greater than or equal to 18 years old with expected length of stay greater than or equal to 24 hours consecutively admitted to the ICU from May 2015 to November 2015.</w:t>
      </w:r>
    </w:p>
    <w:p/>
    <w:p>
      <w:pPr>
        <w:pStyle w:val="Normal"/>
      </w:pPr>
      <w:r>
        <w:rPr>
          <w:color w:val="323232"/>
        </w:rPr>
        <w:t xml:space="preserve">INTERVENTIONS:Change of visitation policy from a restricted visitation model (4.5</w:t>
      </w:r>
      <w:r>
        <w:rPr>
          <w:color w:val="323232"/>
        </w:rPr>
        <w:t xml:space="preserve"> </w:t>
      </w:r>
      <w:r>
        <w:rPr>
          <w:color w:val="323232"/>
        </w:rPr>
        <w:t xml:space="preserve">hr/ d) to an extended visitation model (12</w:t>
      </w:r>
      <w:r>
        <w:rPr>
          <w:color w:val="323232"/>
        </w:rPr>
        <w:t xml:space="preserve"> </w:t>
      </w:r>
      <w:r>
        <w:rPr>
          <w:color w:val="323232"/>
        </w:rPr>
        <w:t xml:space="preserve">hr/d).</w:t>
      </w:r>
    </w:p>
    <w:p/>
    <w:p>
      <w:pPr>
        <w:pStyle w:val="Normal"/>
      </w:pPr>
      <w:r>
        <w:rPr>
          <w:color w:val="323232"/>
        </w:rPr>
        <w:t xml:space="preserve">MEASUREMENTS AND MAIN RESULTS:Two hundred eighty-six patients were enrolled (141 restricted visitation model, 145 extended visitation model). The primary outcome was the cumulative incidence of delirium, assessed bid using the confusion assessment method for the ICU. Predefined secondary outcomes included duration of delirium/ coma; any ICU-acquired infection; ICU-acquired bloodstream infection, pneumonia, and urinary tract infection; all-cause ICU mortality; and length of ICU stay. The median duration of visits increased from 133 minutes (interquartile range, 97.7-162.0) in restricted visitation model to 245 minutes (interquartile range, 175.0-272.0) in extended visitation model (p &lt; 0.001). Fourteen patients (9.6%) developed delirium in extended visitation model compared with 29 (20.5%) in restricted visitation model (adjusted relative risk, 0.50; 95% CI, 0.26-0.95). In comparison with restricted visitation model patients, extended visitation model patients had shorter length of delirium/coma (1.5 d [interquartile range, 1.0-3.0] vs 3.0 d [interquartile range, 2.5-5.0]; p = 0.03) and ICU stay (3.0 d [interquartile range, 2.0-4.0] vs 4.0 d [interquartile range, 2.0-6.0]; p = 0.04). The rate of ICU-acquired infections and all-cause ICU mortality did not differ significantly between the two study groups.</w:t>
      </w:r>
    </w:p>
    <w:p/>
    <w:p>
      <w:pPr>
        <w:pStyle w:val="Normal"/>
      </w:pPr>
      <w:r>
        <w:rPr>
          <w:color w:val="323232"/>
        </w:rPr>
        <w:t xml:space="preserve">CONCLUSIONS:In this medical-surgical ICU, an extended visitation model was associated with reduced occurrence of delirium and shorter length of delirium/coma and ICU stay.</w:t>
      </w:r>
    </w:p>
    <w:p/>
    <w:p>
      <w:pPr>
        <w:pStyle w:val="Normal"/>
      </w:pPr>
      <w:r>
        <w:rPr>
          <w:color w:val="323232"/>
        </w:rPr>
        <w:t xml:space="preserve">Critical Care Medicine, 2017 vol. 45 (10) pp. 1660-1667.</w:t>
      </w:r>
    </w:p>
    <w:p>
      <w:r>
        <w:rPr>
          <w:rStyle w:val="Hyperlink"/>
        </w:rPr>
        <w:fldChar w:fldCharType="begin"/>
      </w:r>
      <w:r>
        <w:rPr>
          <w:rStyle w:val="Hyperlink"/>
        </w:rPr>
        <w:instrText xml:space="preserve"> HYPERLINK "http://eutils.ncbi.nlm.nih.gov/entrez/eutils/elink.fcgi?dbfrom=pubmed&amp;id=28671901&amp;retmode=ref&amp;cmd=prlinks"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http://eutils.ncbi.nlm.nih.gov/entrez/eutils/elink.fcgi?dbfrom=pubmed&amp;id=28671901&amp;retmode=ref&amp;cmd=prlinks</w:t>
      </w:r>
      <w:r>
        <w:rPr>
          <w:rStyle w:val="Hyperlink"/>
        </w:rPr>
        <w:fldChar w:fldCharType="end"/>
      </w:r>
    </w:p>
    <w:p>
      <w:pPr>
        <w:pStyle w:val="Normal"/>
      </w:pPr>
      <w:r>
        <w:rPr>
          <w:color w:val="323232"/>
        </w:rPr>
        <w:t xml:space="preserve">————————</w:t>
      </w:r>
    </w:p>
    <w:p>
      <w:pPr>
        <w:pStyle w:val="Heading4"/>
      </w:pPr>
      <w:r>
        <w:t xml:space="preserve">Is There a Role for Enterohormones in the Gastroparesis of Critically Ill Patients?.</w:t>
      </w:r>
    </w:p>
    <w:p/>
    <w:p>
      <w:pPr>
        <w:pStyle w:val="Normal"/>
      </w:pPr>
      <w:r>
        <w:rPr>
          <w:color w:val="323232"/>
        </w:rPr>
        <w:t xml:space="preserve">Carlos A Santacruz, Amanda Quintairos, Claudia Righy, Ilaria A Crippa, Lucio Couto, Virginie Imbault, Mongkolpun Wasineeart, Mathieu De Ryckere, and Jean-Charles Preiser.</w:t>
      </w:r>
    </w:p>
    <w:p/>
    <w:p>
      <w:pPr>
        <w:pStyle w:val="Normal"/>
      </w:pPr>
      <w:r>
        <w:rPr>
          <w:color w:val="323232"/>
        </w:rPr>
        <w:t xml:space="preserve">OBJECTIVES:Delayed gastric emptying occurs in critically ill patients and impairs the delivery, digestion, and absorption of enteral feeding. A pathophysiologic role of the enterohormones peptide YY and ghrelin is supported by preclinical data. To compare the circulating plasma levels of peptide YY and ghrelin in control subjects and in critically ill patients, during feeding and fasting, and to search for a correlation with gastric emptying.</w:t>
      </w:r>
    </w:p>
    <w:p/>
    <w:p>
      <w:pPr>
        <w:pStyle w:val="Normal"/>
      </w:pPr>
      <w:r>
        <w:rPr>
          <w:color w:val="323232"/>
        </w:rPr>
        <w:t xml:space="preserve">DESIGN:A prospective observational trial.</w:t>
      </w:r>
    </w:p>
    <w:p/>
    <w:p>
      <w:pPr>
        <w:pStyle w:val="Normal"/>
      </w:pPr>
      <w:r>
        <w:rPr>
          <w:color w:val="323232"/>
        </w:rPr>
        <w:t xml:space="preserve">SETTINGS:Mixed ICU of an academic hospital.</w:t>
      </w:r>
    </w:p>
    <w:p/>
    <w:p>
      <w:pPr>
        <w:pStyle w:val="Normal"/>
      </w:pPr>
      <w:r>
        <w:rPr>
          <w:color w:val="323232"/>
        </w:rPr>
        <w:t xml:space="preserve">SUBJECTS:Healthy volunteers and patients expected to stay in ICU for at least 3 days in whom enteral nutrition was indicated.</w:t>
      </w:r>
    </w:p>
    <w:p/>
    <w:p>
      <w:pPr>
        <w:pStyle w:val="Normal"/>
      </w:pPr>
      <w:r>
        <w:rPr>
          <w:color w:val="323232"/>
        </w:rPr>
        <w:t xml:space="preserve">INTERVENTIONS:None.</w:t>
      </w:r>
    </w:p>
    <w:p/>
    <w:p>
      <w:pPr>
        <w:pStyle w:val="Normal"/>
      </w:pPr>
      <w:r>
        <w:rPr>
          <w:color w:val="323232"/>
        </w:rPr>
        <w:t xml:space="preserve">MEASUREMENTS AND MAIN RESULTS:Plasma peptide YY and ghrelin (enzyme-linked immunosorbent assay) were measured once in 10 fasting volunteers (controls) and daily from admission until day 5 of the ICU stay in 30 critically ill patients (median [interquartile range] age 63 [57-67] yr, median [interquartile range] Acute Physiology and Chronic Health Evaluation II score 21 [14-24]). Eight patients could not be fed (fasting group). In fed patients, 13 never had a gastric residual volume higher than 250</w:t>
      </w:r>
      <w:r>
        <w:rPr>
          <w:color w:val="323232"/>
        </w:rPr>
        <w:t xml:space="preserve"> </w:t>
      </w:r>
      <w:r>
        <w:rPr>
          <w:color w:val="323232"/>
        </w:rPr>
        <w:t xml:space="preserve">mL (low gastric residual volume group), in contrast to the high gastric residual volume group (n = 9). The plasma levels of peptide YY did not differ between patients (6.4 [0-18.1] pg/ mL) and controls (4.8 [0.3-17.7] pg/ mL). Ghrelin levels were lower in patients than in control (213 [54.4-522.7] vs 1,435 [1,321.9-1,869.3] pg/ mL; p &lt; 0.05). Plasma peptide YY or ghrelin did not differ between fasting and fed patients or between the high and low gastric residual volume groups.</w:t>
      </w:r>
    </w:p>
    <w:p/>
    <w:p>
      <w:pPr>
        <w:pStyle w:val="Normal"/>
      </w:pPr>
      <w:r>
        <w:rPr>
          <w:color w:val="323232"/>
        </w:rPr>
        <w:t xml:space="preserve">CONCLUSIONS:In critically ill patients, plasma concentration of ghrelin significantly differs from that of controls, irrespective of the feeding status. No correlation was found between the temporal profile of ghrelin or peptide YY plasma concentration with bedside functional assessment of gastric emptying.</w:t>
      </w:r>
    </w:p>
    <w:p/>
    <w:p>
      <w:pPr>
        <w:pStyle w:val="Normal"/>
      </w:pPr>
      <w:r>
        <w:rPr>
          <w:color w:val="323232"/>
        </w:rPr>
        <w:t xml:space="preserve">Critical Care Medicine, 2017 vol. 45 (10) pp. 1696-1701.</w:t>
      </w:r>
    </w:p>
    <w:p>
      <w:r>
        <w:rPr>
          <w:rStyle w:val="Hyperlink"/>
        </w:rPr>
        <w:fldChar w:fldCharType="begin"/>
      </w:r>
      <w:r>
        <w:rPr>
          <w:rStyle w:val="Hyperlink"/>
        </w:rPr>
        <w:instrText xml:space="preserve"> HYPERLINK "http://eutils.ncbi.nlm.nih.gov/entrez/eutils/elink.fcgi?dbfrom=pubmed&amp;id=28737574&amp;retmode=ref&amp;cmd=prlinks"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http://eutils.ncbi.nlm.nih.gov/entrez/eutils/elink.fcgi?dbfrom=pubmed&amp;id=28737574&amp;retmode=ref&amp;cmd=prlinks</w:t>
      </w:r>
      <w:r>
        <w:rPr>
          <w:rStyle w:val="Hyperlink"/>
        </w:rPr>
        <w:fldChar w:fldCharType="end"/>
      </w:r>
    </w:p>
    <w:p>
      <w:pPr>
        <w:pStyle w:val="Normal"/>
      </w:pPr>
      <w:r>
        <w:rPr>
          <w:color w:val="323232"/>
        </w:rPr>
        <w:t xml:space="preserve">————————</w:t>
      </w:r>
    </w:p>
    <w:p>
      <w:pPr>
        <w:pStyle w:val="Heading4"/>
      </w:pPr>
      <w:r>
        <w:t xml:space="preserve">Patterns and Outcomes Associated With Timeliness of Initial Crystalloid Resuscitation in a Prospective Sepsis and Septic Shock Cohort.</w:t>
      </w:r>
    </w:p>
    <w:p/>
    <w:p>
      <w:pPr>
        <w:pStyle w:val="Normal"/>
      </w:pPr>
      <w:r>
        <w:rPr>
          <w:color w:val="323232"/>
        </w:rPr>
        <w:t xml:space="preserve">Daniel E Leisman, Chananya Goldman, Martin E Doerfler, Kevin D Masick, Susan Dries, Eric Hamilton, Mangala Narasimhan, Gulrukh Zaidi, Jason A D’Amore, and John K D’Angelo.</w:t>
      </w:r>
    </w:p>
    <w:p/>
    <w:p>
      <w:pPr>
        <w:pStyle w:val="Normal"/>
      </w:pPr>
      <w:r>
        <w:rPr>
          <w:color w:val="323232"/>
        </w:rPr>
        <w:t xml:space="preserve">OBJECTIVES:The objectives of this study were to 1) assess patterns of early crystalloid resuscitation provided to sepsis and septic shock patients at initial presentation and 2) determine the association between time to initial crystalloid resuscitation with hospital mortality, mechanical ventilation, ICU utilization, and length of stay.</w:t>
      </w:r>
    </w:p>
    <w:p/>
    <w:p>
      <w:pPr>
        <w:pStyle w:val="Normal"/>
      </w:pPr>
      <w:r>
        <w:rPr>
          <w:color w:val="323232"/>
        </w:rPr>
        <w:t xml:space="preserve">DESIGN:Consecutive-sample observational cohort.</w:t>
      </w:r>
    </w:p>
    <w:p/>
    <w:p>
      <w:pPr>
        <w:pStyle w:val="Normal"/>
      </w:pPr>
      <w:r>
        <w:rPr>
          <w:color w:val="323232"/>
        </w:rPr>
        <w:t xml:space="preserve">SETTING:Nine tertiary and community hospitals over 1.5 years.</w:t>
      </w:r>
    </w:p>
    <w:p/>
    <w:p>
      <w:pPr>
        <w:pStyle w:val="Normal"/>
      </w:pPr>
      <w:r>
        <w:rPr>
          <w:color w:val="323232"/>
        </w:rPr>
        <w:t xml:space="preserve">PATIENTS:Adult sepsis and septic shock patients captured in a prospective quality improvement database inclusion criteria: suspected or confirmed infection, greater than or equal to two systemic inflammatory response criteria, greater than or equal to one organ-dysfunction criteria.</w:t>
      </w:r>
    </w:p>
    <w:p/>
    <w:p>
      <w:pPr>
        <w:pStyle w:val="Normal"/>
      </w:pPr>
      <w:r>
        <w:rPr>
          <w:color w:val="323232"/>
        </w:rPr>
        <w:t xml:space="preserve">INTERVENTIONS:The primary exposure was crystalloid initiation within 30 minutes or lesser, 31-120 minutes, or more than 120 minutes from sepsis identification.</w:t>
      </w:r>
    </w:p>
    <w:p/>
    <w:p>
      <w:pPr>
        <w:pStyle w:val="Normal"/>
      </w:pPr>
      <w:r>
        <w:rPr>
          <w:color w:val="323232"/>
        </w:rPr>
        <w:t xml:space="preserve">MEASUREMENTS AND MAIN RESULTS:We identified 11,182 patients. Crystalloid initiation was faster for emergency department patients (β, -141</w:t>
      </w:r>
      <w:r>
        <w:rPr>
          <w:color w:val="323232"/>
        </w:rPr>
        <w:t xml:space="preserve"> </w:t>
      </w:r>
      <w:r>
        <w:rPr>
          <w:color w:val="323232"/>
        </w:rPr>
        <w:t xml:space="preserve">min; CI, -159 to -125; p &lt; 0.001), baseline hypotension (β, -39</w:t>
      </w:r>
      <w:r>
        <w:rPr>
          <w:color w:val="323232"/>
        </w:rPr>
        <w:t xml:space="preserve"> </w:t>
      </w:r>
      <w:r>
        <w:rPr>
          <w:color w:val="323232"/>
        </w:rPr>
        <w:t xml:space="preserve">min; CI, -48 to -32; p &lt; 0.001), fever, urinary or skin/soft-tissue source of infection. Initiation was slower with heart failure (β, 20</w:t>
      </w:r>
      <w:r>
        <w:rPr>
          <w:color w:val="323232"/>
        </w:rPr>
        <w:t xml:space="preserve"> </w:t>
      </w:r>
      <w:r>
        <w:rPr>
          <w:color w:val="323232"/>
        </w:rPr>
        <w:t xml:space="preserve">min; CI, 14-25; p &lt; 0.001), and renal failure (β, 16</w:t>
      </w:r>
      <w:r>
        <w:rPr>
          <w:color w:val="323232"/>
        </w:rPr>
        <w:t xml:space="preserve"> </w:t>
      </w:r>
      <w:r>
        <w:rPr>
          <w:color w:val="323232"/>
        </w:rPr>
        <w:t xml:space="preserve">min; CI, 10-22; p &lt; 0.001). Five thousand three hundred thirty-six patients (48%) had crystalloid initiated in 30 minutes or lesser versus 2,388 (21%) in 31-120 minutes, and 3,458 (31%) in more than 120 minutes. The patients receiving fluids within 30 minutes had lowest mortality (949 [17.8%]) versus 31-120 minutes (446 [18.7%]) and more than 120 minutes (846 [24.5%]). Compared with more than 120 minutes, the adjusted odds ratio for mortality was 0.76 (CI, 0.64-0.90; p = 0.002) for 30 minutes or lesser and 0.76 (CI, 0.62-0.92; p = 0.004) for 31-120 minutes. When assessed continuously, mortality odds increased by 1.09 with each hour to initiation (CI, 1.03-1.16; p = 0.002). We observed similar patterns for mechanical ventilation, ICU utilization, and length of stay. We did not observe significant interaction for mortality risk between initiation time and baseline heart failure, renal failure, hypotension, acute kidney injury, altered gas exchange, or emergency department (vs inpatient) presentation.</w:t>
      </w:r>
    </w:p>
    <w:p/>
    <w:p>
      <w:pPr>
        <w:pStyle w:val="Normal"/>
      </w:pPr>
      <w:r>
        <w:rPr>
          <w:color w:val="323232"/>
        </w:rPr>
        <w:t xml:space="preserve">CONCLUSIONS:Crystalloid was initiated significantly later with comorbid heart failure and renal failure, with absence of fever or hypotension, and in inpatient-presenting sepsis. Earlier crystalloid initiation was associated with decreased mortality. Comorbidities and severity did not modify this effect.</w:t>
      </w:r>
    </w:p>
    <w:p/>
    <w:p>
      <w:pPr>
        <w:pStyle w:val="Normal"/>
      </w:pPr>
      <w:r>
        <w:rPr>
          <w:color w:val="323232"/>
        </w:rPr>
        <w:t xml:space="preserve">Critical Care Medicine, 2017 vol. 45 (10) pp. 1596-1606.</w:t>
      </w:r>
    </w:p>
    <w:p>
      <w:r>
        <w:rPr>
          <w:rStyle w:val="Hyperlink"/>
        </w:rPr>
        <w:fldChar w:fldCharType="begin"/>
      </w:r>
      <w:r>
        <w:rPr>
          <w:rStyle w:val="Hyperlink"/>
        </w:rPr>
        <w:instrText xml:space="preserve"> HYPERLINK "http://eutils.ncbi.nlm.nih.gov/entrez/eutils/elink.fcgi?dbfrom=pubmed&amp;id=28671898&amp;retmode=ref&amp;cmd=prlinks"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http://eutils.ncbi.nlm.nih.gov/entrez/eutils/elink.fcgi?dbfrom=pubmed&amp;id=28671898&amp;retmode=ref&amp;cmd=prlinks</w:t>
      </w:r>
      <w:r>
        <w:rPr>
          <w:rStyle w:val="Hyperlink"/>
        </w:rPr>
        <w:fldChar w:fldCharType="end"/>
      </w:r>
    </w:p>
    <w:p>
      <w:pPr>
        <w:pStyle w:val="Normal"/>
      </w:pPr>
      <w:r>
        <w:rPr>
          <w:color w:val="323232"/>
        </w:rPr>
        <w:t xml:space="preserve">————————</w:t>
      </w:r>
    </w:p>
    <w:p>
      <w:pPr>
        <w:pStyle w:val="Heading4"/>
      </w:pPr>
      <w:r>
        <w:t xml:space="preserve">Prevalence and Prognostic Association of Circulating Troponin in the Acute Respiratory Distress Syndrome.</w:t>
      </w:r>
    </w:p>
    <w:p/>
    <w:p>
      <w:pPr>
        <w:pStyle w:val="Normal"/>
      </w:pPr>
      <w:r>
        <w:rPr>
          <w:color w:val="323232"/>
        </w:rPr>
        <w:t xml:space="preserve">Thomas S Metkus, Eliseo Guallar, Lori Sokoll, David Morrow, Gordon Tomaselli, Roy Brower, Steven Schulman, and Frederick K Korley.</w:t>
      </w:r>
    </w:p>
    <w:p/>
    <w:p>
      <w:pPr>
        <w:pStyle w:val="Normal"/>
      </w:pPr>
      <w:r>
        <w:rPr>
          <w:color w:val="323232"/>
        </w:rPr>
        <w:t xml:space="preserve">OBJECTIVE:Circulating cardiac troponin has been associated with adverse prognosis in the acute respiratory distress syndrome in small and single-center studies; however, comprehensive studies of myocardial injury in acute respiratory distress syndrome using modern high-sensitivity troponin assays, which can detect troponin at much lower circulating concentrations, have not been performed.</w:t>
      </w:r>
    </w:p>
    <w:p/>
    <w:p>
      <w:pPr>
        <w:pStyle w:val="Normal"/>
      </w:pPr>
      <w:r>
        <w:rPr>
          <w:color w:val="323232"/>
        </w:rPr>
        <w:t xml:space="preserve">DESIGN:We performed a prospective cohort study.</w:t>
      </w:r>
    </w:p>
    <w:p/>
    <w:p>
      <w:pPr>
        <w:pStyle w:val="Normal"/>
      </w:pPr>
      <w:r>
        <w:rPr>
          <w:color w:val="323232"/>
        </w:rPr>
        <w:t xml:space="preserve">SETTING:We included patients enrolled in previously completed trials of acute respiratory distress syndrome.</w:t>
      </w:r>
    </w:p>
    <w:p/>
    <w:p>
      <w:pPr>
        <w:pStyle w:val="Normal"/>
      </w:pPr>
      <w:r>
        <w:rPr>
          <w:color w:val="323232"/>
        </w:rPr>
        <w:t xml:space="preserve">PATIENTS:One thousand fifty-seven acute respiratory distress syndrome patients were included.</w:t>
      </w:r>
    </w:p>
    <w:p/>
    <w:p>
      <w:pPr>
        <w:pStyle w:val="Normal"/>
      </w:pPr>
      <w:r>
        <w:rPr>
          <w:color w:val="323232"/>
        </w:rPr>
        <w:t xml:space="preserve">INTERVENTIONS:To determine the association of circulating high-sensitivity troponin I (Abbott ARCHITECT), with acute respiratory distress syndrome outcomes, we measured high-sensitivity troponin I within 24 hours of intubation. The primary outcome was 60-day mortality.</w:t>
      </w:r>
    </w:p>
    <w:p/>
    <w:p>
      <w:pPr>
        <w:pStyle w:val="Normal"/>
      </w:pPr>
      <w:r>
        <w:rPr>
          <w:color w:val="323232"/>
        </w:rPr>
        <w:t xml:space="preserve">MEASUREMENTS AND MAIN RESULTS:Detectable high-sensitivity troponin I was present in 94% of patients; 38% of patients had detectable levels below the 99th percentile of a healthy reference population (26</w:t>
      </w:r>
      <w:r>
        <w:rPr>
          <w:color w:val="323232"/>
        </w:rPr>
        <w:t xml:space="preserve"> </w:t>
      </w:r>
      <w:r>
        <w:rPr>
          <w:color w:val="323232"/>
        </w:rPr>
        <w:t xml:space="preserve">ng/L), whereas 56% of patients had levels above the 99th percentile cut point. After multivariable adjustment, age, cause of acute respiratory distress syndrome, temperature, heart rate, vasopressor use, Sequential Organ Failure Assessment score, creatinine, and PCO2 were associated with higher high-sensitivity troponin I concentration. After adjustment for age, sex, and randomized trial assignment, the hazard ratio for 60-day mortality comparing the fifth to the first quintiles of high-sensitivity troponin I was 1.61 (95% CI, 1.11-2.32; p trend = 0.003). Adjusting for Sequential Organ Failure Assessment score suggested that this association was not independent of disease severity (hazard ratio, 0.95; 95% CI, 0.64-1.39; p = 0.93).</w:t>
      </w:r>
    </w:p>
    <w:p/>
    <w:p>
      <w:pPr>
        <w:pStyle w:val="Normal"/>
      </w:pPr>
      <w:r>
        <w:rPr>
          <w:color w:val="323232"/>
        </w:rPr>
        <w:t xml:space="preserve">CONCLUSIONS:Circulating troponin is detectable in over 90% of patients with acute respiratory distress syndrome and is associated with degree of critical illness. The magnitude of myocardial injury correlated with mortality.</w:t>
      </w:r>
    </w:p>
    <w:p/>
    <w:p>
      <w:pPr>
        <w:pStyle w:val="Normal"/>
      </w:pPr>
      <w:r>
        <w:rPr>
          <w:color w:val="323232"/>
        </w:rPr>
        <w:t xml:space="preserve">Critical Care Medicine, 2017 vol. 45 (10) pp. 1709-1717.</w:t>
      </w:r>
    </w:p>
    <w:p>
      <w:r>
        <w:rPr>
          <w:rStyle w:val="Hyperlink"/>
        </w:rPr>
        <w:fldChar w:fldCharType="begin"/>
      </w:r>
      <w:r>
        <w:rPr>
          <w:rStyle w:val="Hyperlink"/>
        </w:rPr>
        <w:instrText xml:space="preserve"> HYPERLINK "http://eutils.ncbi.nlm.nih.gov/entrez/eutils/elink.fcgi?dbfrom=pubmed&amp;id=28777195&amp;retmode=ref&amp;cmd=prlinks"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http://eutils.ncbi.nlm.nih.gov/entrez/eutils/elink.fcgi?dbfrom=pubmed&amp;id=28777195&amp;retmode=ref&amp;cmd=prlinks</w:t>
      </w:r>
      <w:r>
        <w:rPr>
          <w:rStyle w:val="Hyperlink"/>
        </w:rPr>
        <w:fldChar w:fldCharType="end"/>
      </w:r>
    </w:p>
    <w:p>
      <w:pPr>
        <w:pStyle w:val="Normal"/>
      </w:pPr>
      <w:r>
        <w:rPr>
          <w:color w:val="323232"/>
        </w:rPr>
        <w:t xml:space="preserve">————————</w:t>
      </w:r>
    </w:p>
    <w:p>
      <w:pPr>
        <w:pStyle w:val="Heading4"/>
      </w:pPr>
      <w:r>
        <w:t xml:space="preserve">Should Hyperoxia Be Avoided During Sepsis? An Experimental Study in Ovine Peritonitis.</w:t>
      </w:r>
    </w:p>
    <w:p/>
    <w:p>
      <w:pPr>
        <w:pStyle w:val="Normal"/>
      </w:pPr>
      <w:r>
        <w:rPr>
          <w:color w:val="323232"/>
        </w:rPr>
        <w:t xml:space="preserve">Xinrong He, Fuhong Su, Keliang Xie, Fabio Silvio Taccone, Katia Donadello, and Jean-Louis Vincent.</w:t>
      </w:r>
    </w:p>
    <w:p/>
    <w:p>
      <w:pPr>
        <w:pStyle w:val="Normal"/>
      </w:pPr>
      <w:r>
        <w:rPr>
          <w:color w:val="323232"/>
        </w:rPr>
        <w:t xml:space="preserve">OBJECTIVES:Optimizing oxygen delivery is an important part of the hemodynamic resuscitation of septic shock, but concerns have been raised over the potentially deleterious effects of hyperoxia. We evaluated the impact of hyperoxia on hemodynamics, the microcirculation, and cerebral and renal metabolism in an ovine model of septic shock.</w:t>
      </w:r>
    </w:p>
    <w:p/>
    <w:p>
      <w:pPr>
        <w:pStyle w:val="Normal"/>
      </w:pPr>
      <w:r>
        <w:rPr>
          <w:color w:val="323232"/>
        </w:rPr>
        <w:t xml:space="preserve">DESIGN:Randomized animal study.</w:t>
      </w:r>
    </w:p>
    <w:p/>
    <w:p>
      <w:pPr>
        <w:pStyle w:val="Normal"/>
      </w:pPr>
      <w:r>
        <w:rPr>
          <w:color w:val="323232"/>
        </w:rPr>
        <w:t xml:space="preserve">SETTING:University hospital animal research laboratory.</w:t>
      </w:r>
    </w:p>
    <w:p/>
    <w:p>
      <w:pPr>
        <w:pStyle w:val="Normal"/>
      </w:pPr>
      <w:r>
        <w:rPr>
          <w:color w:val="323232"/>
        </w:rPr>
        <w:t xml:space="preserve">SUBJECTS:Fourteen adult female sheep.</w:t>
      </w:r>
    </w:p>
    <w:p/>
    <w:p>
      <w:pPr>
        <w:pStyle w:val="Normal"/>
      </w:pPr>
      <w:r>
        <w:rPr>
          <w:color w:val="323232"/>
        </w:rPr>
        <w:t xml:space="preserve">INTERVENTIONS:After induction of fecal peritonitis, sheep were randomized to ventilation with an FIO2 of 100% (n = 7) or an FIO2 adjusted to maintain PaO2 between 90 and 120</w:t>
      </w:r>
      <w:r>
        <w:rPr>
          <w:color w:val="323232"/>
        </w:rPr>
        <w:t xml:space="preserve"> </w:t>
      </w:r>
      <w:r>
        <w:rPr>
          <w:color w:val="323232"/>
        </w:rPr>
        <w:t xml:space="preserve">mm Hg (n = 7, control). All animals were fluid resuscitated and observed until death.</w:t>
      </w:r>
    </w:p>
    <w:p/>
    <w:p>
      <w:pPr>
        <w:pStyle w:val="Normal"/>
      </w:pPr>
      <w:r>
        <w:rPr>
          <w:color w:val="323232"/>
        </w:rPr>
        <w:t xml:space="preserve">MEASUREMENTS AND MAIN RESULTS:In addition to hemodynamic measurements, we assessed the sublingual microcirculation, renal and cerebral microdialysis and microvascular perfusion, and brain tissue oxygen pressure. Hyperoxic animals initially had a higher mean arterial pressure than control animals. After onset of shock, hyperoxia blunted the decrease in stroke volume index observed in the control group. Hyperoxia was associated with a higher sublingual microcirculatory flow over time, with higher cerebral perfusion and brain tissue oxygen pressure and with a lower cerebral lactate-to-pyruvate ratio than in control animals. Hyperoxia was also associated with preserved renal microvascular perfusion, lower renal lactate-to-pyruvate ratio, and higher PaO2/FIO2 ratio.</w:t>
      </w:r>
    </w:p>
    <w:p/>
    <w:p>
      <w:pPr>
        <w:pStyle w:val="Normal"/>
      </w:pPr>
      <w:r>
        <w:rPr>
          <w:color w:val="323232"/>
        </w:rPr>
        <w:t xml:space="preserve">CONCLUSIONS:In this acute peritonitis model, hyperoxia induced during resuscitation provided better hemodynamics and peripheral microvascular flow and better preserved cerebral metabolism, renal function, and gas exchange. These observations are reassuring with recent concerns about excessive oxygen therapy in acute diseases.</w:t>
      </w:r>
    </w:p>
    <w:p/>
    <w:p>
      <w:pPr>
        <w:pStyle w:val="Normal"/>
      </w:pPr>
      <w:r>
        <w:rPr>
          <w:color w:val="323232"/>
        </w:rPr>
        <w:t xml:space="preserve">Critical Care Medicine, 2017 vol. 45 (10) pp. e1060-e1067.</w:t>
      </w:r>
    </w:p>
    <w:p>
      <w:r>
        <w:rPr>
          <w:rStyle w:val="Hyperlink"/>
        </w:rPr>
        <w:fldChar w:fldCharType="begin"/>
      </w:r>
      <w:r>
        <w:rPr>
          <w:rStyle w:val="Hyperlink"/>
        </w:rPr>
        <w:instrText xml:space="preserve"> HYPERLINK "http://eutils.ncbi.nlm.nih.gov/entrez/eutils/elink.fcgi?dbfrom=pubmed&amp;id=28617696&amp;retmode=ref&amp;cmd=prlinks"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http://eutils.ncbi.nlm.nih.gov/entrez/eutils/elink.fcgi?dbfrom=pubmed&amp;id=28617696&amp;retmode=ref&amp;cmd=prlinks</w:t>
      </w:r>
      <w:r>
        <w:rPr>
          <w:rStyle w:val="Hyperlink"/>
        </w:rPr>
        <w:fldChar w:fldCharType="end"/>
      </w:r>
    </w:p>
    <w:p>
      <w:pPr>
        <w:pStyle w:val="Normal"/>
      </w:pPr>
      <w:r>
        <w:rPr>
          <w:color w:val="323232"/>
        </w:rPr>
        <w:t xml:space="preserve">————————</w:t>
      </w:r>
    </w:p>
    <w:p>
      <w:pPr>
        <w:pStyle w:val="Heading4"/>
      </w:pPr>
      <w:r>
        <w:t xml:space="preserve">Brain Oxygen Optimization in Severe Traumatic Brain Injury Phase-II: A Phase II Randomized Trial.</w:t>
      </w:r>
    </w:p>
    <w:p/>
    <w:p>
      <w:pPr>
        <w:pStyle w:val="Normal"/>
      </w:pPr>
      <w:r>
        <w:rPr>
          <w:color w:val="323232"/>
        </w:rPr>
        <w:t xml:space="preserve">David O Okonkwo, Lori A Shutter, Carol Moore, Nancy R Temkin, Ava M Puccio, Christopher J Madden, Norberto Andaluz, Randall M Chesnut, M Ross Bullock, Gerald A Grant, John McGregor, Michael Weaver, Jack Jallo, Peter D LeRoux, Dick Moberg, Jason Barber, Christos Lazaridis, and Ramon R Diaz-Arrastia.</w:t>
      </w:r>
    </w:p>
    <w:p/>
    <w:p>
      <w:pPr>
        <w:pStyle w:val="Normal"/>
      </w:pPr>
      <w:r>
        <w:rPr>
          <w:color w:val="323232"/>
        </w:rPr>
        <w:t xml:space="preserve">OBJECTIVES:A relationship between reduced brain tissue oxygenation and poor outcome following severe traumatic brain injury has been reported in observational studies. We designed a Phase II trial to assess whether a neurocritical care management protocol could improve brain tissue oxygenation levels in patients with severe traumatic brain injury and the feasibility of a Phase III efficacy study.</w:t>
      </w:r>
    </w:p>
    <w:p/>
    <w:p>
      <w:pPr>
        <w:pStyle w:val="Normal"/>
      </w:pPr>
      <w:r>
        <w:rPr>
          <w:color w:val="323232"/>
        </w:rPr>
        <w:t xml:space="preserve">DESIGN:Randomized prospective clinical trial.</w:t>
      </w:r>
    </w:p>
    <w:p/>
    <w:p>
      <w:pPr>
        <w:pStyle w:val="Normal"/>
      </w:pPr>
      <w:r>
        <w:rPr>
          <w:color w:val="323232"/>
        </w:rPr>
        <w:t xml:space="preserve">SETTING:Ten ICUs in the United States.</w:t>
      </w:r>
    </w:p>
    <w:p/>
    <w:p>
      <w:pPr>
        <w:pStyle w:val="Normal"/>
      </w:pPr>
      <w:r>
        <w:rPr>
          <w:color w:val="323232"/>
        </w:rPr>
        <w:t xml:space="preserve">PATIENTS:One hundred nineteen severe traumatic brain injury patients.</w:t>
      </w:r>
    </w:p>
    <w:p/>
    <w:p>
      <w:pPr>
        <w:pStyle w:val="Normal"/>
      </w:pPr>
      <w:r>
        <w:rPr>
          <w:color w:val="323232"/>
        </w:rPr>
        <w:t xml:space="preserve">INTERVENTIONS:Patients were randomized to treatment protocol based on intracranial pressure plus brain tissue oxygenation monitoring versus intracranial pressure monitoring alone. Brain tissue oxygenation data were recorded in the intracranial pressure -only group in blinded fashion. Tiered interventions in each arm were specified and impact on intracranial pressure and brain tissue oxygenation measured. Monitors were removed if values were normal for 48 hours consecutively, or after 5 days. Outcome was measured at 6 months using the Glasgow Outcome Scale-Extended.</w:t>
      </w:r>
    </w:p>
    <w:p/>
    <w:p>
      <w:pPr>
        <w:pStyle w:val="Normal"/>
      </w:pPr>
      <w:r>
        <w:rPr>
          <w:color w:val="323232"/>
        </w:rPr>
        <w:t xml:space="preserve">MEASUREMENTS AND MAIN RESULTS:A management protocol based on brain tissue oxygenation and intracranial pressure monitoring reduced the proportion of time with brain tissue hypoxia after severe traumatic brain injury (0.45 in intracranial pressure-only group and 0.16 in intracranial pressure plus brain tissue oxygenation group; p &lt; 0.0001). Intracranial pressure control was similar in both groups. Safety and feasibility of the tiered treatment protocol were confirmed. There were no procedure-related complications. Treatment of secondary injury after severe traumatic brain injury based on brain tissue oxygenation and intracranial pressure values was consistent with reduced mortality and increased proportions of patients with good recovery compared with intracranial pressure-only management; however, the study was not powered for clinical efficacy.</w:t>
      </w:r>
    </w:p>
    <w:p/>
    <w:p>
      <w:pPr>
        <w:pStyle w:val="Normal"/>
      </w:pPr>
      <w:r>
        <w:rPr>
          <w:color w:val="323232"/>
        </w:rPr>
        <w:t xml:space="preserve">CONCLUSIONS:Management of severe traumatic brain injury informed by multimodal intracranial pressure and brain tissue oxygenation monitoring reduced brain tissue hypoxia with a trend toward lower mortality and more favorable outcomes than intracranial pressure-only treatment. A Phase III randomized trial to assess impact on neurologic outcome of intracranial pressure plus brain tissue oxygenation-directed treatment of severe traumatic brain injury is warranted.</w:t>
      </w:r>
    </w:p>
    <w:p/>
    <w:p>
      <w:pPr>
        <w:pStyle w:val="Normal"/>
      </w:pPr>
      <w:r>
        <w:rPr>
          <w:color w:val="323232"/>
        </w:rPr>
        <w:t xml:space="preserve">Critical Care Medicine, 2017 vol. 45 (11) pp. 1907-1914.</w:t>
      </w:r>
    </w:p>
    <w:p>
      <w:r>
        <w:rPr>
          <w:rStyle w:val="Hyperlink"/>
        </w:rPr>
        <w:fldChar w:fldCharType="begin"/>
      </w:r>
      <w:r>
        <w:rPr>
          <w:rStyle w:val="Hyperlink"/>
        </w:rPr>
        <w:instrText xml:space="preserve"> HYPERLINK "http://eutils.ncbi.nlm.nih.gov/entrez/eutils/elink.fcgi?dbfrom=pubmed&amp;id=29028696&amp;retmode=ref&amp;cmd=prlinks"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http://eutils.ncbi.nlm.nih.gov/entrez/eutils/elink.fcgi?dbfrom=pubmed&amp;id=29028696&amp;retmode=ref&amp;cmd=prlinks</w:t>
      </w:r>
      <w:r>
        <w:rPr>
          <w:rStyle w:val="Hyperlink"/>
        </w:rPr>
        <w:fldChar w:fldCharType="end"/>
      </w:r>
    </w:p>
    <w:p>
      <w:pPr>
        <w:pStyle w:val="Normal"/>
      </w:pPr>
      <w:r>
        <w:rPr>
          <w:color w:val="323232"/>
        </w:rPr>
        <w:t xml:space="preserve">————————</w:t>
      </w:r>
    </w:p>
    <w:p>
      <w:pPr>
        <w:pStyle w:val="Heading4"/>
      </w:pPr>
      <w:r>
        <w:t xml:space="preserve">Delirium and Catatonia in Critically Ill Patients: The Delirium and Catatonia Prospective Cohort Investigation.</w:t>
      </w:r>
    </w:p>
    <w:p/>
    <w:p>
      <w:pPr>
        <w:pStyle w:val="Normal"/>
      </w:pPr>
      <w:r>
        <w:rPr>
          <w:color w:val="323232"/>
        </w:rPr>
        <w:t xml:space="preserve">Jo E Wilson, Richard Carlson, Maria C Duggan, Pratik Pandharipande, Timothy D Girard, Li Wang, Jennifer L Thompson, Rameela Chandrasekhar, Andrew Francis, Stephen E Nicolson, Robert S Dittus, Stephan Heckers, E Wesley Ely, and Delirium and Catatonia (DeCat) Prospective Cohort Investigation.</w:t>
      </w:r>
    </w:p>
    <w:p/>
    <w:p>
      <w:pPr>
        <w:pStyle w:val="Normal"/>
      </w:pPr>
      <w:r>
        <w:rPr>
          <w:color w:val="323232"/>
        </w:rPr>
        <w:t xml:space="preserve">OBJECTIVES:Catatonia, a condition characterized by motor, behavioral, and emotional changes, can occur during critical illness and appear as clinically similar to delirium, yet its management differs from delirium. Traditional criteria for medical catatonia preclude its diagnosis in delirium. Our objective in this investigation was to understand the overlap and relationship between delirium and catatonia in ICU patients and determine diagnostic thresholds for catatonia.</w:t>
      </w:r>
    </w:p>
    <w:p/>
    <w:p>
      <w:pPr>
        <w:pStyle w:val="Normal"/>
      </w:pPr>
      <w:r>
        <w:rPr>
          <w:color w:val="323232"/>
        </w:rPr>
        <w:t xml:space="preserve">DESIGN:Convenience cohort, nested within two ongoing randomized trials.</w:t>
      </w:r>
    </w:p>
    <w:p/>
    <w:p>
      <w:pPr>
        <w:pStyle w:val="Normal"/>
      </w:pPr>
      <w:r>
        <w:rPr>
          <w:color w:val="323232"/>
        </w:rPr>
        <w:t xml:space="preserve">SETTING:Single academic medical center in Nashville, TN.</w:t>
      </w:r>
    </w:p>
    <w:p/>
    <w:p>
      <w:pPr>
        <w:pStyle w:val="Normal"/>
      </w:pPr>
      <w:r>
        <w:rPr>
          <w:color w:val="323232"/>
        </w:rPr>
        <w:t xml:space="preserve">PATIENTS:We enrolled 136 critically ill patients on mechanical ventilation and/or vasopressors, randomized to two usual care sedation regimens.</w:t>
      </w:r>
    </w:p>
    <w:p/>
    <w:p>
      <w:pPr>
        <w:pStyle w:val="Normal"/>
      </w:pPr>
      <w:r>
        <w:rPr>
          <w:color w:val="323232"/>
        </w:rPr>
        <w:t xml:space="preserve">MEASUREMENTS AND MAIN RESULTS:Patients were assessed for delirium and catatonia by independent and masked personnel using Confusion Assessment Method for the ICU and the Bush Francis Catatonia Rating Scale mapped to Diagnostic Statistical Manual 5 criterion A for catatonia. Of 136 patients, 58 patients (43%) had only delirium, four (3%) had only catatonia, 42 (31%) had both, and 32 (24%) had neither. In a logistic regression model, more catatonia signs were associated with greater odds of having delirium. For example, patient assessments with greater than or equal to three Diagnostic Statistical Manual 5 symptoms (75th percentile) had, on average, 27.8 times the odds (interquartile range, 12.7-60.6) of having delirium compared with patient assessments with zero Diagnostic Statistical Manual 5 criteria (25th percentile) present (p &lt; 0.001). A cut-off of greater than or equal to 4 Bush Francis Catatonia Screening Instrument items was both sensitive (91%; 95% CI, 82.9-95.3) and specific (91%; 95% CI, 87.6-92.9) for Diagnostic Statistical Manual 5 catatonia.</w:t>
      </w:r>
    </w:p>
    <w:p/>
    <w:p>
      <w:pPr>
        <w:pStyle w:val="Normal"/>
      </w:pPr>
      <w:r>
        <w:rPr>
          <w:color w:val="323232"/>
        </w:rPr>
        <w:t xml:space="preserve">CONCLUSIONS:Given that about one in three patients had both catatonia and delirium, these data prompt reconsideration of Diagnostic Statistical Manual 5 criteria for "Catatonic Disorder Due to Another Medical Condition" that preclude diagnosing catatonia in the presence of delirium.</w:t>
      </w:r>
    </w:p>
    <w:p/>
    <w:p>
      <w:pPr>
        <w:pStyle w:val="Normal"/>
      </w:pPr>
      <w:r>
        <w:rPr>
          <w:color w:val="323232"/>
        </w:rPr>
        <w:t xml:space="preserve">Critical Care Medicine, 2017 vol. 45 (11) pp. 1837-1844.</w:t>
      </w:r>
    </w:p>
    <w:p>
      <w:r>
        <w:rPr>
          <w:rStyle w:val="Hyperlink"/>
        </w:rPr>
        <w:fldChar w:fldCharType="begin"/>
      </w:r>
      <w:r>
        <w:rPr>
          <w:rStyle w:val="Hyperlink"/>
        </w:rPr>
        <w:instrText xml:space="preserve"> HYPERLINK "http://eutils.ncbi.nlm.nih.gov/entrez/eutils/elink.fcgi?dbfrom=pubmed&amp;id=28841632&amp;retmode=ref&amp;cmd=prlinks"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http://eutils.ncbi.nlm.nih.gov/entrez/eutils/elink.fcgi?dbfrom=pubmed&amp;id=28841632&amp;retmode=ref&amp;cmd=prlinks</w:t>
      </w:r>
      <w:r>
        <w:rPr>
          <w:rStyle w:val="Hyperlink"/>
        </w:rPr>
        <w:fldChar w:fldCharType="end"/>
      </w:r>
    </w:p>
    <w:p>
      <w:pPr>
        <w:pStyle w:val="Normal"/>
      </w:pPr>
      <w:r>
        <w:rPr>
          <w:color w:val="323232"/>
        </w:rPr>
        <w:t xml:space="preserve">————————</w:t>
      </w:r>
    </w:p>
    <w:p>
      <w:pPr>
        <w:pStyle w:val="Heading4"/>
      </w:pPr>
      <w:r>
        <w:t xml:space="preserve">Effects on Pulmonary Vascular Mechanics of Two Different Lung-Protective Ventilation Strategies in an Experimental Model of Acute Respiratory Distress Syndrome.</w:t>
      </w:r>
    </w:p>
    <w:p/>
    <w:p>
      <w:pPr>
        <w:pStyle w:val="Normal"/>
      </w:pPr>
      <w:r>
        <w:rPr>
          <w:color w:val="323232"/>
        </w:rPr>
        <w:t xml:space="preserve">Arnoldo Santos, Eva Gomez-Peñalver, M Ignacio Monge-Garcia, Jaime Retamal, João Batista Borges, Gerardo Tusman, Goran Hedenstierna, Anders Larsson, and Fernando Suárez-Sipmann.</w:t>
      </w:r>
    </w:p>
    <w:p/>
    <w:p>
      <w:pPr>
        <w:pStyle w:val="Normal"/>
      </w:pPr>
      <w:r>
        <w:rPr>
          <w:color w:val="323232"/>
        </w:rPr>
        <w:t xml:space="preserve">OBJECTIVES:To compare the effects of two lung-protective ventilation strategies on pulmonary vascular mechanics in early acute respiratory distress syndrome.</w:t>
      </w:r>
    </w:p>
    <w:p/>
    <w:p>
      <w:pPr>
        <w:pStyle w:val="Normal"/>
      </w:pPr>
      <w:r>
        <w:rPr>
          <w:color w:val="323232"/>
        </w:rPr>
        <w:t xml:space="preserve">DESIGN:Experimental study.</w:t>
      </w:r>
    </w:p>
    <w:p/>
    <w:p>
      <w:pPr>
        <w:pStyle w:val="Normal"/>
      </w:pPr>
      <w:r>
        <w:rPr>
          <w:color w:val="323232"/>
        </w:rPr>
        <w:t xml:space="preserve">SETTING:University animal research laboratory.</w:t>
      </w:r>
    </w:p>
    <w:p/>
    <w:p>
      <w:pPr>
        <w:pStyle w:val="Normal"/>
      </w:pPr>
      <w:r>
        <w:rPr>
          <w:color w:val="323232"/>
        </w:rPr>
        <w:t xml:space="preserve">SUBJECTS:Twelve pigs (30.8</w:t>
      </w:r>
      <w:r>
        <w:rPr>
          <w:color w:val="323232"/>
        </w:rPr>
        <w:t xml:space="preserve"> </w:t>
      </w:r>
      <w:r>
        <w:rPr>
          <w:color w:val="323232"/>
        </w:rPr>
        <w:t xml:space="preserve">±</w:t>
      </w:r>
      <w:r>
        <w:rPr>
          <w:color w:val="323232"/>
        </w:rPr>
        <w:t xml:space="preserve"> </w:t>
      </w:r>
      <w:r>
        <w:rPr>
          <w:color w:val="323232"/>
        </w:rPr>
        <w:t xml:space="preserve">2.5</w:t>
      </w:r>
      <w:r>
        <w:rPr>
          <w:color w:val="323232"/>
        </w:rPr>
        <w:t xml:space="preserve"> </w:t>
      </w:r>
      <w:r>
        <w:rPr>
          <w:color w:val="323232"/>
        </w:rPr>
        <w:t xml:space="preserve">kg).</w:t>
      </w:r>
    </w:p>
    <w:p/>
    <w:p>
      <w:pPr>
        <w:pStyle w:val="Normal"/>
      </w:pPr>
      <w:r>
        <w:rPr>
          <w:color w:val="323232"/>
        </w:rPr>
        <w:t xml:space="preserve">INTERVENTIONS:Acute respiratory distress syndrome was induced by repeated lung lavages and injurious mechanical ventilation. Thereafter, animals were randomized to 4 hours ventilation according to the Acute Respiratory Distress Syndrome Network protocol or to an open lung approach strategy. Pressure and flow sensors placed at the pulmonary artery trunk allowed continuous assessment of pulmonary artery resistance, effective elastance, compliance, and reflected pressure waves. Respiratory mechanics and gas exchange data were collected.</w:t>
      </w:r>
    </w:p>
    <w:p/>
    <w:p>
      <w:pPr>
        <w:pStyle w:val="Normal"/>
      </w:pPr>
      <w:r>
        <w:rPr>
          <w:color w:val="323232"/>
        </w:rPr>
        <w:t xml:space="preserve">MEASUREMENTS AND MAIN RESULTS:Acute respiratory distress syndrome led to pulmonary vascular mechanics deterioration. Four hours after randomization, pulmonary vascular mechanics was similar in Acute Respiratory Distress Syndrome Network and open lung approach: resistance (578</w:t>
      </w:r>
      <w:r>
        <w:rPr>
          <w:color w:val="323232"/>
        </w:rPr>
        <w:t xml:space="preserve"> </w:t>
      </w:r>
      <w:r>
        <w:rPr>
          <w:color w:val="323232"/>
        </w:rPr>
        <w:t xml:space="preserve">±</w:t>
      </w:r>
      <w:r>
        <w:rPr>
          <w:color w:val="323232"/>
        </w:rPr>
        <w:t xml:space="preserve"> </w:t>
      </w:r>
      <w:r>
        <w:rPr>
          <w:color w:val="323232"/>
        </w:rPr>
        <w:t xml:space="preserve">252 vs 626</w:t>
      </w:r>
      <w:r>
        <w:rPr>
          <w:color w:val="323232"/>
        </w:rPr>
        <w:t xml:space="preserve"> </w:t>
      </w:r>
      <w:r>
        <w:rPr>
          <w:color w:val="323232"/>
        </w:rPr>
        <w:t xml:space="preserve">±</w:t>
      </w:r>
      <w:r>
        <w:rPr>
          <w:color w:val="323232"/>
        </w:rPr>
        <w:t xml:space="preserve"> </w:t>
      </w:r>
      <w:r>
        <w:rPr>
          <w:color w:val="323232"/>
        </w:rPr>
        <w:t xml:space="preserve">153 dyn.s/ cm; p = 0.714), effective elastance, (0.63</w:t>
      </w:r>
      <w:r>
        <w:rPr>
          <w:color w:val="323232"/>
        </w:rPr>
        <w:t xml:space="preserve"> </w:t>
      </w:r>
      <w:r>
        <w:rPr>
          <w:color w:val="323232"/>
        </w:rPr>
        <w:t xml:space="preserve">±</w:t>
      </w:r>
      <w:r>
        <w:rPr>
          <w:color w:val="323232"/>
        </w:rPr>
        <w:t xml:space="preserve"> </w:t>
      </w:r>
      <w:r>
        <w:rPr>
          <w:color w:val="323232"/>
        </w:rPr>
        <w:t xml:space="preserve">0.22 vs 0.58</w:t>
      </w:r>
      <w:r>
        <w:rPr>
          <w:color w:val="323232"/>
        </w:rPr>
        <w:t xml:space="preserve"> </w:t>
      </w:r>
      <w:r>
        <w:rPr>
          <w:color w:val="323232"/>
        </w:rPr>
        <w:t xml:space="preserve">±</w:t>
      </w:r>
      <w:r>
        <w:rPr>
          <w:color w:val="323232"/>
        </w:rPr>
        <w:t xml:space="preserve"> </w:t>
      </w:r>
      <w:r>
        <w:rPr>
          <w:color w:val="323232"/>
        </w:rPr>
        <w:t xml:space="preserve">0.17</w:t>
      </w:r>
      <w:r>
        <w:rPr>
          <w:color w:val="323232"/>
        </w:rPr>
        <w:t xml:space="preserve"> </w:t>
      </w:r>
      <w:r>
        <w:rPr>
          <w:color w:val="323232"/>
        </w:rPr>
        <w:t xml:space="preserve">mm Hg/ mL; p = 0.710), compliance (1.19</w:t>
      </w:r>
      <w:r>
        <w:rPr>
          <w:color w:val="323232"/>
        </w:rPr>
        <w:t xml:space="preserve"> </w:t>
      </w:r>
      <w:r>
        <w:rPr>
          <w:color w:val="323232"/>
        </w:rPr>
        <w:t xml:space="preserve">±</w:t>
      </w:r>
      <w:r>
        <w:rPr>
          <w:color w:val="323232"/>
        </w:rPr>
        <w:t xml:space="preserve"> </w:t>
      </w:r>
      <w:r>
        <w:rPr>
          <w:color w:val="323232"/>
        </w:rPr>
        <w:t xml:space="preserve">0.8 vs 1.50</w:t>
      </w:r>
      <w:r>
        <w:rPr>
          <w:color w:val="323232"/>
        </w:rPr>
        <w:t xml:space="preserve"> </w:t>
      </w:r>
      <w:r>
        <w:rPr>
          <w:color w:val="323232"/>
        </w:rPr>
        <w:t xml:space="preserve">±</w:t>
      </w:r>
      <w:r>
        <w:rPr>
          <w:color w:val="323232"/>
        </w:rPr>
        <w:t xml:space="preserve"> </w:t>
      </w:r>
      <w:r>
        <w:rPr>
          <w:color w:val="323232"/>
        </w:rPr>
        <w:t xml:space="preserve">0.27</w:t>
      </w:r>
      <w:r>
        <w:rPr>
          <w:color w:val="323232"/>
        </w:rPr>
        <w:t xml:space="preserve"> </w:t>
      </w:r>
      <w:r>
        <w:rPr>
          <w:color w:val="323232"/>
        </w:rPr>
        <w:t xml:space="preserve">mL/ mm Hg; p = 0.437), and reflection index (0.36</w:t>
      </w:r>
      <w:r>
        <w:rPr>
          <w:color w:val="323232"/>
        </w:rPr>
        <w:t xml:space="preserve"> </w:t>
      </w:r>
      <w:r>
        <w:rPr>
          <w:color w:val="323232"/>
        </w:rPr>
        <w:t xml:space="preserve">±</w:t>
      </w:r>
      <w:r>
        <w:rPr>
          <w:color w:val="323232"/>
        </w:rPr>
        <w:t xml:space="preserve"> </w:t>
      </w:r>
      <w:r>
        <w:rPr>
          <w:color w:val="323232"/>
        </w:rPr>
        <w:t xml:space="preserve">0.04 vs 0.34</w:t>
      </w:r>
      <w:r>
        <w:rPr>
          <w:color w:val="323232"/>
        </w:rPr>
        <w:t xml:space="preserve"> </w:t>
      </w:r>
      <w:r>
        <w:rPr>
          <w:color w:val="323232"/>
        </w:rPr>
        <w:t xml:space="preserve">±</w:t>
      </w:r>
      <w:r>
        <w:rPr>
          <w:color w:val="323232"/>
        </w:rPr>
        <w:t xml:space="preserve"> </w:t>
      </w:r>
      <w:r>
        <w:rPr>
          <w:color w:val="323232"/>
        </w:rPr>
        <w:t xml:space="preserve">0.09; p = 0.680). Open lung approach as compared to Acute Respiratory Distress Syndrome Network was associated with improved dynamic respiratory compliance (17.3</w:t>
      </w:r>
      <w:r>
        <w:rPr>
          <w:color w:val="323232"/>
        </w:rPr>
        <w:t xml:space="preserve"> </w:t>
      </w:r>
      <w:r>
        <w:rPr>
          <w:color w:val="323232"/>
        </w:rPr>
        <w:t xml:space="preserve">±</w:t>
      </w:r>
      <w:r>
        <w:rPr>
          <w:color w:val="323232"/>
        </w:rPr>
        <w:t xml:space="preserve"> </w:t>
      </w:r>
      <w:r>
        <w:rPr>
          <w:color w:val="323232"/>
        </w:rPr>
        <w:t xml:space="preserve">2.6 vs 10.5</w:t>
      </w:r>
      <w:r>
        <w:rPr>
          <w:color w:val="323232"/>
        </w:rPr>
        <w:t xml:space="preserve"> </w:t>
      </w:r>
      <w:r>
        <w:rPr>
          <w:color w:val="323232"/>
        </w:rPr>
        <w:t xml:space="preserve">±</w:t>
      </w:r>
      <w:r>
        <w:rPr>
          <w:color w:val="323232"/>
        </w:rPr>
        <w:t xml:space="preserve"> </w:t>
      </w:r>
      <w:r>
        <w:rPr>
          <w:color w:val="323232"/>
        </w:rPr>
        <w:t xml:space="preserve">1.3</w:t>
      </w:r>
      <w:r>
        <w:rPr>
          <w:color w:val="323232"/>
        </w:rPr>
        <w:t xml:space="preserve"> </w:t>
      </w:r>
      <w:r>
        <w:rPr>
          <w:color w:val="323232"/>
        </w:rPr>
        <w:t xml:space="preserve">mL/ cm H2O; p &lt; 0.001), driving pressure (9.6</w:t>
      </w:r>
      <w:r>
        <w:rPr>
          <w:color w:val="323232"/>
        </w:rPr>
        <w:t xml:space="preserve"> </w:t>
      </w:r>
      <w:r>
        <w:rPr>
          <w:color w:val="323232"/>
        </w:rPr>
        <w:t xml:space="preserve">±</w:t>
      </w:r>
      <w:r>
        <w:rPr>
          <w:color w:val="323232"/>
        </w:rPr>
        <w:t xml:space="preserve"> </w:t>
      </w:r>
      <w:r>
        <w:rPr>
          <w:color w:val="323232"/>
        </w:rPr>
        <w:t xml:space="preserve">1.3 vs 19.3</w:t>
      </w:r>
      <w:r>
        <w:rPr>
          <w:color w:val="323232"/>
        </w:rPr>
        <w:t xml:space="preserve"> </w:t>
      </w:r>
      <w:r>
        <w:rPr>
          <w:color w:val="323232"/>
        </w:rPr>
        <w:t xml:space="preserve">±</w:t>
      </w:r>
      <w:r>
        <w:rPr>
          <w:color w:val="323232"/>
        </w:rPr>
        <w:t xml:space="preserve"> </w:t>
      </w:r>
      <w:r>
        <w:rPr>
          <w:color w:val="323232"/>
        </w:rPr>
        <w:t xml:space="preserve">2.7</w:t>
      </w:r>
      <w:r>
        <w:rPr>
          <w:color w:val="323232"/>
        </w:rPr>
        <w:t xml:space="preserve"> </w:t>
      </w:r>
      <w:r>
        <w:rPr>
          <w:color w:val="323232"/>
        </w:rPr>
        <w:t xml:space="preserve">cm H2O; p &lt; 0.001), and venous admixture (0.05</w:t>
      </w:r>
      <w:r>
        <w:rPr>
          <w:color w:val="323232"/>
        </w:rPr>
        <w:t xml:space="preserve"> </w:t>
      </w:r>
      <w:r>
        <w:rPr>
          <w:color w:val="323232"/>
        </w:rPr>
        <w:t xml:space="preserve">±</w:t>
      </w:r>
      <w:r>
        <w:rPr>
          <w:color w:val="323232"/>
        </w:rPr>
        <w:t xml:space="preserve"> </w:t>
      </w:r>
      <w:r>
        <w:rPr>
          <w:color w:val="323232"/>
        </w:rPr>
        <w:t xml:space="preserve">0.01 vs 0.22</w:t>
      </w:r>
      <w:r>
        <w:rPr>
          <w:color w:val="323232"/>
        </w:rPr>
        <w:t xml:space="preserve"> </w:t>
      </w:r>
      <w:r>
        <w:rPr>
          <w:color w:val="323232"/>
        </w:rPr>
        <w:t xml:space="preserve">±</w:t>
      </w:r>
      <w:r>
        <w:rPr>
          <w:color w:val="323232"/>
        </w:rPr>
        <w:t xml:space="preserve"> </w:t>
      </w:r>
      <w:r>
        <w:rPr>
          <w:color w:val="323232"/>
        </w:rPr>
        <w:t xml:space="preserve">0.03, p &lt; 0.001) and lower mean pulmonary artery pressure (26</w:t>
      </w:r>
      <w:r>
        <w:rPr>
          <w:color w:val="323232"/>
        </w:rPr>
        <w:t xml:space="preserve"> </w:t>
      </w:r>
      <w:r>
        <w:rPr>
          <w:color w:val="323232"/>
        </w:rPr>
        <w:t xml:space="preserve">±</w:t>
      </w:r>
      <w:r>
        <w:rPr>
          <w:color w:val="323232"/>
        </w:rPr>
        <w:t xml:space="preserve"> </w:t>
      </w:r>
      <w:r>
        <w:rPr>
          <w:color w:val="323232"/>
        </w:rPr>
        <w:t xml:space="preserve">3 vs 34</w:t>
      </w:r>
      <w:r>
        <w:rPr>
          <w:color w:val="323232"/>
        </w:rPr>
        <w:t xml:space="preserve"> </w:t>
      </w:r>
      <w:r>
        <w:rPr>
          <w:color w:val="323232"/>
        </w:rPr>
        <w:t xml:space="preserve">±</w:t>
      </w:r>
      <w:r>
        <w:rPr>
          <w:color w:val="323232"/>
        </w:rPr>
        <w:t xml:space="preserve"> </w:t>
      </w:r>
      <w:r>
        <w:rPr>
          <w:color w:val="323232"/>
        </w:rPr>
        <w:t xml:space="preserve">7</w:t>
      </w:r>
      <w:r>
        <w:rPr>
          <w:color w:val="323232"/>
        </w:rPr>
        <w:t xml:space="preserve"> </w:t>
      </w:r>
      <w:r>
        <w:rPr>
          <w:color w:val="323232"/>
        </w:rPr>
        <w:t xml:space="preserve">mm Hg; p = 0.045) despite of using a higher positive end-expiratory pressure (17.4</w:t>
      </w:r>
      <w:r>
        <w:rPr>
          <w:color w:val="323232"/>
        </w:rPr>
        <w:t xml:space="preserve"> </w:t>
      </w:r>
      <w:r>
        <w:rPr>
          <w:color w:val="323232"/>
        </w:rPr>
        <w:t xml:space="preserve">±</w:t>
      </w:r>
      <w:r>
        <w:rPr>
          <w:color w:val="323232"/>
        </w:rPr>
        <w:t xml:space="preserve"> </w:t>
      </w:r>
      <w:r>
        <w:rPr>
          <w:color w:val="323232"/>
        </w:rPr>
        <w:t xml:space="preserve">0.7 vs 9.5</w:t>
      </w:r>
      <w:r>
        <w:rPr>
          <w:color w:val="323232"/>
        </w:rPr>
        <w:t xml:space="preserve"> </w:t>
      </w:r>
      <w:r>
        <w:rPr>
          <w:color w:val="323232"/>
        </w:rPr>
        <w:t xml:space="preserve">±</w:t>
      </w:r>
      <w:r>
        <w:rPr>
          <w:color w:val="323232"/>
        </w:rPr>
        <w:t xml:space="preserve"> </w:t>
      </w:r>
      <w:r>
        <w:rPr>
          <w:color w:val="323232"/>
        </w:rPr>
        <w:t xml:space="preserve">2.4</w:t>
      </w:r>
      <w:r>
        <w:rPr>
          <w:color w:val="323232"/>
        </w:rPr>
        <w:t xml:space="preserve"> </w:t>
      </w:r>
      <w:r>
        <w:rPr>
          <w:color w:val="323232"/>
        </w:rPr>
        <w:t xml:space="preserve">cm H2O; p &lt; 0.001). Cardiac index, however, was lower in open lung approach (1.42</w:t>
      </w:r>
      <w:r>
        <w:rPr>
          <w:color w:val="323232"/>
        </w:rPr>
        <w:t xml:space="preserve"> </w:t>
      </w:r>
      <w:r>
        <w:rPr>
          <w:color w:val="323232"/>
        </w:rPr>
        <w:t xml:space="preserve">±</w:t>
      </w:r>
      <w:r>
        <w:rPr>
          <w:color w:val="323232"/>
        </w:rPr>
        <w:t xml:space="preserve"> </w:t>
      </w:r>
      <w:r>
        <w:rPr>
          <w:color w:val="323232"/>
        </w:rPr>
        <w:t xml:space="preserve">0.16 vs 2.27</w:t>
      </w:r>
      <w:r>
        <w:rPr>
          <w:color w:val="323232"/>
        </w:rPr>
        <w:t xml:space="preserve"> </w:t>
      </w:r>
      <w:r>
        <w:rPr>
          <w:color w:val="323232"/>
        </w:rPr>
        <w:t xml:space="preserve">±</w:t>
      </w:r>
      <w:r>
        <w:rPr>
          <w:color w:val="323232"/>
        </w:rPr>
        <w:t xml:space="preserve"> </w:t>
      </w:r>
      <w:r>
        <w:rPr>
          <w:color w:val="323232"/>
        </w:rPr>
        <w:t xml:space="preserve">0.48</w:t>
      </w:r>
      <w:r>
        <w:rPr>
          <w:color w:val="323232"/>
        </w:rPr>
        <w:t xml:space="preserve"> </w:t>
      </w:r>
      <w:r>
        <w:rPr>
          <w:color w:val="323232"/>
        </w:rPr>
        <w:t xml:space="preserve">L/min; p = 0.005).</w:t>
      </w:r>
    </w:p>
    <w:p/>
    <w:p>
      <w:pPr>
        <w:pStyle w:val="Normal"/>
      </w:pPr>
      <w:r>
        <w:rPr>
          <w:color w:val="323232"/>
        </w:rPr>
        <w:t xml:space="preserve">CONCLUSIONS:In this experimental model, Acute Respiratory Distress Syndrome Network and open lung approach affected pulmonary vascular mechanics similarly. The use of higher positive end-expiratory pressures in the open lung approach strategy did not worsen pulmonary vascular mechanics, improved lung mechanics, and gas exchange but at the expense of a lower cardiac index.</w:t>
      </w:r>
    </w:p>
    <w:p/>
    <w:p>
      <w:pPr>
        <w:pStyle w:val="Normal"/>
      </w:pPr>
      <w:r>
        <w:rPr>
          <w:color w:val="323232"/>
        </w:rPr>
        <w:t xml:space="preserve">Critical Care Medicine, 2017 vol. 45 (11) pp. e1157-e1164.</w:t>
      </w:r>
    </w:p>
    <w:p>
      <w:r>
        <w:rPr>
          <w:rStyle w:val="Hyperlink"/>
        </w:rPr>
        <w:fldChar w:fldCharType="begin"/>
      </w:r>
      <w:r>
        <w:rPr>
          <w:rStyle w:val="Hyperlink"/>
        </w:rPr>
        <w:instrText xml:space="preserve"> HYPERLINK "http://eutils.ncbi.nlm.nih.gov/entrez/eutils/elink.fcgi?dbfrom=pubmed&amp;id=28872540&amp;retmode=ref&amp;cmd=prlinks"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http://eutils.ncbi.nlm.nih.gov/entrez/eutils/elink.fcgi?dbfrom=pubmed&amp;id=28872540&amp;retmode=ref&amp;cmd=prlinks</w:t>
      </w:r>
      <w:r>
        <w:rPr>
          <w:rStyle w:val="Hyperlink"/>
        </w:rPr>
        <w:fldChar w:fldCharType="end"/>
      </w:r>
    </w:p>
    <w:p>
      <w:pPr>
        <w:pStyle w:val="Normal"/>
      </w:pPr>
      <w:r>
        <w:rPr>
          <w:color w:val="323232"/>
        </w:rPr>
        <w:t xml:space="preserve">————————</w:t>
      </w:r>
    </w:p>
    <w:p>
      <w:pPr>
        <w:pStyle w:val="Heading4"/>
      </w:pPr>
      <w:r>
        <w:t xml:space="preserve">Hypoxemic Patients With Bilateral Infiltrates Treated With High-Flow Nasal Cannula Present a Similar Pattern of Biomarkers of Inflammation and Injury to Acute Respiratory Distress Syndrome Patients.</w:t>
      </w:r>
    </w:p>
    <w:p/>
    <w:p>
      <w:pPr>
        <w:pStyle w:val="Normal"/>
      </w:pPr>
      <w:r>
        <w:rPr>
          <w:color w:val="323232"/>
        </w:rPr>
        <w:t xml:space="preserve">Marina García-de-Acilu, Judith Marin-Corral, Antonia Vázquez, Laura Ruano, Mònica Magret, Ricard Ferrer, Joan R Masclans, and Oriol Roca.</w:t>
      </w:r>
    </w:p>
    <w:p/>
    <w:p>
      <w:pPr>
        <w:pStyle w:val="Normal"/>
      </w:pPr>
      <w:r>
        <w:rPr>
          <w:color w:val="323232"/>
        </w:rPr>
        <w:t xml:space="preserve">OBJECTIVE:To examine whether patients with acute hypoxemia and bilateral opacities treated with high-flow nasal cannula and acute respiratory distress syndrome patients who were directly mechanically ventilated are similar in terms of lung epithelial, endothelial, and inflammatory biomarkers.</w:t>
      </w:r>
    </w:p>
    <w:p/>
    <w:p>
      <w:pPr>
        <w:pStyle w:val="Normal"/>
      </w:pPr>
      <w:r>
        <w:rPr>
          <w:color w:val="323232"/>
        </w:rPr>
        <w:t xml:space="preserve">DESIGN:Prospective, multicenter study.</w:t>
      </w:r>
    </w:p>
    <w:p/>
    <w:p>
      <w:pPr>
        <w:pStyle w:val="Normal"/>
      </w:pPr>
      <w:r>
        <w:rPr>
          <w:color w:val="323232"/>
        </w:rPr>
        <w:t xml:space="preserve">SETTING:ICUs at three university tertiary hospitals.</w:t>
      </w:r>
    </w:p>
    <w:p/>
    <w:p>
      <w:pPr>
        <w:pStyle w:val="Normal"/>
      </w:pPr>
      <w:r>
        <w:rPr>
          <w:color w:val="323232"/>
        </w:rPr>
        <w:t xml:space="preserve">PATIENTS:Intubated and nonintubated patients admitted to the ICU with acute hypoxemia (PaO2/FIO2 ≤ 300) and bilateral opacities.</w:t>
      </w:r>
    </w:p>
    <w:p/>
    <w:p>
      <w:pPr>
        <w:pStyle w:val="Normal"/>
      </w:pPr>
      <w:r>
        <w:rPr>
          <w:color w:val="323232"/>
        </w:rPr>
        <w:t xml:space="preserve">INTERVENTIONS:None.</w:t>
      </w:r>
    </w:p>
    <w:p/>
    <w:p>
      <w:pPr>
        <w:pStyle w:val="Normal"/>
      </w:pPr>
      <w:r>
        <w:rPr>
          <w:color w:val="323232"/>
        </w:rPr>
        <w:t xml:space="preserve">MEASUREMENTS AND MAIN RESULTS:Either high-flow nasal cannula or mechanical ventilation was initiated, at the discretion of the attending physician. We measured plasma biomarkers of lung epithelial injury (receptor for advanced glycation end products and surfactant protein D) and endothelial injury (angiopoietin-2) and inflammation (interleukin-6, interleukin-8, and interleukin-33 and soluble suppression of tumorigenicity-2) within 24 hours of acute respiratory distress syndrome onset. Propensity score matching was performed using six different variables (Acute Physiology and Chronic Health Evaluation II, Sequential Organ Failure Assessment, PaO2/FIO2, origin of acute respiratory distress syndrome, steroids, renal failure and need for vasopressors). Nonhypoxemic mechanically ventilated critically ill patients and healthy volunteers served as controls. Of the 170 patients enrolled, 127 (74.7%) were intubated and 43 (25.3%) were treated with high-flow nasal cannula at acute respiratory distress syndrome onset. After propensity score matching (39 high-flow nasal cannula patients vs 39 mechanical ventilation patients), no significant differences were observed in receptor for advanced glycation end products, surfactant protein D, angiopoietin-2, interleukin-6, interleukin-8, interleukin-33, and soluble suppression of tumorigenicity-2 between matched patients who were treated with high-flow nasal cannula and those who were intubated at acute respiratory distress syndrome onset. After matching, no differences in mortality or length of stay were observed. All biomarkers (with the exception of interleukin-33) were higher in both groups of matched acute respiratory distress syndrome patients than in both control groups.</w:t>
      </w:r>
    </w:p>
    <w:p/>
    <w:p>
      <w:pPr>
        <w:pStyle w:val="Normal"/>
      </w:pPr>
      <w:r>
        <w:rPr>
          <w:color w:val="323232"/>
        </w:rPr>
        <w:t xml:space="preserve">CONCLUSIONS:Acute hypoxemic patients with bilateral infiltrates treated with high-flow nasal cannula presented a similar pattern of biomarkers of inflammation and injury to acute respiratory distress syndrome patients undergoing direct mechanical ventilation. The results suggest that these high-flow nasal cannula patients should be considered as acute respiratory distress syndrome patients.</w:t>
      </w:r>
    </w:p>
    <w:p/>
    <w:p>
      <w:pPr>
        <w:pStyle w:val="Normal"/>
      </w:pPr>
      <w:r>
        <w:rPr>
          <w:color w:val="323232"/>
        </w:rPr>
        <w:t xml:space="preserve">Critical Care Medicine, 2017 vol. 45 (11) pp. 1845-1853.</w:t>
      </w:r>
    </w:p>
    <w:p>
      <w:r>
        <w:rPr>
          <w:rStyle w:val="Hyperlink"/>
        </w:rPr>
        <w:fldChar w:fldCharType="begin"/>
      </w:r>
      <w:r>
        <w:rPr>
          <w:rStyle w:val="Hyperlink"/>
        </w:rPr>
        <w:instrText xml:space="preserve"> HYPERLINK "http://eutils.ncbi.nlm.nih.gov/entrez/eutils/elink.fcgi?dbfrom=pubmed&amp;id=28806218&amp;retmode=ref&amp;cmd=prlinks"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http://eutils.ncbi.nlm.nih.gov/entrez/eutils/elink.fcgi?dbfrom=pubmed&amp;id=28806218&amp;retmode=ref&amp;cmd=prlinks</w:t>
      </w:r>
      <w:r>
        <w:rPr>
          <w:rStyle w:val="Hyperlink"/>
        </w:rPr>
        <w:fldChar w:fldCharType="end"/>
      </w:r>
    </w:p>
    <w:p>
      <w:pPr>
        <w:pStyle w:val="Normal"/>
      </w:pPr>
      <w:r>
        <w:rPr>
          <w:color w:val="323232"/>
        </w:rPr>
        <w:t xml:space="preserve">————————</w:t>
      </w:r>
    </w:p>
    <w:p>
      <w:pPr>
        <w:pStyle w:val="Heading4"/>
      </w:pPr>
      <w:r>
        <w:t xml:space="preserve">Investigating the Impact of Different Suspicion of Infection Criteria on the Accuracy of Quick Sepsis-Related Organ Failure Assessment, Systemic Inflammatory Response Syndrome, and Early Warning Scores.</w:t>
      </w:r>
    </w:p>
    <w:p/>
    <w:p>
      <w:pPr>
        <w:pStyle w:val="Normal"/>
      </w:pPr>
      <w:r>
        <w:rPr>
          <w:color w:val="323232"/>
        </w:rPr>
        <w:t xml:space="preserve">Matthew M Churpek, Ashley Snyder, Sarah Sokol, Natasha N Pettit, and Dana P Edelson.</w:t>
      </w:r>
    </w:p>
    <w:p/>
    <w:p>
      <w:pPr>
        <w:pStyle w:val="Normal"/>
      </w:pPr>
      <w:r>
        <w:rPr>
          <w:color w:val="323232"/>
        </w:rPr>
        <w:t xml:space="preserve">OBJECTIVE:Studies in sepsis are limited by heterogeneity regarding what constitutes suspicion of infection. We sought to compare potential suspicion criteria using antibiotic and culture order combinations in terms of patient characteristics and outcomes. We further sought to determine the impact of differing criteria on the accuracy of sepsis screening tools and early warning scores.</w:t>
      </w:r>
    </w:p>
    <w:p/>
    <w:p>
      <w:pPr>
        <w:pStyle w:val="Normal"/>
      </w:pPr>
      <w:r>
        <w:rPr>
          <w:color w:val="323232"/>
        </w:rPr>
        <w:t xml:space="preserve">DESIGN:Observational cohort study.</w:t>
      </w:r>
    </w:p>
    <w:p/>
    <w:p>
      <w:pPr>
        <w:pStyle w:val="Normal"/>
      </w:pPr>
      <w:r>
        <w:rPr>
          <w:color w:val="323232"/>
        </w:rPr>
        <w:t xml:space="preserve">SETTING:Academic center from November 2008 to January 2016.</w:t>
      </w:r>
    </w:p>
    <w:p/>
    <w:p>
      <w:pPr>
        <w:pStyle w:val="Normal"/>
      </w:pPr>
      <w:r>
        <w:rPr>
          <w:color w:val="323232"/>
        </w:rPr>
        <w:t xml:space="preserve">PATIENTS:Hospitalized patients outside the ICU.</w:t>
      </w:r>
    </w:p>
    <w:p/>
    <w:p>
      <w:pPr>
        <w:pStyle w:val="Normal"/>
      </w:pPr>
      <w:r>
        <w:rPr>
          <w:color w:val="323232"/>
        </w:rPr>
        <w:t xml:space="preserve">INTERVENTIONS:None.</w:t>
      </w:r>
    </w:p>
    <w:p/>
    <w:p>
      <w:pPr>
        <w:pStyle w:val="Normal"/>
      </w:pPr>
      <w:r>
        <w:rPr>
          <w:color w:val="323232"/>
        </w:rPr>
        <w:t xml:space="preserve">MEASUREMENTS AND MAIN RESULTS:Six criteria were investigated: 1) any culture, 2) blood culture, 3) any culture plus IV antibiotics, 4) blood culture plus IV antibiotics, 5) any culture plus IV antibiotics for at least 4 of 7 days, and 6) blood culture plus IV antibiotics for at least 4 of 7 days. Accuracy of the quick Sepsis-related Organ Failure Assessment score, Sepsis-related Organ Failure Assessment score, systemic inflammatory response syndrome criteria, the National and Modified Early Warning Score, and the electronic Cardiac Arrest Risk Triage score were calculated for predicting ICU transfer or death within 48 hours of meeting suspicion criteria. A total of 53,849 patients met at least one infection criteria. Mortality increased from 3% for group 1 to 9% for group 6 and percentage meeting Angus sepsis criteria increased from 20% to 40%. Across all criteria, score discrimination was lowest for systemic inflammatory response syndrome (median area under the receiver operating characteristic curve, 0.60) and Sepsis-related Organ Failure Assessment score (median area under the receiver operating characteristic curve, 0.62), intermediate for quick Sepsis-related Organ Failure Assessment (median area under the receiver operating characteristic curve, 0.65) and Modified Early Warning Score (median area under the receiver operating characteristic curve 0.67), and highest for National Early Warning Score (median area under the receiver operating characteristic curve 0.71) and electronic Cardiac Arrest Risk Triage (median area under the receiver operating characteristic curve 0.73).</w:t>
      </w:r>
    </w:p>
    <w:p/>
    <w:p>
      <w:pPr>
        <w:pStyle w:val="Normal"/>
      </w:pPr>
      <w:r>
        <w:rPr>
          <w:color w:val="323232"/>
        </w:rPr>
        <w:t xml:space="preserve">CONCLUSIONS:The choice of criteria to define a potentially infected population significantly impacts prevalence of mortality but has little impact on accuracy. Systemic inflammatory response syndrome was the least predictive and electronic Cardiac Arrest Risk Triage the most predictive regardless of how infection was defined.</w:t>
      </w:r>
    </w:p>
    <w:p/>
    <w:p>
      <w:pPr>
        <w:pStyle w:val="Normal"/>
      </w:pPr>
      <w:r>
        <w:rPr>
          <w:color w:val="323232"/>
        </w:rPr>
        <w:t xml:space="preserve">Critical Care Medicine, 2017 vol. 45 (11) pp. 1805-1812.</w:t>
      </w:r>
    </w:p>
    <w:p>
      <w:r>
        <w:rPr>
          <w:rStyle w:val="Hyperlink"/>
        </w:rPr>
        <w:fldChar w:fldCharType="begin"/>
      </w:r>
      <w:r>
        <w:rPr>
          <w:rStyle w:val="Hyperlink"/>
        </w:rPr>
        <w:instrText xml:space="preserve"> HYPERLINK "http://eutils.ncbi.nlm.nih.gov/entrez/eutils/elink.fcgi?dbfrom=pubmed&amp;id=28737573&amp;retmode=ref&amp;cmd=prlinks"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http://eutils.ncbi.nlm.nih.gov/entrez/eutils/elink.fcgi?dbfrom=pubmed&amp;id=28737573&amp;retmode=ref&amp;cmd=prlinks</w:t>
      </w:r>
      <w:r>
        <w:rPr>
          <w:rStyle w:val="Hyperlink"/>
        </w:rPr>
        <w:fldChar w:fldCharType="end"/>
      </w:r>
    </w:p>
    <w:p>
      <w:pPr>
        <w:pStyle w:val="Normal"/>
      </w:pPr>
      <w:r>
        <w:rPr>
          <w:color w:val="323232"/>
        </w:rPr>
        <w:t xml:space="preserve">————————</w:t>
      </w:r>
    </w:p>
    <w:p>
      <w:pPr>
        <w:pStyle w:val="Heading4"/>
      </w:pPr>
      <w:r>
        <w:t xml:space="preserve">Predicting Fluid Responsiveness in Critically Ill Patients by Using Combined End-Expiratory and End-Inspiratory Occlusions With Echocardiography.</w:t>
      </w:r>
    </w:p>
    <w:p/>
    <w:p>
      <w:pPr>
        <w:pStyle w:val="Normal"/>
      </w:pPr>
      <w:r>
        <w:rPr>
          <w:color w:val="323232"/>
        </w:rPr>
        <w:t xml:space="preserve">Mathieu Jozwiak, François Dépret, Jean-Louis Teboul, Jean-Emmanuel Alphonsine, Christopher Lai, Christian Richard, and Xavier Monnet.</w:t>
      </w:r>
    </w:p>
    <w:p/>
    <w:p>
      <w:pPr>
        <w:pStyle w:val="Normal"/>
      </w:pPr>
      <w:r>
        <w:rPr>
          <w:color w:val="323232"/>
        </w:rPr>
        <w:t xml:space="preserve">OBJECTIVES:First, we aimed at assessing whether fluid responsiveness is predicted by the effects of an end-expiratory occlusion on the velocity-time integral of the left ventricular outflow tract. Second, we investigated whether adding the effects of an end-inspiratory occlusion and of an end-expiratory occlusion on velocity-time integral can predict fluid responsiveness with similar reliability than end-expiratory occlusion alone but with a higher threshold, which might be more compatible with the precision of echocardiography.</w:t>
      </w:r>
    </w:p>
    <w:p/>
    <w:p>
      <w:pPr>
        <w:pStyle w:val="Normal"/>
      </w:pPr>
      <w:r>
        <w:rPr>
          <w:color w:val="323232"/>
        </w:rPr>
        <w:t xml:space="preserve">DESIGN:Diagnostic study.</w:t>
      </w:r>
    </w:p>
    <w:p/>
    <w:p>
      <w:pPr>
        <w:pStyle w:val="Normal"/>
      </w:pPr>
      <w:r>
        <w:rPr>
          <w:color w:val="323232"/>
        </w:rPr>
        <w:t xml:space="preserve">SETTING:Medical ICU.</w:t>
      </w:r>
    </w:p>
    <w:p/>
    <w:p>
      <w:pPr>
        <w:pStyle w:val="Normal"/>
      </w:pPr>
      <w:r>
        <w:rPr>
          <w:color w:val="323232"/>
        </w:rPr>
        <w:t xml:space="preserve">PATIENTS:Thirty mechanically ventilated patients in whom fluid administration was planned.</w:t>
      </w:r>
    </w:p>
    <w:p/>
    <w:p>
      <w:pPr>
        <w:pStyle w:val="Normal"/>
      </w:pPr>
      <w:r>
        <w:rPr>
          <w:color w:val="323232"/>
        </w:rPr>
        <w:t xml:space="preserve">INTERVENTIONS:A 15-second end-expiratory occlusion and end-inspiratory occlusion, separated by 1 minute, followed by a 500-mL saline administration.</w:t>
      </w:r>
    </w:p>
    <w:p/>
    <w:p>
      <w:pPr>
        <w:pStyle w:val="Normal"/>
      </w:pPr>
      <w:r>
        <w:rPr>
          <w:color w:val="323232"/>
        </w:rPr>
        <w:t xml:space="preserve">MEASUREMENTS AND MAIN RESULTS:Pulse contour analysis-derived cardiac index and velocity-time integral were measured during the last 5 seconds of 15-second end-inspiratory occlusion and end-expiratory occlusion and after fluid administration. End-expiratory occlusion increased velocity-time integral more in responders than in nonresponders to fluid administration (11% ± 5% vs 3% ± 1%, respectively; p &lt; 0.0001), and end-inspiratory occlusion decreased velocity-time integral more in responders than in nonresponders (12% ± 5% vs 5% ± 2%, respectively; p = 0.0002). When adding the absolute values of changes in velocity-time integral observed during both occlusions, velocity-time integral changed by 23% ± 9% in responders and by 8% ± 3% in nonresponders. Fluid responsiveness was predicted by the end-expiratory occlusion-induced change in velocity-time integral with an area under the receiver operating characteristic curve of 0.938 (0.785-0.989) and a threshold value of 5%. Fluid responsiveness was predicted by the sum of absolute values of changes in velocity-time integral during both occlusions with a similar reliability (area under the receiver operating characteristic curve = 0.973 [0.838-1.000]) but with a threshold of 13%. Both sensitivity and specificity were 93% (68-100%).</w:t>
      </w:r>
    </w:p>
    <w:p/>
    <w:p>
      <w:pPr>
        <w:pStyle w:val="Normal"/>
      </w:pPr>
      <w:r>
        <w:rPr>
          <w:color w:val="323232"/>
        </w:rPr>
        <w:t xml:space="preserve">CONCLUSIONS:If consecutive end-inspiratory occlusion and end-expiratory occlusion change velocity-time integral is greater than or equal to 13% in total, fluid responsiveness is accurately predicted. This threshold is more compatible with the precision of echocardiography than that obtained by end-expiratory occlusion alone.</w:t>
      </w:r>
    </w:p>
    <w:p/>
    <w:p>
      <w:pPr>
        <w:pStyle w:val="Normal"/>
      </w:pPr>
      <w:r>
        <w:rPr>
          <w:color w:val="323232"/>
        </w:rPr>
        <w:t xml:space="preserve">Critical Care Medicine, 2017 vol. 45 (11) pp. e1131-e1138.</w:t>
      </w:r>
    </w:p>
    <w:p>
      <w:r>
        <w:rPr>
          <w:rStyle w:val="Hyperlink"/>
        </w:rPr>
        <w:fldChar w:fldCharType="begin"/>
      </w:r>
      <w:r>
        <w:rPr>
          <w:rStyle w:val="Hyperlink"/>
        </w:rPr>
        <w:instrText xml:space="preserve"> HYPERLINK "http://eutils.ncbi.nlm.nih.gov/entrez/eutils/elink.fcgi?dbfrom=pubmed&amp;id=28857907&amp;retmode=ref&amp;cmd=prlinks"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http://eutils.ncbi.nlm.nih.gov/entrez/eutils/elink.fcgi?dbfrom=pubmed&amp;id=28857907&amp;retmode=ref&amp;cmd=prlinks</w:t>
      </w:r>
      <w:r>
        <w:rPr>
          <w:rStyle w:val="Hyperlink"/>
        </w:rPr>
        <w:fldChar w:fldCharType="end"/>
      </w:r>
    </w:p>
    <w:p>
      <w:pPr>
        <w:pStyle w:val="Normal"/>
      </w:pPr>
      <w:r>
        <w:rPr>
          <w:color w:val="323232"/>
        </w:rPr>
        <w:t xml:space="preserve">————————</w:t>
      </w:r>
    </w:p>
    <w:p>
      <w:pPr>
        <w:pStyle w:val="Heading4"/>
      </w:pPr>
      <w:r>
        <w:t xml:space="preserve">Quick Sequential Organ Failure Assessment and Systemic Inflammatory Response Syndrome Criteria as Predictors of Critical Care Intervention Among Patients With Suspected Infection.</w:t>
      </w:r>
    </w:p>
    <w:p/>
    <w:p>
      <w:pPr>
        <w:pStyle w:val="Normal"/>
      </w:pPr>
      <w:r>
        <w:rPr>
          <w:color w:val="323232"/>
        </w:rPr>
        <w:t xml:space="preserve">Ari Moskowitz, Parth V Patel, Anne V Grossestreuer, Maureen Chase, Nathan I Shapiro, Katherine Berg, Michael N Cocchi, Mathias J Holmberg, Michael W Donnino, and Center for Resuscitation Science.</w:t>
      </w:r>
    </w:p>
    <w:p/>
    <w:p>
      <w:pPr>
        <w:pStyle w:val="Normal"/>
      </w:pPr>
      <w:r>
        <w:rPr>
          <w:color w:val="323232"/>
        </w:rPr>
        <w:t xml:space="preserve">OBJECTIVES:The Sepsis III clinical criteria for the diagnosis of sepsis rely on scores derived to predict inhospital mortality. In this study, we introduce the novel outcome of "received critical care intervention" and investigate the related predictive performance of both the quick Sequential Organ Failure Assessment and the Systemic Inflammatory Response Syndrome criteria.</w:t>
      </w:r>
    </w:p>
    <w:p/>
    <w:p>
      <w:pPr>
        <w:pStyle w:val="Normal"/>
      </w:pPr>
      <w:r>
        <w:rPr>
          <w:color w:val="323232"/>
        </w:rPr>
        <w:t xml:space="preserve">DESIGN:This was a single-center, retrospective analysis of electronic health records.</w:t>
      </w:r>
    </w:p>
    <w:p/>
    <w:p>
      <w:pPr>
        <w:pStyle w:val="Normal"/>
      </w:pPr>
      <w:r>
        <w:rPr>
          <w:color w:val="323232"/>
        </w:rPr>
        <w:t xml:space="preserve">SETTING:Tertiary care hospital in the United States.</w:t>
      </w:r>
    </w:p>
    <w:p/>
    <w:p>
      <w:pPr>
        <w:pStyle w:val="Normal"/>
      </w:pPr>
      <w:r>
        <w:rPr>
          <w:color w:val="323232"/>
        </w:rPr>
        <w:t xml:space="preserve">PATIENTS:Patients with suspected infection who presented to the emergency department and were admitted to the hospital between January 2010 and December 2014.</w:t>
      </w:r>
    </w:p>
    <w:p/>
    <w:p>
      <w:pPr>
        <w:pStyle w:val="Normal"/>
      </w:pPr>
      <w:r>
        <w:rPr>
          <w:color w:val="323232"/>
        </w:rPr>
        <w:t xml:space="preserve">INTERVENTIONS:Systemic Inflammatory Response Syndrome and quick Sequential Organ Failure Assessment scores were calculated, and their relationships to the receipt of critical care intervention and inhospital mortality were determined.</w:t>
      </w:r>
    </w:p>
    <w:p/>
    <w:p>
      <w:pPr>
        <w:pStyle w:val="Normal"/>
      </w:pPr>
      <w:r>
        <w:rPr>
          <w:color w:val="323232"/>
        </w:rPr>
        <w:t xml:space="preserve">MEASUREMENT AND MAIN RESULTS:A total of 24,164 patients were included of whom 6,693 (27.7%) were admitted to an ICU within 48 hours; 4,453 (66.5%) patients admitted to the ICU received a critical care intervention. Among those with quick Sequential Organ Failure Assessment less than 2, 13.4% received a critical care intervention and 3.5% died compared with 48.2% and 13.4%, respectively, for quick Sequential Organ Failure Assessment greater than or equal to 2. The area under the receiver operating characteristic was similar whether quick Sequential Organ Failure Assessment was used to predict receipt of critical care intervention or inhospital mortality (0.74 [95% CI, 0.73-0.74] vs 0.71 [0.69-0.72]). The area under the receiver operating characteristic of Systemic Inflammatory Response Syndrome for critical care intervention (0.69) and mortality (0.66) was lower than that for quick Sequential Organ Failure Assessment (p &lt; 0.001 for both outcomes). The sensitivity of quick Sequential Organ Failure Assessment for predicting critical care intervention was 38%.</w:t>
      </w:r>
    </w:p>
    <w:p/>
    <w:p>
      <w:pPr>
        <w:pStyle w:val="Normal"/>
      </w:pPr>
      <w:r>
        <w:rPr>
          <w:color w:val="323232"/>
        </w:rPr>
        <w:t xml:space="preserve">CONCLUSIONS:Emergency department patients with suspected infection and low quick Sequential Organ Failure Assessment scores frequently receive critical care interventions. The misclassification of these patients as "low risk," in combination with the low sensitivity of quick Sequential Organ Failure Assessment greater than or equal to 2, may diminish the clinical utility of the quick Sequential Organ Failure Assessment score for patients with suspected infection in the emergency department.</w:t>
      </w:r>
    </w:p>
    <w:p/>
    <w:p>
      <w:pPr>
        <w:pStyle w:val="Normal"/>
      </w:pPr>
      <w:r>
        <w:rPr>
          <w:color w:val="323232"/>
        </w:rPr>
        <w:t xml:space="preserve">Critical Care Medicine, 2017 vol. 45 (11) pp. 1813-1819.</w:t>
      </w:r>
    </w:p>
    <w:p>
      <w:r>
        <w:rPr>
          <w:rStyle w:val="Hyperlink"/>
        </w:rPr>
        <w:fldChar w:fldCharType="begin"/>
      </w:r>
      <w:r>
        <w:rPr>
          <w:rStyle w:val="Hyperlink"/>
        </w:rPr>
        <w:instrText xml:space="preserve"> HYPERLINK "http://eutils.ncbi.nlm.nih.gov/entrez/eutils/elink.fcgi?dbfrom=pubmed&amp;id=28759474&amp;retmode=ref&amp;cmd=prlinks"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http://eutils.ncbi.nlm.nih.gov/entrez/eutils/elink.fcgi?dbfrom=pubmed&amp;id=28759474&amp;retmode=ref&amp;cmd=prlinks</w:t>
      </w:r>
      <w:r>
        <w:rPr>
          <w:rStyle w:val="Hyperlink"/>
        </w:rPr>
        <w:fldChar w:fldCharType="end"/>
      </w:r>
    </w:p>
    <w:p>
      <w:pPr>
        <w:pStyle w:val="Normal"/>
      </w:pPr>
      <w:r>
        <w:rPr>
          <w:color w:val="323232"/>
        </w:rPr>
        <w:t xml:space="preserve">————————</w:t>
      </w:r>
    </w:p>
    <w:p>
      <w:pPr>
        <w:pStyle w:val="Heading4"/>
      </w:pPr>
      <w:r>
        <w:t xml:space="preserve">Critical Illness-Related Corticosteroid Insufficiency (CIRCI): A Narrative Review from a Multispecialty Task Force of the Society of Critical Care Medicine (SCCM) and the European Society of Intensive Care Medicine (ESICM).</w:t>
      </w:r>
    </w:p>
    <w:p/>
    <w:p>
      <w:pPr>
        <w:pStyle w:val="Normal"/>
      </w:pPr>
      <w:r>
        <w:rPr>
          <w:color w:val="323232"/>
        </w:rPr>
        <w:t xml:space="preserve">Djillali Annane, Stephen M Pastores, Wiebke Arlt, Robert A Balk, Albertus Beishuizen, Josef Briegel, Joseph Carcillo, Mirjam Christ-Crain, Mark S Cooper, Paul E Marik, Gianfranco Umberto Meduri, Keith M Olsen, Bram Rochwerg, Sophia C Rodgers, James A Russell, and Greet Van den Berghe.</w:t>
      </w:r>
    </w:p>
    <w:p/>
    <w:p>
      <w:pPr>
        <w:pStyle w:val="Normal"/>
      </w:pPr>
      <w:r>
        <w:rPr>
          <w:color w:val="323232"/>
        </w:rPr>
        <w:t xml:space="preserve">OBJECTIVE:To provide a narrative review of the latest concepts and understanding of the pathophysiology of critical illness-related corticosteroid insufficiency (CIRCI).</w:t>
      </w:r>
    </w:p>
    <w:p/>
    <w:p>
      <w:pPr>
        <w:pStyle w:val="Normal"/>
      </w:pPr>
      <w:r>
        <w:rPr>
          <w:color w:val="323232"/>
        </w:rPr>
        <w:t xml:space="preserve">PARTICIPANTS:A multi-specialty task force of international experts in critical care medicine and endocrinology and members of the Society of Critical Care Medicine and the European Society of Intensive Care Medicine.</w:t>
      </w:r>
    </w:p>
    <w:p/>
    <w:p>
      <w:pPr>
        <w:pStyle w:val="Normal"/>
      </w:pPr>
      <w:r>
        <w:rPr>
          <w:color w:val="323232"/>
        </w:rPr>
        <w:t xml:space="preserve">DATA SOURCES:Medline, Database of Abstracts of Reviews of Effects (DARE), Cochrane Central Register of Controlled Trials (CENTRAL) and the Cochrane Database of Systematic Reviews.</w:t>
      </w:r>
    </w:p>
    <w:p/>
    <w:p>
      <w:pPr>
        <w:pStyle w:val="Normal"/>
      </w:pPr>
      <w:r>
        <w:rPr>
          <w:color w:val="323232"/>
        </w:rPr>
        <w:t xml:space="preserve">RESULTS:Three major pathophysiologic events were considered to constitute CIRCI: dysregulation of the hypothalamic-pituitary-adrenal (HPA) axis, altered cortisol metabolism, and tissue resistance to glucocorticoids. The dysregulation of the HPA axis is complex, involving multidirectional crosstalk between the CRH/ACTH pathways, autonomic nervous system, vasopressinergic system, and immune system. Recent studies have demonstrated that plasma clearance of cortisol is markedly reduced during critical illness, explained by suppressed expression and activity of the primary cortisol-metabolizing enzymes in the liver and kidney. Despite the elevated cortisol levels during critical illness, tissue resistance to glucocorticoids is believed to occur due to insufficient glucocorticoid alpha-mediated anti-inflammatory activity.</w:t>
      </w:r>
    </w:p>
    <w:p/>
    <w:p>
      <w:pPr>
        <w:pStyle w:val="Normal"/>
      </w:pPr>
      <w:r>
        <w:rPr>
          <w:color w:val="323232"/>
        </w:rPr>
        <w:t xml:space="preserve">CONCLUSIONS:Novel insights into the pathophysiology of CIRCI add to the limitations of the current diagnostic tools to identify at-risk patients and may also impact how corticosteroids are used in patients with CIRCI.</w:t>
      </w:r>
    </w:p>
    <w:p/>
    <w:p>
      <w:pPr>
        <w:pStyle w:val="Normal"/>
      </w:pPr>
      <w:r>
        <w:rPr>
          <w:color w:val="323232"/>
        </w:rPr>
        <w:t xml:space="preserve">Critical Care Medicine, 2017 vol. 45 (12) pp. 2089-2098.</w:t>
      </w:r>
    </w:p>
    <w:p>
      <w:r>
        <w:rPr>
          <w:rStyle w:val="Hyperlink"/>
        </w:rPr>
        <w:fldChar w:fldCharType="begin"/>
      </w:r>
      <w:r>
        <w:rPr>
          <w:rStyle w:val="Hyperlink"/>
        </w:rPr>
        <w:instrText xml:space="preserve"> HYPERLINK "http://eutils.ncbi.nlm.nih.gov/entrez/eutils/elink.fcgi?dbfrom=pubmed&amp;id=28938251&amp;retmode=ref&amp;cmd=prlinks"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http://eutils.ncbi.nlm.nih.gov/entrez/eutils/elink.fcgi?dbfrom=pubmed&amp;id=28938251&amp;retmode=ref&amp;cmd=prlinks</w:t>
      </w:r>
      <w:r>
        <w:rPr>
          <w:rStyle w:val="Hyperlink"/>
        </w:rPr>
        <w:fldChar w:fldCharType="end"/>
      </w:r>
    </w:p>
    <w:p>
      <w:pPr>
        <w:pStyle w:val="Normal"/>
      </w:pPr>
      <w:r>
        <w:rPr>
          <w:color w:val="323232"/>
        </w:rPr>
        <w:t xml:space="preserve">————————</w:t>
      </w:r>
    </w:p>
    <w:p>
      <w:pPr>
        <w:pStyle w:val="Heading4"/>
      </w:pPr>
      <w:r>
        <w:t xml:space="preserve">Guidelines for the Diagnosis and Management of Critical Illness-Related Corticosteroid Insufficiency (CIRCI) in Critically Ill Patients (Part I): Society of Critical Care Medicine (SCCM) and European Society of Intensive Care Medicine (ESICM) 2017.</w:t>
      </w:r>
    </w:p>
    <w:p/>
    <w:p>
      <w:pPr>
        <w:pStyle w:val="Normal"/>
      </w:pPr>
      <w:r>
        <w:rPr>
          <w:color w:val="323232"/>
        </w:rPr>
        <w:t xml:space="preserve">Djillali Annane, Stephen M Pastores, Bram Rochwerg, Wiebke Arlt, Robert A Balk, Albertus Beishuizen, Josef Briegel, Joseph Carcillo, Mirjam Christ-Crain, Mark S Cooper, Paul E Marik, Gianfranco Umberto Meduri, Keith M Olsen, Sophia C Rodgers, James A Russell, and Greet Van den Berghe.</w:t>
      </w:r>
    </w:p>
    <w:p/>
    <w:p>
      <w:pPr>
        <w:pStyle w:val="Normal"/>
      </w:pPr>
      <w:r>
        <w:rPr>
          <w:color w:val="323232"/>
        </w:rPr>
        <w:t xml:space="preserve">OBJECTIVE:To update the 2008 consensus statements for the diagnosis and management of critical illness-related corticosteroid insufficiency (CIRCI) in adult and pediatric patients.</w:t>
      </w:r>
    </w:p>
    <w:p/>
    <w:p>
      <w:pPr>
        <w:pStyle w:val="Normal"/>
      </w:pPr>
      <w:r>
        <w:rPr>
          <w:color w:val="323232"/>
        </w:rPr>
        <w:t xml:space="preserve">PARTICIPANTS:A multispecialty task force of 16 international experts in critical care medicine, endocrinology, and guideline methods, all of them members of the Society of Critical Care Medicine and/or the European Society of Intensive Care Medicine.</w:t>
      </w:r>
    </w:p>
    <w:p/>
    <w:p>
      <w:pPr>
        <w:pStyle w:val="Normal"/>
      </w:pPr>
      <w:r>
        <w:rPr>
          <w:color w:val="323232"/>
        </w:rPr>
        <w:t xml:space="preserve">DESIGN/METHODS:The recommendations were based on the summarized evidence from the 2008 document in addition to more recent findings from an updated systematic review of relevant studies from 2008 to 2017 and were formulated using the Grading of Recommendations Assessment, Development, and Evaluation (GRADE) methodology. The strength of each recommendation was classified as strong or conditional, and the quality of evidence was rated from high to very low based on factors including the individual study design, the risk of bias, the consistency of the results, and the directness and precision of the evidence. Recommendation approval required the agreement of at least 80% of the task force members.</w:t>
      </w:r>
    </w:p>
    <w:p/>
    <w:p>
      <w:pPr>
        <w:pStyle w:val="Normal"/>
      </w:pPr>
      <w:r>
        <w:rPr>
          <w:color w:val="323232"/>
        </w:rPr>
        <w:t xml:space="preserve">RESULTS:The task force was unable to reach agreement on a single test that can reliably diagnose CIRCI, although delta cortisol (change in baseline cortisol at 60</w:t>
      </w:r>
      <w:r>
        <w:rPr>
          <w:color w:val="323232"/>
        </w:rPr>
        <w:t xml:space="preserve"> </w:t>
      </w:r>
      <w:r>
        <w:rPr>
          <w:color w:val="323232"/>
        </w:rPr>
        <w:t xml:space="preserve">min of &lt; 9 μg/ dL) after cosyntropin (250 μg) administration and a random plasma cortisol of &lt; 10 μg/ dL may be used by clinicians. We suggest against using plasma-free cortisol or salivary cortisol level over plasma total cortisol (conditional, very low quality of evidence). For treatment of specific conditions, we suggest using IV hydrocortisone &lt; 400</w:t>
      </w:r>
      <w:r>
        <w:rPr>
          <w:color w:val="323232"/>
        </w:rPr>
        <w:t xml:space="preserve"> </w:t>
      </w:r>
      <w:r>
        <w:rPr>
          <w:color w:val="323232"/>
        </w:rPr>
        <w:t xml:space="preserve">mg/ day for ≥ 3 days at full dose in patients with septic shock that is not responsive to fluid and moderate- to high-dose vasopressor therapy (conditional, low quality of evidence). We suggest not using corticosteroids in adult patients with sepsis without shock (conditional recommendation, moderate quality of evidence). We suggest the use of IV methylprednisolone 1</w:t>
      </w:r>
      <w:r>
        <w:rPr>
          <w:color w:val="323232"/>
        </w:rPr>
        <w:t xml:space="preserve"> </w:t>
      </w:r>
      <w:r>
        <w:rPr>
          <w:color w:val="323232"/>
        </w:rPr>
        <w:t xml:space="preserve">mg/ kg/ day in patients with early moderate to severe acute respiratory distress syndrome (PaO2/FiO2 &lt; 200 and within 14 days of onset) (conditional, moderate quality of evidence). Corticosteroids are not suggested for patients with major trauma (conditional, low quality of evidence).</w:t>
      </w:r>
    </w:p>
    <w:p/>
    <w:p>
      <w:pPr>
        <w:pStyle w:val="Normal"/>
      </w:pPr>
      <w:r>
        <w:rPr>
          <w:color w:val="323232"/>
        </w:rPr>
        <w:t xml:space="preserve">CONCLUSIONS:Evidence-based recommendations for the use of corticosteroids in critically ill patients with sepsis and septic shock, acute respiratory distress syndrome, and major trauma have been developed by a multispecialty task force.</w:t>
      </w:r>
    </w:p>
    <w:p/>
    <w:p>
      <w:pPr>
        <w:pStyle w:val="Normal"/>
      </w:pPr>
      <w:r>
        <w:rPr>
          <w:color w:val="323232"/>
        </w:rPr>
        <w:t xml:space="preserve">Critical Care Medicine, 2017 vol. 45 (12) pp. 2078-2088.</w:t>
      </w:r>
    </w:p>
    <w:p>
      <w:r>
        <w:rPr>
          <w:rStyle w:val="Hyperlink"/>
        </w:rPr>
        <w:fldChar w:fldCharType="begin"/>
      </w:r>
      <w:r>
        <w:rPr>
          <w:rStyle w:val="Hyperlink"/>
        </w:rPr>
        <w:instrText xml:space="preserve"> HYPERLINK "http://eutils.ncbi.nlm.nih.gov/entrez/eutils/elink.fcgi?dbfrom=pubmed&amp;id=28938253&amp;retmode=ref&amp;cmd=prlinks"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http://eutils.ncbi.nlm.nih.gov/entrez/eutils/elink.fcgi?dbfrom=pubmed&amp;id=28938253&amp;retmode=ref&amp;cmd=prlinks</w:t>
      </w:r>
      <w:r>
        <w:rPr>
          <w:rStyle w:val="Hyperlink"/>
        </w:rPr>
        <w:fldChar w:fldCharType="end"/>
      </w:r>
    </w:p>
    <w:p>
      <w:pPr>
        <w:pStyle w:val="Normal"/>
      </w:pPr>
      <w:r>
        <w:rPr>
          <w:color w:val="323232"/>
        </w:rPr>
        <w:t xml:space="preserve">————————</w:t>
      </w:r>
    </w:p>
    <w:p>
      <w:pPr>
        <w:pStyle w:val="Heading4"/>
      </w:pPr>
      <w:r>
        <w:t xml:space="preserve">Diagnostic Accuracy of Point-of-Care Ultrasound Performed by Pulmonary Critical Care Physicians for Right Ventricle Assessment in Patients With Acute Pulmonary Embolism.</w:t>
      </w:r>
    </w:p>
    <w:p/>
    <w:p>
      <w:pPr>
        <w:pStyle w:val="Normal"/>
      </w:pPr>
      <w:r>
        <w:rPr>
          <w:color w:val="323232"/>
        </w:rPr>
        <w:t xml:space="preserve">Jason Filopei, Samuel O Acquah, Eric E Bondarsky, David J Steiger, Navitha Ramesh, Madeline Ehrlich, and Paru Patrawalla.</w:t>
      </w:r>
    </w:p>
    <w:p/>
    <w:p>
      <w:pPr>
        <w:pStyle w:val="Normal"/>
      </w:pPr>
      <w:r>
        <w:rPr>
          <w:color w:val="323232"/>
        </w:rPr>
        <w:t xml:space="preserve">OBJECTIVES:Risk stratification for acute pulmonary embolism using imaging presence of right ventricular dysfunction is essential for triage; however, comprehensive transthoracic echocardiography has limited availability. We assessed the accuracy and timeliness of Pulmonary Critical Care Medicine Fellow's performance of goal-directed echocardiograms and intensivists' interpretations for evaluating right ventricular dysfunction in acute pulmonary embolism.</w:t>
      </w:r>
    </w:p>
    <w:p/>
    <w:p>
      <w:pPr>
        <w:pStyle w:val="Normal"/>
      </w:pPr>
      <w:r>
        <w:rPr>
          <w:color w:val="323232"/>
        </w:rPr>
        <w:t xml:space="preserve">DESIGN:Prospective observational study and retrospective chart review.</w:t>
      </w:r>
    </w:p>
    <w:p/>
    <w:p>
      <w:pPr>
        <w:pStyle w:val="Normal"/>
      </w:pPr>
      <w:r>
        <w:rPr>
          <w:color w:val="323232"/>
        </w:rPr>
        <w:t xml:space="preserve">SETTING:Four hundred fifty bed urban teaching hospital.</w:t>
      </w:r>
    </w:p>
    <w:p/>
    <w:p>
      <w:pPr>
        <w:pStyle w:val="Normal"/>
      </w:pPr>
      <w:r>
        <w:rPr>
          <w:color w:val="323232"/>
        </w:rPr>
        <w:t xml:space="preserve">PATIENTS:Adult in/outpatients diagnosed with acute pulmonary embolism.</w:t>
      </w:r>
    </w:p>
    <w:p/>
    <w:p>
      <w:pPr>
        <w:pStyle w:val="Normal"/>
      </w:pPr>
      <w:r>
        <w:rPr>
          <w:color w:val="323232"/>
        </w:rPr>
        <w:t xml:space="preserve">INTERVENTIONS:Pulmonary critical care fellows performed and documented their goal-directed echocardiogram as normal or abnormal for right ventricular size and function in patients with acute pulmonary embolism. Gold standard transthoracic echocardiography was performed on schedule unless the goal-directed echocardiogram showed critical findings. Attending intensivists blinded to the clinical scenario reviewed these exams at a later date.</w:t>
      </w:r>
    </w:p>
    <w:p/>
    <w:p>
      <w:pPr>
        <w:pStyle w:val="Normal"/>
      </w:pPr>
      <w:r>
        <w:rPr>
          <w:color w:val="323232"/>
        </w:rPr>
        <w:t xml:space="preserve">MEASUREMENTS AND MAIN RESULTS:Two hundred eighty-seven consecutive patients were evaluated for acute PE. Pulmonary Critical Care Medicine Fellows performed 154 goal-directed echocardiograms, 110 with complete cardiology-reviewed transthoracic echocardiography within 48 hours for comparison. Pulmonary Critical Care Medicine Fellow's area under the curve for size and function was 0.83 (95% CI, 0.75-0.90) and 0.83 (95% CI, 0.75-0.90), respectively. Intensivists' 1/2 area under the curve for size and function was (1) 0.87 (95% CI, 0.82-0.94), (1) 0.87 (95% CI, 0.80-0.93) and (2) 0.88 (95% CI, 0.82-0.95), (2) 0.88 (95% CI, 0.82-0.95). Median time difference between goal-directed echocardiogram and transthoracic echocardiography was 21 hours 18 minutes.</w:t>
      </w:r>
    </w:p>
    <w:p/>
    <w:p>
      <w:pPr>
        <w:pStyle w:val="Normal"/>
      </w:pPr>
      <w:r>
        <w:rPr>
          <w:color w:val="323232"/>
        </w:rPr>
        <w:t xml:space="preserve">CONCLUSIONS:This is the first study to evaluate pulmonary critical care fellows' and intensivists' use of goal-directed echocardiography in diagnosing right ventricular dysfunction in acute pulmonary embolism. Pulmonary Critical Care Medicine Fellows and intensivists made a timely and accurate assessment. Screening for right ventricular dysfunction using goal-directed echocardiography can and should be performed by pulmonary critical care physicians in patients with acute pulmonary embolism.</w:t>
      </w:r>
    </w:p>
    <w:p/>
    <w:p>
      <w:pPr>
        <w:pStyle w:val="Normal"/>
      </w:pPr>
      <w:r>
        <w:rPr>
          <w:color w:val="323232"/>
        </w:rPr>
        <w:t xml:space="preserve">Critical Care Medicine, 2017 vol. 45 (12) pp. 2040-2045.</w:t>
      </w:r>
    </w:p>
    <w:p>
      <w:r>
        <w:rPr>
          <w:rStyle w:val="Hyperlink"/>
        </w:rPr>
        <w:fldChar w:fldCharType="begin"/>
      </w:r>
      <w:r>
        <w:rPr>
          <w:rStyle w:val="Hyperlink"/>
        </w:rPr>
        <w:instrText xml:space="preserve"> HYPERLINK "http://eutils.ncbi.nlm.nih.gov/entrez/eutils/elink.fcgi?dbfrom=pubmed&amp;id=28953498&amp;retmode=ref&amp;cmd=prlinks"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http://eutils.ncbi.nlm.nih.gov/entrez/eutils/elink.fcgi?dbfrom=pubmed&amp;id=28953498&amp;retmode=ref&amp;cmd=prlinks</w:t>
      </w:r>
      <w:r>
        <w:rPr>
          <w:rStyle w:val="Hyperlink"/>
        </w:rPr>
        <w:fldChar w:fldCharType="end"/>
      </w:r>
    </w:p>
    <w:p>
      <w:pPr>
        <w:pStyle w:val="Normal"/>
      </w:pPr>
      <w:r>
        <w:rPr>
          <w:color w:val="323232"/>
        </w:rPr>
        <w:t xml:space="preserve">————————</w:t>
      </w:r>
    </w:p>
    <w:p>
      <w:pPr>
        <w:pStyle w:val="Heading4"/>
      </w:pPr>
      <w:r>
        <w:t xml:space="preserve">Dysphagia in Mechanically Ventilated ICU Patients (DYnAMICS): A Prospective Observational Trial.</w:t>
      </w:r>
    </w:p>
    <w:p/>
    <w:p>
      <w:pPr>
        <w:pStyle w:val="Normal"/>
      </w:pPr>
      <w:r>
        <w:rPr>
          <w:color w:val="323232"/>
        </w:rPr>
        <w:t xml:space="preserve">Joerg C Schefold, David Berger, Patrick Zürcher, Michael Lensch, Andrea Perren, Stephan M Jakob, Ilkka Parviainen, and Jukka Takala.</w:t>
      </w:r>
    </w:p>
    <w:p/>
    <w:p>
      <w:pPr>
        <w:pStyle w:val="Normal"/>
      </w:pPr>
      <w:r>
        <w:rPr>
          <w:color w:val="323232"/>
        </w:rPr>
        <w:t xml:space="preserve">OBJECTIVES:Swallowing disorders may be associated with adverse clinical outcomes in patients following invasive mechanical ventilation. We investigated the incidence of dysphagia, its time course, and association with clinically relevant outcomes in extubated critically ill patients.</w:t>
      </w:r>
    </w:p>
    <w:p/>
    <w:p>
      <w:pPr>
        <w:pStyle w:val="Normal"/>
      </w:pPr>
      <w:r>
        <w:rPr>
          <w:color w:val="323232"/>
        </w:rPr>
        <w:t xml:space="preserve">DESIGN:Prospective observational trial with systematic dysphagia screening and follow-up until 90 days or death.</w:t>
      </w:r>
    </w:p>
    <w:p/>
    <w:p>
      <w:pPr>
        <w:pStyle w:val="Normal"/>
      </w:pPr>
      <w:r>
        <w:rPr>
          <w:color w:val="323232"/>
        </w:rPr>
        <w:t xml:space="preserve">SETTINGS:ICU of a tertiary care academic center.</w:t>
      </w:r>
    </w:p>
    <w:p/>
    <w:p>
      <w:pPr>
        <w:pStyle w:val="Normal"/>
      </w:pPr>
      <w:r>
        <w:rPr>
          <w:color w:val="323232"/>
        </w:rPr>
        <w:t xml:space="preserve">PATIENTS:One thousand three-hundred four admissions of mixed adult ICU patients (median age, 66.0 yr [interquartile range, 54.0-74.0]; Acute Physiology and Chronic Health Evaluation-II score, 19.0 [interquartile range, 14.0-24.0]) were screened for postextubation dysphagia. Primary ICU admissions (n = 933) were analyzed and followed up until 90 days or death. Patients from an independent academic center served as confirmatory cohort (n = 220).</w:t>
      </w:r>
    </w:p>
    <w:p/>
    <w:p>
      <w:pPr>
        <w:pStyle w:val="Normal"/>
      </w:pPr>
      <w:r>
        <w:rPr>
          <w:color w:val="323232"/>
        </w:rPr>
        <w:t xml:space="preserve">INTERVENTIONS:Bedside screening for dysphagia was performed within 3 hours after extubation by trained ICU nurses. Positive screening triggered confirmatory specialist bedside swallowing examinations and follow-up until hospital discharge.</w:t>
      </w:r>
    </w:p>
    <w:p/>
    <w:p>
      <w:pPr>
        <w:pStyle w:val="Normal"/>
      </w:pPr>
      <w:r>
        <w:rPr>
          <w:color w:val="323232"/>
        </w:rPr>
        <w:t xml:space="preserve">MEASUREMENTS AND MAIN RESULTS:Dysphagia screening was positive in 12.4% (n = 116/933) after extubation (18.3% of emergency and 4.9% of elective patients) and confirmed by specialists within 24 hours from positive screening in 87.3% (n = 96/110, n = 6 missing data). The dysphagia incidence at ICU discharge was 10.3% (n = 96/933) of which 60.4% (n = 58/96) remained positive until hospital discharge. Days on feeding tube, length of mechanical ventilation and ICU/hospital stay, and hospital mortality were higher in patients with dysphagia (all p &lt; 0.001). The univariate hazard ratio for 90-day mortality for dysphagia was 3.74 (95% CI, 2.01-6.95; p &lt; 0.001). After adjustment for disease severity and length of mechanical ventilation, dysphagia remained an independent predictor for 28-day and 90-day mortality (excess 90-d mortality 9.2%).</w:t>
      </w:r>
    </w:p>
    <w:p/>
    <w:p>
      <w:pPr>
        <w:pStyle w:val="Normal"/>
      </w:pPr>
      <w:r>
        <w:rPr>
          <w:color w:val="323232"/>
        </w:rPr>
        <w:t xml:space="preserve">CONCLUSIONS:Dysphagia after extubation was common in ICU patients, sustained until hospital discharge in the majority of affected patients, and was an independent predictor of death. Dysphagia after mechanical ventilation may be an overlooked problem. Studies on underlying causes and therapeutic interventions seem warranted.</w:t>
      </w:r>
    </w:p>
    <w:p/>
    <w:p>
      <w:pPr>
        <w:pStyle w:val="Normal"/>
      </w:pPr>
      <w:r>
        <w:rPr>
          <w:color w:val="323232"/>
        </w:rPr>
        <w:t xml:space="preserve">Critical Care Medicine, 2017 vol. 45 (12) pp. 2061-2069.</w:t>
      </w:r>
    </w:p>
    <w:p>
      <w:r>
        <w:rPr>
          <w:rStyle w:val="Hyperlink"/>
        </w:rPr>
        <w:fldChar w:fldCharType="begin"/>
      </w:r>
      <w:r>
        <w:rPr>
          <w:rStyle w:val="Hyperlink"/>
        </w:rPr>
        <w:instrText xml:space="preserve"> HYPERLINK "http://eutils.ncbi.nlm.nih.gov/entrez/eutils/elink.fcgi?dbfrom=pubmed&amp;id=29023260&amp;retmode=ref&amp;cmd=prlinks"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http://eutils.ncbi.nlm.nih.gov/entrez/eutils/elink.fcgi?dbfrom=pubmed&amp;id=29023260&amp;retmode=ref&amp;cmd=prlinks</w:t>
      </w:r>
      <w:r>
        <w:rPr>
          <w:rStyle w:val="Hyperlink"/>
        </w:rPr>
        <w:fldChar w:fldCharType="end"/>
      </w:r>
    </w:p>
    <w:p>
      <w:pPr>
        <w:pStyle w:val="Normal"/>
      </w:pPr>
      <w:r>
        <w:rPr>
          <w:color w:val="323232"/>
        </w:rPr>
        <w:t xml:space="preserve">————————</w:t>
      </w:r>
    </w:p>
    <w:p>
      <w:pPr>
        <w:pStyle w:val="Heading4"/>
      </w:pPr>
      <w:r>
        <w:t xml:space="preserve">Effects of High-Flow Nasal Cannula on the Work of Breathing in Patients Recovering From Acute Respiratory Failure.</w:t>
      </w:r>
    </w:p>
    <w:p/>
    <w:p>
      <w:pPr>
        <w:pStyle w:val="Normal"/>
      </w:pPr>
      <w:r>
        <w:rPr>
          <w:color w:val="323232"/>
        </w:rPr>
        <w:t xml:space="preserve">Mathieu Delorme, Pierre-Alexandre Bouchard, Mathieu Simon, Serge Simard, and François Lellouche.</w:t>
      </w:r>
    </w:p>
    <w:p/>
    <w:p>
      <w:pPr>
        <w:pStyle w:val="Normal"/>
      </w:pPr>
      <w:r>
        <w:rPr>
          <w:color w:val="323232"/>
        </w:rPr>
        <w:t xml:space="preserve">OBJECTIVES:High-flow nasal cannula is increasingly used in the management of respiratory failure. However, little is known about its impact on respiratory effort, which could explain part of the benefits in terms of comfort and efficiency. This study was designed to assess the effects of high-flow nasal cannula on indexes of respiratory effort (i.e., esophageal pressure variations, esophageal pressure-time product</w:t>
      </w:r>
      <w:r>
        <w:rPr>
          <w:i w:val="1"/>
          <w:color w:val="323232"/>
        </w:rPr>
        <w:t xml:space="preserve">min, and work of breathing</w:t>
      </w:r>
      <w:r>
        <w:rPr>
          <w:color w:val="323232"/>
        </w:rPr>
        <w:t xml:space="preserve">min) in adults.</w:t>
      </w:r>
    </w:p>
    <w:p/>
    <w:p>
      <w:pPr>
        <w:pStyle w:val="Normal"/>
      </w:pPr>
      <w:r>
        <w:rPr>
          <w:color w:val="323232"/>
        </w:rPr>
        <w:t xml:space="preserve">DESIGN:A randomized controlled crossover study was conducted in 12 patients with moderate respiratory distress (i.e., after partial recovery from an acute episode, allowing physiologic measurements).</w:t>
      </w:r>
    </w:p>
    <w:p/>
    <w:p>
      <w:pPr>
        <w:pStyle w:val="Normal"/>
      </w:pPr>
      <w:r>
        <w:rPr>
          <w:color w:val="323232"/>
        </w:rPr>
        <w:t xml:space="preserve">SETTING:Institut Universitaire de Cardiologie et de Pneumologie de Québec, QC, Canada.</w:t>
      </w:r>
    </w:p>
    <w:p/>
    <w:p>
      <w:pPr>
        <w:pStyle w:val="Normal"/>
      </w:pPr>
      <w:r>
        <w:rPr>
          <w:color w:val="323232"/>
        </w:rPr>
        <w:t xml:space="preserve">SUBJECTS:Twelve adult patients with respiratory distress symptoms were enrolled in this study.</w:t>
      </w:r>
    </w:p>
    <w:p/>
    <w:p>
      <w:pPr>
        <w:pStyle w:val="Normal"/>
      </w:pPr>
      <w:r>
        <w:rPr>
          <w:color w:val="323232"/>
        </w:rPr>
        <w:t xml:space="preserve">INTERVENTIONS:Four experimental conditions were evaluated: baseline with conventional oxygen therapy and high-flow nasal cannula at 20, 40, and 60</w:t>
      </w:r>
      <w:r>
        <w:rPr>
          <w:color w:val="323232"/>
        </w:rPr>
        <w:t xml:space="preserve"> </w:t>
      </w:r>
      <w:r>
        <w:rPr>
          <w:color w:val="323232"/>
        </w:rPr>
        <w:t xml:space="preserve">L</w:t>
      </w:r>
      <w:r>
        <w:rPr>
          <w:i w:val="1"/>
          <w:color w:val="323232"/>
        </w:rPr>
        <w:t xml:space="preserve">min. The primary outcomes were the indexes of respiratory effort (i.e., esophageal pressure variations, esophageal pressure-time product</w:t>
      </w:r>
      <w:r>
        <w:rPr>
          <w:color w:val="323232"/>
        </w:rPr>
        <w:t xml:space="preserve">min, and work of breathing/min). Secondary outcomes included tidal volume, respiratory rate, minute volume, dynamic lung compliance, inspiratory resistance, and blood gases.</w:t>
      </w:r>
    </w:p>
    <w:p/>
    <w:p>
      <w:pPr>
        <w:pStyle w:val="Normal"/>
      </w:pPr>
      <w:r>
        <w:rPr>
          <w:color w:val="323232"/>
        </w:rPr>
        <w:t xml:space="preserve">MEASUREMENTS AND MAIN RESULTS:Esophageal pressure variations decreased from 9.8 (5.8-14.6) cm H2O at baseline to 4.9 (2.1-9.1) cm H2O at 60</w:t>
      </w:r>
      <w:r>
        <w:rPr>
          <w:color w:val="323232"/>
        </w:rPr>
        <w:t xml:space="preserve"> </w:t>
      </w:r>
      <w:r>
        <w:rPr>
          <w:color w:val="323232"/>
        </w:rPr>
        <w:t xml:space="preserve">L/ min (p = 0.035). Esophageal pressure-time product/ min decreased from 165 (126-179) to 72 (54-137) cm H2O • s</w:t>
      </w:r>
      <w:r>
        <w:rPr>
          <w:i w:val="1"/>
          <w:color w:val="323232"/>
        </w:rPr>
        <w:t xml:space="preserve">min, respectively (p = 0.033). Work of breathing</w:t>
      </w:r>
      <w:r>
        <w:rPr>
          <w:color w:val="323232"/>
        </w:rPr>
        <w:t xml:space="preserve"> min decreased from 4.3 (3.5-6.3) to 2.1 (1.5-5.0) J/ min, respectively (p = 0.031). Respiratory pattern variables and capillary blood gases were not significantly modified between experimental conditions. Dynamic lung compliance increased from 38 (24-64) mL/ cm H2O at baseline to 59 (43-175) mL/ cm H2O at 60</w:t>
      </w:r>
      <w:r>
        <w:rPr>
          <w:color w:val="323232"/>
        </w:rPr>
        <w:t xml:space="preserve"> </w:t>
      </w:r>
      <w:r>
        <w:rPr>
          <w:color w:val="323232"/>
        </w:rPr>
        <w:t xml:space="preserve">L/ min (p = 0.007), and inspiratory resistance decreased from 9.6 (5.5-13.4) to 5.0 (1.0-9.1) cm H2O/ L/ s, respectively (p = 0.07).</w:t>
      </w:r>
    </w:p>
    <w:p/>
    <w:p>
      <w:pPr>
        <w:pStyle w:val="Normal"/>
      </w:pPr>
      <w:r>
        <w:rPr>
          <w:color w:val="323232"/>
        </w:rPr>
        <w:t xml:space="preserve">CONCLUSIONS:High-flow nasal cannula, when set at 60</w:t>
      </w:r>
      <w:r>
        <w:rPr>
          <w:color w:val="323232"/>
        </w:rPr>
        <w:t xml:space="preserve"> </w:t>
      </w:r>
      <w:r>
        <w:rPr>
          <w:color w:val="323232"/>
        </w:rPr>
        <w:t xml:space="preserve">L/min, significantly reduces the indexes of respiratory effort in adult patients recovering from acute respiratory failure. This effect is associated with an improvement in respiratory mechanics.</w:t>
      </w:r>
    </w:p>
    <w:p/>
    <w:p>
      <w:pPr>
        <w:pStyle w:val="Normal"/>
      </w:pPr>
      <w:r>
        <w:rPr>
          <w:color w:val="323232"/>
        </w:rPr>
        <w:t xml:space="preserve">Critical Care Medicine, 2017 vol. 45 (12) pp. 1981-1988.</w:t>
      </w:r>
    </w:p>
    <w:p>
      <w:r>
        <w:rPr>
          <w:rStyle w:val="Hyperlink"/>
        </w:rPr>
        <w:fldChar w:fldCharType="begin"/>
      </w:r>
      <w:r>
        <w:rPr>
          <w:rStyle w:val="Hyperlink"/>
        </w:rPr>
        <w:instrText xml:space="preserve"> HYPERLINK "http://eutils.ncbi.nlm.nih.gov/entrez/eutils/elink.fcgi?dbfrom=pubmed&amp;id=28857852&amp;retmode=ref&amp;cmd=prlinks"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http://eutils.ncbi.nlm.nih.gov/entrez/eutils/elink.fcgi?dbfrom=pubmed&amp;id=28857852&amp;retmode=ref&amp;cmd=prlinks</w:t>
      </w:r>
      <w:r>
        <w:rPr>
          <w:rStyle w:val="Hyperlink"/>
        </w:rPr>
        <w:fldChar w:fldCharType="end"/>
      </w:r>
    </w:p>
    <w:p>
      <w:pPr>
        <w:pStyle w:val="Normal"/>
      </w:pPr>
      <w:r>
        <w:rPr>
          <w:color w:val="323232"/>
        </w:rPr>
        <w:t xml:space="preserve">————————</w:t>
      </w:r>
    </w:p>
    <w:p>
      <w:pPr>
        <w:pStyle w:val="Heading4"/>
      </w:pPr>
      <w:r>
        <w:t xml:space="preserve">Evaluation of Vasopressin for Septic Shock in Patients on Chronic Renin-Angiotensin-Aldosterone System Inhibitors.</w:t>
      </w:r>
    </w:p>
    <w:p/>
    <w:p>
      <w:pPr>
        <w:pStyle w:val="Normal"/>
      </w:pPr>
      <w:r>
        <w:rPr>
          <w:color w:val="323232"/>
        </w:rPr>
        <w:t xml:space="preserve">Beth L Erwin, Michael A Denaburg, Andrew B Barker, Philip J McArdle, Samuel T Windham, and Charity J Morgan.</w:t>
      </w:r>
    </w:p>
    <w:p/>
    <w:p>
      <w:pPr>
        <w:pStyle w:val="Normal"/>
      </w:pPr>
      <w:r>
        <w:rPr>
          <w:color w:val="323232"/>
        </w:rPr>
        <w:t xml:space="preserve">OBJECTIVES:To compare the hemodynamic response in septic shock patients receiving vasopressin who were on chronic renin-angiotensin-aldosterone system inhibitor therapy with those who were not.</w:t>
      </w:r>
    </w:p>
    <w:p/>
    <w:p>
      <w:pPr>
        <w:pStyle w:val="Normal"/>
      </w:pPr>
      <w:r>
        <w:rPr>
          <w:color w:val="323232"/>
        </w:rPr>
        <w:t xml:space="preserve">DESIGN:Single-center, retrospective cohort study.</w:t>
      </w:r>
    </w:p>
    <w:p/>
    <w:p>
      <w:pPr>
        <w:pStyle w:val="Normal"/>
      </w:pPr>
      <w:r>
        <w:rPr>
          <w:color w:val="323232"/>
        </w:rPr>
        <w:t xml:space="preserve">SETTING:Medical and surgical ICUs at a 1,100-bed academic medical center.</w:t>
      </w:r>
    </w:p>
    <w:p/>
    <w:p>
      <w:pPr>
        <w:pStyle w:val="Normal"/>
      </w:pPr>
      <w:r>
        <w:rPr>
          <w:color w:val="323232"/>
        </w:rPr>
        <w:t xml:space="preserve">PATIENTS:Medical and surgical ICU patients with septic shock who received vasopressin infusion added to at least one concomitant vasopressor agent between January 2014 and December 2015, then divided into two cohorts: 1) patients who were on chronic renin-angiotensin-aldosterone system inhibitor therapy as outpatients and 2) patients who were not on chronic renin-angiotensin-aldosterone system inhibitor therapy as outpatients.</w:t>
      </w:r>
    </w:p>
    <w:p/>
    <w:p>
      <w:pPr>
        <w:pStyle w:val="Normal"/>
      </w:pPr>
      <w:r>
        <w:rPr>
          <w:color w:val="323232"/>
        </w:rPr>
        <w:t xml:space="preserve">INTERVENTIONS:None.</w:t>
      </w:r>
    </w:p>
    <w:p/>
    <w:p>
      <w:pPr>
        <w:pStyle w:val="Normal"/>
      </w:pPr>
      <w:r>
        <w:rPr>
          <w:color w:val="323232"/>
        </w:rPr>
        <w:t xml:space="preserve">MEASUREMENTS AND MAIN RESULTS:Mean arterial pressure at 6 hours was 72.2</w:t>
      </w:r>
      <w:r>
        <w:rPr>
          <w:color w:val="323232"/>
        </w:rPr>
        <w:t xml:space="preserve"> </w:t>
      </w:r>
      <w:r>
        <w:rPr>
          <w:color w:val="323232"/>
        </w:rPr>
        <w:t xml:space="preserve">mm Hg in the renin-angiotensin-aldosterone system inhibitor group versus 69.7</w:t>
      </w:r>
      <w:r>
        <w:rPr>
          <w:color w:val="323232"/>
        </w:rPr>
        <w:t xml:space="preserve"> </w:t>
      </w:r>
      <w:r>
        <w:rPr>
          <w:color w:val="323232"/>
        </w:rPr>
        <w:t xml:space="preserve">mm Hg in the non-renin-angiotensin-aldosterone system inhibitor group (p = 0.298). There was no difference in mean arterial pressure at 1, 24, or 48 hours between groups. Total concomitant vasopressor requirements, based on norepinephrine equivalents excluding vasopressin, were significantly lower at 24 hours in the renin-angiotensin-aldosterone system inhibitor group versus the non-renin-angiotensin-aldosterone system inhibitor group (10.7 vs 18.1 µg/min, respectively; p = 0.007), but no significant differences were seen at the other time points assessed. There were no significant differences in ICU or hospital length of stay or mortality.</w:t>
      </w:r>
    </w:p>
    <w:p/>
    <w:p>
      <w:pPr>
        <w:pStyle w:val="Normal"/>
      </w:pPr>
      <w:r>
        <w:rPr>
          <w:color w:val="323232"/>
        </w:rPr>
        <w:t xml:space="preserve">CONCLUSIONS:There was no significant difference in the primary outcome of 6-hour mean arterial pressure in septic shock patients receiving vasopressin who were on chronic renin-angiotensin-aldosterone system inhibitor therapy versus those receiving vasopressin who were not on chronic renin-angiotensin-aldosterone system inhibitor therapy. Renin-angiotensin-aldosterone system inhibitor patients had lower total concomitant vasopressor requirements at 24 hours compared with non-renin-angiotensin-aldosterone system inhibitor patients.</w:t>
      </w:r>
    </w:p>
    <w:p/>
    <w:p>
      <w:pPr>
        <w:pStyle w:val="Normal"/>
      </w:pPr>
      <w:r>
        <w:rPr>
          <w:color w:val="323232"/>
        </w:rPr>
        <w:t xml:space="preserve">Critical Care Medicine, 2017 vol. 45 (12) pp. e1226-e1232.</w:t>
      </w:r>
    </w:p>
    <w:p>
      <w:r>
        <w:rPr>
          <w:rStyle w:val="Hyperlink"/>
        </w:rPr>
        <w:fldChar w:fldCharType="begin"/>
      </w:r>
      <w:r>
        <w:rPr>
          <w:rStyle w:val="Hyperlink"/>
        </w:rPr>
        <w:instrText xml:space="preserve"> HYPERLINK "http://eutils.ncbi.nlm.nih.gov/entrez/eutils/elink.fcgi?dbfrom=pubmed&amp;id=28991825&amp;retmode=ref&amp;cmd=prlinks"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http://eutils.ncbi.nlm.nih.gov/entrez/eutils/elink.fcgi?dbfrom=pubmed&amp;id=28991825&amp;retmode=ref&amp;cmd=prlinks</w:t>
      </w:r>
      <w:r>
        <w:rPr>
          <w:rStyle w:val="Hyperlink"/>
        </w:rPr>
        <w:fldChar w:fldCharType="end"/>
      </w:r>
    </w:p>
    <w:p>
      <w:pPr>
        <w:pStyle w:val="Normal"/>
      </w:pPr>
      <w:r>
        <w:rPr>
          <w:color w:val="323232"/>
        </w:rPr>
        <w:t xml:space="preserve">————————</w:t>
      </w:r>
    </w:p>
    <w:p>
      <w:pPr>
        <w:pStyle w:val="Heading4"/>
      </w:pPr>
      <w:r>
        <w:t xml:space="preserve">Relationship of at Admission Lactate, Unmeasured Anions, and Chloride to the Outcome of Critically Ill Patients.</w:t>
      </w:r>
    </w:p>
    <w:p/>
    <w:p>
      <w:pPr>
        <w:pStyle w:val="Normal"/>
      </w:pPr>
      <w:r>
        <w:rPr>
          <w:color w:val="323232"/>
        </w:rPr>
        <w:t xml:space="preserve">Fabio Daniel Masevicius, Paolo Nahuel Rubatto Birri, Alejandro Risso Vazquez, Facundo Emanuel Zechner, María Fernanda Motta, Emilio Daniel Valenzuela Espinoza, Sebastián Welsh, Ernesto Fidel Guerra Arias, Mariano Andrés Furche, Fernando Daniel Berdaguer, and Arnaldo Dubin.</w:t>
      </w:r>
    </w:p>
    <w:p/>
    <w:p>
      <w:pPr>
        <w:pStyle w:val="Normal"/>
      </w:pPr>
      <w:r>
        <w:rPr>
          <w:color w:val="323232"/>
        </w:rPr>
        <w:t xml:space="preserve">OBJECTIVES:To investigate the association between the concentration of the causative anions responsible for the main types of metabolic acidosis and the outcome.</w:t>
      </w:r>
    </w:p>
    <w:p/>
    <w:p>
      <w:pPr>
        <w:pStyle w:val="Normal"/>
      </w:pPr>
      <w:r>
        <w:rPr>
          <w:color w:val="323232"/>
        </w:rPr>
        <w:t xml:space="preserve">DESIGN:Prospective observational study.</w:t>
      </w:r>
    </w:p>
    <w:p/>
    <w:p>
      <w:pPr>
        <w:pStyle w:val="Normal"/>
      </w:pPr>
      <w:r>
        <w:rPr>
          <w:color w:val="323232"/>
        </w:rPr>
        <w:t xml:space="preserve">SETTING:Teaching ICU.</w:t>
      </w:r>
    </w:p>
    <w:p/>
    <w:p>
      <w:pPr>
        <w:pStyle w:val="Normal"/>
      </w:pPr>
      <w:r>
        <w:rPr>
          <w:color w:val="323232"/>
        </w:rPr>
        <w:t xml:space="preserve">PATIENTS:All patients admitted from January 2006 to December 2014.</w:t>
      </w:r>
    </w:p>
    <w:p/>
    <w:p>
      <w:pPr>
        <w:pStyle w:val="Normal"/>
      </w:pPr>
      <w:r>
        <w:rPr>
          <w:color w:val="323232"/>
        </w:rPr>
        <w:t xml:space="preserve">INTERVENTIONS:None.</w:t>
      </w:r>
    </w:p>
    <w:p/>
    <w:p>
      <w:pPr>
        <w:pStyle w:val="Normal"/>
      </w:pPr>
      <w:r>
        <w:rPr>
          <w:color w:val="323232"/>
        </w:rPr>
        <w:t xml:space="preserve">MEASUREMENTS AND MAIN RESULTS:Four thousand nine hundred one patients were admitted throughout the study period; 1,609 met criteria for metabolic acidosis and 145 had normal acid-base values. The association between at admission lactate, unmeasured anions, and chloride concentration with outcome was assessed by multivariate analysis in the whole cohort and in patients with metabolic acidosis. We also compared the mortality of patients with lactic, unmeasured anions, and hyperchloremic metabolic acidosis with that of patients without acid-base disorders. In the whole population, increased lactate and unmeasured anions were independently associated with increased mortality, even after adjusting for potential confounders (odds ratio [95% CI], 1.14 (1.08-1.20); p &lt; 0.0001 and 1.04 (1.02-1.06); p &lt; 0.0001, respectively). In patients with metabolic acidosis, the results were similar. Patients with lactic and unmeasured anions acidosis, but not those with hyperchloremic acidosis, had an increased mortality compared to patients without alterations (17.7%, 12.7%, 4.9%, and 5.8%, respectively; p &lt; 0.05).</w:t>
      </w:r>
    </w:p>
    <w:p/>
    <w:p>
      <w:pPr>
        <w:pStyle w:val="Normal"/>
      </w:pPr>
      <w:r>
        <w:rPr>
          <w:color w:val="323232"/>
        </w:rPr>
        <w:t xml:space="preserve">CONCLUSIONS:In this large cohort of critically ill patients, increased concentrations of lactate and unmeasured anions, but not chloride, were associated with increased mortality. In addition, increased unmeasured anions were the leading cause of metabolic acidosis.</w:t>
      </w:r>
    </w:p>
    <w:p/>
    <w:p>
      <w:pPr>
        <w:pStyle w:val="Normal"/>
      </w:pPr>
      <w:r>
        <w:rPr>
          <w:color w:val="323232"/>
        </w:rPr>
        <w:t xml:space="preserve">Critical Care Medicine, 2017 vol. 45 (12) pp. e1233-e1239.</w:t>
      </w:r>
    </w:p>
    <w:p>
      <w:r>
        <w:rPr>
          <w:rStyle w:val="Hyperlink"/>
        </w:rPr>
        <w:fldChar w:fldCharType="begin"/>
      </w:r>
      <w:r>
        <w:rPr>
          <w:rStyle w:val="Hyperlink"/>
        </w:rPr>
        <w:instrText xml:space="preserve"> HYPERLINK "http://eutils.ncbi.nlm.nih.gov/entrez/eutils/elink.fcgi?dbfrom=pubmed&amp;id=28991826&amp;retmode=ref&amp;cmd=prlinks"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http://eutils.ncbi.nlm.nih.gov/entrez/eutils/elink.fcgi?dbfrom=pubmed&amp;id=28991826&amp;retmode=ref&amp;cmd=prlinks</w:t>
      </w:r>
      <w:r>
        <w:rPr>
          <w:rStyle w:val="Hyperlink"/>
        </w:rPr>
        <w:fldChar w:fldCharType="end"/>
      </w:r>
    </w:p>
    <w:p>
      <w:pPr>
        <w:pStyle w:val="Normal"/>
      </w:pPr>
      <w:r>
        <w:rPr>
          <w:color w:val="323232"/>
        </w:rPr>
        <w:t xml:space="preserve">————————</w:t>
      </w:r>
    </w:p>
    <w:p>
      <w:pPr>
        <w:pStyle w:val="Heading4"/>
      </w:pPr>
      <w:r>
        <w:t xml:space="preserve">The β-Blocker Esmolol Restores the Vascular Waterfall Phenomenon After Acute Endotoxemia.</w:t>
      </w:r>
    </w:p>
    <w:p/>
    <w:p>
      <w:pPr>
        <w:pStyle w:val="Normal"/>
      </w:pPr>
      <w:r>
        <w:rPr>
          <w:color w:val="323232"/>
        </w:rPr>
        <w:t xml:space="preserve">Wei Du, Dawei Liu, Yun Long, and Xiaoting Wang.</w:t>
      </w:r>
    </w:p>
    <w:p/>
    <w:p>
      <w:pPr>
        <w:pStyle w:val="Normal"/>
      </w:pPr>
      <w:r>
        <w:rPr>
          <w:color w:val="323232"/>
        </w:rPr>
        <w:t xml:space="preserve">BACKGROUND:A vascular waterfall occurs when the critical closing pressure is greater than the mean systemic filling pressure. Because the waterfall phenomenon likely exists in the microcirculation, β1-receptor blockers such as esmolol could have some effect on microcirculation and vascular waterfall.</w:t>
      </w:r>
    </w:p>
    <w:p/>
    <w:p>
      <w:pPr>
        <w:pStyle w:val="Normal"/>
      </w:pPr>
      <w:r>
        <w:rPr>
          <w:color w:val="323232"/>
        </w:rPr>
        <w:t xml:space="preserve">OBJECTIVES:To determine whether a vascular waterfall exists during septic shock and to assess the effects of vasopressors and β-blockers on vascular waterfall.</w:t>
      </w:r>
    </w:p>
    <w:p/>
    <w:p>
      <w:pPr>
        <w:pStyle w:val="Normal"/>
      </w:pPr>
      <w:r>
        <w:rPr>
          <w:color w:val="323232"/>
        </w:rPr>
        <w:t xml:space="preserve">DESIGN:Sixteen mongrel dogs were mounted with ultrasonic flow probes to measure renal blood flow. The hemodynamic variables of 16 animals were measured at baseline, after induction of acute endotoxemia; then, they underwent volume expansion, and norepinephrine was used to achieve baseline. After achieving septic myocardial depression, the animals were randomly divided into two groups (esmolol vs control groups) after reaching septic myocardial depression.</w:t>
      </w:r>
    </w:p>
    <w:p/>
    <w:p>
      <w:pPr>
        <w:pStyle w:val="Normal"/>
      </w:pPr>
      <w:r>
        <w:rPr>
          <w:color w:val="323232"/>
        </w:rPr>
        <w:t xml:space="preserve">MEASUREMENTS AND MAIN RESULTS:There was a pressure gap of 41.9</w:t>
      </w:r>
      <w:r>
        <w:rPr>
          <w:color w:val="323232"/>
        </w:rPr>
        <w:t xml:space="preserve"> </w:t>
      </w:r>
      <w:r>
        <w:rPr>
          <w:color w:val="323232"/>
        </w:rPr>
        <w:t xml:space="preserve">±</w:t>
      </w:r>
      <w:r>
        <w:rPr>
          <w:color w:val="323232"/>
        </w:rPr>
        <w:t xml:space="preserve"> </w:t>
      </w:r>
      <w:r>
        <w:rPr>
          <w:color w:val="323232"/>
        </w:rPr>
        <w:t xml:space="preserve">13.9</w:t>
      </w:r>
      <w:r>
        <w:rPr>
          <w:color w:val="323232"/>
        </w:rPr>
        <w:t xml:space="preserve"> </w:t>
      </w:r>
      <w:r>
        <w:rPr>
          <w:color w:val="323232"/>
        </w:rPr>
        <w:t xml:space="preserve">mm Hg between the arterial critical closing pressure and the mean systemic filling pressure, indicating that a vascular waterfall was present under baseline conditions. Endotoxemia caused a decrease in cardiac output, mean arterial pressure, and critical closing pressure. Endotoxemia also caused the vascular waterfall to disappear. Neither volume expansion nor norepinephrine had any effect on the vascular waterfall. Esmolol infusion restored the vascular waterfall effect following endotoxemia and resuscitation. The 24-hour survival was 75% in the esmolol group versus 12.5% in controls (p = 0.041).</w:t>
      </w:r>
    </w:p>
    <w:p/>
    <w:p>
      <w:pPr>
        <w:pStyle w:val="Normal"/>
      </w:pPr>
      <w:r>
        <w:rPr>
          <w:color w:val="323232"/>
        </w:rPr>
        <w:t xml:space="preserve">CONCLUSIONS:Vascular pressure gradients in renal vasculature suggest the presence of a vascular waterfall at baseline. Although this phenomenon disappeared in endotoxemic dogs, it could be restored with β-blocker therapy (esmolol).</w:t>
      </w:r>
    </w:p>
    <w:p/>
    <w:p>
      <w:pPr>
        <w:pStyle w:val="Normal"/>
      </w:pPr>
      <w:r>
        <w:rPr>
          <w:color w:val="323232"/>
        </w:rPr>
        <w:t xml:space="preserve">Critical Care Medicine, 2017 vol. 45 (12) pp. e1247-e1253.</w:t>
      </w:r>
    </w:p>
    <w:p>
      <w:r>
        <w:rPr>
          <w:rStyle w:val="Hyperlink"/>
        </w:rPr>
        <w:fldChar w:fldCharType="begin"/>
      </w:r>
      <w:r>
        <w:rPr>
          <w:rStyle w:val="Hyperlink"/>
        </w:rPr>
        <w:instrText xml:space="preserve"> HYPERLINK "http://eutils.ncbi.nlm.nih.gov/entrez/eutils/elink.fcgi?dbfrom=pubmed&amp;id=28991824&amp;retmode=ref&amp;cmd=prlinks"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http://eutils.ncbi.nlm.nih.gov/entrez/eutils/elink.fcgi?dbfrom=pubmed&amp;id=28991824&amp;retmode=ref&amp;cmd=prlinks</w:t>
      </w:r>
      <w:r>
        <w:rPr>
          <w:rStyle w:val="Hyperlink"/>
        </w:rPr>
        <w:fldChar w:fldCharType="end"/>
      </w:r>
    </w:p>
    <w:p>
      <w:pPr>
        <w:pStyle w:val="Normal"/>
      </w:pPr>
      <w:r>
        <w:rPr>
          <w:color w:val="323232"/>
        </w:rPr>
        <w:t xml:space="preserve">————————</w:t>
      </w:r>
    </w:p>
    <w:p>
      <w:pPr>
        <w:pStyle w:val="Heading4"/>
      </w:pPr>
      <w:r>
        <w:t xml:space="preserve">Time Course of Septic Shock in Immunocompromised and Nonimmunocompromised Patients.</w:t>
      </w:r>
    </w:p>
    <w:p/>
    <w:p>
      <w:pPr>
        <w:pStyle w:val="Normal"/>
      </w:pPr>
      <w:r>
        <w:rPr>
          <w:color w:val="323232"/>
        </w:rPr>
        <w:t xml:space="preserve">Matthieu Jamme, Fabrice Daviaud, Julien Charpentier, Nathalie Marin, Michaël Thy, Yannick Hourmant, Jean-Paul Mira, and Frédéric Pène.</w:t>
      </w:r>
    </w:p>
    <w:p/>
    <w:p>
      <w:pPr>
        <w:pStyle w:val="Normal"/>
      </w:pPr>
      <w:r>
        <w:rPr>
          <w:color w:val="323232"/>
        </w:rPr>
        <w:t xml:space="preserve">OBJECTIVES:To address the impact of underlying immune conditions on the course of septic shock with respect to both mortality and the development of acute infectious and noninfectious complications.</w:t>
      </w:r>
    </w:p>
    <w:p/>
    <w:p>
      <w:pPr>
        <w:pStyle w:val="Normal"/>
      </w:pPr>
      <w:r>
        <w:rPr>
          <w:color w:val="323232"/>
        </w:rPr>
        <w:t xml:space="preserve">DESIGN:An 8-year (2008-2015) monocenter retrospective study.</w:t>
      </w:r>
    </w:p>
    <w:p/>
    <w:p>
      <w:pPr>
        <w:pStyle w:val="Normal"/>
      </w:pPr>
      <w:r>
        <w:rPr>
          <w:color w:val="323232"/>
        </w:rPr>
        <w:t xml:space="preserve">SETTING:A medical ICU in a tertiary care center.</w:t>
      </w:r>
    </w:p>
    <w:p/>
    <w:p>
      <w:pPr>
        <w:pStyle w:val="Normal"/>
      </w:pPr>
      <w:r>
        <w:rPr>
          <w:color w:val="323232"/>
        </w:rPr>
        <w:t xml:space="preserve">PATIENTS:Patients diagnosed for septic shock within the first 48 hours of ICU admission were included. Patients were classified in four subgroups with respect to their immune status: nonimmunocompromised and immunocompromised distributed into hematologic or solid malignancies and nonmalignant immunosuppression. Outcomes were in-hospital death and the development of ischemic and hemorrhagic complications and ICU-acquired infections. The determinants of death and complications were addressed by multivariate competing risk analysis.</w:t>
      </w:r>
    </w:p>
    <w:p/>
    <w:p>
      <w:pPr>
        <w:pStyle w:val="Normal"/>
      </w:pPr>
      <w:r>
        <w:rPr>
          <w:color w:val="323232"/>
        </w:rPr>
        <w:t xml:space="preserve">INTERVENTIONS:None.</w:t>
      </w:r>
    </w:p>
    <w:p/>
    <w:p>
      <w:pPr>
        <w:pStyle w:val="Normal"/>
      </w:pPr>
      <w:r>
        <w:rPr>
          <w:color w:val="323232"/>
        </w:rPr>
        <w:t xml:space="preserve">MEASUREMENTS AND MAIN RESULTS:Eight hundred one patients were included. Among them, 305 (38%) were immunocompromised, distributed into solid tumors (122), hematologic malignancies (106), and nonmalignant immunosuppression (77). The overall 3-day, in-ICU, and in-hospital mortality rates were 14.1%, 37.3%, and 41.3%, respectively. Patients with solid tumors displayed increased in-hospital mortality (cause-specific hazard, 2.20 [95% CI, 1.64-2.96]; p &lt; 0.001). ICU-acquired infections occurred in 211 of the 3-day survivors (33%). In addition, 95 (11.8%) and 70 (8.7%) patients exhibited severe ischemic or hemorrhagic complications during the ICU stay. There was no association between the immune status and the occurrence of ICU-acquired infections. Nonmalignant immunosuppression and hematologic malignancies were independently associated with increased risks of severe ischemic events (cause-specific hazard, 2.12 [1.14-3.96]; p = 0.02) and hemorrhage (cause-specific hazard, 3.17 [1.41-7.13]; p = 0.005), respectively.</w:t>
      </w:r>
    </w:p>
    <w:p/>
    <w:p>
      <w:pPr>
        <w:pStyle w:val="Normal"/>
      </w:pPr>
      <w:r>
        <w:rPr>
          <w:color w:val="323232"/>
        </w:rPr>
        <w:t xml:space="preserve">CONCLUSIONS:The underlying immune status impacts on the course of septic shock and on the susceptibility to ICU-acquired complications. This emphasizes the complexity of sepsis syndromes in relation with comorbid conditions and raises the question of the relevant endpoints in clinical studies.</w:t>
      </w:r>
    </w:p>
    <w:p/>
    <w:p>
      <w:pPr>
        <w:pStyle w:val="Normal"/>
      </w:pPr>
      <w:r>
        <w:rPr>
          <w:color w:val="323232"/>
        </w:rPr>
        <w:t xml:space="preserve">Critical Care Medicine, 2017 vol. 45 (12) pp. 2031-2039.</w:t>
      </w:r>
    </w:p>
    <w:p>
      <w:r>
        <w:rPr>
          <w:rStyle w:val="Hyperlink"/>
        </w:rPr>
        <w:fldChar w:fldCharType="begin"/>
      </w:r>
      <w:r>
        <w:rPr>
          <w:rStyle w:val="Hyperlink"/>
        </w:rPr>
        <w:instrText xml:space="preserve"> HYPERLINK "http://eutils.ncbi.nlm.nih.gov/entrez/eutils/elink.fcgi?dbfrom=pubmed&amp;id=28937407&amp;retmode=ref&amp;cmd=prlinks"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http://eutils.ncbi.nlm.nih.gov/entrez/eutils/elink.fcgi?dbfrom=pubmed&amp;id=28937407&amp;retmode=ref&amp;cmd=prlinks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