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A6DE14" w14:textId="32A528C6" w:rsidR="0014082C" w:rsidRPr="00344F78" w:rsidRDefault="00F24E5F">
      <w:pPr>
        <w:rPr>
          <w:b/>
          <w:sz w:val="28"/>
          <w:szCs w:val="28"/>
        </w:rPr>
      </w:pPr>
      <w:r w:rsidRPr="00344F78">
        <w:rPr>
          <w:b/>
          <w:sz w:val="28"/>
          <w:szCs w:val="28"/>
        </w:rPr>
        <w:t>Critical Care Medicine 2020</w:t>
      </w:r>
    </w:p>
    <w:p w14:paraId="3716616D" w14:textId="2ED689A8" w:rsidR="00F24E5F" w:rsidRPr="00344F78" w:rsidRDefault="00F24E5F">
      <w:pPr>
        <w:rPr>
          <w:b/>
          <w:sz w:val="28"/>
          <w:szCs w:val="28"/>
        </w:rPr>
      </w:pPr>
      <w:r w:rsidRPr="00344F78">
        <w:rPr>
          <w:b/>
          <w:sz w:val="28"/>
          <w:szCs w:val="28"/>
        </w:rPr>
        <w:t>Volume 48 Issues 1-12</w:t>
      </w:r>
    </w:p>
    <w:p w14:paraId="143ACCFC" w14:textId="77777777" w:rsidR="00344F78" w:rsidRDefault="00344F78" w:rsidP="00344F78">
      <w:pPr>
        <w:pBdr>
          <w:bottom w:val="single" w:sz="4" w:space="1" w:color="auto"/>
        </w:pBdr>
      </w:pPr>
    </w:p>
    <w:p w14:paraId="338D823C" w14:textId="77777777" w:rsidR="00344F78" w:rsidRPr="00344F78" w:rsidRDefault="00344F78" w:rsidP="00344F78">
      <w:pPr>
        <w:rPr>
          <w:b/>
        </w:rPr>
      </w:pPr>
      <w:r w:rsidRPr="00344F78">
        <w:rPr>
          <w:b/>
        </w:rPr>
        <w:t>Very Low Density Lipoprotein Receptor Sequesters Lipopolysaccharide Into Adipose Tissue During Sepsis.</w:t>
      </w:r>
    </w:p>
    <w:p w14:paraId="56CA03A0" w14:textId="77777777" w:rsidR="00344F78" w:rsidRDefault="00344F78" w:rsidP="00344F78"/>
    <w:p w14:paraId="1EF9E413" w14:textId="77777777" w:rsidR="00344F78" w:rsidRDefault="00344F78" w:rsidP="00344F78">
      <w:r>
        <w:t>Tadanaga Shimada, Elena Topchiy, Alex K K Leung, HyeJin J Kong, Kelly R Genga, John H Boyd, James A Russell, Shigeto Oda, Taka-Aki Nakada, Hiroyuki Hirasawa, and Keith R Walley.</w:t>
      </w:r>
    </w:p>
    <w:p w14:paraId="73AF634C" w14:textId="77777777" w:rsidR="00344F78" w:rsidRDefault="00344F78" w:rsidP="00344F78"/>
    <w:p w14:paraId="2A8155DE" w14:textId="77777777" w:rsidR="00344F78" w:rsidRDefault="00344F78" w:rsidP="00344F78">
      <w:r>
        <w:t>OBJECTIVES:Obese patients have lower sepsis mortality termed the "obesity paradox." We hypothesized that lipopolysaccharide, known to be carried within lipoproteins such as very low density lipoprotein, could be sequestered in adipose tissue during sepsis; potentially contributing a survival benefit.</w:t>
      </w:r>
    </w:p>
    <w:p w14:paraId="3EC7F7D8" w14:textId="77777777" w:rsidR="00344F78" w:rsidRDefault="00344F78" w:rsidP="00344F78"/>
    <w:p w14:paraId="187BFD47" w14:textId="77777777" w:rsidR="00344F78" w:rsidRDefault="00344F78" w:rsidP="00344F78">
      <w:r>
        <w:t>DESIGN:Retrospective analysis.</w:t>
      </w:r>
    </w:p>
    <w:p w14:paraId="67B03E2B" w14:textId="77777777" w:rsidR="00344F78" w:rsidRDefault="00344F78" w:rsidP="00344F78"/>
    <w:p w14:paraId="6F4DEC5B" w14:textId="77777777" w:rsidR="00344F78" w:rsidRDefault="00344F78" w:rsidP="00344F78">
      <w:r>
        <w:t>SETTING:University research laboratory.</w:t>
      </w:r>
    </w:p>
    <w:p w14:paraId="1B715F1D" w14:textId="77777777" w:rsidR="00344F78" w:rsidRDefault="00344F78" w:rsidP="00344F78"/>
    <w:p w14:paraId="675A9F58" w14:textId="77777777" w:rsidR="00344F78" w:rsidRDefault="00344F78" w:rsidP="00344F78">
      <w:r>
        <w:t>SUBJECTS AND PATIENTS:Vldlr knockout mice to decrease very low density lipoprotein receptors, Pcsk9 knockout mice to increase very low density lipoprotein receptor, and Ldlr knockout mice to decrease low density lipoprotein receptors. Differentiated 3T3-L1 adipocytes. Caucasian septic shock patients.</w:t>
      </w:r>
    </w:p>
    <w:p w14:paraId="1A9FDB92" w14:textId="77777777" w:rsidR="00344F78" w:rsidRDefault="00344F78" w:rsidP="00344F78"/>
    <w:p w14:paraId="01B73966" w14:textId="77777777" w:rsidR="00344F78" w:rsidRDefault="00344F78" w:rsidP="00344F78">
      <w:r>
        <w:t>INTERVENTIONS:We measured lipopolysaccharide uptake into adipose tissue 6 hours after injection of fluorescent lipopolysaccharide into mice. Lipopolysaccharide uptake and very low density lipoprotein receptor protein expression were measured in adipocytes. To determine relevance to humans, we genotyped the VLDLR rs7852409 G/C single-nucleotide polymorphism in 519 patients and examined the association of 28-day survival with genotype.</w:t>
      </w:r>
    </w:p>
    <w:p w14:paraId="6D21AADC" w14:textId="77777777" w:rsidR="00344F78" w:rsidRDefault="00344F78" w:rsidP="00344F78"/>
    <w:p w14:paraId="3FA4AB97" w14:textId="77777777" w:rsidR="00344F78" w:rsidRDefault="00344F78" w:rsidP="00344F78">
      <w:r>
        <w:t>MEASUREMENTS AND MAIN RESULTS:Lipopolysaccharide injected into mice was found in adipose tissue within 6 hours and was dependent on very low density lipoprotein receptor but not low density lipoprotein receptors. In an adipocyte cell line decreased very low density lipoprotein receptor expression resulted in decreased lipopolysaccharide uptake. In septic shock patients, the minor C allele of VLDLR rs7852409 was associated with increased survival (p = 0.010). Previously published data indicate that the C allele is a gain-of-function variant of VLDLR which may increase sequestration of very low density lipoprotein (and lipopolysaccharide within very low density lipoprotein) into adipose tissue. When body mass index less than 25 this survival effect was accentuated and when body mass index greater than or equal to 25 this effect was diminished suggesting that the effect of variation in very low density lipoprotein receptor function is overwhelmed when copious adipose tissue is present.</w:t>
      </w:r>
    </w:p>
    <w:p w14:paraId="2B579F64" w14:textId="77777777" w:rsidR="00344F78" w:rsidRDefault="00344F78" w:rsidP="00344F78"/>
    <w:p w14:paraId="5B8A8981" w14:textId="77777777" w:rsidR="00344F78" w:rsidRDefault="00344F78" w:rsidP="00344F78">
      <w:r>
        <w:t>CONCLUSIONS:Lipopolysaccharide may be sequestered in adipose tissue via the very low density lipoprotein receptor and this sequestration may contribute to improved sepsis survival.</w:t>
      </w:r>
    </w:p>
    <w:p w14:paraId="6CCA1352" w14:textId="77777777" w:rsidR="00344F78" w:rsidRDefault="00344F78" w:rsidP="00344F78"/>
    <w:p w14:paraId="1F541B7D" w14:textId="77777777" w:rsidR="00344F78" w:rsidRDefault="00344F78" w:rsidP="00344F78">
      <w:r>
        <w:t>Crit Care Med, 2020 vol. 48 (1) pp. 41-48.</w:t>
      </w:r>
    </w:p>
    <w:p w14:paraId="78AF570F" w14:textId="77777777" w:rsidR="00344F78" w:rsidRDefault="00344F78" w:rsidP="00344F78"/>
    <w:p w14:paraId="79ABD3AE" w14:textId="77777777" w:rsidR="00344F78" w:rsidRDefault="00344F78" w:rsidP="00344F78">
      <w:r>
        <w:t>http://eutils.ncbi.nlm.nih.gov/entrez/eutils/elink.fcgi?dbfrom=pubmed&amp;id=31651422&amp;retmode=ref&amp;cmd=prlinks</w:t>
      </w:r>
    </w:p>
    <w:p w14:paraId="4FE4B684" w14:textId="77777777" w:rsidR="00344F78" w:rsidRDefault="00344F78" w:rsidP="00344F78">
      <w:pPr>
        <w:pBdr>
          <w:bottom w:val="single" w:sz="4" w:space="1" w:color="auto"/>
        </w:pBdr>
      </w:pPr>
    </w:p>
    <w:p w14:paraId="4EC53008" w14:textId="77777777" w:rsidR="002F19AC" w:rsidRDefault="002F19AC" w:rsidP="00344F78">
      <w:pPr>
        <w:pBdr>
          <w:bottom w:val="single" w:sz="4" w:space="1" w:color="auto"/>
        </w:pBdr>
      </w:pPr>
      <w:bookmarkStart w:id="0" w:name="_GoBack"/>
      <w:bookmarkEnd w:id="0"/>
    </w:p>
    <w:p w14:paraId="54E2E76E" w14:textId="77777777" w:rsidR="00613ED2" w:rsidRPr="00344F78" w:rsidRDefault="00613ED2" w:rsidP="00613ED2">
      <w:pPr>
        <w:rPr>
          <w:b/>
        </w:rPr>
      </w:pPr>
      <w:r w:rsidRPr="00344F78">
        <w:rPr>
          <w:b/>
        </w:rPr>
        <w:t>Early and Late Mortality Following Discharge From the ICU: A Multicenter Prospective Cohort Study.</w:t>
      </w:r>
    </w:p>
    <w:p w14:paraId="1FD542C0" w14:textId="77777777" w:rsidR="00613ED2" w:rsidRDefault="00613ED2" w:rsidP="00613ED2"/>
    <w:p w14:paraId="536E86C8" w14:textId="77777777" w:rsidR="00613ED2" w:rsidRDefault="00613ED2" w:rsidP="00613ED2">
      <w:r>
        <w:t>Regis G Rosa, Maicon Falavigna, Caroline C Robinson, Evelin C Sanchez, Renata Kochhann, Daniel Schneider, Daniel Sganzerla, Camila Dietrich, Mirceli G Barbosa, Denise de Souza, Gabriela S Rech, Rosa da R Dos Santos, Alice P da Silva, Mariana M Santos, Pedro Dal Lago, Tarek Sharshar, Fernando A Bozza, Cassiano Teixeira, and Quality of Life After ICU Study Group Investigators and the BRICNet.</w:t>
      </w:r>
    </w:p>
    <w:p w14:paraId="523587FD" w14:textId="77777777" w:rsidR="00613ED2" w:rsidRDefault="00613ED2" w:rsidP="00613ED2"/>
    <w:p w14:paraId="6AAECCE0" w14:textId="77777777" w:rsidR="00613ED2" w:rsidRDefault="00613ED2" w:rsidP="00613ED2">
      <w:r>
        <w:t>OBJECTIVES:To identify the frequency, causes, and risk factors of early and late mortality among general adult patients discharged from ICUs.</w:t>
      </w:r>
    </w:p>
    <w:p w14:paraId="4EF690A8" w14:textId="77777777" w:rsidR="00613ED2" w:rsidRDefault="00613ED2" w:rsidP="00613ED2"/>
    <w:p w14:paraId="64184A5B" w14:textId="77777777" w:rsidR="00613ED2" w:rsidRDefault="00613ED2" w:rsidP="00613ED2">
      <w:r>
        <w:t>DESIGN:Multicenter, prospective cohort study.</w:t>
      </w:r>
    </w:p>
    <w:p w14:paraId="12E97049" w14:textId="77777777" w:rsidR="00613ED2" w:rsidRDefault="00613ED2" w:rsidP="00613ED2"/>
    <w:p w14:paraId="2085513A" w14:textId="77777777" w:rsidR="00613ED2" w:rsidRDefault="00613ED2" w:rsidP="00613ED2">
      <w:r>
        <w:t>SETTING:ICUs of 10 tertiary hospitals in Brazil.</w:t>
      </w:r>
    </w:p>
    <w:p w14:paraId="3589D418" w14:textId="77777777" w:rsidR="00613ED2" w:rsidRDefault="00613ED2" w:rsidP="00613ED2"/>
    <w:p w14:paraId="039A7523" w14:textId="77777777" w:rsidR="00613ED2" w:rsidRDefault="00613ED2" w:rsidP="00613ED2">
      <w:r>
        <w:t>PATIENTS:One-thousand five-hundred fifty-four adult ICU survivors with an ICU stay greater than 72 hours for medical and emergency surgical admissions or greater than 120 hours for elective surgical admissions.</w:t>
      </w:r>
    </w:p>
    <w:p w14:paraId="578C8014" w14:textId="77777777" w:rsidR="00613ED2" w:rsidRDefault="00613ED2" w:rsidP="00613ED2"/>
    <w:p w14:paraId="441A5A3B" w14:textId="77777777" w:rsidR="00613ED2" w:rsidRDefault="00613ED2" w:rsidP="00613ED2">
      <w:r>
        <w:t>INTERVENTIONS:None.</w:t>
      </w:r>
    </w:p>
    <w:p w14:paraId="4204508A" w14:textId="77777777" w:rsidR="00613ED2" w:rsidRDefault="00613ED2" w:rsidP="00613ED2"/>
    <w:p w14:paraId="3A92A66F" w14:textId="77777777" w:rsidR="00613ED2" w:rsidRDefault="00613ED2" w:rsidP="00613ED2">
      <w:r>
        <w:t>MEASUREMENTS AND MAIN RESULTS:The main outcomes were early (30 d) and late (31 to 365 d) mortality. Causes of death were extracted from death certificates and medical records. Twelve-month cumulative mortality was 28.2% (439 deaths). The frequency of early mortality was 7.9% (123 deaths), and the frequency of late mortality was 22.3% (316 deaths). Infections were the leading cause of death in both early (47.2%) and late (36.4%) periods. Multivariable analysis identified age greater than or equal to 65 years (hazard ratio, 1.65; p = 0.01), pre-ICU high comorbidity (hazard ratio, 1.59; p = 0.02), pre-ICU physical dependence (hazard ratio, 2.29; p &lt; 0.001), risk of death at ICU admission (hazard ratio per 1% increase, 1.008; p = 0.03), ICU-acquired infections (hazard ratio, 2.25; p &lt; 0.001), and ICU readmission (hazard ratio, 3.76; p &lt; 0.001) as risk factors for early mortality. Age greater than or equal to 65 years (hazard ratio, 1.30; p = 0.03), pre-ICU high comorbidity (hazard ratio, 2.28; p &lt; 0.001), pre-ICU physical dependence (hazard ratio, 2.00; p &lt; 0.001), risk of death at ICU admission (hazard ratio per 1% increase, 1.010; p &lt; 0.001), and ICU readmission (hazard ratios, 4.10, 4.17, and 1.82 for death between 31 and 60 days, 61 and 90 days, and greater than 90 days after ICU discharge, respectively; p &lt; 0.001 for all comparisons) were associated with late mortality.</w:t>
      </w:r>
    </w:p>
    <w:p w14:paraId="2707C42C" w14:textId="77777777" w:rsidR="00613ED2" w:rsidRDefault="00613ED2" w:rsidP="00613ED2"/>
    <w:p w14:paraId="6FFD8946" w14:textId="77777777" w:rsidR="00613ED2" w:rsidRDefault="00613ED2" w:rsidP="00613ED2">
      <w:r>
        <w:t>CONCLUSIONS:Infections are the main cause of death after ICU discharge. Older age, pre-ICU comorbidities, pre-ICU physical dependence, severity of illness at ICU admission, and ICU readmission are associated with increased risk of early and late mortality, while ICU-acquired infections are associated with increased risk of early mortality.</w:t>
      </w:r>
    </w:p>
    <w:p w14:paraId="6C883298" w14:textId="77777777" w:rsidR="00613ED2" w:rsidRDefault="00613ED2" w:rsidP="00613ED2"/>
    <w:p w14:paraId="4009EE46" w14:textId="77777777" w:rsidR="00613ED2" w:rsidRDefault="00613ED2" w:rsidP="00613ED2">
      <w:r>
        <w:t>Crit Care Med, 2020 vol. 48 (1) pp. 64-72.</w:t>
      </w:r>
    </w:p>
    <w:p w14:paraId="5806D369" w14:textId="77777777" w:rsidR="00613ED2" w:rsidRDefault="00613ED2" w:rsidP="00613ED2"/>
    <w:p w14:paraId="76CEA969" w14:textId="7DF1B640" w:rsidR="00613ED2" w:rsidRDefault="00613ED2">
      <w:r>
        <w:t>http://eutils.ncbi.nlm.nih.gov/entrez/eutils/elink.fcgi?dbfrom=pubmed&amp;id=3</w:t>
      </w:r>
      <w:r w:rsidR="00344F78">
        <w:t>1609775&amp;retmode=ref&amp;cmd=prlinks</w:t>
      </w:r>
    </w:p>
    <w:p w14:paraId="4AC09415" w14:textId="77777777" w:rsidR="00613ED2" w:rsidRDefault="00613ED2" w:rsidP="00613ED2">
      <w:pPr>
        <w:pBdr>
          <w:bottom w:val="single" w:sz="4" w:space="1" w:color="auto"/>
        </w:pBdr>
      </w:pPr>
    </w:p>
    <w:p w14:paraId="5EED4036" w14:textId="77777777" w:rsidR="002F19AC" w:rsidRDefault="002F19AC" w:rsidP="00613ED2">
      <w:pPr>
        <w:pBdr>
          <w:bottom w:val="single" w:sz="4" w:space="1" w:color="auto"/>
        </w:pBdr>
      </w:pPr>
    </w:p>
    <w:p w14:paraId="5A983F79" w14:textId="77777777" w:rsidR="00344F78" w:rsidRPr="00344F78" w:rsidRDefault="00344F78" w:rsidP="00344F78">
      <w:pPr>
        <w:rPr>
          <w:b/>
        </w:rPr>
      </w:pPr>
      <w:r w:rsidRPr="00344F78">
        <w:rPr>
          <w:b/>
        </w:rPr>
        <w:t>Simulation-Based Team Leadership Training Improves Team Leadership During Actual Trauma Resuscitations: A Randomized Controlled Trial.</w:t>
      </w:r>
    </w:p>
    <w:p w14:paraId="1DC7FA4C" w14:textId="77777777" w:rsidR="00344F78" w:rsidRDefault="00344F78" w:rsidP="00344F78"/>
    <w:p w14:paraId="1BD9FA52" w14:textId="77777777" w:rsidR="00344F78" w:rsidRDefault="00344F78" w:rsidP="00344F78">
      <w:r>
        <w:t>Rosemarie Fernandez, Elizabeth D Rosenman, Jeffrey Olenick, Anthony Misisco, Sarah M Brolliar, Anne K Chipman, Marie C Vrablik, Colleen Kalynych, Saman Arbabi, Graham Nichol, James Grand, Steve W J Kozlowski, and Georgia T Chao.</w:t>
      </w:r>
    </w:p>
    <w:p w14:paraId="1464E4EC" w14:textId="77777777" w:rsidR="00344F78" w:rsidRDefault="00344F78" w:rsidP="00344F78"/>
    <w:p w14:paraId="7DAEEFFF" w14:textId="77777777" w:rsidR="00344F78" w:rsidRDefault="00344F78" w:rsidP="00344F78">
      <w:r>
        <w:t>OBJECTIVES:Trauma resuscitations are complex critical care events that present patient safety-related risk. Simulation-based leadership training is thought to improve trauma care; however, there is no robust evidence supporting the impact of leadership training on clinical performance. The objective of this study was to assess the clinical impact of simulation-based leadership training on team leadership and patient care during actual trauma resuscitations.</w:t>
      </w:r>
    </w:p>
    <w:p w14:paraId="3B3A07AB" w14:textId="77777777" w:rsidR="00344F78" w:rsidRDefault="00344F78" w:rsidP="00344F78"/>
    <w:p w14:paraId="3C44F2AE" w14:textId="77777777" w:rsidR="00344F78" w:rsidRDefault="00344F78" w:rsidP="00344F78">
      <w:r>
        <w:t>DESIGN:Randomized controlled trial.</w:t>
      </w:r>
    </w:p>
    <w:p w14:paraId="3C1EC298" w14:textId="77777777" w:rsidR="00344F78" w:rsidRDefault="00344F78" w:rsidP="00344F78"/>
    <w:p w14:paraId="031C22B4" w14:textId="77777777" w:rsidR="00344F78" w:rsidRDefault="00344F78" w:rsidP="00344F78">
      <w:r>
        <w:t>SETTING:Harborview Medical Center (level 1 trauma center).</w:t>
      </w:r>
    </w:p>
    <w:p w14:paraId="696C12ED" w14:textId="77777777" w:rsidR="00344F78" w:rsidRDefault="00344F78" w:rsidP="00344F78"/>
    <w:p w14:paraId="721F0F80" w14:textId="77777777" w:rsidR="00344F78" w:rsidRDefault="00344F78" w:rsidP="00344F78">
      <w:r>
        <w:t>SUBJECTS:Seventy-nine second- and third-year residents were randomized and 360 resuscitations were analyzed.</w:t>
      </w:r>
    </w:p>
    <w:p w14:paraId="2CA28694" w14:textId="77777777" w:rsidR="00344F78" w:rsidRDefault="00344F78" w:rsidP="00344F78"/>
    <w:p w14:paraId="7211B6F3" w14:textId="77777777" w:rsidR="00344F78" w:rsidRDefault="00344F78" w:rsidP="00344F78">
      <w:r>
        <w:t>INTERVENTIONS:Subjects were randomized to a 4-hour simulation-based leadership training (intervention) or standard orientation (control) condition.</w:t>
      </w:r>
    </w:p>
    <w:p w14:paraId="2CA48AA7" w14:textId="77777777" w:rsidR="00344F78" w:rsidRDefault="00344F78" w:rsidP="00344F78"/>
    <w:p w14:paraId="3F68049B" w14:textId="77777777" w:rsidR="00344F78" w:rsidRDefault="00344F78" w:rsidP="00344F78">
      <w:r>
        <w:t>MEASUREMENTS AND MAIN RESULTS:Participant-led actual trauma resuscitations were video recorded and coded for leadership behaviors and patient care. We used random coefficient modeling to account for the nesting effect of multiple observations within residents and to test for post-training group differences in leadership behaviors while controlling for pre-training behaviors, Injury Severity Score, postgraduate training year, and days since training occurred. Sixty participants completed the study. There was a significant difference in post-training leadership behaviors between the intervention and control conditions (b1 = 4.06, t (55) = 6.11, p &lt; 0.001; intervention M = 11.29, SE = 0.66, 95% CI, 9.99-12.59 vs control M = 7.23, SE = 0.46, 95% CI, 6.33-8.13, d = 0.92). Although patient care was similar between conditions (b = 2.00, t (55) = 0.99, p = 0.325; predicted means intervention M = 62.38, SE = 2.01, 95% CI, 58.43-66.33 vs control M = 60.38, SE = 1.37, 95% CI, 57.69-63.07, d = 0.15), a test of the mediation effect between training and patient care suggests leadership behaviors mediate an effect of training on patient care with a significant indirect effect (b = 3.44, 95% CI, 1.43-5.80). Across all trauma resuscitations leadership was significantly related to patient care (b1 = 0.61, SE = 0.15, t (273) = 3.64, p &lt; 0.001).</w:t>
      </w:r>
    </w:p>
    <w:p w14:paraId="14858348" w14:textId="77777777" w:rsidR="00344F78" w:rsidRDefault="00344F78" w:rsidP="00344F78"/>
    <w:p w14:paraId="610A13E2" w14:textId="77777777" w:rsidR="00344F78" w:rsidRDefault="00344F78" w:rsidP="00344F78">
      <w:r>
        <w:t>CONCLUSIONS:Leadership training resulted in the transfer of complex skills to the clinical environment and may have an indirect effect on patient care through better team leadership.</w:t>
      </w:r>
    </w:p>
    <w:p w14:paraId="5AA99DD1" w14:textId="77777777" w:rsidR="00344F78" w:rsidRDefault="00344F78" w:rsidP="00344F78"/>
    <w:p w14:paraId="3818372A" w14:textId="77777777" w:rsidR="00344F78" w:rsidRDefault="00344F78" w:rsidP="00344F78">
      <w:r>
        <w:t>Crit Care Med, 2020 vol. 48 (1) pp. 73-82.</w:t>
      </w:r>
    </w:p>
    <w:p w14:paraId="140910BD" w14:textId="77777777" w:rsidR="00344F78" w:rsidRDefault="00344F78" w:rsidP="00344F78"/>
    <w:p w14:paraId="69E0978B" w14:textId="77777777" w:rsidR="00344F78" w:rsidRDefault="00344F78" w:rsidP="00344F78">
      <w:r>
        <w:t>http://eutils.ncbi.nlm.nih.gov/entrez/eutils/elink.fcgi?dbfrom=pubmed&amp;id=31725441&amp;retmode=ref&amp;cmd=prlinks</w:t>
      </w:r>
    </w:p>
    <w:p w14:paraId="0347FD84" w14:textId="77777777" w:rsidR="00344F78" w:rsidRDefault="00344F78" w:rsidP="00344F78">
      <w:pPr>
        <w:pBdr>
          <w:bottom w:val="single" w:sz="4" w:space="1" w:color="auto"/>
        </w:pBdr>
      </w:pPr>
    </w:p>
    <w:p w14:paraId="515FAFEF" w14:textId="77777777" w:rsidR="002F19AC" w:rsidRDefault="002F19AC" w:rsidP="00344F78">
      <w:pPr>
        <w:pBdr>
          <w:bottom w:val="single" w:sz="4" w:space="1" w:color="auto"/>
        </w:pBdr>
      </w:pPr>
    </w:p>
    <w:p w14:paraId="153DA8AE" w14:textId="6822AE1F" w:rsidR="00344F78" w:rsidRPr="00344F78" w:rsidRDefault="00344F78" w:rsidP="00344F78">
      <w:pPr>
        <w:rPr>
          <w:b/>
        </w:rPr>
      </w:pPr>
      <w:r w:rsidRPr="00344F78">
        <w:rPr>
          <w:b/>
        </w:rPr>
        <w:t>Thyroid Storm in the ICU: A Retrospective Multicenter Study.</w:t>
      </w:r>
    </w:p>
    <w:p w14:paraId="797CDAAC" w14:textId="77777777" w:rsidR="00344F78" w:rsidRDefault="00344F78" w:rsidP="00344F78">
      <w:pPr>
        <w:pBdr>
          <w:bottom w:val="single" w:sz="4" w:space="1" w:color="auto"/>
        </w:pBdr>
      </w:pPr>
    </w:p>
    <w:p w14:paraId="45DDF2EB" w14:textId="77777777" w:rsidR="00344F78" w:rsidRDefault="00344F78" w:rsidP="00344F78">
      <w:pPr>
        <w:pBdr>
          <w:bottom w:val="single" w:sz="4" w:space="1" w:color="auto"/>
        </w:pBdr>
      </w:pPr>
      <w:r>
        <w:t>Simon Bourcier, Maxime Coutrot, Antoine Kimmoun, Romain Sonneville, Etienne de Montmollin, Romain Persichini, David Schnell, Julien Charpentier, Cécile Aubron, Elise Morawiec, Naïke Bigé, Saad Nseir, Nicolas Terzi, Keyvan Razazi, Elie Azoulay, Alexis Ferré, Yacine Tandjaoui-Lambiotte, Olivier Ellrodt, Sami Hraiech, Clément Delmas, François Barbier, Alexandre Lautrette, Nadia Aissaoui, Xavier Repessé, Claire Pichereau, Yoann Zerbib, Jean-Baptiste Lascarrou, Serge Carreira, Danielle Reuter, Aurélien Frérou, Vincent Peigne, Pierre Fillatre, Bruno Megarbane, Guillaume Voiriot, Alain Combes, and Matthieu Schmidt.</w:t>
      </w:r>
    </w:p>
    <w:p w14:paraId="6EBCF3B7" w14:textId="77777777" w:rsidR="00344F78" w:rsidRDefault="00344F78" w:rsidP="00344F78">
      <w:pPr>
        <w:pBdr>
          <w:bottom w:val="single" w:sz="4" w:space="1" w:color="auto"/>
        </w:pBdr>
      </w:pPr>
    </w:p>
    <w:p w14:paraId="61DEA538" w14:textId="77777777" w:rsidR="00344F78" w:rsidRDefault="00344F78" w:rsidP="00344F78">
      <w:pPr>
        <w:pBdr>
          <w:bottom w:val="single" w:sz="4" w:space="1" w:color="auto"/>
        </w:pBdr>
      </w:pPr>
      <w:r>
        <w:t>OBJECTIVES:Thyroid storm represents a rare but life-threatening endocrine emergency. Only rare data are available on its management and the outcome of the most severe forms requiring ICU admission. We aimed to describe the clinical manifestations, management and in-ICU and 6-month survival rates of patients with those most severe thyroid storm forms requiring ICU admission.</w:t>
      </w:r>
    </w:p>
    <w:p w14:paraId="35754B5B" w14:textId="77777777" w:rsidR="00344F78" w:rsidRDefault="00344F78" w:rsidP="00344F78">
      <w:pPr>
        <w:pBdr>
          <w:bottom w:val="single" w:sz="4" w:space="1" w:color="auto"/>
        </w:pBdr>
      </w:pPr>
    </w:p>
    <w:p w14:paraId="6FD8BF1E" w14:textId="77777777" w:rsidR="00344F78" w:rsidRDefault="00344F78" w:rsidP="00344F78">
      <w:pPr>
        <w:pBdr>
          <w:bottom w:val="single" w:sz="4" w:space="1" w:color="auto"/>
        </w:pBdr>
      </w:pPr>
      <w:r>
        <w:t>DESIGN:Retrospective, multicenter, national study over an 18-year period (2000-2017).</w:t>
      </w:r>
    </w:p>
    <w:p w14:paraId="6928D2AA" w14:textId="77777777" w:rsidR="00344F78" w:rsidRDefault="00344F78" w:rsidP="00344F78">
      <w:pPr>
        <w:pBdr>
          <w:bottom w:val="single" w:sz="4" w:space="1" w:color="auto"/>
        </w:pBdr>
      </w:pPr>
    </w:p>
    <w:p w14:paraId="5E26ABD5" w14:textId="77777777" w:rsidR="00344F78" w:rsidRDefault="00344F78" w:rsidP="00344F78">
      <w:pPr>
        <w:pBdr>
          <w:bottom w:val="single" w:sz="4" w:space="1" w:color="auto"/>
        </w:pBdr>
      </w:pPr>
      <w:r>
        <w:t>SETTING:Thirty-one French ICUs.</w:t>
      </w:r>
    </w:p>
    <w:p w14:paraId="0C9AEFAF" w14:textId="77777777" w:rsidR="00344F78" w:rsidRDefault="00344F78" w:rsidP="00344F78">
      <w:pPr>
        <w:pBdr>
          <w:bottom w:val="single" w:sz="4" w:space="1" w:color="auto"/>
        </w:pBdr>
      </w:pPr>
    </w:p>
    <w:p w14:paraId="2EE9D63B" w14:textId="77777777" w:rsidR="00344F78" w:rsidRDefault="00344F78" w:rsidP="00344F78">
      <w:pPr>
        <w:pBdr>
          <w:bottom w:val="single" w:sz="4" w:space="1" w:color="auto"/>
        </w:pBdr>
      </w:pPr>
      <w:r>
        <w:t>PATIENTS:The local medical records of patients from each participating ICU were screened using the International Classification of Diseases, 10th Revision. Inclusion criteria were "definite thyroid storm," as defined by the Japanese Thyroid Association criteria, and at least one thyroid storm-related organ failure.</w:t>
      </w:r>
    </w:p>
    <w:p w14:paraId="5BCC5E1D" w14:textId="77777777" w:rsidR="00344F78" w:rsidRDefault="00344F78" w:rsidP="00344F78">
      <w:pPr>
        <w:pBdr>
          <w:bottom w:val="single" w:sz="4" w:space="1" w:color="auto"/>
        </w:pBdr>
      </w:pPr>
    </w:p>
    <w:p w14:paraId="4A435FB8" w14:textId="77777777" w:rsidR="00344F78" w:rsidRDefault="00344F78" w:rsidP="00344F78">
      <w:pPr>
        <w:pBdr>
          <w:bottom w:val="single" w:sz="4" w:space="1" w:color="auto"/>
        </w:pBdr>
      </w:pPr>
      <w:r>
        <w:t>MEASUREMENTS AND MAIN RESULTS:Ninety-two patients were included in the study. Amiodarone-associated thyrotoxicosis and Graves' disease represented the main thyroid storm etiologies (30 [33%] and 24 [26%] patients, respectively), while hyperthyroidism was unknown in 29 patients (32%) before ICU admission. Amiodarone use (24 patients [26%]) and antithyroid-drug discontinuation (13 patients [14%]) were the main thyroid storm-triggering factors. No triggering factor was identified for 30 patients (33%). Thirty-five patients (38%) developed cardiogenic shock within the first 48 hours after ICU admission. In-ICU and 6-month postadmission mortality rates were 17% and 22%, respectively. ICU nonsurvivors more frequently required vasopressors, extracorporeal membrane of oxygenation, renal replacement therapy, mechanical ventilation, and/or therapeutic plasmapheresis. Multivariable analyses retained Sequential Organ Failure Assessment score without cardiovascular component (odds ratio, 1.22; 95% CI, 1.03-1.46; p = 0.025) and cardiogenic shock within 48 hours post-ICU admission (odds ratio, 9.43; 1.77-50.12; p = 0.008) as being independently associated with in-ICU mortality.</w:t>
      </w:r>
    </w:p>
    <w:p w14:paraId="15BBDFE0" w14:textId="77777777" w:rsidR="00344F78" w:rsidRDefault="00344F78" w:rsidP="00344F78">
      <w:pPr>
        <w:pBdr>
          <w:bottom w:val="single" w:sz="4" w:space="1" w:color="auto"/>
        </w:pBdr>
      </w:pPr>
    </w:p>
    <w:p w14:paraId="63885988" w14:textId="77777777" w:rsidR="00344F78" w:rsidRDefault="00344F78" w:rsidP="00344F78">
      <w:pPr>
        <w:pBdr>
          <w:bottom w:val="single" w:sz="4" w:space="1" w:color="auto"/>
        </w:pBdr>
      </w:pPr>
      <w:r>
        <w:t>CONCLUSIONS:Thyroid storm requiring ICU admission causes high in-ICU mortality. Multiple organ failure and early cardiogenic shock seem to markedly impact the prognosis, suggesting a prompt identification and an aggressive management.</w:t>
      </w:r>
    </w:p>
    <w:p w14:paraId="00DFA95A" w14:textId="77777777" w:rsidR="00344F78" w:rsidRDefault="00344F78" w:rsidP="00344F78">
      <w:pPr>
        <w:pBdr>
          <w:bottom w:val="single" w:sz="4" w:space="1" w:color="auto"/>
        </w:pBdr>
      </w:pPr>
    </w:p>
    <w:p w14:paraId="1F70873D" w14:textId="77777777" w:rsidR="00344F78" w:rsidRDefault="00344F78" w:rsidP="00344F78">
      <w:pPr>
        <w:pBdr>
          <w:bottom w:val="single" w:sz="4" w:space="1" w:color="auto"/>
        </w:pBdr>
      </w:pPr>
      <w:r>
        <w:t>Crit Care Med, 2020 vol. 48 (1) pp. 83-90.</w:t>
      </w:r>
    </w:p>
    <w:p w14:paraId="3B00E2B6" w14:textId="77777777" w:rsidR="00344F78" w:rsidRDefault="00344F78" w:rsidP="00344F78">
      <w:pPr>
        <w:pBdr>
          <w:bottom w:val="single" w:sz="4" w:space="1" w:color="auto"/>
        </w:pBdr>
      </w:pPr>
    </w:p>
    <w:p w14:paraId="2C064443" w14:textId="77777777" w:rsidR="00344F78" w:rsidRDefault="00344F78" w:rsidP="00344F78">
      <w:pPr>
        <w:pBdr>
          <w:bottom w:val="single" w:sz="4" w:space="1" w:color="auto"/>
        </w:pBdr>
      </w:pPr>
      <w:r>
        <w:t>http://eutils.ncbi.nlm.nih.gov/entrez/eutils/elink.fcgi?dbfrom=pubmed&amp;id=31714398&amp;retmode=ref&amp;cmd=prlinks</w:t>
      </w:r>
    </w:p>
    <w:p w14:paraId="6EF569EA" w14:textId="77777777" w:rsidR="00344F78" w:rsidRDefault="00344F78" w:rsidP="00344F78">
      <w:pPr>
        <w:pBdr>
          <w:bottom w:val="single" w:sz="4" w:space="1" w:color="auto"/>
        </w:pBdr>
      </w:pPr>
    </w:p>
    <w:p w14:paraId="179F3277" w14:textId="77777777" w:rsidR="002F19AC" w:rsidRDefault="002F19AC" w:rsidP="00344F78">
      <w:pPr>
        <w:pBdr>
          <w:bottom w:val="single" w:sz="4" w:space="1" w:color="auto"/>
        </w:pBdr>
      </w:pPr>
    </w:p>
    <w:p w14:paraId="4B09C28C" w14:textId="77777777" w:rsidR="000D58C2" w:rsidRPr="00344F78" w:rsidRDefault="000D58C2" w:rsidP="000D58C2">
      <w:pPr>
        <w:rPr>
          <w:b/>
        </w:rPr>
      </w:pPr>
      <w:r w:rsidRPr="00344F78">
        <w:rPr>
          <w:b/>
        </w:rPr>
        <w:t>Magnesium and Hemorrhage Volume in Patients With Aneurysmal Subarachnoid Hemorrhage.</w:t>
      </w:r>
    </w:p>
    <w:p w14:paraId="507953A5" w14:textId="77777777" w:rsidR="000D58C2" w:rsidRPr="00344F78" w:rsidRDefault="000D58C2" w:rsidP="000D58C2">
      <w:pPr>
        <w:rPr>
          <w:b/>
        </w:rPr>
      </w:pPr>
    </w:p>
    <w:p w14:paraId="598AC92A" w14:textId="77777777" w:rsidR="000D58C2" w:rsidRDefault="000D58C2" w:rsidP="000D58C2">
      <w:r>
        <w:t>Eric M Liotta, Ameeta Karmarkar, Ayush Batra, Minjee Kim, Shyam Prabhakaran, Andrew M Naidech, and Matthew B Maas.</w:t>
      </w:r>
    </w:p>
    <w:p w14:paraId="3C544380" w14:textId="77777777" w:rsidR="000D58C2" w:rsidRDefault="000D58C2" w:rsidP="000D58C2"/>
    <w:p w14:paraId="07AE46EB" w14:textId="77777777" w:rsidR="000D58C2" w:rsidRDefault="000D58C2" w:rsidP="000D58C2">
      <w:r>
        <w:t>OBJECTIVES:We tested the hypothesis that admission serum magnesium levels are associated with extent of hemorrhage in patients with aneurysmal subarachnoid hemorrhage.</w:t>
      </w:r>
    </w:p>
    <w:p w14:paraId="43E34870" w14:textId="77777777" w:rsidR="000D58C2" w:rsidRDefault="000D58C2" w:rsidP="000D58C2"/>
    <w:p w14:paraId="015ECAD5" w14:textId="77777777" w:rsidR="000D58C2" w:rsidRDefault="000D58C2" w:rsidP="000D58C2">
      <w:r>
        <w:t>DESIGN:Single-center prospective observational study.</w:t>
      </w:r>
    </w:p>
    <w:p w14:paraId="2C97EE33" w14:textId="77777777" w:rsidR="000D58C2" w:rsidRDefault="000D58C2" w:rsidP="000D58C2"/>
    <w:p w14:paraId="5B99E36F" w14:textId="77777777" w:rsidR="000D58C2" w:rsidRDefault="000D58C2" w:rsidP="000D58C2">
      <w:r>
        <w:t>SETTING:Tertiary hospital neurologic ICU.</w:t>
      </w:r>
    </w:p>
    <w:p w14:paraId="39B6F48D" w14:textId="77777777" w:rsidR="000D58C2" w:rsidRDefault="000D58C2" w:rsidP="000D58C2"/>
    <w:p w14:paraId="3AD09180" w14:textId="77777777" w:rsidR="000D58C2" w:rsidRDefault="000D58C2" w:rsidP="000D58C2">
      <w:r>
        <w:t>PATIENTS:Patients with aneurysmal subarachnoid hemorrhage.</w:t>
      </w:r>
    </w:p>
    <w:p w14:paraId="6E6AB1E4" w14:textId="77777777" w:rsidR="000D58C2" w:rsidRDefault="000D58C2" w:rsidP="000D58C2"/>
    <w:p w14:paraId="0E37623B" w14:textId="77777777" w:rsidR="000D58C2" w:rsidRDefault="000D58C2" w:rsidP="000D58C2">
      <w:r>
        <w:t>INTERVENTIONS:Clinically indicated CT scans and serum laboratory studies.</w:t>
      </w:r>
    </w:p>
    <w:p w14:paraId="7DC02235" w14:textId="77777777" w:rsidR="000D58C2" w:rsidRDefault="000D58C2" w:rsidP="000D58C2"/>
    <w:p w14:paraId="4EED54F9" w14:textId="77777777" w:rsidR="000D58C2" w:rsidRDefault="000D58C2" w:rsidP="000D58C2">
      <w:r>
        <w:t>MEASUREMENTS AND MAIN RESULTS:Demographic, clinical, laboratory, and radiographic data were analyzed. Extent of initial hemorrhage was graded semi-quantitatively on admission CT scans using the modified Fisher scale (grades: 0, no radiographic hemorrhage; 1, thin [&lt; 1 mm in depth] subarachnoid hemorrhage; 2, thin subarachnoid hemorrhage with intraventricular hemorrhage; 3, thick [≥ 1 mm] subarachnoid hemorrhage; 4, thick subarachnoid hemorrhage with intraventricular hemorrhage). We used both ordinal (modified Fisher scale) and dichotomized (thick vs thin subarachnoid hemorrhage) univariate and adjusted logistic regression models to assess associations between serum magnesium and radiographic subarachnoid hemorrhage severity. Data from 354 patients (mean age 55 ± 14 yr, 28.5% male, median admission Glasgow Coma Scale 14 [10-15]) were analyzed. Mean magnesium was lower in patients with thick versus thin subarachnoid hemorrhage (1.92 vs 1.99 mg/dL; p = 0.022). A monotonic trend across categories of modified Fisher scale was found using analysis of variance and Spearman rank correlation (p = 0.015 and p = 0.008, respectively). In adjusted ordinal and binary regression models, lower magnesium levels were associated with higher modified Fisher scale (odds ratio 0.33 per 1 mg/dL increase; 95% CI, 0.14-0.77; p = 0.011) and with thick subarachnoid hemorrhage (odds ratio 0.29 per 1 mg/dL increase; 95% CI, 0.10-0.78; p = 0.015).</w:t>
      </w:r>
    </w:p>
    <w:p w14:paraId="01E1A8E8" w14:textId="77777777" w:rsidR="000D58C2" w:rsidRDefault="000D58C2" w:rsidP="000D58C2"/>
    <w:p w14:paraId="49197498" w14:textId="77777777" w:rsidR="000D58C2" w:rsidRDefault="000D58C2" w:rsidP="000D58C2">
      <w:r>
        <w:t>CONCLUSIONS:These data support the hypothesis that magnesium influences hemorrhage severity in patients with aneurysmal subarachnoid hemorrhage, potentially through a hemostatic mechanism.</w:t>
      </w:r>
    </w:p>
    <w:p w14:paraId="709ABA6B" w14:textId="77777777" w:rsidR="000D58C2" w:rsidRDefault="000D58C2" w:rsidP="000D58C2"/>
    <w:p w14:paraId="7AEE8B7C" w14:textId="77777777" w:rsidR="000D58C2" w:rsidRDefault="000D58C2" w:rsidP="000D58C2">
      <w:r>
        <w:t>Crit Care Med, 2020 vol. 48 (1) pp. 104-110.</w:t>
      </w:r>
    </w:p>
    <w:p w14:paraId="2C6A148D" w14:textId="77777777" w:rsidR="000D58C2" w:rsidRDefault="000D58C2" w:rsidP="000D58C2"/>
    <w:p w14:paraId="1AEE3A8F" w14:textId="7BD55837" w:rsidR="000D58C2" w:rsidRDefault="000D58C2" w:rsidP="00613ED2">
      <w:r>
        <w:t>http://eutils.ncbi.nlm.nih.gov/entrez/eutils/elink.fcgi?dbfrom=pubmed&amp;id=31688193&amp;retmode=ref&amp;cmd=prlinks</w:t>
      </w:r>
    </w:p>
    <w:p w14:paraId="40494BB4" w14:textId="77777777" w:rsidR="000D58C2" w:rsidRDefault="000D58C2" w:rsidP="000D58C2">
      <w:pPr>
        <w:pBdr>
          <w:bottom w:val="single" w:sz="4" w:space="1" w:color="auto"/>
        </w:pBdr>
      </w:pPr>
    </w:p>
    <w:p w14:paraId="631AD661" w14:textId="77777777" w:rsidR="002F19AC" w:rsidRDefault="002F19AC" w:rsidP="000D58C2">
      <w:pPr>
        <w:pBdr>
          <w:bottom w:val="single" w:sz="4" w:space="1" w:color="auto"/>
        </w:pBdr>
      </w:pPr>
    </w:p>
    <w:p w14:paraId="53379328" w14:textId="77777777" w:rsidR="00613ED2" w:rsidRPr="00344F78" w:rsidRDefault="00613ED2" w:rsidP="00613ED2">
      <w:pPr>
        <w:rPr>
          <w:b/>
        </w:rPr>
      </w:pPr>
      <w:r w:rsidRPr="00344F78">
        <w:rPr>
          <w:b/>
        </w:rPr>
        <w:t>Deconstructing Poststroke Delirium in a Prospective Cohort of Patients With Intracerebral Hemorrhage.</w:t>
      </w:r>
    </w:p>
    <w:p w14:paraId="16153961" w14:textId="77777777" w:rsidR="00613ED2" w:rsidRDefault="00613ED2" w:rsidP="00613ED2"/>
    <w:p w14:paraId="4746FB88" w14:textId="77777777" w:rsidR="00613ED2" w:rsidRDefault="00613ED2" w:rsidP="00613ED2">
      <w:r>
        <w:t>Michael E Reznik, Jonathan Drake, Seth A Margolis, Scott Moody, Kayleigh Murray, Samantha Costa, Ali Mahta, Linda C Wendell, Bradford B Thompson, Shyam S Rao, Anna M Barrett, Olga Boukrina, Lori A Daiello, Wael F Asaad, Karen L Furie, and Richard N Jones.</w:t>
      </w:r>
    </w:p>
    <w:p w14:paraId="092C5A37" w14:textId="77777777" w:rsidR="00613ED2" w:rsidRDefault="00613ED2" w:rsidP="00613ED2"/>
    <w:p w14:paraId="058DA03D" w14:textId="77777777" w:rsidR="00613ED2" w:rsidRDefault="00613ED2" w:rsidP="00613ED2">
      <w:r>
        <w:t>OBJECTIVES:Poststroke delirium may be underdiagnosed due to the challenges of disentangling delirium symptoms from underlying neurologic deficits. We aimed to determine the prevalence of individual delirium features and the frequency with which they could not be assessed in patients with intracerebral hemorrhage.</w:t>
      </w:r>
    </w:p>
    <w:p w14:paraId="2548F6BD" w14:textId="77777777" w:rsidR="00613ED2" w:rsidRDefault="00613ED2" w:rsidP="00613ED2"/>
    <w:p w14:paraId="7B2E7B6F" w14:textId="77777777" w:rsidR="00613ED2" w:rsidRDefault="00613ED2" w:rsidP="00613ED2">
      <w:r>
        <w:t>DESIGN:Prospective observational cohort study.</w:t>
      </w:r>
    </w:p>
    <w:p w14:paraId="41425C2B" w14:textId="77777777" w:rsidR="00613ED2" w:rsidRDefault="00613ED2" w:rsidP="00613ED2"/>
    <w:p w14:paraId="29D6A76D" w14:textId="77777777" w:rsidR="00613ED2" w:rsidRDefault="00613ED2" w:rsidP="00613ED2">
      <w:r>
        <w:t>SETTING:Neurocritical Care and Stroke Units at a university hospital.</w:t>
      </w:r>
    </w:p>
    <w:p w14:paraId="2AE1D737" w14:textId="77777777" w:rsidR="00613ED2" w:rsidRDefault="00613ED2" w:rsidP="00613ED2"/>
    <w:p w14:paraId="350A31EC" w14:textId="77777777" w:rsidR="00613ED2" w:rsidRDefault="00613ED2" w:rsidP="00613ED2">
      <w:r>
        <w:t>PATIENTS:Consecutive patients with intracerebral hemorrhage from February 2018 to May 2018.</w:t>
      </w:r>
    </w:p>
    <w:p w14:paraId="6329F583" w14:textId="77777777" w:rsidR="00613ED2" w:rsidRDefault="00613ED2" w:rsidP="00613ED2"/>
    <w:p w14:paraId="5BBC8711" w14:textId="77777777" w:rsidR="00613ED2" w:rsidRDefault="00613ED2" w:rsidP="00613ED2">
      <w:r>
        <w:t>INTERVENTIONS:None.</w:t>
      </w:r>
    </w:p>
    <w:p w14:paraId="6A968744" w14:textId="77777777" w:rsidR="00613ED2" w:rsidRDefault="00613ED2" w:rsidP="00613ED2"/>
    <w:p w14:paraId="2BD031B7" w14:textId="77777777" w:rsidR="00613ED2" w:rsidRDefault="00613ED2" w:rsidP="00613ED2">
      <w:r>
        <w:t>MEASUREMENTS AND MAIN RESULTS:An attending neurointensivist performed 257 total daily assessments for delirium on 60 patients (mean age 68.0 [SD 18.4], 62% male, median intracerebral hemorrhage score 1.5 [interquartile range 1-2], delirium prevalence 57% [n = 34]). Each assessment included the Confusion Assessment Method for the ICU, Intensive Care Delirium Screening Checklist, a focused bedside cognitive examination, chart review, and nurse interview. We characterized individual symptom prevalence and established delirium diagnoses using Diagnostic and Statistical Manual of Mental Disorders, fifth edition criteria, then compared performance of the Confusion Assessment Method for the ICU and Intensive Care Delirium Screening Checklist against reference-standard expert diagnosis. Symptom fluctuation (61% of all assessments), psychomotor changes (46%), sleep-wake disturbances (46%), and impaired arousal (37%) had the highest prevalence and were never rated "unable to assess," while inattention (36%), disorientation (27%), and disorganized thinking (18%) were also common but were often rated 'unable to assess' (32%, 43%, and 44% of assessments, respectively), most frequently due to aphasia (32% of patients). Including nonverbal assessments of attention decreased the frequency of 'unable to assess' ratings to 11%. Since the Intensive Care Delirium Screening Checklist may be positive without the presence of symptoms that require verbal assessment, it was more accurate (sensitivity = 77%, specificity = 97%, area under the receiver operating characteristic curve, 0.87) than the Confusion Assessment Method for the ICU (sensitivity = 41%, specificity = 88%, area under the receiver operating characteristic curve, 0.64).</w:t>
      </w:r>
    </w:p>
    <w:p w14:paraId="6D10168A" w14:textId="77777777" w:rsidR="00613ED2" w:rsidRDefault="00613ED2" w:rsidP="00613ED2"/>
    <w:p w14:paraId="1D3D9CE7" w14:textId="77777777" w:rsidR="00613ED2" w:rsidRDefault="00613ED2" w:rsidP="00613ED2">
      <w:r>
        <w:t>CONCLUSIONS:Delirium is common after intracerebral hemorrhage, but severe neurologic deficits may confound its assessment and lead to underdiagnosis. The Intensive Care Delirium Screening Checklist's inclusion of nonverbal features may make it more accurate than the Confusion Assessment Method for the ICU in patients with neurologic deficits, but novel tools designed for such patients may be warranted.</w:t>
      </w:r>
    </w:p>
    <w:p w14:paraId="5FB90BA1" w14:textId="77777777" w:rsidR="00613ED2" w:rsidRDefault="00613ED2" w:rsidP="00613ED2"/>
    <w:p w14:paraId="590004CA" w14:textId="77777777" w:rsidR="00613ED2" w:rsidRDefault="00613ED2" w:rsidP="00613ED2">
      <w:r>
        <w:t>Crit Care Med, 2020 vol. 48 (1) pp. 111-118.</w:t>
      </w:r>
    </w:p>
    <w:p w14:paraId="70C4A966" w14:textId="77777777" w:rsidR="00613ED2" w:rsidRDefault="00613ED2" w:rsidP="00613ED2"/>
    <w:p w14:paraId="6BDEBEA3" w14:textId="18409C21" w:rsidR="00785FC3" w:rsidRDefault="00613ED2">
      <w:r>
        <w:t>http://eutils.ncbi.nlm.nih.gov/entrez/eutils/elink.fcgi?dbfrom=pubmed&amp;id=31567406&amp;retmode=ref&amp;cmd=prlinks</w:t>
      </w:r>
    </w:p>
    <w:p w14:paraId="05E80DE2" w14:textId="77777777" w:rsidR="00B07E78" w:rsidRDefault="00B07E78" w:rsidP="00B07E78">
      <w:pPr>
        <w:pBdr>
          <w:bottom w:val="single" w:sz="4" w:space="1" w:color="auto"/>
        </w:pBdr>
      </w:pPr>
    </w:p>
    <w:p w14:paraId="6F63CF76" w14:textId="77777777" w:rsidR="002F19AC" w:rsidRDefault="002F19AC" w:rsidP="00B07E78">
      <w:pPr>
        <w:pBdr>
          <w:bottom w:val="single" w:sz="4" w:space="1" w:color="auto"/>
        </w:pBdr>
      </w:pPr>
    </w:p>
    <w:p w14:paraId="140AC761" w14:textId="77777777" w:rsidR="00B07E78" w:rsidRPr="00B07E78" w:rsidRDefault="00B07E78" w:rsidP="00B07E78">
      <w:pPr>
        <w:rPr>
          <w:b/>
        </w:rPr>
      </w:pPr>
      <w:r w:rsidRPr="00B07E78">
        <w:rPr>
          <w:b/>
        </w:rPr>
        <w:t>Comparative Performance of Pulmonary Ultrasound, Chest Radiograph, and CT Among Patients With Acute Respiratory Failure.</w:t>
      </w:r>
    </w:p>
    <w:p w14:paraId="7C8F914D" w14:textId="77777777" w:rsidR="00B07E78" w:rsidRDefault="00B07E78" w:rsidP="00B07E78"/>
    <w:p w14:paraId="2AC6389A" w14:textId="77777777" w:rsidR="00B07E78" w:rsidRDefault="00B07E78" w:rsidP="00B07E78">
      <w:r>
        <w:t>David M Tierney, Joshua S Huelster, Josh D Overgaard, Michael B Plunkett, Lori L Boland, Catherine A St Hill, Vincent K Agboto, Claire S Smith, Bryce F Mikel, Brynn E Weise, Katelyn E Madigan, Ameet P Doshi, and Roman R Melamed.</w:t>
      </w:r>
    </w:p>
    <w:p w14:paraId="117628B7" w14:textId="77777777" w:rsidR="00B07E78" w:rsidRDefault="00B07E78" w:rsidP="00B07E78"/>
    <w:p w14:paraId="7D04B3DE" w14:textId="77777777" w:rsidR="00B07E78" w:rsidRDefault="00B07E78" w:rsidP="00B07E78">
      <w:r>
        <w:t>OBJECTIVES:The study goal was to concurrently evaluate agreement of a 9-point pulmonary ultrasound protocol and portable chest radiograph with chest CT for localization of pathology to the correct lung and also to specific anatomic lobes among a diverse group of intubated patients with acute respiratory failure.</w:t>
      </w:r>
    </w:p>
    <w:p w14:paraId="38753F1D" w14:textId="77777777" w:rsidR="00B07E78" w:rsidRDefault="00B07E78" w:rsidP="00B07E78"/>
    <w:p w14:paraId="050311EE" w14:textId="77777777" w:rsidR="00B07E78" w:rsidRDefault="00B07E78" w:rsidP="00B07E78">
      <w:r>
        <w:t>DESIGN:Prospective cohort study.</w:t>
      </w:r>
    </w:p>
    <w:p w14:paraId="61D39B7E" w14:textId="77777777" w:rsidR="00B07E78" w:rsidRDefault="00B07E78" w:rsidP="00B07E78"/>
    <w:p w14:paraId="0E012E48" w14:textId="77777777" w:rsidR="00B07E78" w:rsidRDefault="00B07E78" w:rsidP="00B07E78">
      <w:r>
        <w:t>SETTING:Medical, surgical, and neurologic ICUs at a 670-bed urban teaching hospital.</w:t>
      </w:r>
    </w:p>
    <w:p w14:paraId="5E593D25" w14:textId="77777777" w:rsidR="00B07E78" w:rsidRDefault="00B07E78" w:rsidP="00B07E78"/>
    <w:p w14:paraId="208BAF1A" w14:textId="77777777" w:rsidR="00B07E78" w:rsidRDefault="00B07E78" w:rsidP="00B07E78">
      <w:r>
        <w:t>PATIENTS:Intubated adults with acute respiratory failure having chest CT and portable chest radiograph performed within 24 hours of intubation.</w:t>
      </w:r>
    </w:p>
    <w:p w14:paraId="29C9392F" w14:textId="77777777" w:rsidR="00B07E78" w:rsidRDefault="00B07E78" w:rsidP="00B07E78"/>
    <w:p w14:paraId="27A39784" w14:textId="77777777" w:rsidR="00B07E78" w:rsidRDefault="00B07E78" w:rsidP="00B07E78">
      <w:r>
        <w:t>INTERVENTIONS:A 9-point pulmonary ultrasound examination performed at the time of intubation.</w:t>
      </w:r>
    </w:p>
    <w:p w14:paraId="49F87BD1" w14:textId="77777777" w:rsidR="00B07E78" w:rsidRDefault="00B07E78" w:rsidP="00B07E78"/>
    <w:p w14:paraId="5CB2EB19" w14:textId="77777777" w:rsidR="00B07E78" w:rsidRDefault="00B07E78" w:rsidP="00B07E78">
      <w:r>
        <w:t>MEASUREMENTS AND MAIN RESULTS:Sixty-seven patients had pulmonary ultrasound, portable chest radiograph, and chest CT performed within 24 hours of intubation. Overall agreement of pulmonary ultrasound and portable chest radiograph findings with correlating lobe ("lobe-specific" agreement) on CT was 87% versus 62% (p &lt; 0.001), respectively. Relaxing the agreement definition to a matching CT finding being present anywhere within the correct lung ("lung-specific" agreement), not necessarily the specific mapped lobe, showed improved agreement for both pulmonary ultrasound and portable chest radiograph respectively (right lung: 92.5% vs 65.7%; p &lt; 0.001 and left lung: 83.6% vs 71.6%; p = 0.097). The highest lobe-specific agreement was for the finding of atelectasis/consolidation for both pulmonary ultrasound and portable chest radiograph (96% and 73%, respectively). The lowest lobe-specific agreement for pulmonary ultrasound was normal lung (79%) and interstitial process for portable chest radiograph (29%). Lobe-specific agreement differed most between pulmonary ultrasound and portable chest radiograph for interstitial findings (86% vs 29%, respectively). Pulmonary ultrasound had the lowest agreement with CT for findings in the left lower lobe (82.1%). Pleural effusion agreement also differed between pulmonary ultrasound and portable chest radiograph (right: 99% vs 87%; p = 0.009 and left: 99% vs 85%; p = 0.004).</w:t>
      </w:r>
    </w:p>
    <w:p w14:paraId="56F206AE" w14:textId="77777777" w:rsidR="00B07E78" w:rsidRDefault="00B07E78" w:rsidP="00B07E78"/>
    <w:p w14:paraId="1DF730EE" w14:textId="77777777" w:rsidR="00B07E78" w:rsidRDefault="00B07E78" w:rsidP="00B07E78">
      <w:r>
        <w:t>CONCLUSIONS:A clinical, 9-point pulmonary ultrasound protocol strongly agreed with specific CT findings when analyzed by both lung- and lobe-specific location among a diverse population of mechanically ventilated patients with acute respiratory failure; in this regard, pulmonary ultrasound significantly outperformed portable chest radiograph.</w:t>
      </w:r>
    </w:p>
    <w:p w14:paraId="2F1CEDA2" w14:textId="77777777" w:rsidR="00B07E78" w:rsidRDefault="00B07E78" w:rsidP="00B07E78"/>
    <w:p w14:paraId="03D52B29" w14:textId="77777777" w:rsidR="00B07E78" w:rsidRDefault="00B07E78" w:rsidP="00B07E78">
      <w:r>
        <w:t>Crit Care Med, 2020 vol. 48 (2) pp. 151-157.</w:t>
      </w:r>
    </w:p>
    <w:p w14:paraId="23E56610" w14:textId="77777777" w:rsidR="00B07E78" w:rsidRDefault="00B07E78" w:rsidP="00B07E78"/>
    <w:p w14:paraId="3289470F" w14:textId="77777777" w:rsidR="00B07E78" w:rsidRDefault="00B07E78" w:rsidP="00B07E78">
      <w:r>
        <w:t>http://eutils.ncbi.nlm.nih.gov/entrez/eutils/elink.fcgi?dbfrom=pubmed&amp;id=31939782&amp;retmode=ref&amp;cmd=prlinks</w:t>
      </w:r>
    </w:p>
    <w:p w14:paraId="6B4FCB06" w14:textId="77777777" w:rsidR="002F19AC" w:rsidRDefault="002F19AC" w:rsidP="00B07E78"/>
    <w:p w14:paraId="1AEF5279" w14:textId="77777777" w:rsidR="002F19AC" w:rsidRDefault="002F19AC" w:rsidP="002F19AC">
      <w:pPr>
        <w:pBdr>
          <w:bottom w:val="single" w:sz="4" w:space="1" w:color="auto"/>
        </w:pBdr>
      </w:pPr>
    </w:p>
    <w:p w14:paraId="5D4889EB" w14:textId="77777777" w:rsidR="00B07E78" w:rsidRPr="002F19AC" w:rsidRDefault="00B07E78" w:rsidP="00B07E78">
      <w:pPr>
        <w:rPr>
          <w:b/>
        </w:rPr>
      </w:pPr>
      <w:r w:rsidRPr="002F19AC">
        <w:rPr>
          <w:b/>
        </w:rPr>
        <w:t>Alive and Ventilator Free: A Hierarchical, Composite Outcome for Clinical Trials in the Acute Respiratory Distress Syndrome.</w:t>
      </w:r>
    </w:p>
    <w:p w14:paraId="42DFE5DF" w14:textId="77777777" w:rsidR="00B07E78" w:rsidRDefault="00B07E78" w:rsidP="00B07E78"/>
    <w:p w14:paraId="22826C43" w14:textId="77777777" w:rsidR="00B07E78" w:rsidRDefault="00B07E78" w:rsidP="00B07E78">
      <w:r>
        <w:t>Victor Novack, Jeremy R Beitler, Maayan Yitshak-Sade, B Taylor Thompson, David A Schoenfeld, Gordon Rubenfeld, Daniel Talmor, and Samuel M Brown.</w:t>
      </w:r>
    </w:p>
    <w:p w14:paraId="00800E6D" w14:textId="77777777" w:rsidR="00B07E78" w:rsidRDefault="00B07E78" w:rsidP="00B07E78"/>
    <w:p w14:paraId="4BB61508" w14:textId="77777777" w:rsidR="00B07E78" w:rsidRDefault="00B07E78" w:rsidP="00B07E78">
      <w:r>
        <w:t>OBJECTIVES:Survival from acute respiratory distress syndrome is improving, and outcomes beyond mortality may be important for testing new treatments. The "ventilator-free days" score, is an established composite that equates ventilation on day 28 to death. A hierarchical outcome treating death as a worse than prolonged ventilation would enhance face validity, but performance characteristics and reporting of such an outcome are unknown. We therefore evaluated the performance of a novel hierarchical composite endpoint, the Alive and Ventilator Free score.</w:t>
      </w:r>
    </w:p>
    <w:p w14:paraId="2351BEE8" w14:textId="77777777" w:rsidR="00B07E78" w:rsidRDefault="00B07E78" w:rsidP="00B07E78"/>
    <w:p w14:paraId="121597E9" w14:textId="77777777" w:rsidR="00B07E78" w:rsidRDefault="00B07E78" w:rsidP="00B07E78">
      <w:r>
        <w:t>DESIGN:Using data from four Acute Respiratory Distress Syndrome Network clinical trials, we compared Alive and Ventilator Free to the ventilator-free days score. Alive and Ventilator Free compares each patient with every other patient in a win-lose-tie for each comparison. Duration of mechanical ventilation is only compared if both patients survived. We evaluated power of Alive and Ventilator Free versus ventilator-free days score under various circumstances.</w:t>
      </w:r>
    </w:p>
    <w:p w14:paraId="61718003" w14:textId="77777777" w:rsidR="00B07E78" w:rsidRDefault="00B07E78" w:rsidP="00B07E78"/>
    <w:p w14:paraId="5A48E009" w14:textId="77777777" w:rsidR="00B07E78" w:rsidRDefault="00B07E78" w:rsidP="00B07E78">
      <w:r>
        <w:t>SETTING:ICUs within the Acute Respiratory Distress Syndrome Network.</w:t>
      </w:r>
    </w:p>
    <w:p w14:paraId="38C79728" w14:textId="77777777" w:rsidR="00B07E78" w:rsidRDefault="00B07E78" w:rsidP="00B07E78"/>
    <w:p w14:paraId="5BFEA3DC" w14:textId="77777777" w:rsidR="00B07E78" w:rsidRDefault="00B07E78" w:rsidP="00B07E78">
      <w:r>
        <w:t>PATIENTS:Individuals enrolled in four Acute Respiratory Distress Syndrome Network trials.</w:t>
      </w:r>
    </w:p>
    <w:p w14:paraId="52E10FF4" w14:textId="77777777" w:rsidR="00B07E78" w:rsidRDefault="00B07E78" w:rsidP="00B07E78"/>
    <w:p w14:paraId="1F2DE619" w14:textId="77777777" w:rsidR="00B07E78" w:rsidRDefault="00B07E78" w:rsidP="00B07E78">
      <w:r>
        <w:t>INTERVENTIONS:None for this analysis.</w:t>
      </w:r>
    </w:p>
    <w:p w14:paraId="3EE11A7C" w14:textId="77777777" w:rsidR="00B07E78" w:rsidRDefault="00B07E78" w:rsidP="00B07E78"/>
    <w:p w14:paraId="5CC1D2DF" w14:textId="77777777" w:rsidR="00B07E78" w:rsidRDefault="00B07E78" w:rsidP="00B07E78">
      <w:r>
        <w:t>MEASUREMENTS AND MAIN RESULTS:Within the four trials (n = 2,410 patients), Alive and Ventilator Free and ventilator-free days score had similar power, with Alive and Ventilator Free slightly more powerful when a mortality difference was present, and ventilator-free days score slightly more powerful with a difference in duration of mechanical ventilation. Alive and Ventilator Free less often found in favor of treatments that increased mortality and increased days free of ventilation among survivors.</w:t>
      </w:r>
    </w:p>
    <w:p w14:paraId="12C3AE53" w14:textId="77777777" w:rsidR="00B07E78" w:rsidRDefault="00B07E78" w:rsidP="00B07E78"/>
    <w:p w14:paraId="78035C8C" w14:textId="77777777" w:rsidR="00B07E78" w:rsidRDefault="00B07E78" w:rsidP="00B07E78">
      <w:r>
        <w:t>CONCLUSIONS:A hierarchical composite endpoint, Alive and Ventilator Free, preserves statistical power while improving face validity. Alive and Ventilator Free is less prone to favor a treatment with discordant effects on survival and days free of ventilation. This general approach can support complex outcome hierarchies with multiple constituent outcomes. Approaches to interpretation of differences in Alive and Ventilator Free are also presented.</w:t>
      </w:r>
    </w:p>
    <w:p w14:paraId="3402621E" w14:textId="77777777" w:rsidR="00B07E78" w:rsidRDefault="00B07E78" w:rsidP="00B07E78"/>
    <w:p w14:paraId="5A7AEB18" w14:textId="77777777" w:rsidR="00B07E78" w:rsidRDefault="00B07E78" w:rsidP="00B07E78">
      <w:r>
        <w:t>Crit Care Med, 2020 vol. 48 (2) pp. 158-166.</w:t>
      </w:r>
    </w:p>
    <w:p w14:paraId="3899DB86" w14:textId="77777777" w:rsidR="00B07E78" w:rsidRDefault="00B07E78" w:rsidP="00B07E78"/>
    <w:p w14:paraId="01877B6D" w14:textId="77777777" w:rsidR="00B07E78" w:rsidRDefault="00B07E78" w:rsidP="00B07E78">
      <w:r>
        <w:t>http://eutils.ncbi.nlm.nih.gov/entrez/eutils/elink.fcgi?dbfrom=pubmed&amp;id=31939783&amp;retmode=ref&amp;cmd=prlinks</w:t>
      </w:r>
    </w:p>
    <w:p w14:paraId="5777DCB8" w14:textId="77777777" w:rsidR="00B07E78" w:rsidRDefault="00B07E78" w:rsidP="00B07E78"/>
    <w:p w14:paraId="6A3BBB87" w14:textId="77777777" w:rsidR="002F19AC" w:rsidRDefault="002F19AC" w:rsidP="002F19AC">
      <w:pPr>
        <w:pBdr>
          <w:bottom w:val="single" w:sz="4" w:space="1" w:color="auto"/>
        </w:pBdr>
      </w:pPr>
    </w:p>
    <w:p w14:paraId="1FF7F44F" w14:textId="77777777" w:rsidR="002816B2" w:rsidRPr="002F19AC" w:rsidRDefault="002816B2" w:rsidP="002816B2">
      <w:pPr>
        <w:rPr>
          <w:b/>
        </w:rPr>
      </w:pPr>
      <w:r w:rsidRPr="002F19AC">
        <w:rPr>
          <w:b/>
        </w:rPr>
        <w:t>Correction and Control of Hyperammonemia in Acute Liver Failure: The Impact of Continuous Renal Replacement Timing, Intensity, and Duration.</w:t>
      </w:r>
    </w:p>
    <w:p w14:paraId="066447F4" w14:textId="77777777" w:rsidR="002816B2" w:rsidRDefault="002816B2" w:rsidP="002816B2"/>
    <w:p w14:paraId="50291988" w14:textId="77777777" w:rsidR="002816B2" w:rsidRDefault="002816B2" w:rsidP="002816B2">
      <w:r>
        <w:t>Stephen Warrillow, Caleb Fisher, and Rinaldo Bellomo.</w:t>
      </w:r>
    </w:p>
    <w:p w14:paraId="53C55198" w14:textId="77777777" w:rsidR="002816B2" w:rsidRDefault="002816B2" w:rsidP="002816B2"/>
    <w:p w14:paraId="53D8103B" w14:textId="77777777" w:rsidR="002816B2" w:rsidRDefault="002816B2" w:rsidP="002816B2">
      <w:r>
        <w:t>OBJECTIVES:Hyperammonemia is a key contributing factor for cerebral edema in acute liver failure. Continuous renal replacement therapy may help reduce ammonia levels. However, the optimal timing, mode, intensity, and duration of continuous renal replacement therapy in this setting are unknown. We aimed to study continuous renal replacement therapy use in acute liver failure patients and to assess its impact on hyperammonemia.</w:t>
      </w:r>
    </w:p>
    <w:p w14:paraId="22F3835F" w14:textId="77777777" w:rsidR="002816B2" w:rsidRDefault="002816B2" w:rsidP="002816B2"/>
    <w:p w14:paraId="7303A87A" w14:textId="77777777" w:rsidR="002816B2" w:rsidRDefault="002816B2" w:rsidP="002816B2">
      <w:r>
        <w:t>DESIGN:Retrospective observational study.</w:t>
      </w:r>
    </w:p>
    <w:p w14:paraId="6E634FC5" w14:textId="77777777" w:rsidR="002816B2" w:rsidRDefault="002816B2" w:rsidP="002816B2"/>
    <w:p w14:paraId="72F837B8" w14:textId="77777777" w:rsidR="002816B2" w:rsidRDefault="002816B2" w:rsidP="002816B2">
      <w:r>
        <w:t>SETTING:ICU within a specialized liver transplant hospital.</w:t>
      </w:r>
    </w:p>
    <w:p w14:paraId="377E7120" w14:textId="77777777" w:rsidR="002816B2" w:rsidRDefault="002816B2" w:rsidP="002816B2"/>
    <w:p w14:paraId="08C6A608" w14:textId="77777777" w:rsidR="002816B2" w:rsidRDefault="002816B2" w:rsidP="002816B2">
      <w:r>
        <w:t>PATIENTS:Fifty-four patients with acute liver failure.</w:t>
      </w:r>
    </w:p>
    <w:p w14:paraId="47DC265F" w14:textId="77777777" w:rsidR="002816B2" w:rsidRDefault="002816B2" w:rsidP="002816B2"/>
    <w:p w14:paraId="63B8DD75" w14:textId="77777777" w:rsidR="002816B2" w:rsidRDefault="002816B2" w:rsidP="002816B2">
      <w:r>
        <w:t>INTERVENTIONS:Data were obtained from medical records and analyzed for patient characteristics, continuous renal replacement therapy use, ammonia dynamics, and outcomes.</w:t>
      </w:r>
    </w:p>
    <w:p w14:paraId="4614AE44" w14:textId="77777777" w:rsidR="002816B2" w:rsidRDefault="002816B2" w:rsidP="002816B2"/>
    <w:p w14:paraId="226E3B99" w14:textId="77777777" w:rsidR="002816B2" w:rsidRDefault="002816B2" w:rsidP="002816B2">
      <w:r>
        <w:t>MAIN RESULTS:Forty-five patients (83%) had high grade encephalopathy. Median time to continuous renal replacement therapy commencement was 4 hours (interquartile range, 2-4.5) with 35 (78%) treated with continuous venovenous hemodiafiltration and 10 (22%) with continuous venovenous hemofiltration. Median hourly effluent flow rate was 43 mL/kg (interquartile range, 37-62). The median ammonia concentration decreased every day during treatment from 151 µmol/L (interquartile range, 110-204) to 107 µmol/L (interquartile range, 84-133) on day 2, 75 µmol/L (interquartile range, 63-95) on day 3, and 52 µmol/L (interquartile range, 42-70) (p &lt; 0.0001) on day 5. The number of patients with an ammonia level greater than 150 µmol/L decreased on the same days from 26, to nine, then two, and finally none. Reductions in ammonia levels correlated best with the cumulative duration of therapy hours (p = 0.03), rather than hourly treatment intensity.</w:t>
      </w:r>
    </w:p>
    <w:p w14:paraId="79F12EB3" w14:textId="77777777" w:rsidR="002816B2" w:rsidRDefault="002816B2" w:rsidP="002816B2"/>
    <w:p w14:paraId="34998C3A" w14:textId="77777777" w:rsidR="002816B2" w:rsidRDefault="002816B2" w:rsidP="002816B2">
      <w:r>
        <w:t>CONCLUSIONS:Continuous renal replacement therapy is associated with reduced ammonia concentrations in acute liver failure patients. This effect is related to greater cumulative dose. These findings suggest that continuous renal replacement therapy initiated early and continued or longer may represent a useful approach to hyperammonemia control in acute liver failure patients.</w:t>
      </w:r>
    </w:p>
    <w:p w14:paraId="01A56903" w14:textId="77777777" w:rsidR="002816B2" w:rsidRDefault="002816B2" w:rsidP="002816B2"/>
    <w:p w14:paraId="41BA46B2" w14:textId="77777777" w:rsidR="002816B2" w:rsidRDefault="002816B2" w:rsidP="002816B2">
      <w:r>
        <w:t>Crit Care Med, 2020 vol. 48 (2) pp. 218-224.</w:t>
      </w:r>
    </w:p>
    <w:p w14:paraId="2236F3C2" w14:textId="77777777" w:rsidR="002816B2" w:rsidRDefault="002816B2" w:rsidP="002816B2"/>
    <w:p w14:paraId="3132174B" w14:textId="77777777" w:rsidR="002816B2" w:rsidRDefault="002816B2" w:rsidP="002816B2">
      <w:r>
        <w:t>http://eutils.ncbi.nlm.nih.gov/entrez/eutils/elink.fcgi?dbfrom=pubmed&amp;id=31939790&amp;retmode=ref&amp;cmd=prlinks</w:t>
      </w:r>
    </w:p>
    <w:p w14:paraId="5A44CD06" w14:textId="77777777" w:rsidR="002816B2" w:rsidRDefault="002816B2" w:rsidP="00B07E78"/>
    <w:p w14:paraId="10962681" w14:textId="77777777" w:rsidR="002F19AC" w:rsidRDefault="002F19AC" w:rsidP="002F19AC">
      <w:pPr>
        <w:pBdr>
          <w:bottom w:val="single" w:sz="4" w:space="1" w:color="auto"/>
        </w:pBdr>
      </w:pPr>
    </w:p>
    <w:p w14:paraId="2032CAFD" w14:textId="77777777" w:rsidR="002816B2" w:rsidRPr="002F19AC" w:rsidRDefault="002816B2" w:rsidP="002816B2">
      <w:pPr>
        <w:rPr>
          <w:b/>
        </w:rPr>
      </w:pPr>
      <w:r w:rsidRPr="002F19AC">
        <w:rPr>
          <w:b/>
        </w:rPr>
        <w:t>Epinephrine for Out-of-Hospital Cardiac Arrest: An Updated Systematic Review and Meta-Analysis.</w:t>
      </w:r>
    </w:p>
    <w:p w14:paraId="57A20EE5" w14:textId="77777777" w:rsidR="002816B2" w:rsidRDefault="002816B2" w:rsidP="002816B2"/>
    <w:p w14:paraId="7F224FDD" w14:textId="77777777" w:rsidR="002816B2" w:rsidRDefault="002816B2" w:rsidP="002816B2">
      <w:r>
        <w:t>Theresa Aves, Amit Chopra, Matthew Patel, and Steve Lin.</w:t>
      </w:r>
    </w:p>
    <w:p w14:paraId="625EC7F8" w14:textId="77777777" w:rsidR="002816B2" w:rsidRDefault="002816B2" w:rsidP="002816B2"/>
    <w:p w14:paraId="692A6A81" w14:textId="77777777" w:rsidR="002816B2" w:rsidRDefault="002816B2" w:rsidP="002816B2">
      <w:r>
        <w:t>OBJECTIVES:To perform an updated systematic review and meta-analysis of clinical trials evaluating epinephrine for adult out-of-hospital cardiac arrest resuscitation.</w:t>
      </w:r>
    </w:p>
    <w:p w14:paraId="1B44C8E8" w14:textId="77777777" w:rsidR="002816B2" w:rsidRDefault="002816B2" w:rsidP="002816B2"/>
    <w:p w14:paraId="38DC314A" w14:textId="77777777" w:rsidR="002816B2" w:rsidRDefault="002816B2" w:rsidP="002816B2">
      <w:r>
        <w:t>DATA SOURCES:The search included MEDLINE, EMBASE, and Ovid Evidence-Based Medicine, clinical trial registries, and bibliographies.</w:t>
      </w:r>
    </w:p>
    <w:p w14:paraId="725BC8E2" w14:textId="77777777" w:rsidR="002816B2" w:rsidRDefault="002816B2" w:rsidP="002816B2"/>
    <w:p w14:paraId="4636809C" w14:textId="77777777" w:rsidR="002816B2" w:rsidRDefault="002816B2" w:rsidP="002816B2">
      <w:r>
        <w:t>STUDY SELECTION:Randomized and quasi-randomized controlled trials that compared the current standard dose of epinephrine to placebo, high or low dose epinephrine, any other vasopressor alone or in combination were screened by three independent reviewers.</w:t>
      </w:r>
    </w:p>
    <w:p w14:paraId="33F0B9EA" w14:textId="77777777" w:rsidR="002816B2" w:rsidRDefault="002816B2" w:rsidP="002816B2"/>
    <w:p w14:paraId="3519064C" w14:textId="77777777" w:rsidR="002816B2" w:rsidRDefault="002816B2" w:rsidP="002816B2">
      <w:r>
        <w:t>DATA EXTRACTION:Randomized and quasi-randomized controlled trials that compared the current standard dose of epinephrine to placebo, high or low dose epinephrine, any other vasopressor alone or in combination were screened by three independent reviewers.</w:t>
      </w:r>
    </w:p>
    <w:p w14:paraId="1C13659B" w14:textId="77777777" w:rsidR="002816B2" w:rsidRDefault="002816B2" w:rsidP="002816B2"/>
    <w:p w14:paraId="2F2DB68A" w14:textId="77777777" w:rsidR="002816B2" w:rsidRDefault="002816B2" w:rsidP="002816B2">
      <w:r>
        <w:t>DATA SYNTHESIS:A total of 17 trials (21,510 patients) were included; seven were judged to be at high risk of bias. Compared to placebo, pooled results from two trials showed that standard dose of epinephrine increased return of spontaneous circulation (risk ratio, 3.09; 95% CI, 2.82-3.89), survival to hospital admission (risk ratio, 2.50; 95% CI, 1.68-3.72), and survival to discharge (risk ratio, 1.44; 95% CI, 1.11-1.86). The largest placebo-controlled trial showed that standard dose of epinephrine also improved survival at 30 days and 3 months but not neurologic outcomes, standard dose of epinephrine decreased return of spontaneous circulation (risk ratio, 0.87; 95% CI, 0.77-0.98) and survival to admission (risk ratio, 0.88; 95% CI, 0.78-0.99) when compared with high dose epinephrine. There were no differences in outcomes between standard dose of epinephrine and vasopressin alone or in combination with epinephrine.</w:t>
      </w:r>
    </w:p>
    <w:p w14:paraId="07C08DB3" w14:textId="77777777" w:rsidR="002816B2" w:rsidRDefault="002816B2" w:rsidP="002816B2"/>
    <w:p w14:paraId="0108BD09" w14:textId="77777777" w:rsidR="002816B2" w:rsidRDefault="002816B2" w:rsidP="002816B2">
      <w:r>
        <w:t>CONCLUSIONS:Largely based on one randomized controlled trial, standard dose of epinephrine improved overall survival but not neurologic outcomes in out-of-hospital cardiac arrest patients compared with placebo. There is a paucity of trials with meaningful patient outcomes; future epinephrine trials should evaluate dose and method of delivery on long-term survival, neurologic function, and quality of life after cardiac arrest.</w:t>
      </w:r>
    </w:p>
    <w:p w14:paraId="4748ADCE" w14:textId="77777777" w:rsidR="002816B2" w:rsidRDefault="002816B2" w:rsidP="002816B2"/>
    <w:p w14:paraId="4A407FC5" w14:textId="77777777" w:rsidR="002816B2" w:rsidRDefault="002816B2" w:rsidP="002816B2">
      <w:r>
        <w:t>Crit Care Med, 2020 vol. 48 (2) pp. 225-229.</w:t>
      </w:r>
    </w:p>
    <w:p w14:paraId="277275E5" w14:textId="77777777" w:rsidR="002816B2" w:rsidRDefault="002816B2" w:rsidP="002816B2"/>
    <w:p w14:paraId="6D21970C" w14:textId="77777777" w:rsidR="002816B2" w:rsidRDefault="002816B2" w:rsidP="002816B2">
      <w:r>
        <w:t>http://eutils.ncbi.nlm.nih.gov/entrez/eutils/elink.fcgi?dbfrom=pubmed&amp;id=31939791&amp;retmode=ref&amp;cmd=prlinks</w:t>
      </w:r>
    </w:p>
    <w:p w14:paraId="69B46C77" w14:textId="77777777" w:rsidR="002816B2" w:rsidRDefault="002816B2" w:rsidP="00B07E78"/>
    <w:p w14:paraId="3CACA4CA" w14:textId="77777777" w:rsidR="002816B2" w:rsidRDefault="002816B2" w:rsidP="002F19AC">
      <w:pPr>
        <w:pBdr>
          <w:bottom w:val="single" w:sz="4" w:space="1" w:color="auto"/>
        </w:pBdr>
      </w:pPr>
    </w:p>
    <w:p w14:paraId="63502143" w14:textId="77777777" w:rsidR="002816B2" w:rsidRPr="002F19AC" w:rsidRDefault="002816B2" w:rsidP="002816B2">
      <w:pPr>
        <w:rPr>
          <w:b/>
        </w:rPr>
      </w:pPr>
      <w:r w:rsidRPr="002F19AC">
        <w:rPr>
          <w:b/>
        </w:rPr>
        <w:t>Systematic Review and Meta-Analysis of Effects of Transfusion on Hemodynamic and Oxygenation Variables.</w:t>
      </w:r>
    </w:p>
    <w:p w14:paraId="1418E1EE" w14:textId="77777777" w:rsidR="002816B2" w:rsidRDefault="002816B2" w:rsidP="002816B2"/>
    <w:p w14:paraId="19A03218" w14:textId="77777777" w:rsidR="002816B2" w:rsidRDefault="002816B2" w:rsidP="002816B2">
      <w:r>
        <w:t>Elaine Cavalcante Dos Santos, Diego Orbegozo, Wasineenart Mongkolpun, Valentina Galfo, Wang Nan, Elisa Gouvêa Bogossian, Fabio Silvio Taccone, Benoît Vallet, Jacques Creteur, and Jean-Louis Vincent.</w:t>
      </w:r>
    </w:p>
    <w:p w14:paraId="31AE72E6" w14:textId="77777777" w:rsidR="002816B2" w:rsidRDefault="002816B2" w:rsidP="002816B2"/>
    <w:p w14:paraId="0C7AB388" w14:textId="77777777" w:rsidR="002816B2" w:rsidRDefault="002816B2" w:rsidP="002816B2">
      <w:r>
        <w:t>OBJECTIVES:RBC transfusions can increase oxygen availability to the tissues, but studies have provided conflicting results. The objectives of this study were, therefore, to evaluate, using systematic review and meta-analysis, the effects of transfusion on hemodynamic/oxygenation variables in patients without acute bleeding.</w:t>
      </w:r>
    </w:p>
    <w:p w14:paraId="5A4610F1" w14:textId="77777777" w:rsidR="002816B2" w:rsidRDefault="002816B2" w:rsidP="002816B2"/>
    <w:p w14:paraId="4D04D1A8" w14:textId="77777777" w:rsidR="002816B2" w:rsidRDefault="002816B2" w:rsidP="002816B2">
      <w:r>
        <w:t>DATA SOURCES:PubMed, Scopus, Cochrane Database of Systematic Reviews, and Embase from inception until June 30, 2019.</w:t>
      </w:r>
    </w:p>
    <w:p w14:paraId="4CEBE748" w14:textId="77777777" w:rsidR="002816B2" w:rsidRDefault="002816B2" w:rsidP="002816B2"/>
    <w:p w14:paraId="1114996A" w14:textId="77777777" w:rsidR="002816B2" w:rsidRDefault="002816B2" w:rsidP="002816B2">
      <w:r>
        <w:t>STUDY SELECTION:All articles that reported values of prespecified hemodynamic or oxygenation variables before and after RBC transfusion.</w:t>
      </w:r>
    </w:p>
    <w:p w14:paraId="5E4E2C55" w14:textId="77777777" w:rsidR="002816B2" w:rsidRDefault="002816B2" w:rsidP="002816B2"/>
    <w:p w14:paraId="780794E3" w14:textId="77777777" w:rsidR="002816B2" w:rsidRDefault="002816B2" w:rsidP="002816B2">
      <w:r>
        <w:t>DATA EXTRACTION:Publication year, number of patients, number of transfusions and the type of population studied, hemodynamic and oxygenation data (heart rate, cardiac index, mixed venous oxygen saturation or central venous oxygen saturation, oxygen delivery index, oxygen consumption index, oxygen extraction ratio, arteriovenous oxygen difference and arterial blood lactate) before and after transfusion. We performed a meta-analysis for each variable for which there were sufficient data to estimate mean differences. We also performed subgroup analyses comparing septic with nonseptic patients.</w:t>
      </w:r>
    </w:p>
    <w:p w14:paraId="55E7CAC4" w14:textId="77777777" w:rsidR="002816B2" w:rsidRDefault="002816B2" w:rsidP="002816B2"/>
    <w:p w14:paraId="385A963F" w14:textId="77777777" w:rsidR="002816B2" w:rsidRDefault="002816B2" w:rsidP="002816B2">
      <w:r>
        <w:t>DATA SYNTHESIS:We retrieved 6,420 studies; 33 met the inclusion criteria, 14 of which were in patients with sepsis. In the meta-analysis, the estimated mean differences and 95% CIs comparing the periods before and after transfusion were -0.0 L/min/m (-0.1 to 0.1 L/min/m) (p = 0.86) for cardiac index; -1.8 beats/min (-3.7 to 0.1 beats/min) (p = 0.06) for heart rate; 96.8 mL/min/m (71.1-122.5 mL/min/m) (p &lt; 0.01) for oxygen delivery index; 2.9% (2.2-3.5%) (p &lt; 0.01) for mixed venous oxygen saturation or central venous oxygen saturation; -3.7% (-4.4% to -3.0%) (p &lt; 0.01) for oxygen extraction ratio; and 4.9 mL/min/m (0.9-9.0 mL/min/m) (p = 0.02) for oxygen consumption index. The estimated mean difference for oxygen consumption index in the patients with sepsis was 8.4 mL/min/m (2.3-14.5 mL/min/m; p = 0.01).</w:t>
      </w:r>
    </w:p>
    <w:p w14:paraId="0642CEF3" w14:textId="77777777" w:rsidR="002816B2" w:rsidRDefault="002816B2" w:rsidP="002816B2"/>
    <w:p w14:paraId="4C09EE82" w14:textId="77777777" w:rsidR="002816B2" w:rsidRDefault="002816B2" w:rsidP="002816B2">
      <w:r>
        <w:t>CONCLUSIONS:Transfusion was not associated with a decrease in mean cardiac output or mean heart rate. The increase in mean oxygen delivery following transfusion was associated with an increase in mean oxygen consumption after transfusion, especially in patients with sepsis.</w:t>
      </w:r>
    </w:p>
    <w:p w14:paraId="340FCDD7" w14:textId="77777777" w:rsidR="002816B2" w:rsidRDefault="002816B2" w:rsidP="002816B2"/>
    <w:p w14:paraId="5D587810" w14:textId="77777777" w:rsidR="002816B2" w:rsidRDefault="002816B2" w:rsidP="002816B2">
      <w:r>
        <w:t>Crit Care Med, 2020 vol. 48 (2) pp. 241-248.</w:t>
      </w:r>
    </w:p>
    <w:p w14:paraId="2602D82E" w14:textId="77777777" w:rsidR="002816B2" w:rsidRDefault="002816B2" w:rsidP="002816B2"/>
    <w:p w14:paraId="562C126F" w14:textId="77777777" w:rsidR="002816B2" w:rsidRDefault="002816B2" w:rsidP="002816B2">
      <w:r>
        <w:t>http://eutils.ncbi.nlm.nih.gov/entrez/eutils/elink.fcgi?dbfrom=pubmed&amp;id=31939794&amp;retmode=ref&amp;cmd=prlinks</w:t>
      </w:r>
    </w:p>
    <w:p w14:paraId="463AB5EB" w14:textId="77777777" w:rsidR="002816B2" w:rsidRDefault="002816B2" w:rsidP="00B07E78"/>
    <w:sectPr w:rsidR="002816B2" w:rsidSect="00133B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1EE"/>
    <w:rsid w:val="000D58C2"/>
    <w:rsid w:val="00133BD1"/>
    <w:rsid w:val="0022400A"/>
    <w:rsid w:val="002816B2"/>
    <w:rsid w:val="002F19AC"/>
    <w:rsid w:val="00344F78"/>
    <w:rsid w:val="00613ED2"/>
    <w:rsid w:val="00785FC3"/>
    <w:rsid w:val="007C21EE"/>
    <w:rsid w:val="00B07E78"/>
    <w:rsid w:val="00F24E5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94EA55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95994">
      <w:bodyDiv w:val="1"/>
      <w:marLeft w:val="0"/>
      <w:marRight w:val="0"/>
      <w:marTop w:val="0"/>
      <w:marBottom w:val="0"/>
      <w:divBdr>
        <w:top w:val="none" w:sz="0" w:space="0" w:color="auto"/>
        <w:left w:val="none" w:sz="0" w:space="0" w:color="auto"/>
        <w:bottom w:val="none" w:sz="0" w:space="0" w:color="auto"/>
        <w:right w:val="none" w:sz="0" w:space="0" w:color="auto"/>
      </w:divBdr>
    </w:div>
    <w:div w:id="17122613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4538</Words>
  <Characters>25868</Characters>
  <Application>Microsoft Macintosh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Coady</dc:creator>
  <cp:keywords/>
  <dc:description/>
  <cp:lastModifiedBy>Michelle Coady</cp:lastModifiedBy>
  <cp:revision>2</cp:revision>
  <dcterms:created xsi:type="dcterms:W3CDTF">2020-02-06T06:07:00Z</dcterms:created>
  <dcterms:modified xsi:type="dcterms:W3CDTF">2020-02-06T06:30:00Z</dcterms:modified>
</cp:coreProperties>
</file>