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27F277" w14:textId="77777777" w:rsidR="00C776B7" w:rsidRPr="00FD0727" w:rsidRDefault="00FD0727">
      <w:pPr>
        <w:pStyle w:val="Heading2"/>
        <w:rPr>
          <w:rFonts w:asciiTheme="majorHAnsi" w:hAnsiTheme="majorHAnsi"/>
          <w:color w:val="000000" w:themeColor="text1"/>
          <w:sz w:val="22"/>
          <w:szCs w:val="22"/>
        </w:rPr>
      </w:pPr>
      <w:r w:rsidRPr="00FD0727">
        <w:rPr>
          <w:rFonts w:asciiTheme="majorHAnsi" w:hAnsiTheme="majorHAnsi"/>
          <w:color w:val="000000" w:themeColor="text1"/>
          <w:sz w:val="22"/>
          <w:szCs w:val="22"/>
        </w:rPr>
        <w:t>Critical Care Medicine 2019</w:t>
      </w:r>
    </w:p>
    <w:p w14:paraId="738D7553" w14:textId="77777777" w:rsidR="00C776B7" w:rsidRPr="00FD0727" w:rsidRDefault="00FD0727">
      <w:pPr>
        <w:pStyle w:val="Heading2"/>
        <w:rPr>
          <w:rFonts w:asciiTheme="majorHAnsi" w:hAnsiTheme="majorHAnsi"/>
          <w:color w:val="000000" w:themeColor="text1"/>
          <w:sz w:val="22"/>
          <w:szCs w:val="22"/>
        </w:rPr>
      </w:pPr>
      <w:r w:rsidRPr="00FD0727">
        <w:rPr>
          <w:rFonts w:asciiTheme="majorHAnsi" w:hAnsiTheme="majorHAnsi"/>
          <w:color w:val="000000" w:themeColor="text1"/>
          <w:sz w:val="22"/>
          <w:szCs w:val="22"/>
        </w:rPr>
        <w:t>CCM 2019; Vol 47; Issue 1-12</w:t>
      </w:r>
    </w:p>
    <w:p w14:paraId="14DAF6E7" w14:textId="77777777" w:rsidR="00FD0727" w:rsidRPr="00FD0727" w:rsidRDefault="00FD0727">
      <w:pPr>
        <w:rPr>
          <w:rFonts w:asciiTheme="majorHAnsi" w:hAnsiTheme="majorHAnsi"/>
          <w:color w:val="000000" w:themeColor="text1"/>
          <w:sz w:val="22"/>
          <w:szCs w:val="22"/>
        </w:rPr>
      </w:pPr>
    </w:p>
    <w:p w14:paraId="2F3EB83D"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142EB81B" w14:textId="77777777" w:rsidR="00C776B7" w:rsidRPr="00FD0727" w:rsidRDefault="00FD0727">
      <w:pPr>
        <w:pStyle w:val="Heading4"/>
        <w:rPr>
          <w:rFonts w:asciiTheme="majorHAnsi" w:hAnsiTheme="majorHAnsi"/>
          <w:b/>
          <w:color w:val="000000" w:themeColor="text1"/>
          <w:sz w:val="22"/>
          <w:szCs w:val="22"/>
        </w:rPr>
      </w:pPr>
      <w:r w:rsidRPr="00FD0727">
        <w:rPr>
          <w:rFonts w:asciiTheme="majorHAnsi" w:hAnsiTheme="majorHAnsi"/>
          <w:b/>
          <w:color w:val="000000" w:themeColor="text1"/>
          <w:sz w:val="22"/>
          <w:szCs w:val="22"/>
        </w:rPr>
        <w:t xml:space="preserve">Association Between Elevated Mean Arterial Blood Pressure and Neurologic Outcome After Resuscitation </w:t>
      </w:r>
      <w:proofErr w:type="gramStart"/>
      <w:r w:rsidRPr="00FD0727">
        <w:rPr>
          <w:rFonts w:asciiTheme="majorHAnsi" w:hAnsiTheme="majorHAnsi"/>
          <w:b/>
          <w:color w:val="000000" w:themeColor="text1"/>
          <w:sz w:val="22"/>
          <w:szCs w:val="22"/>
        </w:rPr>
        <w:t>From</w:t>
      </w:r>
      <w:proofErr w:type="gramEnd"/>
      <w:r w:rsidRPr="00FD0727">
        <w:rPr>
          <w:rFonts w:asciiTheme="majorHAnsi" w:hAnsiTheme="majorHAnsi"/>
          <w:b/>
          <w:color w:val="000000" w:themeColor="text1"/>
          <w:sz w:val="22"/>
          <w:szCs w:val="22"/>
        </w:rPr>
        <w:t xml:space="preserve"> Cardiac Arrest: Results From a Multicenter Prospective Cohort Study.</w:t>
      </w:r>
    </w:p>
    <w:p w14:paraId="5F59A345" w14:textId="77777777" w:rsidR="00C776B7" w:rsidRPr="00FD0727" w:rsidRDefault="00C776B7">
      <w:pPr>
        <w:rPr>
          <w:rFonts w:asciiTheme="majorHAnsi" w:hAnsiTheme="majorHAnsi"/>
          <w:color w:val="000000" w:themeColor="text1"/>
          <w:sz w:val="22"/>
          <w:szCs w:val="22"/>
        </w:rPr>
      </w:pPr>
    </w:p>
    <w:p w14:paraId="0CD98881"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Brian W Roberts, J Hope Kilgannon, Benton R Hunter, Michael A Puskarich, Lisa Shea, Michael Donnino, Christopher Jones, Brian M Fuller, Jeffrey A Kline, Alan E Jones, Nathan I Shapiro, Benjamin S Abella, and Stephen Trzeciak.</w:t>
      </w:r>
    </w:p>
    <w:p w14:paraId="105668B3" w14:textId="77777777" w:rsidR="00C776B7" w:rsidRPr="00FD0727" w:rsidRDefault="00C776B7">
      <w:pPr>
        <w:rPr>
          <w:rFonts w:asciiTheme="majorHAnsi" w:hAnsiTheme="majorHAnsi"/>
          <w:color w:val="000000" w:themeColor="text1"/>
          <w:sz w:val="22"/>
          <w:szCs w:val="22"/>
        </w:rPr>
      </w:pPr>
    </w:p>
    <w:p w14:paraId="5DFB5878"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OBJECTIVES:Laboratory</w:t>
      </w:r>
      <w:proofErr w:type="gramEnd"/>
      <w:r w:rsidRPr="00FD0727">
        <w:rPr>
          <w:rFonts w:asciiTheme="majorHAnsi" w:hAnsiTheme="majorHAnsi"/>
          <w:color w:val="000000" w:themeColor="text1"/>
          <w:sz w:val="22"/>
          <w:szCs w:val="22"/>
        </w:rPr>
        <w:t xml:space="preserve"> studies suggest elevated blood pressure after resuscitation from cardiac arrest may be protective; however, clinical data are limited. We sought to test the hypothesis that elevated postresuscitation mean arterial blood pressure is associated with neurologic outcome.</w:t>
      </w:r>
    </w:p>
    <w:p w14:paraId="0E7DCB57" w14:textId="77777777" w:rsidR="00C776B7" w:rsidRPr="00FD0727" w:rsidRDefault="00C776B7">
      <w:pPr>
        <w:rPr>
          <w:rFonts w:asciiTheme="majorHAnsi" w:hAnsiTheme="majorHAnsi"/>
          <w:color w:val="000000" w:themeColor="text1"/>
          <w:sz w:val="22"/>
          <w:szCs w:val="22"/>
        </w:rPr>
      </w:pPr>
    </w:p>
    <w:p w14:paraId="0AEE709F"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DESIGN:Preplanned</w:t>
      </w:r>
      <w:proofErr w:type="gramEnd"/>
      <w:r w:rsidRPr="00FD0727">
        <w:rPr>
          <w:rFonts w:asciiTheme="majorHAnsi" w:hAnsiTheme="majorHAnsi"/>
          <w:color w:val="000000" w:themeColor="text1"/>
          <w:sz w:val="22"/>
          <w:szCs w:val="22"/>
        </w:rPr>
        <w:t xml:space="preserve"> analysis of a prospective cohort study.</w:t>
      </w:r>
    </w:p>
    <w:p w14:paraId="78633716" w14:textId="77777777" w:rsidR="00C776B7" w:rsidRPr="00FD0727" w:rsidRDefault="00C776B7">
      <w:pPr>
        <w:rPr>
          <w:rFonts w:asciiTheme="majorHAnsi" w:hAnsiTheme="majorHAnsi"/>
          <w:color w:val="000000" w:themeColor="text1"/>
          <w:sz w:val="22"/>
          <w:szCs w:val="22"/>
        </w:rPr>
      </w:pPr>
    </w:p>
    <w:p w14:paraId="11453118"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SETTING:Six</w:t>
      </w:r>
      <w:proofErr w:type="gramEnd"/>
      <w:r w:rsidRPr="00FD0727">
        <w:rPr>
          <w:rFonts w:asciiTheme="majorHAnsi" w:hAnsiTheme="majorHAnsi"/>
          <w:color w:val="000000" w:themeColor="text1"/>
          <w:sz w:val="22"/>
          <w:szCs w:val="22"/>
        </w:rPr>
        <w:t xml:space="preserve"> academic hospitals in the United States.</w:t>
      </w:r>
    </w:p>
    <w:p w14:paraId="267920FD" w14:textId="77777777" w:rsidR="00C776B7" w:rsidRPr="00FD0727" w:rsidRDefault="00C776B7">
      <w:pPr>
        <w:rPr>
          <w:rFonts w:asciiTheme="majorHAnsi" w:hAnsiTheme="majorHAnsi"/>
          <w:color w:val="000000" w:themeColor="text1"/>
          <w:sz w:val="22"/>
          <w:szCs w:val="22"/>
        </w:rPr>
      </w:pPr>
    </w:p>
    <w:p w14:paraId="0FF35764"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PATIENTS:Adult</w:t>
      </w:r>
      <w:proofErr w:type="gramEnd"/>
      <w:r w:rsidRPr="00FD0727">
        <w:rPr>
          <w:rFonts w:asciiTheme="majorHAnsi" w:hAnsiTheme="majorHAnsi"/>
          <w:color w:val="000000" w:themeColor="text1"/>
          <w:sz w:val="22"/>
          <w:szCs w:val="22"/>
        </w:rPr>
        <w:t>, nontraumatic cardiac arrest patients treated with targeted temperature management after return of spontaneous circulation.</w:t>
      </w:r>
    </w:p>
    <w:p w14:paraId="056C43C4" w14:textId="77777777" w:rsidR="00C776B7" w:rsidRPr="00FD0727" w:rsidRDefault="00C776B7">
      <w:pPr>
        <w:rPr>
          <w:rFonts w:asciiTheme="majorHAnsi" w:hAnsiTheme="majorHAnsi"/>
          <w:color w:val="000000" w:themeColor="text1"/>
          <w:sz w:val="22"/>
          <w:szCs w:val="22"/>
        </w:rPr>
      </w:pPr>
    </w:p>
    <w:p w14:paraId="25705EAB"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INTERVENTIONS:Mean</w:t>
      </w:r>
      <w:proofErr w:type="gramEnd"/>
      <w:r w:rsidRPr="00FD0727">
        <w:rPr>
          <w:rFonts w:asciiTheme="majorHAnsi" w:hAnsiTheme="majorHAnsi"/>
          <w:color w:val="000000" w:themeColor="text1"/>
          <w:sz w:val="22"/>
          <w:szCs w:val="22"/>
        </w:rPr>
        <w:t xml:space="preserve"> arterial blood pressure was measured noninvasively after return of spontaneous circulation and every hour during the initial 6 hours after return of spontaneous circulation.</w:t>
      </w:r>
    </w:p>
    <w:p w14:paraId="62EC7CE4" w14:textId="77777777" w:rsidR="00C776B7" w:rsidRPr="00FD0727" w:rsidRDefault="00C776B7">
      <w:pPr>
        <w:rPr>
          <w:rFonts w:asciiTheme="majorHAnsi" w:hAnsiTheme="majorHAnsi"/>
          <w:color w:val="000000" w:themeColor="text1"/>
          <w:sz w:val="22"/>
          <w:szCs w:val="22"/>
        </w:rPr>
      </w:pPr>
    </w:p>
    <w:p w14:paraId="25802E91"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MEASURES AND MAIN </w:t>
      </w:r>
      <w:proofErr w:type="gramStart"/>
      <w:r w:rsidRPr="00FD0727">
        <w:rPr>
          <w:rFonts w:asciiTheme="majorHAnsi" w:hAnsiTheme="majorHAnsi"/>
          <w:color w:val="000000" w:themeColor="text1"/>
          <w:sz w:val="22"/>
          <w:szCs w:val="22"/>
        </w:rPr>
        <w:t>RESULTS:We</w:t>
      </w:r>
      <w:proofErr w:type="gramEnd"/>
      <w:r w:rsidRPr="00FD0727">
        <w:rPr>
          <w:rFonts w:asciiTheme="majorHAnsi" w:hAnsiTheme="majorHAnsi"/>
          <w:color w:val="000000" w:themeColor="text1"/>
          <w:sz w:val="22"/>
          <w:szCs w:val="22"/>
        </w:rPr>
        <w:t xml:space="preserve"> calculated the mean arterial blood pressure and a priori dichotomized subjects into two groups: mean arterial blood pressure 70-90 and greater than 90 mm Hg. The primary outcome was good neurologic function, defined as a modified Rankin Scale less than or equal to 3. The modified Rankin Scale was prospectively determined at hospital discharge. Of the 269 patients included, 159 (59%) had a mean arterial blood pressure greater than 90 mm Hg. Good neurologic function at hospital discharge occurred in 30% of patients in the entire cohort and was significantly higher in patients with a mean arterial blood pressure greater than 90 mm Hg (42%) as compared with mean arterial blood pressure 70-90 mm Hg (15%) (absolute risk difference, 27%; 95% CI, 17-37%). In a multivariable Poisson regression model adjusting for potential confounders, mean arterial blood pressure greater than 90 mm Hg was associated with good neurologic function (adjusted relative risk, 2.46; 95% CI; 2.09-2.88). Over ascending ranges of mean arterial blood pressure, there was a dose-response increase in probability of good neurologic outcome, with mean arterial blood pressure greater than 110 mm Hg having the strongest association (adjusted relative risk, 2.97; 95% CI, 1.86-4.76).</w:t>
      </w:r>
    </w:p>
    <w:p w14:paraId="41872E31" w14:textId="77777777" w:rsidR="00C776B7" w:rsidRPr="00FD0727" w:rsidRDefault="00C776B7">
      <w:pPr>
        <w:rPr>
          <w:rFonts w:asciiTheme="majorHAnsi" w:hAnsiTheme="majorHAnsi"/>
          <w:color w:val="000000" w:themeColor="text1"/>
          <w:sz w:val="22"/>
          <w:szCs w:val="22"/>
        </w:rPr>
      </w:pPr>
    </w:p>
    <w:p w14:paraId="7A03EC82"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CONCLUSIONS:Elevated</w:t>
      </w:r>
      <w:proofErr w:type="gramEnd"/>
      <w:r w:rsidRPr="00FD0727">
        <w:rPr>
          <w:rFonts w:asciiTheme="majorHAnsi" w:hAnsiTheme="majorHAnsi"/>
          <w:color w:val="000000" w:themeColor="text1"/>
          <w:sz w:val="22"/>
          <w:szCs w:val="22"/>
        </w:rPr>
        <w:t xml:space="preserve"> blood pressure during the initial 6 hours after resuscitation from cardiac arrest was independently associated with good neurologic function at hospital discharge. Further investigation is warranted to determine if targeting an elevated mean arterial blood pressure would improve neurologic outcome after cardiac arrest.</w:t>
      </w:r>
    </w:p>
    <w:p w14:paraId="039527D9" w14:textId="77777777" w:rsidR="00C776B7" w:rsidRPr="00FD0727" w:rsidRDefault="00C776B7">
      <w:pPr>
        <w:rPr>
          <w:rFonts w:asciiTheme="majorHAnsi" w:hAnsiTheme="majorHAnsi"/>
          <w:color w:val="000000" w:themeColor="text1"/>
          <w:sz w:val="22"/>
          <w:szCs w:val="22"/>
        </w:rPr>
      </w:pPr>
    </w:p>
    <w:p w14:paraId="0C26639C"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Critical Care Medicine, 2019 vol. 47 (1) pp. 93-100.</w:t>
      </w:r>
    </w:p>
    <w:p w14:paraId="37C81EDB" w14:textId="77777777" w:rsidR="00C776B7" w:rsidRPr="00FD0727" w:rsidRDefault="00FD0727">
      <w:pPr>
        <w:rPr>
          <w:rFonts w:asciiTheme="majorHAnsi" w:hAnsiTheme="majorHAnsi"/>
          <w:color w:val="000000" w:themeColor="text1"/>
          <w:sz w:val="22"/>
          <w:szCs w:val="22"/>
        </w:rPr>
      </w:pPr>
      <w:hyperlink r:id="rId4" w:history="1">
        <w:r w:rsidRPr="00FD0727">
          <w:rPr>
            <w:rStyle w:val="Hyperlink"/>
            <w:rFonts w:asciiTheme="majorHAnsi" w:hAnsiTheme="majorHAnsi"/>
            <w:color w:val="000000" w:themeColor="text1"/>
            <w:sz w:val="22"/>
            <w:szCs w:val="22"/>
          </w:rPr>
          <w:t>http://eutils.ncbi.nlm.nih.gov/entrez/eutils/elink.fcgi?dbfrom=pubmed&amp;id=30303836&amp;retmode=ref&amp;cmd=prlinks</w:t>
        </w:r>
      </w:hyperlink>
    </w:p>
    <w:p w14:paraId="13548078"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lastRenderedPageBreak/>
        <w:t>————————</w:t>
      </w:r>
    </w:p>
    <w:p w14:paraId="2BD124F5" w14:textId="77777777" w:rsidR="00C776B7" w:rsidRPr="00FD0727" w:rsidRDefault="00FD0727">
      <w:pPr>
        <w:pStyle w:val="Heading4"/>
        <w:rPr>
          <w:rFonts w:asciiTheme="majorHAnsi" w:hAnsiTheme="majorHAnsi"/>
          <w:b/>
          <w:color w:val="000000" w:themeColor="text1"/>
          <w:sz w:val="22"/>
          <w:szCs w:val="22"/>
        </w:rPr>
      </w:pPr>
      <w:r w:rsidRPr="00FD0727">
        <w:rPr>
          <w:rFonts w:asciiTheme="majorHAnsi" w:hAnsiTheme="majorHAnsi"/>
          <w:b/>
          <w:color w:val="000000" w:themeColor="text1"/>
          <w:sz w:val="22"/>
          <w:szCs w:val="22"/>
        </w:rPr>
        <w:t>Caring for Critically Ill Patients with the ABCDEF Bundle: Results of the ICU Liberation Collaborative in Over 15,000 Adults.</w:t>
      </w:r>
    </w:p>
    <w:p w14:paraId="118388AC" w14:textId="77777777" w:rsidR="00C776B7" w:rsidRPr="00FD0727" w:rsidRDefault="00C776B7">
      <w:pPr>
        <w:rPr>
          <w:rFonts w:asciiTheme="majorHAnsi" w:hAnsiTheme="majorHAnsi"/>
          <w:color w:val="000000" w:themeColor="text1"/>
          <w:sz w:val="22"/>
          <w:szCs w:val="22"/>
        </w:rPr>
      </w:pPr>
    </w:p>
    <w:p w14:paraId="7E1EF4C3"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Brenda T Pun, Michele C Balas, Mary Ann Barnes-Daly, Jennifer L Thompson, J Matthew Aldrich, Juliana Barr, Diane Byrum, Shannon S Carson, John W Devlin, Heidi J Engel, Cheryl L Esbrook, Ken D Hargett, Lori Harmon, Christina Hielsberg, James C Jackson, Tamra L Kelly, Vishakha Kumar, Lawson Millner, Alexandra Morse, Christiane S Perme, Patricia J Posa, Kathleen A Puntillo, William D Schweickert, Joanna L Stollings, Alai Tan, Lucy D’Agostino McGowan, and E Wesley Ely.</w:t>
      </w:r>
    </w:p>
    <w:p w14:paraId="04A0EB95" w14:textId="77777777" w:rsidR="00C776B7" w:rsidRPr="00FD0727" w:rsidRDefault="00C776B7">
      <w:pPr>
        <w:rPr>
          <w:rFonts w:asciiTheme="majorHAnsi" w:hAnsiTheme="majorHAnsi"/>
          <w:color w:val="000000" w:themeColor="text1"/>
          <w:sz w:val="22"/>
          <w:szCs w:val="22"/>
        </w:rPr>
      </w:pPr>
    </w:p>
    <w:p w14:paraId="2C7A67A8"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OBJECTIVE:Decades</w:t>
      </w:r>
      <w:proofErr w:type="gramEnd"/>
      <w:r w:rsidRPr="00FD0727">
        <w:rPr>
          <w:rFonts w:asciiTheme="majorHAnsi" w:hAnsiTheme="majorHAnsi"/>
          <w:color w:val="000000" w:themeColor="text1"/>
          <w:sz w:val="22"/>
          <w:szCs w:val="22"/>
        </w:rPr>
        <w:t>-old, common ICU practices including deep sedation, immobilization, and limited family access are being challenged. We endeavoured to evaluate the relationship between ABCDEF bundle performance and patient-centered outcomes in critical care.</w:t>
      </w:r>
    </w:p>
    <w:p w14:paraId="6EE7582B" w14:textId="77777777" w:rsidR="00C776B7" w:rsidRPr="00FD0727" w:rsidRDefault="00C776B7">
      <w:pPr>
        <w:rPr>
          <w:rFonts w:asciiTheme="majorHAnsi" w:hAnsiTheme="majorHAnsi"/>
          <w:color w:val="000000" w:themeColor="text1"/>
          <w:sz w:val="22"/>
          <w:szCs w:val="22"/>
        </w:rPr>
      </w:pPr>
    </w:p>
    <w:p w14:paraId="3C2E560B"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DESIGN:Prospective</w:t>
      </w:r>
      <w:proofErr w:type="gramEnd"/>
      <w:r w:rsidRPr="00FD0727">
        <w:rPr>
          <w:rFonts w:asciiTheme="majorHAnsi" w:hAnsiTheme="majorHAnsi"/>
          <w:color w:val="000000" w:themeColor="text1"/>
          <w:sz w:val="22"/>
          <w:szCs w:val="22"/>
        </w:rPr>
        <w:t>, multicenter, cohort study from a national quality improvement collaborative.</w:t>
      </w:r>
    </w:p>
    <w:p w14:paraId="58A7B78A" w14:textId="77777777" w:rsidR="00C776B7" w:rsidRPr="00FD0727" w:rsidRDefault="00C776B7">
      <w:pPr>
        <w:rPr>
          <w:rFonts w:asciiTheme="majorHAnsi" w:hAnsiTheme="majorHAnsi"/>
          <w:color w:val="000000" w:themeColor="text1"/>
          <w:sz w:val="22"/>
          <w:szCs w:val="22"/>
        </w:rPr>
      </w:pPr>
    </w:p>
    <w:p w14:paraId="35391747"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SETTING:68 academic, community, and federal ICUs collected data during a 20-month period.</w:t>
      </w:r>
    </w:p>
    <w:p w14:paraId="6A3ED914" w14:textId="77777777" w:rsidR="00C776B7" w:rsidRPr="00FD0727" w:rsidRDefault="00C776B7">
      <w:pPr>
        <w:rPr>
          <w:rFonts w:asciiTheme="majorHAnsi" w:hAnsiTheme="majorHAnsi"/>
          <w:color w:val="000000" w:themeColor="text1"/>
          <w:sz w:val="22"/>
          <w:szCs w:val="22"/>
        </w:rPr>
      </w:pPr>
    </w:p>
    <w:p w14:paraId="081ACFC0"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PATIENTS:15,226</w:t>
      </w:r>
      <w:proofErr w:type="gramEnd"/>
      <w:r w:rsidRPr="00FD0727">
        <w:rPr>
          <w:rFonts w:asciiTheme="majorHAnsi" w:hAnsiTheme="majorHAnsi"/>
          <w:color w:val="000000" w:themeColor="text1"/>
          <w:sz w:val="22"/>
          <w:szCs w:val="22"/>
        </w:rPr>
        <w:t xml:space="preserve"> adults with at least one ICU day.</w:t>
      </w:r>
    </w:p>
    <w:p w14:paraId="07A0B96B" w14:textId="77777777" w:rsidR="00C776B7" w:rsidRPr="00FD0727" w:rsidRDefault="00C776B7">
      <w:pPr>
        <w:rPr>
          <w:rFonts w:asciiTheme="majorHAnsi" w:hAnsiTheme="majorHAnsi"/>
          <w:color w:val="000000" w:themeColor="text1"/>
          <w:sz w:val="22"/>
          <w:szCs w:val="22"/>
        </w:rPr>
      </w:pPr>
    </w:p>
    <w:p w14:paraId="3BF5E7FB"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INTERVENTIONS:We</w:t>
      </w:r>
      <w:proofErr w:type="gramEnd"/>
      <w:r w:rsidRPr="00FD0727">
        <w:rPr>
          <w:rFonts w:asciiTheme="majorHAnsi" w:hAnsiTheme="majorHAnsi"/>
          <w:color w:val="000000" w:themeColor="text1"/>
          <w:sz w:val="22"/>
          <w:szCs w:val="22"/>
        </w:rPr>
        <w:t xml:space="preserve"> defined ABCDEF bundle performance (our main exposure) in two ways: 1) complete performance (patient received every eligible bundle element on any given day) and 2) proportional performance (percentage of eligible bundle elements performed on any given day). We explored the association between complete and proportional ABCDEF bundle performance and three sets of outcomes: patient-related (mortality, ICU and hospital discharge), symptom-related (mechanical ventilation, coma, delirium, pain, restraint use), and system-related (ICU readmission, discharge destination). All models were adjusted for a minimum of 18 a priori determined potential confounders.</w:t>
      </w:r>
    </w:p>
    <w:p w14:paraId="63D1652B" w14:textId="77777777" w:rsidR="00C776B7" w:rsidRPr="00FD0727" w:rsidRDefault="00C776B7">
      <w:pPr>
        <w:rPr>
          <w:rFonts w:asciiTheme="majorHAnsi" w:hAnsiTheme="majorHAnsi"/>
          <w:color w:val="000000" w:themeColor="text1"/>
          <w:sz w:val="22"/>
          <w:szCs w:val="22"/>
        </w:rPr>
      </w:pPr>
    </w:p>
    <w:p w14:paraId="73230C6B"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MEASUREMENTS AND RESULTS:Complete ABCDEF bundle performance was associated with lower likelihood of seven outcomes: hospital death within 7 days (adjusted hazard ratio, 0.32; CI, 0.17-0.62), next-day mechanical ventilation (adjusted odds ratio [AOR], 0.28; CI, 0.22-0.36), coma (AOR, 0.35; CI, 0.22-0.56), delirium (AOR, 0.60; CI, 0.49-0.72), physical restraint use (AOR, 0.37; CI, 0.30-0.46), ICU readmission (AOR, 0.54; CI, 0.37-0.79), and discharge to a facility other than home (AOR, 0.64; CI, 0.51-0.80). There was a consistent dose-response relationship between higher proportional bundle performance and improvements in each of the above-mentioned clinical outcomes (all p &lt; 0.002). Significant pain was more frequently reported as bundle performance proportionally increased (p = 0.0001).</w:t>
      </w:r>
    </w:p>
    <w:p w14:paraId="22A050FF" w14:textId="77777777" w:rsidR="00C776B7" w:rsidRPr="00FD0727" w:rsidRDefault="00C776B7">
      <w:pPr>
        <w:rPr>
          <w:rFonts w:asciiTheme="majorHAnsi" w:hAnsiTheme="majorHAnsi"/>
          <w:color w:val="000000" w:themeColor="text1"/>
          <w:sz w:val="22"/>
          <w:szCs w:val="22"/>
        </w:rPr>
      </w:pPr>
    </w:p>
    <w:p w14:paraId="7B4FFE4E"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CONCLUSIONS:ABCDEF</w:t>
      </w:r>
      <w:proofErr w:type="gramEnd"/>
      <w:r w:rsidRPr="00FD0727">
        <w:rPr>
          <w:rFonts w:asciiTheme="majorHAnsi" w:hAnsiTheme="majorHAnsi"/>
          <w:color w:val="000000" w:themeColor="text1"/>
          <w:sz w:val="22"/>
          <w:szCs w:val="22"/>
        </w:rPr>
        <w:t xml:space="preserve"> bundle performance showed significant and clinically meaningful improvements in outcomes including survival, mechanical ventilation use, coma, delirium, restraint-free care, ICU readmissions, and post-ICU discharge disposition.</w:t>
      </w:r>
    </w:p>
    <w:p w14:paraId="46DBF4F7" w14:textId="77777777" w:rsidR="00C776B7" w:rsidRPr="00FD0727" w:rsidRDefault="00C776B7">
      <w:pPr>
        <w:rPr>
          <w:rFonts w:asciiTheme="majorHAnsi" w:hAnsiTheme="majorHAnsi"/>
          <w:color w:val="000000" w:themeColor="text1"/>
          <w:sz w:val="22"/>
          <w:szCs w:val="22"/>
        </w:rPr>
      </w:pPr>
    </w:p>
    <w:p w14:paraId="7F5180AB"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Critical Care Medicine, 2019 vol. 47 (1) pp. 3-14.</w:t>
      </w:r>
    </w:p>
    <w:p w14:paraId="74C21143" w14:textId="77777777" w:rsidR="00C776B7" w:rsidRDefault="00FD0727">
      <w:pPr>
        <w:rPr>
          <w:rStyle w:val="Hyperlink"/>
          <w:rFonts w:asciiTheme="majorHAnsi" w:hAnsiTheme="majorHAnsi"/>
          <w:color w:val="000000" w:themeColor="text1"/>
          <w:sz w:val="22"/>
          <w:szCs w:val="22"/>
        </w:rPr>
      </w:pPr>
      <w:hyperlink r:id="rId5" w:history="1">
        <w:r w:rsidRPr="00FD0727">
          <w:rPr>
            <w:rStyle w:val="Hyperlink"/>
            <w:rFonts w:asciiTheme="majorHAnsi" w:hAnsiTheme="majorHAnsi"/>
            <w:color w:val="000000" w:themeColor="text1"/>
            <w:sz w:val="22"/>
            <w:szCs w:val="22"/>
          </w:rPr>
          <w:t>http://eutils.ncbi.nlm.nih.gov/entrez/eutils/elink.fcgi?dbfrom=pubmed&amp;id=30339549&amp;retmode=ref&amp;cmd=prlinks</w:t>
        </w:r>
      </w:hyperlink>
    </w:p>
    <w:p w14:paraId="541D1BF8" w14:textId="77777777" w:rsidR="00FD0727" w:rsidRPr="00FD0727" w:rsidRDefault="00FD0727">
      <w:pPr>
        <w:rPr>
          <w:rFonts w:asciiTheme="majorHAnsi" w:hAnsiTheme="majorHAnsi"/>
          <w:color w:val="000000" w:themeColor="text1"/>
          <w:sz w:val="22"/>
          <w:szCs w:val="22"/>
        </w:rPr>
      </w:pPr>
    </w:p>
    <w:p w14:paraId="7BC6D0D5"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1546701F" w14:textId="77777777" w:rsidR="00C776B7" w:rsidRPr="00217852" w:rsidRDefault="00FD0727">
      <w:pPr>
        <w:pStyle w:val="Heading4"/>
        <w:rPr>
          <w:rFonts w:asciiTheme="majorHAnsi" w:hAnsiTheme="majorHAnsi"/>
          <w:b/>
          <w:color w:val="000000" w:themeColor="text1"/>
          <w:sz w:val="22"/>
          <w:szCs w:val="22"/>
        </w:rPr>
      </w:pPr>
      <w:r w:rsidRPr="00217852">
        <w:rPr>
          <w:rFonts w:asciiTheme="majorHAnsi" w:hAnsiTheme="majorHAnsi"/>
          <w:b/>
          <w:color w:val="000000" w:themeColor="text1"/>
          <w:sz w:val="22"/>
          <w:szCs w:val="22"/>
        </w:rPr>
        <w:lastRenderedPageBreak/>
        <w:t xml:space="preserve">Combination of High-Calorie Delivery and Organ Failure Increases Mortality Among Patients </w:t>
      </w:r>
      <w:proofErr w:type="gramStart"/>
      <w:r w:rsidRPr="00217852">
        <w:rPr>
          <w:rFonts w:asciiTheme="majorHAnsi" w:hAnsiTheme="majorHAnsi"/>
          <w:b/>
          <w:color w:val="000000" w:themeColor="text1"/>
          <w:sz w:val="22"/>
          <w:szCs w:val="22"/>
        </w:rPr>
        <w:t>With</w:t>
      </w:r>
      <w:proofErr w:type="gramEnd"/>
      <w:r w:rsidRPr="00217852">
        <w:rPr>
          <w:rFonts w:asciiTheme="majorHAnsi" w:hAnsiTheme="majorHAnsi"/>
          <w:b/>
          <w:color w:val="000000" w:themeColor="text1"/>
          <w:sz w:val="22"/>
          <w:szCs w:val="22"/>
        </w:rPr>
        <w:t xml:space="preserve"> Acute Respiratory Distress Syndrome.</w:t>
      </w:r>
    </w:p>
    <w:p w14:paraId="4A4808BD" w14:textId="77777777" w:rsidR="00C776B7" w:rsidRPr="00FD0727" w:rsidRDefault="00C776B7">
      <w:pPr>
        <w:rPr>
          <w:rFonts w:asciiTheme="majorHAnsi" w:hAnsiTheme="majorHAnsi"/>
          <w:color w:val="000000" w:themeColor="text1"/>
          <w:sz w:val="22"/>
          <w:szCs w:val="22"/>
        </w:rPr>
      </w:pPr>
    </w:p>
    <w:p w14:paraId="48840C55"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Sarah J Peterson, Liam McKeever, Omar B Lateef, Sally Freels, Giamila Fantuzzi, and Carol </w:t>
      </w:r>
      <w:proofErr w:type="gramStart"/>
      <w:r w:rsidRPr="00FD0727">
        <w:rPr>
          <w:rFonts w:asciiTheme="majorHAnsi" w:hAnsiTheme="majorHAnsi"/>
          <w:color w:val="000000" w:themeColor="text1"/>
          <w:sz w:val="22"/>
          <w:szCs w:val="22"/>
        </w:rPr>
        <w:t>A</w:t>
      </w:r>
      <w:proofErr w:type="gramEnd"/>
      <w:r w:rsidRPr="00FD0727">
        <w:rPr>
          <w:rFonts w:asciiTheme="majorHAnsi" w:hAnsiTheme="majorHAnsi"/>
          <w:color w:val="000000" w:themeColor="text1"/>
          <w:sz w:val="22"/>
          <w:szCs w:val="22"/>
        </w:rPr>
        <w:t xml:space="preserve"> Braunschweig.</w:t>
      </w:r>
    </w:p>
    <w:p w14:paraId="0CD9F246" w14:textId="77777777" w:rsidR="00C776B7" w:rsidRPr="00FD0727" w:rsidRDefault="00C776B7">
      <w:pPr>
        <w:rPr>
          <w:rFonts w:asciiTheme="majorHAnsi" w:hAnsiTheme="majorHAnsi"/>
          <w:color w:val="000000" w:themeColor="text1"/>
          <w:sz w:val="22"/>
          <w:szCs w:val="22"/>
        </w:rPr>
      </w:pPr>
    </w:p>
    <w:p w14:paraId="20300F4B"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OBJECTIVES:Among</w:t>
      </w:r>
      <w:proofErr w:type="gramEnd"/>
      <w:r w:rsidRPr="00FD0727">
        <w:rPr>
          <w:rFonts w:asciiTheme="majorHAnsi" w:hAnsiTheme="majorHAnsi"/>
          <w:color w:val="000000" w:themeColor="text1"/>
          <w:sz w:val="22"/>
          <w:szCs w:val="22"/>
        </w:rPr>
        <w:t xml:space="preserve"> critically ill patients, the benefits of nutrition support may vary depending on severity of organ dysfunction. The objective of the current article was to explore the relationship between organ failure and calories exposure with hospital mortality during the first week of acute respiratory distress syndrome.</w:t>
      </w:r>
    </w:p>
    <w:p w14:paraId="6EC77BFF" w14:textId="77777777" w:rsidR="00C776B7" w:rsidRPr="00FD0727" w:rsidRDefault="00C776B7">
      <w:pPr>
        <w:rPr>
          <w:rFonts w:asciiTheme="majorHAnsi" w:hAnsiTheme="majorHAnsi"/>
          <w:color w:val="000000" w:themeColor="text1"/>
          <w:sz w:val="22"/>
          <w:szCs w:val="22"/>
        </w:rPr>
      </w:pPr>
    </w:p>
    <w:p w14:paraId="75ECD7F9"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DESIGN:Retrospective</w:t>
      </w:r>
      <w:proofErr w:type="gramEnd"/>
      <w:r w:rsidRPr="00FD0727">
        <w:rPr>
          <w:rFonts w:asciiTheme="majorHAnsi" w:hAnsiTheme="majorHAnsi"/>
          <w:color w:val="000000" w:themeColor="text1"/>
          <w:sz w:val="22"/>
          <w:szCs w:val="22"/>
        </w:rPr>
        <w:t xml:space="preserve"> observational study.</w:t>
      </w:r>
    </w:p>
    <w:p w14:paraId="1A2672DB" w14:textId="77777777" w:rsidR="00C776B7" w:rsidRPr="00FD0727" w:rsidRDefault="00C776B7">
      <w:pPr>
        <w:rPr>
          <w:rFonts w:asciiTheme="majorHAnsi" w:hAnsiTheme="majorHAnsi"/>
          <w:color w:val="000000" w:themeColor="text1"/>
          <w:sz w:val="22"/>
          <w:szCs w:val="22"/>
        </w:rPr>
      </w:pPr>
    </w:p>
    <w:p w14:paraId="5010F7BA"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SETTING:Single</w:t>
      </w:r>
      <w:proofErr w:type="gramEnd"/>
      <w:r w:rsidRPr="00FD0727">
        <w:rPr>
          <w:rFonts w:asciiTheme="majorHAnsi" w:hAnsiTheme="majorHAnsi"/>
          <w:color w:val="000000" w:themeColor="text1"/>
          <w:sz w:val="22"/>
          <w:szCs w:val="22"/>
        </w:rPr>
        <w:t>-center ICU.</w:t>
      </w:r>
    </w:p>
    <w:p w14:paraId="35FC6EF1" w14:textId="77777777" w:rsidR="00C776B7" w:rsidRPr="00FD0727" w:rsidRDefault="00C776B7">
      <w:pPr>
        <w:rPr>
          <w:rFonts w:asciiTheme="majorHAnsi" w:hAnsiTheme="majorHAnsi"/>
          <w:color w:val="000000" w:themeColor="text1"/>
          <w:sz w:val="22"/>
          <w:szCs w:val="22"/>
        </w:rPr>
      </w:pPr>
    </w:p>
    <w:p w14:paraId="3038DB42"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PATIENTS:Adults</w:t>
      </w:r>
      <w:proofErr w:type="gramEnd"/>
      <w:r w:rsidRPr="00FD0727">
        <w:rPr>
          <w:rFonts w:asciiTheme="majorHAnsi" w:hAnsiTheme="majorHAnsi"/>
          <w:color w:val="000000" w:themeColor="text1"/>
          <w:sz w:val="22"/>
          <w:szCs w:val="22"/>
        </w:rPr>
        <w:t xml:space="preserve"> admitted to the ICU with a diagnosis of acute respiratory distress syndrome.</w:t>
      </w:r>
    </w:p>
    <w:p w14:paraId="1040464D" w14:textId="77777777" w:rsidR="00C776B7" w:rsidRPr="00FD0727" w:rsidRDefault="00C776B7">
      <w:pPr>
        <w:rPr>
          <w:rFonts w:asciiTheme="majorHAnsi" w:hAnsiTheme="majorHAnsi"/>
          <w:color w:val="000000" w:themeColor="text1"/>
          <w:sz w:val="22"/>
          <w:szCs w:val="22"/>
        </w:rPr>
      </w:pPr>
    </w:p>
    <w:p w14:paraId="0CD5AADA"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INTERVENTIONS:Calorie</w:t>
      </w:r>
      <w:proofErr w:type="gramEnd"/>
      <w:r w:rsidRPr="00FD0727">
        <w:rPr>
          <w:rFonts w:asciiTheme="majorHAnsi" w:hAnsiTheme="majorHAnsi"/>
          <w:color w:val="000000" w:themeColor="text1"/>
          <w:sz w:val="22"/>
          <w:szCs w:val="22"/>
        </w:rPr>
        <w:t xml:space="preserve"> delivery from enteral nutrition, parenteral nutrition, propofol, and dextrose containing fluids were collected for 7 days following intubation. Sequential Organ Failure Assessment score was calculated at ICU admit and for the same 7 days to describe organ dysfunction; four different Sequential Organ Failure Assessment variables were created 1) Sequential Organ Failure Assessment at ICU admit, 2) average Sequential Organ Failure Assessment for the first 7 days following intubation, 3) the highest Sequential Organ Failure Assessment for the first 7 days following intubation, and 4) change in Sequential Organ Failure Assessment from intubation to 7 days later.</w:t>
      </w:r>
    </w:p>
    <w:p w14:paraId="7C082D7B" w14:textId="77777777" w:rsidR="00C776B7" w:rsidRPr="00FD0727" w:rsidRDefault="00C776B7">
      <w:pPr>
        <w:rPr>
          <w:rFonts w:asciiTheme="majorHAnsi" w:hAnsiTheme="majorHAnsi"/>
          <w:color w:val="000000" w:themeColor="text1"/>
          <w:sz w:val="22"/>
          <w:szCs w:val="22"/>
        </w:rPr>
      </w:pPr>
    </w:p>
    <w:p w14:paraId="60C5C20A"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MEASUREMENTS AND MAIN </w:t>
      </w:r>
      <w:proofErr w:type="gramStart"/>
      <w:r w:rsidRPr="00FD0727">
        <w:rPr>
          <w:rFonts w:asciiTheme="majorHAnsi" w:hAnsiTheme="majorHAnsi"/>
          <w:color w:val="000000" w:themeColor="text1"/>
          <w:sz w:val="22"/>
          <w:szCs w:val="22"/>
        </w:rPr>
        <w:t>RESULTS:A</w:t>
      </w:r>
      <w:proofErr w:type="gramEnd"/>
      <w:r w:rsidRPr="00FD0727">
        <w:rPr>
          <w:rFonts w:asciiTheme="majorHAnsi" w:hAnsiTheme="majorHAnsi"/>
          <w:color w:val="000000" w:themeColor="text1"/>
          <w:sz w:val="22"/>
          <w:szCs w:val="22"/>
        </w:rPr>
        <w:t xml:space="preserve"> total of 298 patients were included. Sequential Organ Failure Assessment at ICU admit, average Sequential Organ Failure Assessment for the first 7 days following intubation, highest Sequential Organ Failure Assessment for the first 7 days following intubation, change in Sequential Organ Failure Assessment from intubation to 7 days later, and calorie delivery the first 7 days following intubation were all associated with increased likelihood of mortality. Compared with patients with low organ failure and low-calorie delivery, those with high-calorie delivery and low organ failure, low-calorie delivery and high organ failure, and the combination of both high organ failure with high-calorie delivery were associated with an incremental increase in the likelihood or mortality.</w:t>
      </w:r>
    </w:p>
    <w:p w14:paraId="1DB1EB4D" w14:textId="77777777" w:rsidR="00C776B7" w:rsidRPr="00FD0727" w:rsidRDefault="00C776B7">
      <w:pPr>
        <w:rPr>
          <w:rFonts w:asciiTheme="majorHAnsi" w:hAnsiTheme="majorHAnsi"/>
          <w:color w:val="000000" w:themeColor="text1"/>
          <w:sz w:val="22"/>
          <w:szCs w:val="22"/>
        </w:rPr>
      </w:pPr>
    </w:p>
    <w:p w14:paraId="4D9CB181"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CONCLUSIONS:Organ</w:t>
      </w:r>
      <w:proofErr w:type="gramEnd"/>
      <w:r w:rsidRPr="00FD0727">
        <w:rPr>
          <w:rFonts w:asciiTheme="majorHAnsi" w:hAnsiTheme="majorHAnsi"/>
          <w:color w:val="000000" w:themeColor="text1"/>
          <w:sz w:val="22"/>
          <w:szCs w:val="22"/>
        </w:rPr>
        <w:t xml:space="preserve"> failure appears to modify the relationship between calorie exposure and ICU outcome. Additional research is needed to identify appropriate thresholds for safe calorie exposure with increased organ failure.</w:t>
      </w:r>
    </w:p>
    <w:p w14:paraId="0F52751D" w14:textId="77777777" w:rsidR="00C776B7" w:rsidRPr="00FD0727" w:rsidRDefault="00C776B7">
      <w:pPr>
        <w:rPr>
          <w:rFonts w:asciiTheme="majorHAnsi" w:hAnsiTheme="majorHAnsi"/>
          <w:color w:val="000000" w:themeColor="text1"/>
          <w:sz w:val="22"/>
          <w:szCs w:val="22"/>
        </w:rPr>
      </w:pPr>
    </w:p>
    <w:p w14:paraId="69638571"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Critical Care Medicine, 2019 vol. 47 (1) pp. 69-75.</w:t>
      </w:r>
    </w:p>
    <w:p w14:paraId="2A032AD3" w14:textId="77777777" w:rsidR="00C776B7" w:rsidRPr="00FD0727" w:rsidRDefault="00FD0727">
      <w:pPr>
        <w:rPr>
          <w:rStyle w:val="Hyperlink"/>
          <w:rFonts w:asciiTheme="majorHAnsi" w:hAnsiTheme="majorHAnsi"/>
          <w:color w:val="000000" w:themeColor="text1"/>
          <w:sz w:val="22"/>
          <w:szCs w:val="22"/>
        </w:rPr>
      </w:pPr>
      <w:hyperlink r:id="rId6" w:history="1">
        <w:r w:rsidRPr="00FD0727">
          <w:rPr>
            <w:rStyle w:val="Hyperlink"/>
            <w:rFonts w:asciiTheme="majorHAnsi" w:hAnsiTheme="majorHAnsi"/>
            <w:color w:val="000000" w:themeColor="text1"/>
            <w:sz w:val="22"/>
            <w:szCs w:val="22"/>
          </w:rPr>
          <w:t>http://eutils.ncbi.nlm.nih.gov/entrez/eutils/elink.fcgi?dbfrom=pubmed&amp;id=30303837&amp;retmode=ref&amp;cmd=prlinks</w:t>
        </w:r>
      </w:hyperlink>
    </w:p>
    <w:p w14:paraId="568EB445" w14:textId="77777777" w:rsidR="00FD0727" w:rsidRPr="00FD0727" w:rsidRDefault="00FD0727">
      <w:pPr>
        <w:rPr>
          <w:rFonts w:asciiTheme="majorHAnsi" w:hAnsiTheme="majorHAnsi"/>
          <w:color w:val="000000" w:themeColor="text1"/>
          <w:sz w:val="22"/>
          <w:szCs w:val="22"/>
        </w:rPr>
      </w:pPr>
    </w:p>
    <w:p w14:paraId="3BA6B02E"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04C1AAE2" w14:textId="77777777" w:rsidR="00C776B7" w:rsidRPr="00DF181D" w:rsidRDefault="00FD0727">
      <w:pPr>
        <w:pStyle w:val="Heading4"/>
        <w:rPr>
          <w:rFonts w:asciiTheme="majorHAnsi" w:hAnsiTheme="majorHAnsi"/>
          <w:b/>
          <w:color w:val="000000" w:themeColor="text1"/>
          <w:sz w:val="22"/>
          <w:szCs w:val="22"/>
        </w:rPr>
      </w:pPr>
      <w:r w:rsidRPr="00DF181D">
        <w:rPr>
          <w:rFonts w:asciiTheme="majorHAnsi" w:hAnsiTheme="majorHAnsi"/>
          <w:b/>
          <w:color w:val="000000" w:themeColor="text1"/>
          <w:sz w:val="22"/>
          <w:szCs w:val="22"/>
        </w:rPr>
        <w:t xml:space="preserve">Female Physician Leadership During Cardiopulmonary Resuscitation Is Associated </w:t>
      </w:r>
      <w:proofErr w:type="gramStart"/>
      <w:r w:rsidRPr="00DF181D">
        <w:rPr>
          <w:rFonts w:asciiTheme="majorHAnsi" w:hAnsiTheme="majorHAnsi"/>
          <w:b/>
          <w:color w:val="000000" w:themeColor="text1"/>
          <w:sz w:val="22"/>
          <w:szCs w:val="22"/>
        </w:rPr>
        <w:t>With</w:t>
      </w:r>
      <w:proofErr w:type="gramEnd"/>
      <w:r w:rsidRPr="00DF181D">
        <w:rPr>
          <w:rFonts w:asciiTheme="majorHAnsi" w:hAnsiTheme="majorHAnsi"/>
          <w:b/>
          <w:color w:val="000000" w:themeColor="text1"/>
          <w:sz w:val="22"/>
          <w:szCs w:val="22"/>
        </w:rPr>
        <w:t xml:space="preserve"> Improved Patient Outcomes.</w:t>
      </w:r>
    </w:p>
    <w:p w14:paraId="14C54F3C" w14:textId="77777777" w:rsidR="00C776B7" w:rsidRPr="00FD0727" w:rsidRDefault="00C776B7">
      <w:pPr>
        <w:rPr>
          <w:rFonts w:asciiTheme="majorHAnsi" w:hAnsiTheme="majorHAnsi"/>
          <w:color w:val="000000" w:themeColor="text1"/>
          <w:sz w:val="22"/>
          <w:szCs w:val="22"/>
        </w:rPr>
      </w:pPr>
    </w:p>
    <w:p w14:paraId="707D6DF0"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Angela Meier, Jenny Yang, Jinyuan Liu, Jeremy R Beitler, Xin M Tu, Robert L Owens, Radhika L Sundararajan, Atul Malhotra, and Rebecca E Sell.</w:t>
      </w:r>
    </w:p>
    <w:p w14:paraId="16EF726C" w14:textId="77777777" w:rsidR="00C776B7" w:rsidRPr="00FD0727" w:rsidRDefault="00C776B7">
      <w:pPr>
        <w:rPr>
          <w:rFonts w:asciiTheme="majorHAnsi" w:hAnsiTheme="majorHAnsi"/>
          <w:color w:val="000000" w:themeColor="text1"/>
          <w:sz w:val="22"/>
          <w:szCs w:val="22"/>
        </w:rPr>
      </w:pPr>
    </w:p>
    <w:p w14:paraId="7B0551CD"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OBJECTIVES:A</w:t>
      </w:r>
      <w:proofErr w:type="gramEnd"/>
      <w:r w:rsidRPr="00FD0727">
        <w:rPr>
          <w:rFonts w:asciiTheme="majorHAnsi" w:hAnsiTheme="majorHAnsi"/>
          <w:color w:val="000000" w:themeColor="text1"/>
          <w:sz w:val="22"/>
          <w:szCs w:val="22"/>
        </w:rPr>
        <w:t xml:space="preserve"> recently published simulation study suggested that women are inferior leaders of cardiopulmonary resuscitation efforts. The aim of this study was to compare female and male code leaders </w:t>
      </w:r>
      <w:proofErr w:type="gramStart"/>
      <w:r w:rsidRPr="00FD0727">
        <w:rPr>
          <w:rFonts w:asciiTheme="majorHAnsi" w:hAnsiTheme="majorHAnsi"/>
          <w:color w:val="000000" w:themeColor="text1"/>
          <w:sz w:val="22"/>
          <w:szCs w:val="22"/>
        </w:rPr>
        <w:t>in regard to</w:t>
      </w:r>
      <w:proofErr w:type="gramEnd"/>
      <w:r w:rsidRPr="00FD0727">
        <w:rPr>
          <w:rFonts w:asciiTheme="majorHAnsi" w:hAnsiTheme="majorHAnsi"/>
          <w:color w:val="000000" w:themeColor="text1"/>
          <w:sz w:val="22"/>
          <w:szCs w:val="22"/>
        </w:rPr>
        <w:t xml:space="preserve"> cardiopulmonary resuscitation outcomes in a real-world clinical setting.</w:t>
      </w:r>
    </w:p>
    <w:p w14:paraId="16202AFF" w14:textId="77777777" w:rsidR="00C776B7" w:rsidRPr="00FD0727" w:rsidRDefault="00C776B7">
      <w:pPr>
        <w:rPr>
          <w:rFonts w:asciiTheme="majorHAnsi" w:hAnsiTheme="majorHAnsi"/>
          <w:color w:val="000000" w:themeColor="text1"/>
          <w:sz w:val="22"/>
          <w:szCs w:val="22"/>
        </w:rPr>
      </w:pPr>
    </w:p>
    <w:p w14:paraId="6B1E467C"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DESIGN:Retrospective</w:t>
      </w:r>
      <w:proofErr w:type="gramEnd"/>
      <w:r w:rsidRPr="00FD0727">
        <w:rPr>
          <w:rFonts w:asciiTheme="majorHAnsi" w:hAnsiTheme="majorHAnsi"/>
          <w:color w:val="000000" w:themeColor="text1"/>
          <w:sz w:val="22"/>
          <w:szCs w:val="22"/>
        </w:rPr>
        <w:t xml:space="preserve"> cohort review.</w:t>
      </w:r>
    </w:p>
    <w:p w14:paraId="0382F8B0" w14:textId="77777777" w:rsidR="00C776B7" w:rsidRPr="00FD0727" w:rsidRDefault="00C776B7">
      <w:pPr>
        <w:rPr>
          <w:rFonts w:asciiTheme="majorHAnsi" w:hAnsiTheme="majorHAnsi"/>
          <w:color w:val="000000" w:themeColor="text1"/>
          <w:sz w:val="22"/>
          <w:szCs w:val="22"/>
        </w:rPr>
      </w:pPr>
    </w:p>
    <w:p w14:paraId="528B324E"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SETTING:Two</w:t>
      </w:r>
      <w:proofErr w:type="gramEnd"/>
      <w:r w:rsidRPr="00FD0727">
        <w:rPr>
          <w:rFonts w:asciiTheme="majorHAnsi" w:hAnsiTheme="majorHAnsi"/>
          <w:color w:val="000000" w:themeColor="text1"/>
          <w:sz w:val="22"/>
          <w:szCs w:val="22"/>
        </w:rPr>
        <w:t xml:space="preserve"> academic, urban hospitals in San Diego, California.</w:t>
      </w:r>
    </w:p>
    <w:p w14:paraId="4115C748" w14:textId="77777777" w:rsidR="00C776B7" w:rsidRPr="00FD0727" w:rsidRDefault="00C776B7">
      <w:pPr>
        <w:rPr>
          <w:rFonts w:asciiTheme="majorHAnsi" w:hAnsiTheme="majorHAnsi"/>
          <w:color w:val="000000" w:themeColor="text1"/>
          <w:sz w:val="22"/>
          <w:szCs w:val="22"/>
        </w:rPr>
      </w:pPr>
    </w:p>
    <w:p w14:paraId="7B8AF30A"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SUBJECTS:One</w:t>
      </w:r>
      <w:proofErr w:type="gramEnd"/>
      <w:r w:rsidRPr="00FD0727">
        <w:rPr>
          <w:rFonts w:asciiTheme="majorHAnsi" w:hAnsiTheme="majorHAnsi"/>
          <w:color w:val="000000" w:themeColor="text1"/>
          <w:sz w:val="22"/>
          <w:szCs w:val="22"/>
        </w:rPr>
        <w:t>-thousand eighty-two adult inpatients who suffered cardiac arrest and underwent cardiopulmonary resuscitation.</w:t>
      </w:r>
    </w:p>
    <w:p w14:paraId="1C9AB754" w14:textId="77777777" w:rsidR="00C776B7" w:rsidRPr="00FD0727" w:rsidRDefault="00C776B7">
      <w:pPr>
        <w:rPr>
          <w:rFonts w:asciiTheme="majorHAnsi" w:hAnsiTheme="majorHAnsi"/>
          <w:color w:val="000000" w:themeColor="text1"/>
          <w:sz w:val="22"/>
          <w:szCs w:val="22"/>
        </w:rPr>
      </w:pPr>
    </w:p>
    <w:p w14:paraId="7677CC2E"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INTERVENTIONS:None</w:t>
      </w:r>
      <w:proofErr w:type="gramEnd"/>
      <w:r w:rsidRPr="00FD0727">
        <w:rPr>
          <w:rFonts w:asciiTheme="majorHAnsi" w:hAnsiTheme="majorHAnsi"/>
          <w:color w:val="000000" w:themeColor="text1"/>
          <w:sz w:val="22"/>
          <w:szCs w:val="22"/>
        </w:rPr>
        <w:t>.</w:t>
      </w:r>
    </w:p>
    <w:p w14:paraId="6CE10987" w14:textId="77777777" w:rsidR="00C776B7" w:rsidRPr="00FD0727" w:rsidRDefault="00C776B7">
      <w:pPr>
        <w:rPr>
          <w:rFonts w:asciiTheme="majorHAnsi" w:hAnsiTheme="majorHAnsi"/>
          <w:color w:val="000000" w:themeColor="text1"/>
          <w:sz w:val="22"/>
          <w:szCs w:val="22"/>
        </w:rPr>
      </w:pPr>
    </w:p>
    <w:p w14:paraId="103773F6"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MEASUREMENTS AND MAIN </w:t>
      </w:r>
      <w:proofErr w:type="gramStart"/>
      <w:r w:rsidRPr="00FD0727">
        <w:rPr>
          <w:rFonts w:asciiTheme="majorHAnsi" w:hAnsiTheme="majorHAnsi"/>
          <w:color w:val="000000" w:themeColor="text1"/>
          <w:sz w:val="22"/>
          <w:szCs w:val="22"/>
        </w:rPr>
        <w:t>RESULTS:We</w:t>
      </w:r>
      <w:proofErr w:type="gramEnd"/>
      <w:r w:rsidRPr="00FD0727">
        <w:rPr>
          <w:rFonts w:asciiTheme="majorHAnsi" w:hAnsiTheme="majorHAnsi"/>
          <w:color w:val="000000" w:themeColor="text1"/>
          <w:sz w:val="22"/>
          <w:szCs w:val="22"/>
        </w:rPr>
        <w:t xml:space="preserve"> analyzed whether physician code leader gender was independently associated with sustained return of spontaneous circulation and survival to discharge and with markers of quality cardiopulmonary resuscitation. Of all arrests, 327 (30.1%) were run by female physician code leaders with 251 (76.8%) obtaining return of spontaneous circulation, and 122 (37.3%) surviving to discharge. Male physicians ran 757 codes obtaining return of spontaneous circulation in 543 (71.7%) with 226 (29.9%) surviving to discharge. When adjusting for variables, female physician code leader gender was independently associated with a higher likelihood of return of spontaneous circulation (odds ratio, 1.36; 95% CI, 1.01-1.85; p = 0.049) and survival to discharge (odds ratio, 1.53; 95% CI, 1.15-2.02; p &lt; 0.01). Additionally, the odds ratio for survival to discharge was 1.62 (95% CI, 1.13-2.34; p &lt; 0.01) for female physicians with a female code nurse when compared with male physician code leaders paired with a female code nurse. Gender of code leader was not associated with cardiopulmonary resuscitation quality.</w:t>
      </w:r>
    </w:p>
    <w:p w14:paraId="3A6857D8" w14:textId="77777777" w:rsidR="00C776B7" w:rsidRPr="00FD0727" w:rsidRDefault="00C776B7">
      <w:pPr>
        <w:rPr>
          <w:rFonts w:asciiTheme="majorHAnsi" w:hAnsiTheme="majorHAnsi"/>
          <w:color w:val="000000" w:themeColor="text1"/>
          <w:sz w:val="22"/>
          <w:szCs w:val="22"/>
        </w:rPr>
      </w:pPr>
    </w:p>
    <w:p w14:paraId="4FFECB24"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CONCLUSIONS:In</w:t>
      </w:r>
      <w:proofErr w:type="gramEnd"/>
      <w:r w:rsidRPr="00FD0727">
        <w:rPr>
          <w:rFonts w:asciiTheme="majorHAnsi" w:hAnsiTheme="majorHAnsi"/>
          <w:color w:val="000000" w:themeColor="text1"/>
          <w:sz w:val="22"/>
          <w:szCs w:val="22"/>
        </w:rPr>
        <w:t xml:space="preserve"> contrast to data derived from a simulated setting with medical students, real life female physician leadership of cardiopulmonary resuscitation is not associated with inferior outcomes. Appropriately, trained physicians can lead high-quality cardiopulmonary resuscitation irrespective of gender.</w:t>
      </w:r>
    </w:p>
    <w:p w14:paraId="7CC3FD77" w14:textId="77777777" w:rsidR="00C776B7" w:rsidRPr="00FD0727" w:rsidRDefault="00C776B7">
      <w:pPr>
        <w:rPr>
          <w:rFonts w:asciiTheme="majorHAnsi" w:hAnsiTheme="majorHAnsi"/>
          <w:color w:val="000000" w:themeColor="text1"/>
          <w:sz w:val="22"/>
          <w:szCs w:val="22"/>
        </w:rPr>
      </w:pPr>
    </w:p>
    <w:p w14:paraId="05DFB2D3"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Critical Care Medicine, 2019 vol. 47 (1) pp. e8-e13.</w:t>
      </w:r>
    </w:p>
    <w:p w14:paraId="71DBEE0A" w14:textId="77777777" w:rsidR="00C776B7" w:rsidRDefault="00FD0727">
      <w:pPr>
        <w:rPr>
          <w:rStyle w:val="Hyperlink"/>
          <w:rFonts w:asciiTheme="majorHAnsi" w:hAnsiTheme="majorHAnsi"/>
          <w:color w:val="000000" w:themeColor="text1"/>
          <w:sz w:val="22"/>
          <w:szCs w:val="22"/>
        </w:rPr>
      </w:pPr>
      <w:hyperlink r:id="rId7" w:history="1">
        <w:r w:rsidRPr="00FD0727">
          <w:rPr>
            <w:rStyle w:val="Hyperlink"/>
            <w:rFonts w:asciiTheme="majorHAnsi" w:hAnsiTheme="majorHAnsi"/>
            <w:color w:val="000000" w:themeColor="text1"/>
            <w:sz w:val="22"/>
            <w:szCs w:val="22"/>
          </w:rPr>
          <w:t>http://eutils.ncbi.nlm.nih.gov/entrez/eutils/elink.fcgi?dbfrom=pubmed&amp;id=30303843&amp;retmode=ref&amp;cmd=prlinks</w:t>
        </w:r>
      </w:hyperlink>
    </w:p>
    <w:p w14:paraId="1D47E7FA" w14:textId="77777777" w:rsidR="00557F57" w:rsidRPr="00FD0727" w:rsidRDefault="00557F57">
      <w:pPr>
        <w:rPr>
          <w:rFonts w:asciiTheme="majorHAnsi" w:hAnsiTheme="majorHAnsi"/>
          <w:color w:val="000000" w:themeColor="text1"/>
          <w:sz w:val="22"/>
          <w:szCs w:val="22"/>
        </w:rPr>
      </w:pPr>
    </w:p>
    <w:p w14:paraId="6A9B1C7D"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5BA0C9DD" w14:textId="77777777" w:rsidR="00C776B7" w:rsidRPr="00557F57" w:rsidRDefault="00FD0727">
      <w:pPr>
        <w:pStyle w:val="Heading4"/>
        <w:rPr>
          <w:rFonts w:asciiTheme="majorHAnsi" w:hAnsiTheme="majorHAnsi"/>
          <w:b/>
          <w:color w:val="000000" w:themeColor="text1"/>
          <w:sz w:val="22"/>
          <w:szCs w:val="22"/>
        </w:rPr>
      </w:pPr>
      <w:r w:rsidRPr="00557F57">
        <w:rPr>
          <w:rFonts w:asciiTheme="majorHAnsi" w:hAnsiTheme="majorHAnsi"/>
          <w:b/>
          <w:color w:val="000000" w:themeColor="text1"/>
          <w:sz w:val="22"/>
          <w:szCs w:val="22"/>
        </w:rPr>
        <w:t>Renal Outcomes of Vasopressin and Its Analogs in Distributive Shock: A Systematic Review and Meta-Analysis of Randomized Trials.</w:t>
      </w:r>
    </w:p>
    <w:p w14:paraId="426D170D" w14:textId="77777777" w:rsidR="00C776B7" w:rsidRPr="00FD0727" w:rsidRDefault="00C776B7">
      <w:pPr>
        <w:rPr>
          <w:rFonts w:asciiTheme="majorHAnsi" w:hAnsiTheme="majorHAnsi"/>
          <w:color w:val="000000" w:themeColor="text1"/>
          <w:sz w:val="22"/>
          <w:szCs w:val="22"/>
        </w:rPr>
      </w:pPr>
    </w:p>
    <w:p w14:paraId="6E1A198C"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Wagner L Nedel, Tatiana H Rech, Rodrigo A Ribeiro, José Augusto S Pellegrini, and Rafael B Moraes.</w:t>
      </w:r>
    </w:p>
    <w:p w14:paraId="7A53092A" w14:textId="77777777" w:rsidR="00C776B7" w:rsidRPr="00FD0727" w:rsidRDefault="00C776B7">
      <w:pPr>
        <w:rPr>
          <w:rFonts w:asciiTheme="majorHAnsi" w:hAnsiTheme="majorHAnsi"/>
          <w:color w:val="000000" w:themeColor="text1"/>
          <w:sz w:val="22"/>
          <w:szCs w:val="22"/>
        </w:rPr>
      </w:pPr>
    </w:p>
    <w:p w14:paraId="5E939375"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OBJECTIVES:To</w:t>
      </w:r>
      <w:proofErr w:type="gramEnd"/>
      <w:r w:rsidRPr="00FD0727">
        <w:rPr>
          <w:rFonts w:asciiTheme="majorHAnsi" w:hAnsiTheme="majorHAnsi"/>
          <w:color w:val="000000" w:themeColor="text1"/>
          <w:sz w:val="22"/>
          <w:szCs w:val="22"/>
        </w:rPr>
        <w:t xml:space="preserve"> systematically review the literature and synthesize evidence concerning the effects of vasopressin and its analogs compared with other vasopressors in distributive shock, focusing on renal outcomes.</w:t>
      </w:r>
    </w:p>
    <w:p w14:paraId="5E8CCB70" w14:textId="77777777" w:rsidR="00C776B7" w:rsidRPr="00FD0727" w:rsidRDefault="00C776B7">
      <w:pPr>
        <w:rPr>
          <w:rFonts w:asciiTheme="majorHAnsi" w:hAnsiTheme="majorHAnsi"/>
          <w:color w:val="000000" w:themeColor="text1"/>
          <w:sz w:val="22"/>
          <w:szCs w:val="22"/>
        </w:rPr>
      </w:pPr>
    </w:p>
    <w:p w14:paraId="5A658305"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DATA </w:t>
      </w:r>
      <w:proofErr w:type="gramStart"/>
      <w:r w:rsidRPr="00FD0727">
        <w:rPr>
          <w:rFonts w:asciiTheme="majorHAnsi" w:hAnsiTheme="majorHAnsi"/>
          <w:color w:val="000000" w:themeColor="text1"/>
          <w:sz w:val="22"/>
          <w:szCs w:val="22"/>
        </w:rPr>
        <w:t>SOURCES:We</w:t>
      </w:r>
      <w:proofErr w:type="gramEnd"/>
      <w:r w:rsidRPr="00FD0727">
        <w:rPr>
          <w:rFonts w:asciiTheme="majorHAnsi" w:hAnsiTheme="majorHAnsi"/>
          <w:color w:val="000000" w:themeColor="text1"/>
          <w:sz w:val="22"/>
          <w:szCs w:val="22"/>
        </w:rPr>
        <w:t xml:space="preserve"> performed a systematic review in MEDLINE, Embase, Cochrane Central, and </w:t>
      </w:r>
      <w:hyperlink r:id="rId8" w:history="1">
        <w:r w:rsidRPr="00FD0727">
          <w:rPr>
            <w:rStyle w:val="Hyperlink"/>
            <w:rFonts w:asciiTheme="majorHAnsi" w:hAnsiTheme="majorHAnsi"/>
            <w:color w:val="000000" w:themeColor="text1"/>
            <w:sz w:val="22"/>
            <w:szCs w:val="22"/>
          </w:rPr>
          <w:t>Clinicaltrials.gov</w:t>
        </w:r>
      </w:hyperlink>
      <w:r w:rsidRPr="00FD0727">
        <w:rPr>
          <w:rFonts w:asciiTheme="majorHAnsi" w:hAnsiTheme="majorHAnsi"/>
          <w:color w:val="000000" w:themeColor="text1"/>
          <w:sz w:val="22"/>
          <w:szCs w:val="22"/>
        </w:rPr>
        <w:t xml:space="preserve"> databases.</w:t>
      </w:r>
    </w:p>
    <w:p w14:paraId="03602FE9" w14:textId="77777777" w:rsidR="00C776B7" w:rsidRPr="00FD0727" w:rsidRDefault="00C776B7">
      <w:pPr>
        <w:rPr>
          <w:rFonts w:asciiTheme="majorHAnsi" w:hAnsiTheme="majorHAnsi"/>
          <w:color w:val="000000" w:themeColor="text1"/>
          <w:sz w:val="22"/>
          <w:szCs w:val="22"/>
        </w:rPr>
      </w:pPr>
    </w:p>
    <w:p w14:paraId="1C1AB000"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STUDY </w:t>
      </w:r>
      <w:proofErr w:type="gramStart"/>
      <w:r w:rsidRPr="00FD0727">
        <w:rPr>
          <w:rFonts w:asciiTheme="majorHAnsi" w:hAnsiTheme="majorHAnsi"/>
          <w:color w:val="000000" w:themeColor="text1"/>
          <w:sz w:val="22"/>
          <w:szCs w:val="22"/>
        </w:rPr>
        <w:t>SELECTION:Randomized</w:t>
      </w:r>
      <w:proofErr w:type="gramEnd"/>
      <w:r w:rsidRPr="00FD0727">
        <w:rPr>
          <w:rFonts w:asciiTheme="majorHAnsi" w:hAnsiTheme="majorHAnsi"/>
          <w:color w:val="000000" w:themeColor="text1"/>
          <w:sz w:val="22"/>
          <w:szCs w:val="22"/>
        </w:rPr>
        <w:t xml:space="preserve"> clinical trials that compared vasopressin and its analogs with other vasopressors and reported renal outcomes in adult patients with distributive shock.</w:t>
      </w:r>
    </w:p>
    <w:p w14:paraId="46DEA5E0" w14:textId="77777777" w:rsidR="00C776B7" w:rsidRPr="00FD0727" w:rsidRDefault="00C776B7">
      <w:pPr>
        <w:rPr>
          <w:rFonts w:asciiTheme="majorHAnsi" w:hAnsiTheme="majorHAnsi"/>
          <w:color w:val="000000" w:themeColor="text1"/>
          <w:sz w:val="22"/>
          <w:szCs w:val="22"/>
        </w:rPr>
      </w:pPr>
    </w:p>
    <w:p w14:paraId="668E4CDA"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DATA </w:t>
      </w:r>
      <w:proofErr w:type="gramStart"/>
      <w:r w:rsidRPr="00FD0727">
        <w:rPr>
          <w:rFonts w:asciiTheme="majorHAnsi" w:hAnsiTheme="majorHAnsi"/>
          <w:color w:val="000000" w:themeColor="text1"/>
          <w:sz w:val="22"/>
          <w:szCs w:val="22"/>
        </w:rPr>
        <w:t>EXTRACTION:Paired</w:t>
      </w:r>
      <w:proofErr w:type="gramEnd"/>
      <w:r w:rsidRPr="00FD0727">
        <w:rPr>
          <w:rFonts w:asciiTheme="majorHAnsi" w:hAnsiTheme="majorHAnsi"/>
          <w:color w:val="000000" w:themeColor="text1"/>
          <w:sz w:val="22"/>
          <w:szCs w:val="22"/>
        </w:rPr>
        <w:t xml:space="preserve"> reviewers independently screened citations, conducted data extraction and assessed risk of bias. Three prespecified subgroup analyses were conducted. Three main outcomes related to acute renal failure were analyzed: the need for renal replacement therapy, acute kidney injury incidence, and acute kidney injury-free days. I test was used to evaluate heterogeneity between studies. Substantial heterogeneity was defined as I greater than 50%. A random-effects model with Mantel-Haenszel weighting was used for all analyses. Heterogeneity was explored using subgroup analysis. The quality of evidence for intervention effects was summarized using Grading of Recommendations Assessment, Development, and Evaluation methodology. This study was registered in the PROSPERO database (CRD42017054324).</w:t>
      </w:r>
    </w:p>
    <w:p w14:paraId="7C273629" w14:textId="77777777" w:rsidR="00C776B7" w:rsidRPr="00FD0727" w:rsidRDefault="00C776B7">
      <w:pPr>
        <w:rPr>
          <w:rFonts w:asciiTheme="majorHAnsi" w:hAnsiTheme="majorHAnsi"/>
          <w:color w:val="000000" w:themeColor="text1"/>
          <w:sz w:val="22"/>
          <w:szCs w:val="22"/>
        </w:rPr>
      </w:pPr>
    </w:p>
    <w:p w14:paraId="0755C37A"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DATA </w:t>
      </w:r>
      <w:proofErr w:type="gramStart"/>
      <w:r w:rsidRPr="00FD0727">
        <w:rPr>
          <w:rFonts w:asciiTheme="majorHAnsi" w:hAnsiTheme="majorHAnsi"/>
          <w:color w:val="000000" w:themeColor="text1"/>
          <w:sz w:val="22"/>
          <w:szCs w:val="22"/>
        </w:rPr>
        <w:t>SYNTHESIS:Three</w:t>
      </w:r>
      <w:proofErr w:type="gramEnd"/>
      <w:r w:rsidRPr="00FD0727">
        <w:rPr>
          <w:rFonts w:asciiTheme="majorHAnsi" w:hAnsiTheme="majorHAnsi"/>
          <w:color w:val="000000" w:themeColor="text1"/>
          <w:sz w:val="22"/>
          <w:szCs w:val="22"/>
        </w:rPr>
        <w:t>-thousand twenty-six potentially relevant studies were identified, and 30 articles were reviewed in full. Seventeen studies met the inclusion criteria, including a total of 2,833 individuals. Of these, 11 studies (2,691 individuals) were suitable for quantitative meta-analysis. Overall, the evidence was of low to moderate quality. Patients who received vasopressin and its analogs had a reduced need for renal replacement therapy (odds ratio, 0.59 [0.37-0.92]; p = 0.02; I = 49%) and a lower acute kidney injury incidence (odds ratio, 0.58 [0.37-0.92]; p = 0.02; I = 63%). These results should be interpreted with caution, due to excessive heterogeneity. Acute kidney injury-free data was not pooled, since the small number of studies and extreme heterogeneity.</w:t>
      </w:r>
    </w:p>
    <w:p w14:paraId="0038C71D" w14:textId="77777777" w:rsidR="00C776B7" w:rsidRPr="00FD0727" w:rsidRDefault="00C776B7">
      <w:pPr>
        <w:rPr>
          <w:rFonts w:asciiTheme="majorHAnsi" w:hAnsiTheme="majorHAnsi"/>
          <w:color w:val="000000" w:themeColor="text1"/>
          <w:sz w:val="22"/>
          <w:szCs w:val="22"/>
        </w:rPr>
      </w:pPr>
    </w:p>
    <w:p w14:paraId="1D3B41F5"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CONCLUSIONS:In</w:t>
      </w:r>
      <w:proofErr w:type="gramEnd"/>
      <w:r w:rsidRPr="00FD0727">
        <w:rPr>
          <w:rFonts w:asciiTheme="majorHAnsi" w:hAnsiTheme="majorHAnsi"/>
          <w:color w:val="000000" w:themeColor="text1"/>
          <w:sz w:val="22"/>
          <w:szCs w:val="22"/>
        </w:rPr>
        <w:t xml:space="preserve"> patients with distributive shock, vasopressin and its analogs use is associated with a reduced need for renal replacement therapy and lower acute kidney injury incidence. These results are supported by high risk of bias evidence.</w:t>
      </w:r>
    </w:p>
    <w:p w14:paraId="055E241C" w14:textId="77777777" w:rsidR="00C776B7" w:rsidRPr="00FD0727" w:rsidRDefault="00C776B7">
      <w:pPr>
        <w:rPr>
          <w:rFonts w:asciiTheme="majorHAnsi" w:hAnsiTheme="majorHAnsi"/>
          <w:color w:val="000000" w:themeColor="text1"/>
          <w:sz w:val="22"/>
          <w:szCs w:val="22"/>
        </w:rPr>
      </w:pPr>
    </w:p>
    <w:p w14:paraId="079BE858"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Critical Care Medicine, 2019 vol. 47 (1) pp. e44-e51.</w:t>
      </w:r>
    </w:p>
    <w:p w14:paraId="032D24DB" w14:textId="77777777" w:rsidR="00C776B7" w:rsidRDefault="00FD0727">
      <w:pPr>
        <w:rPr>
          <w:rStyle w:val="Hyperlink"/>
          <w:rFonts w:asciiTheme="majorHAnsi" w:hAnsiTheme="majorHAnsi"/>
          <w:color w:val="000000" w:themeColor="text1"/>
          <w:sz w:val="22"/>
          <w:szCs w:val="22"/>
        </w:rPr>
      </w:pPr>
      <w:hyperlink r:id="rId9" w:history="1">
        <w:r w:rsidRPr="00FD0727">
          <w:rPr>
            <w:rStyle w:val="Hyperlink"/>
            <w:rFonts w:asciiTheme="majorHAnsi" w:hAnsiTheme="majorHAnsi"/>
            <w:color w:val="000000" w:themeColor="text1"/>
            <w:sz w:val="22"/>
            <w:szCs w:val="22"/>
          </w:rPr>
          <w:t>http://eutils.ncbi.nlm.nih.gov/entrez/eutils/elink.fcgi?dbfrom=pubmed&amp;id=30303842&amp;retmode=ref&amp;cmd=prlinks</w:t>
        </w:r>
      </w:hyperlink>
    </w:p>
    <w:p w14:paraId="75EB9177" w14:textId="77777777" w:rsidR="00051B86" w:rsidRPr="00FD0727" w:rsidRDefault="00051B86">
      <w:pPr>
        <w:rPr>
          <w:rFonts w:asciiTheme="majorHAnsi" w:hAnsiTheme="majorHAnsi"/>
          <w:color w:val="000000" w:themeColor="text1"/>
          <w:sz w:val="22"/>
          <w:szCs w:val="22"/>
        </w:rPr>
      </w:pPr>
    </w:p>
    <w:p w14:paraId="69386D01"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34BAA9FD" w14:textId="77777777" w:rsidR="00C776B7" w:rsidRPr="00051B86" w:rsidRDefault="00FD0727">
      <w:pPr>
        <w:pStyle w:val="Heading4"/>
        <w:rPr>
          <w:rFonts w:asciiTheme="majorHAnsi" w:hAnsiTheme="majorHAnsi"/>
          <w:b/>
          <w:color w:val="000000" w:themeColor="text1"/>
          <w:sz w:val="22"/>
          <w:szCs w:val="22"/>
        </w:rPr>
      </w:pPr>
      <w:r w:rsidRPr="00051B86">
        <w:rPr>
          <w:rFonts w:asciiTheme="majorHAnsi" w:hAnsiTheme="majorHAnsi"/>
          <w:b/>
          <w:color w:val="000000" w:themeColor="text1"/>
          <w:sz w:val="22"/>
          <w:szCs w:val="22"/>
        </w:rPr>
        <w:t>Esophageal Doppler Can Predict Fluid Responsiveness Through End-Expiratory and End-Inspiratory Occlusion Tests.</w:t>
      </w:r>
    </w:p>
    <w:p w14:paraId="78181497" w14:textId="77777777" w:rsidR="00C776B7" w:rsidRPr="00FD0727" w:rsidRDefault="00C776B7">
      <w:pPr>
        <w:rPr>
          <w:rFonts w:asciiTheme="majorHAnsi" w:hAnsiTheme="majorHAnsi"/>
          <w:color w:val="000000" w:themeColor="text1"/>
          <w:sz w:val="22"/>
          <w:szCs w:val="22"/>
        </w:rPr>
      </w:pPr>
    </w:p>
    <w:p w14:paraId="4EDAE236"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François Dépret, Mathieu Jozwiak, Jean-Louis Teboul, Jean-Emmanuel Alphonsine, Christian Richard, and Xavier Monnet.</w:t>
      </w:r>
    </w:p>
    <w:p w14:paraId="3E25071C" w14:textId="77777777" w:rsidR="00C776B7" w:rsidRPr="00FD0727" w:rsidRDefault="00C776B7">
      <w:pPr>
        <w:rPr>
          <w:rFonts w:asciiTheme="majorHAnsi" w:hAnsiTheme="majorHAnsi"/>
          <w:color w:val="000000" w:themeColor="text1"/>
          <w:sz w:val="22"/>
          <w:szCs w:val="22"/>
        </w:rPr>
      </w:pPr>
    </w:p>
    <w:p w14:paraId="2D8EA0AE"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OBJECTIVES:To</w:t>
      </w:r>
      <w:proofErr w:type="gramEnd"/>
      <w:r w:rsidRPr="00FD0727">
        <w:rPr>
          <w:rFonts w:asciiTheme="majorHAnsi" w:hAnsiTheme="majorHAnsi"/>
          <w:color w:val="000000" w:themeColor="text1"/>
          <w:sz w:val="22"/>
          <w:szCs w:val="22"/>
        </w:rPr>
        <w:t xml:space="preserve"> assess whether, in patients under mechanical ventilation, fluid responsiveness is predicted by the effects of short respiratory holds on cardiac index estimated by esophageal Doppler.</w:t>
      </w:r>
    </w:p>
    <w:p w14:paraId="53B6EF14" w14:textId="77777777" w:rsidR="00C776B7" w:rsidRPr="00FD0727" w:rsidRDefault="00C776B7">
      <w:pPr>
        <w:rPr>
          <w:rFonts w:asciiTheme="majorHAnsi" w:hAnsiTheme="majorHAnsi"/>
          <w:color w:val="000000" w:themeColor="text1"/>
          <w:sz w:val="22"/>
          <w:szCs w:val="22"/>
        </w:rPr>
      </w:pPr>
    </w:p>
    <w:p w14:paraId="2BFEB120"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DESIGN:Prospective</w:t>
      </w:r>
      <w:proofErr w:type="gramEnd"/>
      <w:r w:rsidRPr="00FD0727">
        <w:rPr>
          <w:rFonts w:asciiTheme="majorHAnsi" w:hAnsiTheme="majorHAnsi"/>
          <w:color w:val="000000" w:themeColor="text1"/>
          <w:sz w:val="22"/>
          <w:szCs w:val="22"/>
        </w:rPr>
        <w:t>, monocentric study.</w:t>
      </w:r>
    </w:p>
    <w:p w14:paraId="64DDF0D0" w14:textId="77777777" w:rsidR="00C776B7" w:rsidRPr="00FD0727" w:rsidRDefault="00C776B7">
      <w:pPr>
        <w:rPr>
          <w:rFonts w:asciiTheme="majorHAnsi" w:hAnsiTheme="majorHAnsi"/>
          <w:color w:val="000000" w:themeColor="text1"/>
          <w:sz w:val="22"/>
          <w:szCs w:val="22"/>
        </w:rPr>
      </w:pPr>
    </w:p>
    <w:p w14:paraId="316C53C0"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SETTING:Medical</w:t>
      </w:r>
      <w:proofErr w:type="gramEnd"/>
      <w:r w:rsidRPr="00FD0727">
        <w:rPr>
          <w:rFonts w:asciiTheme="majorHAnsi" w:hAnsiTheme="majorHAnsi"/>
          <w:color w:val="000000" w:themeColor="text1"/>
          <w:sz w:val="22"/>
          <w:szCs w:val="22"/>
        </w:rPr>
        <w:t xml:space="preserve"> ICU.</w:t>
      </w:r>
    </w:p>
    <w:p w14:paraId="23D5ADB7" w14:textId="77777777" w:rsidR="00C776B7" w:rsidRPr="00FD0727" w:rsidRDefault="00C776B7">
      <w:pPr>
        <w:rPr>
          <w:rFonts w:asciiTheme="majorHAnsi" w:hAnsiTheme="majorHAnsi"/>
          <w:color w:val="000000" w:themeColor="text1"/>
          <w:sz w:val="22"/>
          <w:szCs w:val="22"/>
        </w:rPr>
      </w:pPr>
    </w:p>
    <w:p w14:paraId="57760B76"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PATIENTS:Twenty</w:t>
      </w:r>
      <w:proofErr w:type="gramEnd"/>
      <w:r w:rsidRPr="00FD0727">
        <w:rPr>
          <w:rFonts w:asciiTheme="majorHAnsi" w:hAnsiTheme="majorHAnsi"/>
          <w:color w:val="000000" w:themeColor="text1"/>
          <w:sz w:val="22"/>
          <w:szCs w:val="22"/>
        </w:rPr>
        <w:t>-eight adult patients with acute circulatory failure and a decision of the clinicians in charge to administer fluids.</w:t>
      </w:r>
    </w:p>
    <w:p w14:paraId="66A2A0BB" w14:textId="77777777" w:rsidR="00C776B7" w:rsidRPr="00FD0727" w:rsidRDefault="00C776B7">
      <w:pPr>
        <w:rPr>
          <w:rFonts w:asciiTheme="majorHAnsi" w:hAnsiTheme="majorHAnsi"/>
          <w:color w:val="000000" w:themeColor="text1"/>
          <w:sz w:val="22"/>
          <w:szCs w:val="22"/>
        </w:rPr>
      </w:pPr>
    </w:p>
    <w:p w14:paraId="07FD113C"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lastRenderedPageBreak/>
        <w:t>INTERVENTIONS:Before</w:t>
      </w:r>
      <w:proofErr w:type="gramEnd"/>
      <w:r w:rsidRPr="00FD0727">
        <w:rPr>
          <w:rFonts w:asciiTheme="majorHAnsi" w:hAnsiTheme="majorHAnsi"/>
          <w:color w:val="000000" w:themeColor="text1"/>
          <w:sz w:val="22"/>
          <w:szCs w:val="22"/>
        </w:rPr>
        <w:t xml:space="preserve"> and after infusing 500 mL of saline, we measured cardiac index estimated by esophageal Doppler before and during the last 5 seconds of successive 15-second end-inspiratory occlusion and end-expiratory occlusion, separated by 1 minute. Patients in whom volume expansion increased cardiac index measured by transpulmonary thermodilution greater than or equal to 15% were defined as "fluid responders." Cardiac index measured by the Pulse Contour Cardiac Output device (from pulse contour analysis or transpulmonary thermodilution) was used as the reference.</w:t>
      </w:r>
    </w:p>
    <w:p w14:paraId="128AE279" w14:textId="77777777" w:rsidR="00C776B7" w:rsidRPr="00FD0727" w:rsidRDefault="00C776B7">
      <w:pPr>
        <w:rPr>
          <w:rFonts w:asciiTheme="majorHAnsi" w:hAnsiTheme="majorHAnsi"/>
          <w:color w:val="000000" w:themeColor="text1"/>
          <w:sz w:val="22"/>
          <w:szCs w:val="22"/>
        </w:rPr>
      </w:pPr>
    </w:p>
    <w:p w14:paraId="751EEDDB"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MEASUREMENTS AND MAIN </w:t>
      </w:r>
      <w:proofErr w:type="gramStart"/>
      <w:r w:rsidRPr="00FD0727">
        <w:rPr>
          <w:rFonts w:asciiTheme="majorHAnsi" w:hAnsiTheme="majorHAnsi"/>
          <w:color w:val="000000" w:themeColor="text1"/>
          <w:sz w:val="22"/>
          <w:szCs w:val="22"/>
        </w:rPr>
        <w:t>RESULTS:End</w:t>
      </w:r>
      <w:proofErr w:type="gramEnd"/>
      <w:r w:rsidRPr="00FD0727">
        <w:rPr>
          <w:rFonts w:asciiTheme="majorHAnsi" w:hAnsiTheme="majorHAnsi"/>
          <w:color w:val="000000" w:themeColor="text1"/>
          <w:sz w:val="22"/>
          <w:szCs w:val="22"/>
        </w:rPr>
        <w:t>-expiratory occlusion increased cardiac index estimated by esophageal Doppler more in responders than in nonresponders (8% ± 2% vs 3% ± 1%, respectively; p &lt; 0.0001) and end-inspiratory occlusion decreased cardiac index estimated by esophageal Doppler more in responders than in nonresponders (-8% ± 5% vs -4% ± 2%, respectively; p = 0.0002). Fluid responsiveness was predicted by the end-expiratory occlusion induced percent change in cardiac index estimated by esophageal Doppler with an area under the receiver operating characteristic curve of 1.00 (95% CI, 0.88-1.00) and a threshold value of 4% increase in cardiac index estimated by esophageal Doppler. It was predicted by the sum of absolute values of percent changes in cardiac index estimated by esophageal Doppler during both occlusions with a similar area under the receiver operating characteristic curve (0.99 [0.86-1.00]) and with a threshold of 9% change in cardiac index estimated by esophageal Doppler, which is compatible with the esophageal Doppler precision.</w:t>
      </w:r>
    </w:p>
    <w:p w14:paraId="3E97E9B6" w14:textId="77777777" w:rsidR="00C776B7" w:rsidRPr="00FD0727" w:rsidRDefault="00C776B7">
      <w:pPr>
        <w:rPr>
          <w:rFonts w:asciiTheme="majorHAnsi" w:hAnsiTheme="majorHAnsi"/>
          <w:color w:val="000000" w:themeColor="text1"/>
          <w:sz w:val="22"/>
          <w:szCs w:val="22"/>
        </w:rPr>
      </w:pPr>
    </w:p>
    <w:p w14:paraId="64EDCE65"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CONCLUSIONS:If</w:t>
      </w:r>
      <w:proofErr w:type="gramEnd"/>
      <w:r w:rsidRPr="00FD0727">
        <w:rPr>
          <w:rFonts w:asciiTheme="majorHAnsi" w:hAnsiTheme="majorHAnsi"/>
          <w:color w:val="000000" w:themeColor="text1"/>
          <w:sz w:val="22"/>
          <w:szCs w:val="22"/>
        </w:rPr>
        <w:t xml:space="preserve"> the absolute sum of the percent change in cardiac index estimated by esophageal Doppler induced by two successive end-inspiratory occlusion and end-expiratory occlusion maneuvers is greater than 9%, it is likely that a 500 mL fluid infusion will increase cardiac output. This diagnostic threshold is higher than if only end-expiratory occlusion induced percent changes in cardiac index estimated by esophageal Doppler are </w:t>
      </w:r>
      <w:proofErr w:type="gramStart"/>
      <w:r w:rsidRPr="00FD0727">
        <w:rPr>
          <w:rFonts w:asciiTheme="majorHAnsi" w:hAnsiTheme="majorHAnsi"/>
          <w:color w:val="000000" w:themeColor="text1"/>
          <w:sz w:val="22"/>
          <w:szCs w:val="22"/>
        </w:rPr>
        <w:t>taken into account</w:t>
      </w:r>
      <w:proofErr w:type="gramEnd"/>
      <w:r w:rsidRPr="00FD0727">
        <w:rPr>
          <w:rFonts w:asciiTheme="majorHAnsi" w:hAnsiTheme="majorHAnsi"/>
          <w:color w:val="000000" w:themeColor="text1"/>
          <w:sz w:val="22"/>
          <w:szCs w:val="22"/>
        </w:rPr>
        <w:t>.</w:t>
      </w:r>
    </w:p>
    <w:p w14:paraId="1213EC62" w14:textId="77777777" w:rsidR="00C776B7" w:rsidRPr="00FD0727" w:rsidRDefault="00C776B7">
      <w:pPr>
        <w:rPr>
          <w:rFonts w:asciiTheme="majorHAnsi" w:hAnsiTheme="majorHAnsi"/>
          <w:color w:val="000000" w:themeColor="text1"/>
          <w:sz w:val="22"/>
          <w:szCs w:val="22"/>
        </w:rPr>
      </w:pPr>
    </w:p>
    <w:p w14:paraId="21603076"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Critical Care Medicine, 2019 vol. 47 (2) pp. e96-e102.</w:t>
      </w:r>
    </w:p>
    <w:p w14:paraId="022FF5F0" w14:textId="77777777" w:rsidR="00C776B7" w:rsidRDefault="00FD0727">
      <w:pPr>
        <w:rPr>
          <w:rStyle w:val="Hyperlink"/>
          <w:rFonts w:asciiTheme="majorHAnsi" w:hAnsiTheme="majorHAnsi"/>
          <w:color w:val="000000" w:themeColor="text1"/>
          <w:sz w:val="22"/>
          <w:szCs w:val="22"/>
        </w:rPr>
      </w:pPr>
      <w:hyperlink r:id="rId10" w:history="1">
        <w:r w:rsidRPr="00FD0727">
          <w:rPr>
            <w:rStyle w:val="Hyperlink"/>
            <w:rFonts w:asciiTheme="majorHAnsi" w:hAnsiTheme="majorHAnsi"/>
            <w:color w:val="000000" w:themeColor="text1"/>
            <w:sz w:val="22"/>
            <w:szCs w:val="22"/>
          </w:rPr>
          <w:t>http://eutils.ncbi.nlm.nih.gov/entrez/eutils/elink.fcgi?dbfrom=pubmed&amp;id=30379670&amp;retmode=ref&amp;cmd=prlinks</w:t>
        </w:r>
      </w:hyperlink>
    </w:p>
    <w:p w14:paraId="04FAAE37" w14:textId="77777777" w:rsidR="00051B86" w:rsidRPr="00FD0727" w:rsidRDefault="00051B86">
      <w:pPr>
        <w:rPr>
          <w:rFonts w:asciiTheme="majorHAnsi" w:hAnsiTheme="majorHAnsi"/>
          <w:color w:val="000000" w:themeColor="text1"/>
          <w:sz w:val="22"/>
          <w:szCs w:val="22"/>
        </w:rPr>
      </w:pPr>
    </w:p>
    <w:p w14:paraId="1FFA260A"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5A91FEA0" w14:textId="77777777" w:rsidR="00C776B7" w:rsidRPr="00051B86" w:rsidRDefault="00FD0727">
      <w:pPr>
        <w:pStyle w:val="Heading4"/>
        <w:rPr>
          <w:rFonts w:asciiTheme="majorHAnsi" w:hAnsiTheme="majorHAnsi"/>
          <w:b/>
          <w:color w:val="000000" w:themeColor="text1"/>
          <w:sz w:val="22"/>
          <w:szCs w:val="22"/>
        </w:rPr>
      </w:pPr>
      <w:r w:rsidRPr="00051B86">
        <w:rPr>
          <w:rFonts w:asciiTheme="majorHAnsi" w:hAnsiTheme="majorHAnsi"/>
          <w:b/>
          <w:color w:val="000000" w:themeColor="text1"/>
          <w:sz w:val="22"/>
          <w:szCs w:val="22"/>
        </w:rPr>
        <w:t>Impact of Altered Airway Pressure on Intracranial Pressure, Perfusion, and Oxygenation: A Narrative Review.</w:t>
      </w:r>
    </w:p>
    <w:p w14:paraId="2DE22923" w14:textId="77777777" w:rsidR="00C776B7" w:rsidRPr="00FD0727" w:rsidRDefault="00C776B7">
      <w:pPr>
        <w:rPr>
          <w:rFonts w:asciiTheme="majorHAnsi" w:hAnsiTheme="majorHAnsi"/>
          <w:color w:val="000000" w:themeColor="text1"/>
          <w:sz w:val="22"/>
          <w:szCs w:val="22"/>
        </w:rPr>
      </w:pPr>
    </w:p>
    <w:p w14:paraId="5851002D"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Han Chen, David K Menon, and Brian P Kavanagh.</w:t>
      </w:r>
    </w:p>
    <w:p w14:paraId="36809DBB" w14:textId="77777777" w:rsidR="00C776B7" w:rsidRPr="00FD0727" w:rsidRDefault="00C776B7">
      <w:pPr>
        <w:rPr>
          <w:rFonts w:asciiTheme="majorHAnsi" w:hAnsiTheme="majorHAnsi"/>
          <w:color w:val="000000" w:themeColor="text1"/>
          <w:sz w:val="22"/>
          <w:szCs w:val="22"/>
        </w:rPr>
      </w:pPr>
    </w:p>
    <w:p w14:paraId="7F2FF189"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OBJECTIVES:A</w:t>
      </w:r>
      <w:proofErr w:type="gramEnd"/>
      <w:r w:rsidRPr="00FD0727">
        <w:rPr>
          <w:rFonts w:asciiTheme="majorHAnsi" w:hAnsiTheme="majorHAnsi"/>
          <w:color w:val="000000" w:themeColor="text1"/>
          <w:sz w:val="22"/>
          <w:szCs w:val="22"/>
        </w:rPr>
        <w:t xml:space="preserve"> narrative review of the pathophysiology linking altered airway pressure and intracranial pressure and cerebral oxygenation.</w:t>
      </w:r>
    </w:p>
    <w:p w14:paraId="6D521678" w14:textId="77777777" w:rsidR="00C776B7" w:rsidRPr="00FD0727" w:rsidRDefault="00C776B7">
      <w:pPr>
        <w:rPr>
          <w:rFonts w:asciiTheme="majorHAnsi" w:hAnsiTheme="majorHAnsi"/>
          <w:color w:val="000000" w:themeColor="text1"/>
          <w:sz w:val="22"/>
          <w:szCs w:val="22"/>
        </w:rPr>
      </w:pPr>
    </w:p>
    <w:p w14:paraId="0134E39F"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DATA </w:t>
      </w:r>
      <w:proofErr w:type="gramStart"/>
      <w:r w:rsidRPr="00FD0727">
        <w:rPr>
          <w:rFonts w:asciiTheme="majorHAnsi" w:hAnsiTheme="majorHAnsi"/>
          <w:color w:val="000000" w:themeColor="text1"/>
          <w:sz w:val="22"/>
          <w:szCs w:val="22"/>
        </w:rPr>
        <w:t>SOURCES:Online</w:t>
      </w:r>
      <w:proofErr w:type="gramEnd"/>
      <w:r w:rsidRPr="00FD0727">
        <w:rPr>
          <w:rFonts w:asciiTheme="majorHAnsi" w:hAnsiTheme="majorHAnsi"/>
          <w:color w:val="000000" w:themeColor="text1"/>
          <w:sz w:val="22"/>
          <w:szCs w:val="22"/>
        </w:rPr>
        <w:t xml:space="preserve"> search of PubMed and manual review of articles (laboratory and patient studies) of the altered airway pressure on intracranial pressure, cerebral perfusion, or cerebral oxygenation.</w:t>
      </w:r>
    </w:p>
    <w:p w14:paraId="650CFF22" w14:textId="77777777" w:rsidR="00C776B7" w:rsidRPr="00FD0727" w:rsidRDefault="00C776B7">
      <w:pPr>
        <w:rPr>
          <w:rFonts w:asciiTheme="majorHAnsi" w:hAnsiTheme="majorHAnsi"/>
          <w:color w:val="000000" w:themeColor="text1"/>
          <w:sz w:val="22"/>
          <w:szCs w:val="22"/>
        </w:rPr>
      </w:pPr>
    </w:p>
    <w:p w14:paraId="3EA4BA48"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STUDY </w:t>
      </w:r>
      <w:proofErr w:type="gramStart"/>
      <w:r w:rsidRPr="00FD0727">
        <w:rPr>
          <w:rFonts w:asciiTheme="majorHAnsi" w:hAnsiTheme="majorHAnsi"/>
          <w:color w:val="000000" w:themeColor="text1"/>
          <w:sz w:val="22"/>
          <w:szCs w:val="22"/>
        </w:rPr>
        <w:t>SELECTION:Randomized</w:t>
      </w:r>
      <w:proofErr w:type="gramEnd"/>
      <w:r w:rsidRPr="00FD0727">
        <w:rPr>
          <w:rFonts w:asciiTheme="majorHAnsi" w:hAnsiTheme="majorHAnsi"/>
          <w:color w:val="000000" w:themeColor="text1"/>
          <w:sz w:val="22"/>
          <w:szCs w:val="22"/>
        </w:rPr>
        <w:t xml:space="preserve"> trials, observational and physiologic studies.</w:t>
      </w:r>
    </w:p>
    <w:p w14:paraId="508B35EB" w14:textId="77777777" w:rsidR="00C776B7" w:rsidRPr="00FD0727" w:rsidRDefault="00C776B7">
      <w:pPr>
        <w:rPr>
          <w:rFonts w:asciiTheme="majorHAnsi" w:hAnsiTheme="majorHAnsi"/>
          <w:color w:val="000000" w:themeColor="text1"/>
          <w:sz w:val="22"/>
          <w:szCs w:val="22"/>
        </w:rPr>
      </w:pPr>
    </w:p>
    <w:p w14:paraId="07A06971"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DATA </w:t>
      </w:r>
      <w:proofErr w:type="gramStart"/>
      <w:r w:rsidRPr="00FD0727">
        <w:rPr>
          <w:rFonts w:asciiTheme="majorHAnsi" w:hAnsiTheme="majorHAnsi"/>
          <w:color w:val="000000" w:themeColor="text1"/>
          <w:sz w:val="22"/>
          <w:szCs w:val="22"/>
        </w:rPr>
        <w:t>EXTRACTION:Our</w:t>
      </w:r>
      <w:proofErr w:type="gramEnd"/>
      <w:r w:rsidRPr="00FD0727">
        <w:rPr>
          <w:rFonts w:asciiTheme="majorHAnsi" w:hAnsiTheme="majorHAnsi"/>
          <w:color w:val="000000" w:themeColor="text1"/>
          <w:sz w:val="22"/>
          <w:szCs w:val="22"/>
        </w:rPr>
        <w:t xml:space="preserve"> group determined by consensus which resources would best inform this review.</w:t>
      </w:r>
    </w:p>
    <w:p w14:paraId="2FF9CB33" w14:textId="77777777" w:rsidR="00C776B7" w:rsidRPr="00FD0727" w:rsidRDefault="00C776B7">
      <w:pPr>
        <w:rPr>
          <w:rFonts w:asciiTheme="majorHAnsi" w:hAnsiTheme="majorHAnsi"/>
          <w:color w:val="000000" w:themeColor="text1"/>
          <w:sz w:val="22"/>
          <w:szCs w:val="22"/>
        </w:rPr>
      </w:pPr>
    </w:p>
    <w:p w14:paraId="1CF53161"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DATA </w:t>
      </w:r>
      <w:proofErr w:type="gramStart"/>
      <w:r w:rsidRPr="00FD0727">
        <w:rPr>
          <w:rFonts w:asciiTheme="majorHAnsi" w:hAnsiTheme="majorHAnsi"/>
          <w:color w:val="000000" w:themeColor="text1"/>
          <w:sz w:val="22"/>
          <w:szCs w:val="22"/>
        </w:rPr>
        <w:t>SYNTHESIS:In</w:t>
      </w:r>
      <w:proofErr w:type="gramEnd"/>
      <w:r w:rsidRPr="00FD0727">
        <w:rPr>
          <w:rFonts w:asciiTheme="majorHAnsi" w:hAnsiTheme="majorHAnsi"/>
          <w:color w:val="000000" w:themeColor="text1"/>
          <w:sz w:val="22"/>
          <w:szCs w:val="22"/>
        </w:rPr>
        <w:t xml:space="preserve"> the normal brain, positive-pressure ventilation does not significantly alter intracranial pressure, cerebral oxygenation, or perfusion. In injured brains, the impact of airway pressure on intracranial pressure is variable and determined by several factors; a cerebral venous </w:t>
      </w:r>
      <w:r w:rsidRPr="00FD0727">
        <w:rPr>
          <w:rFonts w:asciiTheme="majorHAnsi" w:hAnsiTheme="majorHAnsi"/>
          <w:color w:val="000000" w:themeColor="text1"/>
          <w:sz w:val="22"/>
          <w:szCs w:val="22"/>
        </w:rPr>
        <w:lastRenderedPageBreak/>
        <w:t>Starling resistor explains much of the variability. Negative-pressure ventilation can improve cerebral perfusion and oxygenation and reduce intracranial pressure in experimental models, but data are limited, and mechanisms and clinical benefit remain uncertain.</w:t>
      </w:r>
    </w:p>
    <w:p w14:paraId="05742584" w14:textId="77777777" w:rsidR="00C776B7" w:rsidRPr="00FD0727" w:rsidRDefault="00C776B7">
      <w:pPr>
        <w:rPr>
          <w:rFonts w:asciiTheme="majorHAnsi" w:hAnsiTheme="majorHAnsi"/>
          <w:color w:val="000000" w:themeColor="text1"/>
          <w:sz w:val="22"/>
          <w:szCs w:val="22"/>
        </w:rPr>
      </w:pPr>
    </w:p>
    <w:p w14:paraId="53CFF32C"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CONCLUSIONS:The</w:t>
      </w:r>
      <w:proofErr w:type="gramEnd"/>
      <w:r w:rsidRPr="00FD0727">
        <w:rPr>
          <w:rFonts w:asciiTheme="majorHAnsi" w:hAnsiTheme="majorHAnsi"/>
          <w:color w:val="000000" w:themeColor="text1"/>
          <w:sz w:val="22"/>
          <w:szCs w:val="22"/>
        </w:rPr>
        <w:t xml:space="preserve"> effects of airway pressure and ventilation on cerebral perfusion and oxygenation are increasingly understood, especially in the setting of brain injury. In the face of competing mechanisms and priorities, multimodal monitoring and individualized titration will increasingly be required to optimize care.</w:t>
      </w:r>
    </w:p>
    <w:p w14:paraId="6BB0BDFE" w14:textId="77777777" w:rsidR="00C776B7" w:rsidRPr="00FD0727" w:rsidRDefault="00C776B7">
      <w:pPr>
        <w:rPr>
          <w:rFonts w:asciiTheme="majorHAnsi" w:hAnsiTheme="majorHAnsi"/>
          <w:color w:val="000000" w:themeColor="text1"/>
          <w:sz w:val="22"/>
          <w:szCs w:val="22"/>
        </w:rPr>
      </w:pPr>
    </w:p>
    <w:p w14:paraId="76759F66"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Critical Care Medicine, 2019 vol. 47 (2) pp. 254-263.</w:t>
      </w:r>
    </w:p>
    <w:p w14:paraId="1970FC13" w14:textId="77777777" w:rsidR="00C776B7" w:rsidRDefault="00FD0727">
      <w:pPr>
        <w:rPr>
          <w:rStyle w:val="Hyperlink"/>
          <w:rFonts w:asciiTheme="majorHAnsi" w:hAnsiTheme="majorHAnsi"/>
          <w:color w:val="000000" w:themeColor="text1"/>
          <w:sz w:val="22"/>
          <w:szCs w:val="22"/>
        </w:rPr>
      </w:pPr>
      <w:hyperlink r:id="rId11" w:history="1">
        <w:r w:rsidRPr="00FD0727">
          <w:rPr>
            <w:rStyle w:val="Hyperlink"/>
            <w:rFonts w:asciiTheme="majorHAnsi" w:hAnsiTheme="majorHAnsi"/>
            <w:color w:val="000000" w:themeColor="text1"/>
            <w:sz w:val="22"/>
            <w:szCs w:val="22"/>
          </w:rPr>
          <w:t>http://eutils.ncbi.nlm.nih.gov/entrez/eutils/elink.fcgi?dbfrom=pubmed&amp;id=30653472&amp;retmode=ref&amp;cmd=prlinks</w:t>
        </w:r>
      </w:hyperlink>
    </w:p>
    <w:p w14:paraId="1E832DA9" w14:textId="77777777" w:rsidR="00051B86" w:rsidRPr="00FD0727" w:rsidRDefault="00051B86">
      <w:pPr>
        <w:rPr>
          <w:rFonts w:asciiTheme="majorHAnsi" w:hAnsiTheme="majorHAnsi"/>
          <w:color w:val="000000" w:themeColor="text1"/>
          <w:sz w:val="22"/>
          <w:szCs w:val="22"/>
        </w:rPr>
      </w:pPr>
    </w:p>
    <w:p w14:paraId="297B6E2F"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7F3EC6FB" w14:textId="77777777" w:rsidR="00C776B7" w:rsidRPr="00FD0727" w:rsidRDefault="00FD0727">
      <w:pPr>
        <w:pStyle w:val="Heading4"/>
        <w:rPr>
          <w:rFonts w:asciiTheme="majorHAnsi" w:hAnsiTheme="majorHAnsi"/>
          <w:color w:val="000000" w:themeColor="text1"/>
          <w:sz w:val="22"/>
          <w:szCs w:val="22"/>
        </w:rPr>
      </w:pPr>
      <w:r w:rsidRPr="00FD0727">
        <w:rPr>
          <w:rFonts w:asciiTheme="majorHAnsi" w:hAnsiTheme="majorHAnsi"/>
          <w:color w:val="000000" w:themeColor="text1"/>
          <w:sz w:val="22"/>
          <w:szCs w:val="22"/>
        </w:rPr>
        <w:t>I</w:t>
      </w:r>
      <w:r w:rsidRPr="00051B86">
        <w:rPr>
          <w:rFonts w:asciiTheme="majorHAnsi" w:hAnsiTheme="majorHAnsi"/>
          <w:b/>
          <w:color w:val="000000" w:themeColor="text1"/>
          <w:sz w:val="22"/>
          <w:szCs w:val="22"/>
        </w:rPr>
        <w:t xml:space="preserve">ncreased Plasma Acetylcarnitine in Sepsis Is Associated </w:t>
      </w:r>
      <w:proofErr w:type="gramStart"/>
      <w:r w:rsidRPr="00051B86">
        <w:rPr>
          <w:rFonts w:asciiTheme="majorHAnsi" w:hAnsiTheme="majorHAnsi"/>
          <w:b/>
          <w:color w:val="000000" w:themeColor="text1"/>
          <w:sz w:val="22"/>
          <w:szCs w:val="22"/>
        </w:rPr>
        <w:t>With</w:t>
      </w:r>
      <w:proofErr w:type="gramEnd"/>
      <w:r w:rsidRPr="00051B86">
        <w:rPr>
          <w:rFonts w:asciiTheme="majorHAnsi" w:hAnsiTheme="majorHAnsi"/>
          <w:b/>
          <w:color w:val="000000" w:themeColor="text1"/>
          <w:sz w:val="22"/>
          <w:szCs w:val="22"/>
        </w:rPr>
        <w:t xml:space="preserve"> Multiple Organ Dysfunction and Mortality: A Multicenter Cohort Study.</w:t>
      </w:r>
    </w:p>
    <w:p w14:paraId="26647715" w14:textId="77777777" w:rsidR="00C776B7" w:rsidRPr="00FD0727" w:rsidRDefault="00C776B7">
      <w:pPr>
        <w:rPr>
          <w:rFonts w:asciiTheme="majorHAnsi" w:hAnsiTheme="majorHAnsi"/>
          <w:color w:val="000000" w:themeColor="text1"/>
          <w:sz w:val="22"/>
          <w:szCs w:val="22"/>
        </w:rPr>
      </w:pPr>
    </w:p>
    <w:p w14:paraId="773929AE"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Kuei-Pin Chung, Guan-Yuan Chen, Tzu-Yi Chuang, Yen-Tsung Huang, Hou-Tai Chang, Yen-Fu Chen, Wei-Lun Liu, Yi-Jung Chen, Chia-Lin Hsu, Miao-Tzu Huang, Ching-Hua Kuo, and Chong-Jen Yu.</w:t>
      </w:r>
    </w:p>
    <w:p w14:paraId="6700FC3C" w14:textId="77777777" w:rsidR="00C776B7" w:rsidRPr="00FD0727" w:rsidRDefault="00C776B7">
      <w:pPr>
        <w:rPr>
          <w:rFonts w:asciiTheme="majorHAnsi" w:hAnsiTheme="majorHAnsi"/>
          <w:color w:val="000000" w:themeColor="text1"/>
          <w:sz w:val="22"/>
          <w:szCs w:val="22"/>
        </w:rPr>
      </w:pPr>
    </w:p>
    <w:p w14:paraId="2BD965BC"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OBJECTIVES:Recent</w:t>
      </w:r>
      <w:proofErr w:type="gramEnd"/>
      <w:r w:rsidRPr="00FD0727">
        <w:rPr>
          <w:rFonts w:asciiTheme="majorHAnsi" w:hAnsiTheme="majorHAnsi"/>
          <w:color w:val="000000" w:themeColor="text1"/>
          <w:sz w:val="22"/>
          <w:szCs w:val="22"/>
        </w:rPr>
        <w:t xml:space="preserve"> metabolomic studies of sepsis showed that increased circulatory acylcarnitines were associated with worse survival. However, it is unknown whether plasma carnitine and acylcarnitines can reflect the severity of sepsis, and the role of specific acylcarnitines in prognostic assessment need further confirmation. This study aimed to clarify these questions.</w:t>
      </w:r>
    </w:p>
    <w:p w14:paraId="4E20B244" w14:textId="77777777" w:rsidR="00C776B7" w:rsidRPr="00FD0727" w:rsidRDefault="00C776B7">
      <w:pPr>
        <w:rPr>
          <w:rFonts w:asciiTheme="majorHAnsi" w:hAnsiTheme="majorHAnsi"/>
          <w:color w:val="000000" w:themeColor="text1"/>
          <w:sz w:val="22"/>
          <w:szCs w:val="22"/>
        </w:rPr>
      </w:pPr>
    </w:p>
    <w:p w14:paraId="5763B3CB"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DESIGN:Prospective</w:t>
      </w:r>
      <w:proofErr w:type="gramEnd"/>
      <w:r w:rsidRPr="00FD0727">
        <w:rPr>
          <w:rFonts w:asciiTheme="majorHAnsi" w:hAnsiTheme="majorHAnsi"/>
          <w:color w:val="000000" w:themeColor="text1"/>
          <w:sz w:val="22"/>
          <w:szCs w:val="22"/>
        </w:rPr>
        <w:t xml:space="preserve"> multicenter cohort studies with derivation and validation cohort design.</w:t>
      </w:r>
    </w:p>
    <w:p w14:paraId="26F54B77" w14:textId="77777777" w:rsidR="00C776B7" w:rsidRPr="00FD0727" w:rsidRDefault="00C776B7">
      <w:pPr>
        <w:rPr>
          <w:rFonts w:asciiTheme="majorHAnsi" w:hAnsiTheme="majorHAnsi"/>
          <w:color w:val="000000" w:themeColor="text1"/>
          <w:sz w:val="22"/>
          <w:szCs w:val="22"/>
        </w:rPr>
      </w:pPr>
    </w:p>
    <w:p w14:paraId="2B5CCA1B"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SETTING:ICUs</w:t>
      </w:r>
      <w:proofErr w:type="gramEnd"/>
      <w:r w:rsidRPr="00FD0727">
        <w:rPr>
          <w:rFonts w:asciiTheme="majorHAnsi" w:hAnsiTheme="majorHAnsi"/>
          <w:color w:val="000000" w:themeColor="text1"/>
          <w:sz w:val="22"/>
          <w:szCs w:val="22"/>
        </w:rPr>
        <w:t xml:space="preserve"> at two medical centers and three regional hospitals in Taiwan.</w:t>
      </w:r>
    </w:p>
    <w:p w14:paraId="21C2384A" w14:textId="77777777" w:rsidR="00C776B7" w:rsidRPr="00FD0727" w:rsidRDefault="00C776B7">
      <w:pPr>
        <w:rPr>
          <w:rFonts w:asciiTheme="majorHAnsi" w:hAnsiTheme="majorHAnsi"/>
          <w:color w:val="000000" w:themeColor="text1"/>
          <w:sz w:val="22"/>
          <w:szCs w:val="22"/>
        </w:rPr>
      </w:pPr>
    </w:p>
    <w:p w14:paraId="32F6377D"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PATIENTS:Patients</w:t>
      </w:r>
      <w:proofErr w:type="gramEnd"/>
      <w:r w:rsidRPr="00FD0727">
        <w:rPr>
          <w:rFonts w:asciiTheme="majorHAnsi" w:hAnsiTheme="majorHAnsi"/>
          <w:color w:val="000000" w:themeColor="text1"/>
          <w:sz w:val="22"/>
          <w:szCs w:val="22"/>
        </w:rPr>
        <w:t xml:space="preserve"> with sepsis and acute organ dysfunction were enrolled. Recruitment of the derivation (n = 90) and validation cohorts (n = 120) occurred from October 2010 through March 2012 and January 2013 through November 2014, respectively.</w:t>
      </w:r>
    </w:p>
    <w:p w14:paraId="2ABB90A0" w14:textId="77777777" w:rsidR="00C776B7" w:rsidRPr="00FD0727" w:rsidRDefault="00C776B7">
      <w:pPr>
        <w:rPr>
          <w:rFonts w:asciiTheme="majorHAnsi" w:hAnsiTheme="majorHAnsi"/>
          <w:color w:val="000000" w:themeColor="text1"/>
          <w:sz w:val="22"/>
          <w:szCs w:val="22"/>
        </w:rPr>
      </w:pPr>
    </w:p>
    <w:p w14:paraId="78A81846"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INTERVENTIONS:Plasma</w:t>
      </w:r>
      <w:proofErr w:type="gramEnd"/>
      <w:r w:rsidRPr="00FD0727">
        <w:rPr>
          <w:rFonts w:asciiTheme="majorHAnsi" w:hAnsiTheme="majorHAnsi"/>
          <w:color w:val="000000" w:themeColor="text1"/>
          <w:sz w:val="22"/>
          <w:szCs w:val="22"/>
        </w:rPr>
        <w:t xml:space="preserve"> samples were collected immediately after admission, and the levels of carnitine and acylcarnitines were measured by ultra-high performance liquid chromatography-mass spectrometry.</w:t>
      </w:r>
    </w:p>
    <w:p w14:paraId="63B82093" w14:textId="77777777" w:rsidR="00C776B7" w:rsidRPr="00FD0727" w:rsidRDefault="00C776B7">
      <w:pPr>
        <w:rPr>
          <w:rFonts w:asciiTheme="majorHAnsi" w:hAnsiTheme="majorHAnsi"/>
          <w:color w:val="000000" w:themeColor="text1"/>
          <w:sz w:val="22"/>
          <w:szCs w:val="22"/>
        </w:rPr>
      </w:pPr>
    </w:p>
    <w:p w14:paraId="29C69E04"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MEASUREMENTS AND MAIN </w:t>
      </w:r>
      <w:proofErr w:type="gramStart"/>
      <w:r w:rsidRPr="00FD0727">
        <w:rPr>
          <w:rFonts w:asciiTheme="majorHAnsi" w:hAnsiTheme="majorHAnsi"/>
          <w:color w:val="000000" w:themeColor="text1"/>
          <w:sz w:val="22"/>
          <w:szCs w:val="22"/>
        </w:rPr>
        <w:t>RESULTS:In</w:t>
      </w:r>
      <w:proofErr w:type="gramEnd"/>
      <w:r w:rsidRPr="00FD0727">
        <w:rPr>
          <w:rFonts w:asciiTheme="majorHAnsi" w:hAnsiTheme="majorHAnsi"/>
          <w:color w:val="000000" w:themeColor="text1"/>
          <w:sz w:val="22"/>
          <w:szCs w:val="22"/>
        </w:rPr>
        <w:t xml:space="preserve"> the derivation cohort, increased plasma levels of short- and medium-chain acylcarnitines were significantly associated with hepatobiliary dysfunction, renal dysfunction, thrombocytopenia, and hyperlactatemia. However, acetylcarnitine is the only acylcarnitine significantly correlating with various plasma cytokine concentrations </w:t>
      </w:r>
      <w:proofErr w:type="gramStart"/>
      <w:r w:rsidRPr="00FD0727">
        <w:rPr>
          <w:rFonts w:asciiTheme="majorHAnsi" w:hAnsiTheme="majorHAnsi"/>
          <w:color w:val="000000" w:themeColor="text1"/>
          <w:sz w:val="22"/>
          <w:szCs w:val="22"/>
        </w:rPr>
        <w:t>and also</w:t>
      </w:r>
      <w:proofErr w:type="gramEnd"/>
      <w:r w:rsidRPr="00FD0727">
        <w:rPr>
          <w:rFonts w:asciiTheme="majorHAnsi" w:hAnsiTheme="majorHAnsi"/>
          <w:color w:val="000000" w:themeColor="text1"/>
          <w:sz w:val="22"/>
          <w:szCs w:val="22"/>
        </w:rPr>
        <w:t xml:space="preserve"> associated with blood culture positivity and 28-day mortality risk. The association between plasma acetylcarnitine and multiple organ dysfunction severity, blood culture positivity, and 28-day mortality, was confirmed in the validation cohort. Patients with high plasma acetylcarnitine (≥ 6,000 ng</w:t>
      </w:r>
      <w:r w:rsidRPr="00FD0727">
        <w:rPr>
          <w:rFonts w:asciiTheme="majorHAnsi" w:hAnsiTheme="majorHAnsi"/>
          <w:i/>
          <w:color w:val="000000" w:themeColor="text1"/>
          <w:sz w:val="22"/>
          <w:szCs w:val="22"/>
        </w:rPr>
        <w:t>mL) had significantly increased 28-day mortality compared with those with plasma acetylcarnitine less than 6,000</w:t>
      </w:r>
      <w:r w:rsidRPr="00FD0727">
        <w:rPr>
          <w:rFonts w:asciiTheme="majorHAnsi" w:hAnsiTheme="majorHAnsi"/>
          <w:color w:val="000000" w:themeColor="text1"/>
          <w:sz w:val="22"/>
          <w:szCs w:val="22"/>
        </w:rPr>
        <w:t> </w:t>
      </w:r>
      <w:r w:rsidRPr="00FD0727">
        <w:rPr>
          <w:rFonts w:asciiTheme="majorHAnsi" w:hAnsiTheme="majorHAnsi"/>
          <w:i/>
          <w:color w:val="000000" w:themeColor="text1"/>
          <w:sz w:val="22"/>
          <w:szCs w:val="22"/>
        </w:rPr>
        <w:t>ng</w:t>
      </w:r>
      <w:r w:rsidRPr="00FD0727">
        <w:rPr>
          <w:rFonts w:asciiTheme="majorHAnsi" w:hAnsiTheme="majorHAnsi"/>
          <w:color w:val="000000" w:themeColor="text1"/>
          <w:sz w:val="22"/>
          <w:szCs w:val="22"/>
        </w:rPr>
        <w:t>mL (52.6% vs 13.9%; hazard ratio, 5.293; 95% CI, 2.340-11.975; p &lt; 0.001 by Cox proportional hazard model).</w:t>
      </w:r>
    </w:p>
    <w:p w14:paraId="43A8C789" w14:textId="77777777" w:rsidR="00C776B7" w:rsidRPr="00FD0727" w:rsidRDefault="00C776B7">
      <w:pPr>
        <w:rPr>
          <w:rFonts w:asciiTheme="majorHAnsi" w:hAnsiTheme="majorHAnsi"/>
          <w:color w:val="000000" w:themeColor="text1"/>
          <w:sz w:val="22"/>
          <w:szCs w:val="22"/>
        </w:rPr>
      </w:pPr>
    </w:p>
    <w:p w14:paraId="3CFBA292"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lastRenderedPageBreak/>
        <w:t>CONCLUSIONS:We</w:t>
      </w:r>
      <w:proofErr w:type="gramEnd"/>
      <w:r w:rsidRPr="00FD0727">
        <w:rPr>
          <w:rFonts w:asciiTheme="majorHAnsi" w:hAnsiTheme="majorHAnsi"/>
          <w:color w:val="000000" w:themeColor="text1"/>
          <w:sz w:val="22"/>
          <w:szCs w:val="22"/>
        </w:rPr>
        <w:t xml:space="preserve"> confirm that plasma acetylcarnitine can reflect the severity of organ dysfunction, inflammation, and infection in sepsis and can serve as a prognostic biomarker for mortality prediction.</w:t>
      </w:r>
    </w:p>
    <w:p w14:paraId="1C987FAD" w14:textId="77777777" w:rsidR="00C776B7" w:rsidRPr="00FD0727" w:rsidRDefault="00C776B7">
      <w:pPr>
        <w:rPr>
          <w:rFonts w:asciiTheme="majorHAnsi" w:hAnsiTheme="majorHAnsi"/>
          <w:color w:val="000000" w:themeColor="text1"/>
          <w:sz w:val="22"/>
          <w:szCs w:val="22"/>
        </w:rPr>
      </w:pPr>
    </w:p>
    <w:p w14:paraId="2166D203"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Critical Care Medicine, 2019 vol. 47 (2) pp. 210-218.</w:t>
      </w:r>
    </w:p>
    <w:p w14:paraId="00937F7B" w14:textId="77777777" w:rsidR="00C776B7" w:rsidRDefault="00FD0727">
      <w:pPr>
        <w:rPr>
          <w:rStyle w:val="Hyperlink"/>
          <w:rFonts w:asciiTheme="majorHAnsi" w:hAnsiTheme="majorHAnsi"/>
          <w:color w:val="000000" w:themeColor="text1"/>
          <w:sz w:val="22"/>
          <w:szCs w:val="22"/>
        </w:rPr>
      </w:pPr>
      <w:hyperlink r:id="rId12" w:history="1">
        <w:r w:rsidRPr="00FD0727">
          <w:rPr>
            <w:rStyle w:val="Hyperlink"/>
            <w:rFonts w:asciiTheme="majorHAnsi" w:hAnsiTheme="majorHAnsi"/>
            <w:color w:val="000000" w:themeColor="text1"/>
            <w:sz w:val="22"/>
            <w:szCs w:val="22"/>
          </w:rPr>
          <w:t>http://eutils.ncbi.nlm.nih.gov/entrez/eutils/elink.fcgi?dbfrom=pubmed&amp;id=30379669&amp;retmode=ref&amp;cmd=prlinks</w:t>
        </w:r>
      </w:hyperlink>
    </w:p>
    <w:p w14:paraId="358E429D" w14:textId="77777777" w:rsidR="00051B86" w:rsidRPr="00FD0727" w:rsidRDefault="00051B86">
      <w:pPr>
        <w:rPr>
          <w:rFonts w:asciiTheme="majorHAnsi" w:hAnsiTheme="majorHAnsi"/>
          <w:color w:val="000000" w:themeColor="text1"/>
          <w:sz w:val="22"/>
          <w:szCs w:val="22"/>
        </w:rPr>
      </w:pPr>
    </w:p>
    <w:p w14:paraId="2D9E4BF7"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2CD51A40" w14:textId="77777777" w:rsidR="00C776B7" w:rsidRPr="00051B86" w:rsidRDefault="00FD0727">
      <w:pPr>
        <w:pStyle w:val="Heading4"/>
        <w:rPr>
          <w:rFonts w:asciiTheme="majorHAnsi" w:hAnsiTheme="majorHAnsi"/>
          <w:b/>
          <w:color w:val="000000" w:themeColor="text1"/>
          <w:sz w:val="22"/>
          <w:szCs w:val="22"/>
        </w:rPr>
      </w:pPr>
      <w:r w:rsidRPr="00051B86">
        <w:rPr>
          <w:rFonts w:asciiTheme="majorHAnsi" w:hAnsiTheme="majorHAnsi"/>
          <w:b/>
          <w:color w:val="000000" w:themeColor="text1"/>
          <w:sz w:val="22"/>
          <w:szCs w:val="22"/>
        </w:rPr>
        <w:t>Postarrest Steroid Use May Improve Outcomes of Cardiac Arrest Survivors.</w:t>
      </w:r>
    </w:p>
    <w:p w14:paraId="065CC2B9" w14:textId="77777777" w:rsidR="00C776B7" w:rsidRPr="00FD0727" w:rsidRDefault="00C776B7">
      <w:pPr>
        <w:rPr>
          <w:rFonts w:asciiTheme="majorHAnsi" w:hAnsiTheme="majorHAnsi"/>
          <w:color w:val="000000" w:themeColor="text1"/>
          <w:sz w:val="22"/>
          <w:szCs w:val="22"/>
        </w:rPr>
      </w:pPr>
    </w:p>
    <w:p w14:paraId="2FA6F2E6"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Min-Shan Tsai, Po-Ya Chuang, Chien-Hua Huang, Chao-Hsiun Tang, Ping-Hsun Yu, Wei-Tien Chang, and Wen-Jone Chen.</w:t>
      </w:r>
    </w:p>
    <w:p w14:paraId="32C1242B" w14:textId="77777777" w:rsidR="00C776B7" w:rsidRPr="00FD0727" w:rsidRDefault="00C776B7">
      <w:pPr>
        <w:rPr>
          <w:rFonts w:asciiTheme="majorHAnsi" w:hAnsiTheme="majorHAnsi"/>
          <w:color w:val="000000" w:themeColor="text1"/>
          <w:sz w:val="22"/>
          <w:szCs w:val="22"/>
        </w:rPr>
      </w:pPr>
    </w:p>
    <w:p w14:paraId="36954B75"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OBJECTIVES:To</w:t>
      </w:r>
      <w:proofErr w:type="gramEnd"/>
      <w:r w:rsidRPr="00FD0727">
        <w:rPr>
          <w:rFonts w:asciiTheme="majorHAnsi" w:hAnsiTheme="majorHAnsi"/>
          <w:color w:val="000000" w:themeColor="text1"/>
          <w:sz w:val="22"/>
          <w:szCs w:val="22"/>
        </w:rPr>
        <w:t xml:space="preserve"> evaluate the ramifications of steroid use during postarrest care.</w:t>
      </w:r>
    </w:p>
    <w:p w14:paraId="187C8612" w14:textId="77777777" w:rsidR="00C776B7" w:rsidRPr="00FD0727" w:rsidRDefault="00C776B7">
      <w:pPr>
        <w:rPr>
          <w:rFonts w:asciiTheme="majorHAnsi" w:hAnsiTheme="majorHAnsi"/>
          <w:color w:val="000000" w:themeColor="text1"/>
          <w:sz w:val="22"/>
          <w:szCs w:val="22"/>
        </w:rPr>
      </w:pPr>
    </w:p>
    <w:p w14:paraId="7C302DB6"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DESIGN:Retrospective</w:t>
      </w:r>
      <w:proofErr w:type="gramEnd"/>
      <w:r w:rsidRPr="00FD0727">
        <w:rPr>
          <w:rFonts w:asciiTheme="majorHAnsi" w:hAnsiTheme="majorHAnsi"/>
          <w:color w:val="000000" w:themeColor="text1"/>
          <w:sz w:val="22"/>
          <w:szCs w:val="22"/>
        </w:rPr>
        <w:t xml:space="preserve"> observational population-based study enrolled patients during years 2004-2011 with 1-year follow-up.</w:t>
      </w:r>
    </w:p>
    <w:p w14:paraId="5F56A2C4" w14:textId="77777777" w:rsidR="00C776B7" w:rsidRPr="00FD0727" w:rsidRDefault="00C776B7">
      <w:pPr>
        <w:rPr>
          <w:rFonts w:asciiTheme="majorHAnsi" w:hAnsiTheme="majorHAnsi"/>
          <w:color w:val="000000" w:themeColor="text1"/>
          <w:sz w:val="22"/>
          <w:szCs w:val="22"/>
        </w:rPr>
      </w:pPr>
    </w:p>
    <w:p w14:paraId="19AF1897"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SETTING:Taiwan</w:t>
      </w:r>
      <w:proofErr w:type="gramEnd"/>
      <w:r w:rsidRPr="00FD0727">
        <w:rPr>
          <w:rFonts w:asciiTheme="majorHAnsi" w:hAnsiTheme="majorHAnsi"/>
          <w:color w:val="000000" w:themeColor="text1"/>
          <w:sz w:val="22"/>
          <w:szCs w:val="22"/>
        </w:rPr>
        <w:t xml:space="preserve"> National Health Insurance Research Database.</w:t>
      </w:r>
    </w:p>
    <w:p w14:paraId="6D4F1518" w14:textId="77777777" w:rsidR="00C776B7" w:rsidRPr="00FD0727" w:rsidRDefault="00C776B7">
      <w:pPr>
        <w:rPr>
          <w:rFonts w:asciiTheme="majorHAnsi" w:hAnsiTheme="majorHAnsi"/>
          <w:color w:val="000000" w:themeColor="text1"/>
          <w:sz w:val="22"/>
          <w:szCs w:val="22"/>
        </w:rPr>
      </w:pPr>
    </w:p>
    <w:p w14:paraId="0DE93B6C"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PATIENTS:Adult</w:t>
      </w:r>
      <w:proofErr w:type="gramEnd"/>
      <w:r w:rsidRPr="00FD0727">
        <w:rPr>
          <w:rFonts w:asciiTheme="majorHAnsi" w:hAnsiTheme="majorHAnsi"/>
          <w:color w:val="000000" w:themeColor="text1"/>
          <w:sz w:val="22"/>
          <w:szCs w:val="22"/>
        </w:rPr>
        <w:t xml:space="preserve"> nontraumatic cardiac arrest patients in the emergency department, who survived to admission.</w:t>
      </w:r>
    </w:p>
    <w:p w14:paraId="479961E5" w14:textId="77777777" w:rsidR="00C776B7" w:rsidRPr="00FD0727" w:rsidRDefault="00C776B7">
      <w:pPr>
        <w:rPr>
          <w:rFonts w:asciiTheme="majorHAnsi" w:hAnsiTheme="majorHAnsi"/>
          <w:color w:val="000000" w:themeColor="text1"/>
          <w:sz w:val="22"/>
          <w:szCs w:val="22"/>
        </w:rPr>
      </w:pPr>
    </w:p>
    <w:p w14:paraId="624D68DA"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INTERVENTIONS:These</w:t>
      </w:r>
      <w:proofErr w:type="gramEnd"/>
      <w:r w:rsidRPr="00FD0727">
        <w:rPr>
          <w:rFonts w:asciiTheme="majorHAnsi" w:hAnsiTheme="majorHAnsi"/>
          <w:color w:val="000000" w:themeColor="text1"/>
          <w:sz w:val="22"/>
          <w:szCs w:val="22"/>
        </w:rPr>
        <w:t xml:space="preserve"> patients were classified into the steroid and nonsteroid groups based on whether steroid was used or not during hospitalization. A propensity score was used to match patient underlying characteristics, steroid use prior to cardiac arrest, the vasopressors, and shockable rhythm during cardiopulmonary resuscitation, hospital level, and socioeconomic status.</w:t>
      </w:r>
    </w:p>
    <w:p w14:paraId="4EBC6B28" w14:textId="77777777" w:rsidR="00C776B7" w:rsidRPr="00FD0727" w:rsidRDefault="00C776B7">
      <w:pPr>
        <w:rPr>
          <w:rFonts w:asciiTheme="majorHAnsi" w:hAnsiTheme="majorHAnsi"/>
          <w:color w:val="000000" w:themeColor="text1"/>
          <w:sz w:val="22"/>
          <w:szCs w:val="22"/>
        </w:rPr>
      </w:pPr>
    </w:p>
    <w:p w14:paraId="2D67AFF4"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MEASUREMENTS AND MAIN </w:t>
      </w:r>
      <w:proofErr w:type="gramStart"/>
      <w:r w:rsidRPr="00FD0727">
        <w:rPr>
          <w:rFonts w:asciiTheme="majorHAnsi" w:hAnsiTheme="majorHAnsi"/>
          <w:color w:val="000000" w:themeColor="text1"/>
          <w:sz w:val="22"/>
          <w:szCs w:val="22"/>
        </w:rPr>
        <w:t>RESULTS:There</w:t>
      </w:r>
      <w:proofErr w:type="gramEnd"/>
      <w:r w:rsidRPr="00FD0727">
        <w:rPr>
          <w:rFonts w:asciiTheme="majorHAnsi" w:hAnsiTheme="majorHAnsi"/>
          <w:color w:val="000000" w:themeColor="text1"/>
          <w:sz w:val="22"/>
          <w:szCs w:val="22"/>
        </w:rPr>
        <w:t xml:space="preserve"> were 5,445 patients in each group after propensity score matching. A total of 4,119 patients (75.65%) in the steroid group died during hospitalization, as compared with 4,403 patients (80.86%) in the nonsteroid group (adjusted hazard ratio, 0.74; 95% CI, 0.70-0.77; p &lt; 0.0001). The mortality rate at 1 year was significantly lower in the steroid group than in the nonsteroid group (83.54% vs 87.77%; adjusted hazard ratio, 0.73; 95% CI, 0.70-0.76; p &lt; 0.0001). Steroid use during hospitalization was associated with survival to discharge, regardless of age, gender, underlying diseases (diabetes mellitus, chronic obstructive pulmonary disease, asthma), shockable rhythm, and steroid use prior to cardiac arrest.</w:t>
      </w:r>
    </w:p>
    <w:p w14:paraId="7DD5F5FC" w14:textId="77777777" w:rsidR="00C776B7" w:rsidRPr="00FD0727" w:rsidRDefault="00C776B7">
      <w:pPr>
        <w:rPr>
          <w:rFonts w:asciiTheme="majorHAnsi" w:hAnsiTheme="majorHAnsi"/>
          <w:color w:val="000000" w:themeColor="text1"/>
          <w:sz w:val="22"/>
          <w:szCs w:val="22"/>
        </w:rPr>
      </w:pPr>
    </w:p>
    <w:p w14:paraId="144AB64B"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CONCLUSIONS:In</w:t>
      </w:r>
      <w:proofErr w:type="gramEnd"/>
      <w:r w:rsidRPr="00FD0727">
        <w:rPr>
          <w:rFonts w:asciiTheme="majorHAnsi" w:hAnsiTheme="majorHAnsi"/>
          <w:color w:val="000000" w:themeColor="text1"/>
          <w:sz w:val="22"/>
          <w:szCs w:val="22"/>
        </w:rPr>
        <w:t xml:space="preserve"> this retrospective observational study, postarrest steroid use was associated with better survival to hospital discharge and 1-year survival.</w:t>
      </w:r>
    </w:p>
    <w:p w14:paraId="11400489" w14:textId="77777777" w:rsidR="00C776B7" w:rsidRPr="00FD0727" w:rsidRDefault="00C776B7">
      <w:pPr>
        <w:rPr>
          <w:rFonts w:asciiTheme="majorHAnsi" w:hAnsiTheme="majorHAnsi"/>
          <w:color w:val="000000" w:themeColor="text1"/>
          <w:sz w:val="22"/>
          <w:szCs w:val="22"/>
        </w:rPr>
      </w:pPr>
    </w:p>
    <w:p w14:paraId="5FFAB277"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Critical Care Medicine, 2019 vol. 47 (2) pp. 167-175.</w:t>
      </w:r>
    </w:p>
    <w:p w14:paraId="2F9D7000" w14:textId="77777777" w:rsidR="00C776B7" w:rsidRDefault="00FD0727">
      <w:pPr>
        <w:rPr>
          <w:rStyle w:val="Hyperlink"/>
          <w:rFonts w:asciiTheme="majorHAnsi" w:hAnsiTheme="majorHAnsi"/>
          <w:color w:val="000000" w:themeColor="text1"/>
          <w:sz w:val="22"/>
          <w:szCs w:val="22"/>
        </w:rPr>
      </w:pPr>
      <w:hyperlink r:id="rId13" w:history="1">
        <w:r w:rsidRPr="00FD0727">
          <w:rPr>
            <w:rStyle w:val="Hyperlink"/>
            <w:rFonts w:asciiTheme="majorHAnsi" w:hAnsiTheme="majorHAnsi"/>
            <w:color w:val="000000" w:themeColor="text1"/>
            <w:sz w:val="22"/>
            <w:szCs w:val="22"/>
          </w:rPr>
          <w:t>http://eutils.ncbi.nlm.nih.gov/entrez/eutils/elink.fcgi?dbfrom=pubmed&amp;id=30308548&amp;retmode=ref&amp;cmd=prlinks</w:t>
        </w:r>
      </w:hyperlink>
    </w:p>
    <w:p w14:paraId="45DE71A3" w14:textId="77777777" w:rsidR="00051B86" w:rsidRPr="00FD0727" w:rsidRDefault="00051B86">
      <w:pPr>
        <w:rPr>
          <w:rFonts w:asciiTheme="majorHAnsi" w:hAnsiTheme="majorHAnsi"/>
          <w:color w:val="000000" w:themeColor="text1"/>
          <w:sz w:val="22"/>
          <w:szCs w:val="22"/>
        </w:rPr>
      </w:pPr>
    </w:p>
    <w:p w14:paraId="01BA588E"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64E3E6FF" w14:textId="77777777" w:rsidR="00C776B7" w:rsidRPr="00051B86" w:rsidRDefault="00FD0727">
      <w:pPr>
        <w:pStyle w:val="Heading4"/>
        <w:rPr>
          <w:rFonts w:asciiTheme="majorHAnsi" w:hAnsiTheme="majorHAnsi"/>
          <w:b/>
          <w:color w:val="000000" w:themeColor="text1"/>
          <w:sz w:val="22"/>
          <w:szCs w:val="22"/>
        </w:rPr>
      </w:pPr>
      <w:r w:rsidRPr="00051B86">
        <w:rPr>
          <w:rFonts w:asciiTheme="majorHAnsi" w:hAnsiTheme="majorHAnsi"/>
          <w:b/>
          <w:color w:val="000000" w:themeColor="text1"/>
          <w:sz w:val="22"/>
          <w:szCs w:val="22"/>
        </w:rPr>
        <w:t>Renin as a Marker of Tissue-Perfusion and Prognosis in Critically Ill Patients.</w:t>
      </w:r>
    </w:p>
    <w:p w14:paraId="1621B350" w14:textId="77777777" w:rsidR="00C776B7" w:rsidRPr="00FD0727" w:rsidRDefault="00C776B7">
      <w:pPr>
        <w:rPr>
          <w:rFonts w:asciiTheme="majorHAnsi" w:hAnsiTheme="majorHAnsi"/>
          <w:color w:val="000000" w:themeColor="text1"/>
          <w:sz w:val="22"/>
          <w:szCs w:val="22"/>
        </w:rPr>
      </w:pPr>
    </w:p>
    <w:p w14:paraId="25E8B30B"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lastRenderedPageBreak/>
        <w:t>Patrick J Gleeson, Ilaria Alice Crippa, Wasineenart Mongkolpun, Federica Zama Cavicchi, Tess Van Meerhaeghe, Serge Brimioulle, Fabio Silvio Taccone, Jean-Louis Vincent, and Jacques Creteur.</w:t>
      </w:r>
    </w:p>
    <w:p w14:paraId="6B298290" w14:textId="77777777" w:rsidR="00C776B7" w:rsidRPr="00FD0727" w:rsidRDefault="00C776B7">
      <w:pPr>
        <w:rPr>
          <w:rFonts w:asciiTheme="majorHAnsi" w:hAnsiTheme="majorHAnsi"/>
          <w:color w:val="000000" w:themeColor="text1"/>
          <w:sz w:val="22"/>
          <w:szCs w:val="22"/>
        </w:rPr>
      </w:pPr>
    </w:p>
    <w:p w14:paraId="3282B8C9"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OBJECTIVES:To</w:t>
      </w:r>
      <w:proofErr w:type="gramEnd"/>
      <w:r w:rsidRPr="00FD0727">
        <w:rPr>
          <w:rFonts w:asciiTheme="majorHAnsi" w:hAnsiTheme="majorHAnsi"/>
          <w:color w:val="000000" w:themeColor="text1"/>
          <w:sz w:val="22"/>
          <w:szCs w:val="22"/>
        </w:rPr>
        <w:t xml:space="preserve"> characterize renin in critically ill patients. Renin is fundamental to circulatory homeostasis and could be a useful marker of tissue-perfusion. However, diurnal variation, continuous renal replacement therapy and drug-interference could confound its use in critical care practice.</w:t>
      </w:r>
    </w:p>
    <w:p w14:paraId="5BF7D534" w14:textId="77777777" w:rsidR="00C776B7" w:rsidRPr="00FD0727" w:rsidRDefault="00C776B7">
      <w:pPr>
        <w:rPr>
          <w:rFonts w:asciiTheme="majorHAnsi" w:hAnsiTheme="majorHAnsi"/>
          <w:color w:val="000000" w:themeColor="text1"/>
          <w:sz w:val="22"/>
          <w:szCs w:val="22"/>
        </w:rPr>
      </w:pPr>
    </w:p>
    <w:p w14:paraId="4DBB1218"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DESIGN:Prospective</w:t>
      </w:r>
      <w:proofErr w:type="gramEnd"/>
      <w:r w:rsidRPr="00FD0727">
        <w:rPr>
          <w:rFonts w:asciiTheme="majorHAnsi" w:hAnsiTheme="majorHAnsi"/>
          <w:color w:val="000000" w:themeColor="text1"/>
          <w:sz w:val="22"/>
          <w:szCs w:val="22"/>
        </w:rPr>
        <w:t xml:space="preserve"> observational study.</w:t>
      </w:r>
    </w:p>
    <w:p w14:paraId="1CB1F345" w14:textId="77777777" w:rsidR="00C776B7" w:rsidRPr="00FD0727" w:rsidRDefault="00C776B7">
      <w:pPr>
        <w:rPr>
          <w:rFonts w:asciiTheme="majorHAnsi" w:hAnsiTheme="majorHAnsi"/>
          <w:color w:val="000000" w:themeColor="text1"/>
          <w:sz w:val="22"/>
          <w:szCs w:val="22"/>
        </w:rPr>
      </w:pPr>
    </w:p>
    <w:p w14:paraId="71CE5BA8"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SETTING:Single</w:t>
      </w:r>
      <w:proofErr w:type="gramEnd"/>
      <w:r w:rsidRPr="00FD0727">
        <w:rPr>
          <w:rFonts w:asciiTheme="majorHAnsi" w:hAnsiTheme="majorHAnsi"/>
          <w:color w:val="000000" w:themeColor="text1"/>
          <w:sz w:val="22"/>
          <w:szCs w:val="22"/>
        </w:rPr>
        <w:t>-center, mixed medical-surgical ICU in Europe.</w:t>
      </w:r>
    </w:p>
    <w:p w14:paraId="149F21B6" w14:textId="77777777" w:rsidR="00C776B7" w:rsidRPr="00FD0727" w:rsidRDefault="00C776B7">
      <w:pPr>
        <w:rPr>
          <w:rFonts w:asciiTheme="majorHAnsi" w:hAnsiTheme="majorHAnsi"/>
          <w:color w:val="000000" w:themeColor="text1"/>
          <w:sz w:val="22"/>
          <w:szCs w:val="22"/>
        </w:rPr>
      </w:pPr>
    </w:p>
    <w:p w14:paraId="37DD0953"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PATIENTS:Patients</w:t>
      </w:r>
      <w:proofErr w:type="gramEnd"/>
      <w:r w:rsidRPr="00FD0727">
        <w:rPr>
          <w:rFonts w:asciiTheme="majorHAnsi" w:hAnsiTheme="majorHAnsi"/>
          <w:color w:val="000000" w:themeColor="text1"/>
          <w:sz w:val="22"/>
          <w:szCs w:val="22"/>
        </w:rPr>
        <w:t xml:space="preserve"> over 18 years old with a baseline estimated glomerular filtration rate greater than 30 mL/min/1.73 m and anticipated ICU stay greater than 24 hours. Informed consent was obtained from the patient or next-of-kin.</w:t>
      </w:r>
    </w:p>
    <w:p w14:paraId="35BB968F" w14:textId="77777777" w:rsidR="00C776B7" w:rsidRPr="00FD0727" w:rsidRDefault="00C776B7">
      <w:pPr>
        <w:rPr>
          <w:rFonts w:asciiTheme="majorHAnsi" w:hAnsiTheme="majorHAnsi"/>
          <w:color w:val="000000" w:themeColor="text1"/>
          <w:sz w:val="22"/>
          <w:szCs w:val="22"/>
        </w:rPr>
      </w:pPr>
    </w:p>
    <w:p w14:paraId="788BCAE1"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INTERVENTIONS:Direct</w:t>
      </w:r>
      <w:proofErr w:type="gramEnd"/>
      <w:r w:rsidRPr="00FD0727">
        <w:rPr>
          <w:rFonts w:asciiTheme="majorHAnsi" w:hAnsiTheme="majorHAnsi"/>
          <w:color w:val="000000" w:themeColor="text1"/>
          <w:sz w:val="22"/>
          <w:szCs w:val="22"/>
        </w:rPr>
        <w:t xml:space="preserve"> plasma renin was measured in samples drawn 6-hourly from arterial catheters in recumbent patients and from extracorporeal continuous renal replacement therapy circuits. Physiologic variables and use of drugs that act on the renin-angiotensin-aldosterone system were recorded prospectively. Routine lactate measurements were used for comparison.</w:t>
      </w:r>
    </w:p>
    <w:p w14:paraId="25F31F43" w14:textId="77777777" w:rsidR="00C776B7" w:rsidRPr="00FD0727" w:rsidRDefault="00C776B7">
      <w:pPr>
        <w:rPr>
          <w:rFonts w:asciiTheme="majorHAnsi" w:hAnsiTheme="majorHAnsi"/>
          <w:color w:val="000000" w:themeColor="text1"/>
          <w:sz w:val="22"/>
          <w:szCs w:val="22"/>
        </w:rPr>
      </w:pPr>
    </w:p>
    <w:p w14:paraId="7B031B30"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MEASUREMENTS AND MAIN </w:t>
      </w:r>
      <w:proofErr w:type="gramStart"/>
      <w:r w:rsidRPr="00FD0727">
        <w:rPr>
          <w:rFonts w:asciiTheme="majorHAnsi" w:hAnsiTheme="majorHAnsi"/>
          <w:color w:val="000000" w:themeColor="text1"/>
          <w:sz w:val="22"/>
          <w:szCs w:val="22"/>
        </w:rPr>
        <w:t>RESULTS:One</w:t>
      </w:r>
      <w:proofErr w:type="gramEnd"/>
      <w:r w:rsidRPr="00FD0727">
        <w:rPr>
          <w:rFonts w:asciiTheme="majorHAnsi" w:hAnsiTheme="majorHAnsi"/>
          <w:color w:val="000000" w:themeColor="text1"/>
          <w:sz w:val="22"/>
          <w:szCs w:val="22"/>
        </w:rPr>
        <w:t>-hundred twelve arterial samples (n = 112) were drawn from 20 patients (65% male; mean ± SD, 60 ± 14 yr old) with septic shock (30%), hemorrhagic shock (15%), cardiogenic shock (20%), or no circulatory shock (35%). The ICU mortality rate was 30%. Renin correlated significantly with urine output (repeated-measures correlation coefficient = -0.29; p = 0.015) and mean arterial blood pressure (repeated-measures correlation coefficient = -0.35; p &lt; 0.001). There was no diurnal variation of renin or significant interaction of renin-angiotensin-aldosterone system drugs with renin in this population. Continuous renal replacement therapy renin removal was negligible (mass clearance ± SD 4% ± 4.3%). There was a significant difference in the rate of change of renin over time between survivors and nonsurvivors (-32 ± 26 μU/ timepoint vs +92 ± 57 μU/ timepoint p = 0.03; mean ± SEM), but not for lactate (-0.14 ± 0.04 mM/ timepoint vs +0.15 ± 0.21 mM/ timepoint; p = 0.07). Maximum renin achieved significant prognostic value for ICU mortality (receiver operator curve area under the curve 0.80; p = 0.04), whereas maximum lactate did not (receiver operator curve area under the curve, 0.70; p = 0.17).</w:t>
      </w:r>
    </w:p>
    <w:p w14:paraId="4136F613" w14:textId="77777777" w:rsidR="00C776B7" w:rsidRPr="00FD0727" w:rsidRDefault="00C776B7">
      <w:pPr>
        <w:rPr>
          <w:rFonts w:asciiTheme="majorHAnsi" w:hAnsiTheme="majorHAnsi"/>
          <w:color w:val="000000" w:themeColor="text1"/>
          <w:sz w:val="22"/>
          <w:szCs w:val="22"/>
        </w:rPr>
      </w:pPr>
    </w:p>
    <w:p w14:paraId="748B17A2"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CONCLUSIONS:In</w:t>
      </w:r>
      <w:proofErr w:type="gramEnd"/>
      <w:r w:rsidRPr="00FD0727">
        <w:rPr>
          <w:rFonts w:asciiTheme="majorHAnsi" w:hAnsiTheme="majorHAnsi"/>
          <w:color w:val="000000" w:themeColor="text1"/>
          <w:sz w:val="22"/>
          <w:szCs w:val="22"/>
        </w:rPr>
        <w:t xml:space="preserve"> an heterogeneous ICU population, renin measurement was not significantly affected by diurnal variation, continuous renal replacement therapy, or drugs. Renin served as a marker of tissue-perfusion and outperformed lactate as a predictor of ICU mortality.</w:t>
      </w:r>
    </w:p>
    <w:p w14:paraId="17168ECD" w14:textId="77777777" w:rsidR="00C776B7" w:rsidRPr="00FD0727" w:rsidRDefault="00C776B7">
      <w:pPr>
        <w:rPr>
          <w:rFonts w:asciiTheme="majorHAnsi" w:hAnsiTheme="majorHAnsi"/>
          <w:color w:val="000000" w:themeColor="text1"/>
          <w:sz w:val="22"/>
          <w:szCs w:val="22"/>
        </w:rPr>
      </w:pPr>
    </w:p>
    <w:p w14:paraId="57710625"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Critical Care Medicine, 2019 vol. 47 (2) pp. 152-158.</w:t>
      </w:r>
    </w:p>
    <w:p w14:paraId="260591B5" w14:textId="77777777" w:rsidR="00C776B7" w:rsidRDefault="00FD0727">
      <w:pPr>
        <w:rPr>
          <w:rStyle w:val="Hyperlink"/>
          <w:rFonts w:asciiTheme="majorHAnsi" w:hAnsiTheme="majorHAnsi"/>
          <w:color w:val="000000" w:themeColor="text1"/>
          <w:sz w:val="22"/>
          <w:szCs w:val="22"/>
        </w:rPr>
      </w:pPr>
      <w:hyperlink r:id="rId14" w:history="1">
        <w:r w:rsidRPr="00FD0727">
          <w:rPr>
            <w:rStyle w:val="Hyperlink"/>
            <w:rFonts w:asciiTheme="majorHAnsi" w:hAnsiTheme="majorHAnsi"/>
            <w:color w:val="000000" w:themeColor="text1"/>
            <w:sz w:val="22"/>
            <w:szCs w:val="22"/>
          </w:rPr>
          <w:t>http://eutils.ncbi.nlm.nih.gov/entrez/eutils/elink.fcgi?dbfrom=pubmed&amp;id=30653055&amp;retmode=ref&amp;cmd=prlinks</w:t>
        </w:r>
      </w:hyperlink>
    </w:p>
    <w:p w14:paraId="3EB3A58B" w14:textId="77777777" w:rsidR="00051B86" w:rsidRPr="00FD0727" w:rsidRDefault="00051B86">
      <w:pPr>
        <w:rPr>
          <w:rFonts w:asciiTheme="majorHAnsi" w:hAnsiTheme="majorHAnsi"/>
          <w:color w:val="000000" w:themeColor="text1"/>
          <w:sz w:val="22"/>
          <w:szCs w:val="22"/>
        </w:rPr>
      </w:pPr>
    </w:p>
    <w:p w14:paraId="0CE2A8B4"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6E6EC7BF" w14:textId="77777777" w:rsidR="00C776B7" w:rsidRPr="00051B86" w:rsidRDefault="00FD0727">
      <w:pPr>
        <w:pStyle w:val="Heading4"/>
        <w:rPr>
          <w:rFonts w:asciiTheme="majorHAnsi" w:hAnsiTheme="majorHAnsi"/>
          <w:b/>
          <w:color w:val="000000" w:themeColor="text1"/>
          <w:sz w:val="22"/>
          <w:szCs w:val="22"/>
        </w:rPr>
      </w:pPr>
      <w:r w:rsidRPr="00051B86">
        <w:rPr>
          <w:rFonts w:asciiTheme="majorHAnsi" w:hAnsiTheme="majorHAnsi"/>
          <w:b/>
          <w:color w:val="000000" w:themeColor="text1"/>
          <w:sz w:val="22"/>
          <w:szCs w:val="22"/>
        </w:rPr>
        <w:t xml:space="preserve">Risk Factors for New-Onset Atrial Fibrillation in Patients </w:t>
      </w:r>
      <w:proofErr w:type="gramStart"/>
      <w:r w:rsidRPr="00051B86">
        <w:rPr>
          <w:rFonts w:asciiTheme="majorHAnsi" w:hAnsiTheme="majorHAnsi"/>
          <w:b/>
          <w:color w:val="000000" w:themeColor="text1"/>
          <w:sz w:val="22"/>
          <w:szCs w:val="22"/>
        </w:rPr>
        <w:t>With</w:t>
      </w:r>
      <w:proofErr w:type="gramEnd"/>
      <w:r w:rsidRPr="00051B86">
        <w:rPr>
          <w:rFonts w:asciiTheme="majorHAnsi" w:hAnsiTheme="majorHAnsi"/>
          <w:b/>
          <w:color w:val="000000" w:themeColor="text1"/>
          <w:sz w:val="22"/>
          <w:szCs w:val="22"/>
        </w:rPr>
        <w:t xml:space="preserve"> Sepsis: A Systematic Review and Meta-Analysis.</w:t>
      </w:r>
    </w:p>
    <w:p w14:paraId="2AF1D9BB" w14:textId="77777777" w:rsidR="00C776B7" w:rsidRPr="00FD0727" w:rsidRDefault="00C776B7">
      <w:pPr>
        <w:rPr>
          <w:rFonts w:asciiTheme="majorHAnsi" w:hAnsiTheme="majorHAnsi"/>
          <w:color w:val="000000" w:themeColor="text1"/>
          <w:sz w:val="22"/>
          <w:szCs w:val="22"/>
        </w:rPr>
      </w:pPr>
    </w:p>
    <w:p w14:paraId="1B3AB1C7"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Nicholas A Bosch, David M Cohen, and Allan J Walkey.</w:t>
      </w:r>
    </w:p>
    <w:p w14:paraId="35C2E6C7" w14:textId="77777777" w:rsidR="00C776B7" w:rsidRPr="00FD0727" w:rsidRDefault="00C776B7">
      <w:pPr>
        <w:rPr>
          <w:rFonts w:asciiTheme="majorHAnsi" w:hAnsiTheme="majorHAnsi"/>
          <w:color w:val="000000" w:themeColor="text1"/>
          <w:sz w:val="22"/>
          <w:szCs w:val="22"/>
        </w:rPr>
      </w:pPr>
    </w:p>
    <w:p w14:paraId="111C1EB6"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lastRenderedPageBreak/>
        <w:t>OBJECTIVE:Atrial</w:t>
      </w:r>
      <w:proofErr w:type="gramEnd"/>
      <w:r w:rsidRPr="00FD0727">
        <w:rPr>
          <w:rFonts w:asciiTheme="majorHAnsi" w:hAnsiTheme="majorHAnsi"/>
          <w:color w:val="000000" w:themeColor="text1"/>
          <w:sz w:val="22"/>
          <w:szCs w:val="22"/>
        </w:rPr>
        <w:t xml:space="preserve"> fibrillation frequently develops in patients with sepsis and is associated with increased morbidity and mortality. Unfortunately, risk factors for new-onset atrial fibrillation in sepsis have not been clearly elucidated. Clarification of the risk factors for atrial fibrillation during sepsis may improve our understanding of the mechanisms of arrhythmia development and help guide clinical practice.</w:t>
      </w:r>
    </w:p>
    <w:p w14:paraId="7ED2EB5A" w14:textId="77777777" w:rsidR="00C776B7" w:rsidRPr="00FD0727" w:rsidRDefault="00C776B7">
      <w:pPr>
        <w:rPr>
          <w:rFonts w:asciiTheme="majorHAnsi" w:hAnsiTheme="majorHAnsi"/>
          <w:color w:val="000000" w:themeColor="text1"/>
          <w:sz w:val="22"/>
          <w:szCs w:val="22"/>
        </w:rPr>
      </w:pPr>
    </w:p>
    <w:p w14:paraId="7C9BE795"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DATA </w:t>
      </w:r>
      <w:proofErr w:type="gramStart"/>
      <w:r w:rsidRPr="00FD0727">
        <w:rPr>
          <w:rFonts w:asciiTheme="majorHAnsi" w:hAnsiTheme="majorHAnsi"/>
          <w:color w:val="000000" w:themeColor="text1"/>
          <w:sz w:val="22"/>
          <w:szCs w:val="22"/>
        </w:rPr>
        <w:t>SOURCES:Medline</w:t>
      </w:r>
      <w:proofErr w:type="gramEnd"/>
      <w:r w:rsidRPr="00FD0727">
        <w:rPr>
          <w:rFonts w:asciiTheme="majorHAnsi" w:hAnsiTheme="majorHAnsi"/>
          <w:color w:val="000000" w:themeColor="text1"/>
          <w:sz w:val="22"/>
          <w:szCs w:val="22"/>
        </w:rPr>
        <w:t>, Embase, Web of Science, and Cochrane CENTRAL.</w:t>
      </w:r>
    </w:p>
    <w:p w14:paraId="04104421" w14:textId="77777777" w:rsidR="00C776B7" w:rsidRPr="00FD0727" w:rsidRDefault="00C776B7">
      <w:pPr>
        <w:rPr>
          <w:rFonts w:asciiTheme="majorHAnsi" w:hAnsiTheme="majorHAnsi"/>
          <w:color w:val="000000" w:themeColor="text1"/>
          <w:sz w:val="22"/>
          <w:szCs w:val="22"/>
        </w:rPr>
      </w:pPr>
    </w:p>
    <w:p w14:paraId="7F126958"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STUDY </w:t>
      </w:r>
      <w:proofErr w:type="gramStart"/>
      <w:r w:rsidRPr="00FD0727">
        <w:rPr>
          <w:rFonts w:asciiTheme="majorHAnsi" w:hAnsiTheme="majorHAnsi"/>
          <w:color w:val="000000" w:themeColor="text1"/>
          <w:sz w:val="22"/>
          <w:szCs w:val="22"/>
        </w:rPr>
        <w:t>SELECTION:We</w:t>
      </w:r>
      <w:proofErr w:type="gramEnd"/>
      <w:r w:rsidRPr="00FD0727">
        <w:rPr>
          <w:rFonts w:asciiTheme="majorHAnsi" w:hAnsiTheme="majorHAnsi"/>
          <w:color w:val="000000" w:themeColor="text1"/>
          <w:sz w:val="22"/>
          <w:szCs w:val="22"/>
        </w:rPr>
        <w:t xml:space="preserve"> conducted a systematic review and meta-analysis to identify risk factors for new-onset atrial fibrillation during sepsis.</w:t>
      </w:r>
    </w:p>
    <w:p w14:paraId="0060607D" w14:textId="77777777" w:rsidR="00C776B7" w:rsidRPr="00FD0727" w:rsidRDefault="00C776B7">
      <w:pPr>
        <w:rPr>
          <w:rFonts w:asciiTheme="majorHAnsi" w:hAnsiTheme="majorHAnsi"/>
          <w:color w:val="000000" w:themeColor="text1"/>
          <w:sz w:val="22"/>
          <w:szCs w:val="22"/>
        </w:rPr>
      </w:pPr>
    </w:p>
    <w:p w14:paraId="0C625748"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DATA </w:t>
      </w:r>
      <w:proofErr w:type="gramStart"/>
      <w:r w:rsidRPr="00FD0727">
        <w:rPr>
          <w:rFonts w:asciiTheme="majorHAnsi" w:hAnsiTheme="majorHAnsi"/>
          <w:color w:val="000000" w:themeColor="text1"/>
          <w:sz w:val="22"/>
          <w:szCs w:val="22"/>
        </w:rPr>
        <w:t>EXTRACTION:We</w:t>
      </w:r>
      <w:proofErr w:type="gramEnd"/>
      <w:r w:rsidRPr="00FD0727">
        <w:rPr>
          <w:rFonts w:asciiTheme="majorHAnsi" w:hAnsiTheme="majorHAnsi"/>
          <w:color w:val="000000" w:themeColor="text1"/>
          <w:sz w:val="22"/>
          <w:szCs w:val="22"/>
        </w:rPr>
        <w:t xml:space="preserve"> extracted the adjusted odds ratio for each risk factor associated with new-onset atrial fibrillation during sepsis. For risk factors present in more than one study, we calculated pooled odds ratios (meta-analysis). We classified risk factors according to type and quantified the factor effect sizes. We then compared sepsis-associated atrial fibrillation risk factors with risk factors for community-associated atrial fibrillation.</w:t>
      </w:r>
    </w:p>
    <w:p w14:paraId="33BB1DA8" w14:textId="77777777" w:rsidR="00C776B7" w:rsidRPr="00FD0727" w:rsidRDefault="00C776B7">
      <w:pPr>
        <w:rPr>
          <w:rFonts w:asciiTheme="majorHAnsi" w:hAnsiTheme="majorHAnsi"/>
          <w:color w:val="000000" w:themeColor="text1"/>
          <w:sz w:val="22"/>
          <w:szCs w:val="22"/>
        </w:rPr>
      </w:pPr>
    </w:p>
    <w:p w14:paraId="2C6D763D"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DATA </w:t>
      </w:r>
      <w:proofErr w:type="gramStart"/>
      <w:r w:rsidRPr="00FD0727">
        <w:rPr>
          <w:rFonts w:asciiTheme="majorHAnsi" w:hAnsiTheme="majorHAnsi"/>
          <w:color w:val="000000" w:themeColor="text1"/>
          <w:sz w:val="22"/>
          <w:szCs w:val="22"/>
        </w:rPr>
        <w:t>SYNTHESIS:Forty</w:t>
      </w:r>
      <w:proofErr w:type="gramEnd"/>
      <w:r w:rsidRPr="00FD0727">
        <w:rPr>
          <w:rFonts w:asciiTheme="majorHAnsi" w:hAnsiTheme="majorHAnsi"/>
          <w:color w:val="000000" w:themeColor="text1"/>
          <w:sz w:val="22"/>
          <w:szCs w:val="22"/>
        </w:rPr>
        <w:t>-four factors were examined as possible risk factors for new-onset atrial fibrillation in sepsis, 18 of which were included in meta-analyses. Risk factors for new-onset atrial fibrillation included demographic factors, comorbid conditions, and most strongly, sepsis-related factors. Sepsis-related factors with a greater than 50% change in odds of new-onset atrial fibrillation included corticosteroid use, right heart catheterization, fungal infection, vasopressor use, and a mean arterial pressure target of 80-85 mm Hg. Several cardiovascular conditions that are known risk factors for community-associated atrial fibrillation were not identified as risk factors for new-onset atrial fibrillation in sepsis.</w:t>
      </w:r>
    </w:p>
    <w:p w14:paraId="7E5DBFEF" w14:textId="77777777" w:rsidR="00C776B7" w:rsidRPr="00FD0727" w:rsidRDefault="00C776B7">
      <w:pPr>
        <w:rPr>
          <w:rFonts w:asciiTheme="majorHAnsi" w:hAnsiTheme="majorHAnsi"/>
          <w:color w:val="000000" w:themeColor="text1"/>
          <w:sz w:val="22"/>
          <w:szCs w:val="22"/>
        </w:rPr>
      </w:pPr>
    </w:p>
    <w:p w14:paraId="6D993E1A"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CONCLUSIONS:Our</w:t>
      </w:r>
      <w:proofErr w:type="gramEnd"/>
      <w:r w:rsidRPr="00FD0727">
        <w:rPr>
          <w:rFonts w:asciiTheme="majorHAnsi" w:hAnsiTheme="majorHAnsi"/>
          <w:color w:val="000000" w:themeColor="text1"/>
          <w:sz w:val="22"/>
          <w:szCs w:val="22"/>
        </w:rPr>
        <w:t xml:space="preserve"> study shows that risk factors for new-onset atrial fibrillation during sepsis are mainly factors that are associated with the acute sepsis event and are not synonymous with risk factors for community-associated atrial fibrillation. Our results provide targets for future studies focused on atrial fibrillation prevention and have implications for several key areas in the management of patients with sepsis such as glucocorticoid administration, vasopressor selection, and blood pressure targets.</w:t>
      </w:r>
    </w:p>
    <w:p w14:paraId="2AF060DC" w14:textId="77777777" w:rsidR="00C776B7" w:rsidRPr="00FD0727" w:rsidRDefault="00C776B7">
      <w:pPr>
        <w:rPr>
          <w:rFonts w:asciiTheme="majorHAnsi" w:hAnsiTheme="majorHAnsi"/>
          <w:color w:val="000000" w:themeColor="text1"/>
          <w:sz w:val="22"/>
          <w:szCs w:val="22"/>
        </w:rPr>
      </w:pPr>
    </w:p>
    <w:p w14:paraId="62C0A3AC"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Critical Care Medicine, 2019 vol. 47 (2) pp. 280-287.</w:t>
      </w:r>
    </w:p>
    <w:p w14:paraId="1353EFD4" w14:textId="77777777" w:rsidR="00C776B7" w:rsidRDefault="00FD0727">
      <w:pPr>
        <w:rPr>
          <w:rStyle w:val="Hyperlink"/>
          <w:rFonts w:asciiTheme="majorHAnsi" w:hAnsiTheme="majorHAnsi"/>
          <w:color w:val="000000" w:themeColor="text1"/>
          <w:sz w:val="22"/>
          <w:szCs w:val="22"/>
        </w:rPr>
      </w:pPr>
      <w:hyperlink r:id="rId15" w:history="1">
        <w:r w:rsidRPr="00FD0727">
          <w:rPr>
            <w:rStyle w:val="Hyperlink"/>
            <w:rFonts w:asciiTheme="majorHAnsi" w:hAnsiTheme="majorHAnsi"/>
            <w:color w:val="000000" w:themeColor="text1"/>
            <w:sz w:val="22"/>
            <w:szCs w:val="22"/>
          </w:rPr>
          <w:t>http://eutils.ncbi.nlm.nih.gov/entrez/eutils/elink.fcgi?dbfrom=pubmed&amp;id=30653473&amp;retmode=ref&amp;cmd=prlinks</w:t>
        </w:r>
      </w:hyperlink>
    </w:p>
    <w:p w14:paraId="1624528A" w14:textId="77777777" w:rsidR="00051B86" w:rsidRPr="00FD0727" w:rsidRDefault="00051B86">
      <w:pPr>
        <w:rPr>
          <w:rFonts w:asciiTheme="majorHAnsi" w:hAnsiTheme="majorHAnsi"/>
          <w:color w:val="000000" w:themeColor="text1"/>
          <w:sz w:val="22"/>
          <w:szCs w:val="22"/>
        </w:rPr>
      </w:pPr>
    </w:p>
    <w:p w14:paraId="0A7F264B"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4AECBA87" w14:textId="77777777" w:rsidR="00C776B7" w:rsidRPr="00051B86" w:rsidRDefault="00FD0727">
      <w:pPr>
        <w:pStyle w:val="Heading4"/>
        <w:rPr>
          <w:rFonts w:asciiTheme="majorHAnsi" w:hAnsiTheme="majorHAnsi"/>
          <w:b/>
          <w:color w:val="000000" w:themeColor="text1"/>
          <w:sz w:val="22"/>
          <w:szCs w:val="22"/>
        </w:rPr>
      </w:pPr>
      <w:r w:rsidRPr="00051B86">
        <w:rPr>
          <w:rFonts w:asciiTheme="majorHAnsi" w:hAnsiTheme="majorHAnsi"/>
          <w:b/>
          <w:color w:val="000000" w:themeColor="text1"/>
          <w:sz w:val="22"/>
          <w:szCs w:val="22"/>
        </w:rPr>
        <w:t>The Effect of Propofol and Dexmedetomidine Sedation on Norepinephrine Requirements in Septic Shock Patients: A Crossover Trial.</w:t>
      </w:r>
    </w:p>
    <w:p w14:paraId="76BC981E" w14:textId="77777777" w:rsidR="00C776B7" w:rsidRPr="00FD0727" w:rsidRDefault="00C776B7">
      <w:pPr>
        <w:rPr>
          <w:rFonts w:asciiTheme="majorHAnsi" w:hAnsiTheme="majorHAnsi"/>
          <w:color w:val="000000" w:themeColor="text1"/>
          <w:sz w:val="22"/>
          <w:szCs w:val="22"/>
        </w:rPr>
      </w:pPr>
    </w:p>
    <w:p w14:paraId="3C24B740"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Andrea Morelli, Filippo Sanfilippo, Philip Arnemann, Michael Hessler, Tim G Kampmeier, Annalia D’Egidio, Alessandra Orecchioni, Cristina Santonocito, Giacomo Frati, Ernesto Greco, Martin Westphal, Sebastian W Rehberg, and Christian Ertmer.</w:t>
      </w:r>
    </w:p>
    <w:p w14:paraId="6796F1EE" w14:textId="77777777" w:rsidR="00C776B7" w:rsidRPr="00FD0727" w:rsidRDefault="00C776B7">
      <w:pPr>
        <w:rPr>
          <w:rFonts w:asciiTheme="majorHAnsi" w:hAnsiTheme="majorHAnsi"/>
          <w:color w:val="000000" w:themeColor="text1"/>
          <w:sz w:val="22"/>
          <w:szCs w:val="22"/>
        </w:rPr>
      </w:pPr>
    </w:p>
    <w:p w14:paraId="24CC35F1"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OBJECTIVES:Propofol</w:t>
      </w:r>
      <w:proofErr w:type="gramEnd"/>
      <w:r w:rsidRPr="00FD0727">
        <w:rPr>
          <w:rFonts w:asciiTheme="majorHAnsi" w:hAnsiTheme="majorHAnsi"/>
          <w:color w:val="000000" w:themeColor="text1"/>
          <w:sz w:val="22"/>
          <w:szCs w:val="22"/>
        </w:rPr>
        <w:t xml:space="preserve">-based sedation may increase hemodynamic instability by decreasing vascular tone and venous return. Incremental exogenous catecholamines doses may be required to counteract such effects, aggravating the deleterious effects of sympathetic overstimulation. α-2 adrenergic agonists have been reported to decrease norepinephrine requirements in experimental septic shock. The aim of the </w:t>
      </w:r>
      <w:r w:rsidRPr="00FD0727">
        <w:rPr>
          <w:rFonts w:asciiTheme="majorHAnsi" w:hAnsiTheme="majorHAnsi"/>
          <w:color w:val="000000" w:themeColor="text1"/>
          <w:sz w:val="22"/>
          <w:szCs w:val="22"/>
        </w:rPr>
        <w:lastRenderedPageBreak/>
        <w:t>present study is to test the hypothesis that switching from sedation with propofol to the α-2 agonist dexmedetomidine may decrease norepinephrine doses in septic shock.</w:t>
      </w:r>
    </w:p>
    <w:p w14:paraId="493E2967" w14:textId="77777777" w:rsidR="00C776B7" w:rsidRPr="00FD0727" w:rsidRDefault="00C776B7">
      <w:pPr>
        <w:rPr>
          <w:rFonts w:asciiTheme="majorHAnsi" w:hAnsiTheme="majorHAnsi"/>
          <w:color w:val="000000" w:themeColor="text1"/>
          <w:sz w:val="22"/>
          <w:szCs w:val="22"/>
        </w:rPr>
      </w:pPr>
    </w:p>
    <w:p w14:paraId="70C73FDD"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DESIGN:Prospective</w:t>
      </w:r>
      <w:proofErr w:type="gramEnd"/>
      <w:r w:rsidRPr="00FD0727">
        <w:rPr>
          <w:rFonts w:asciiTheme="majorHAnsi" w:hAnsiTheme="majorHAnsi"/>
          <w:color w:val="000000" w:themeColor="text1"/>
          <w:sz w:val="22"/>
          <w:szCs w:val="22"/>
        </w:rPr>
        <w:t xml:space="preserve"> open-label crossover study.</w:t>
      </w:r>
    </w:p>
    <w:p w14:paraId="26E9ED42" w14:textId="77777777" w:rsidR="00C776B7" w:rsidRPr="00FD0727" w:rsidRDefault="00C776B7">
      <w:pPr>
        <w:rPr>
          <w:rFonts w:asciiTheme="majorHAnsi" w:hAnsiTheme="majorHAnsi"/>
          <w:color w:val="000000" w:themeColor="text1"/>
          <w:sz w:val="22"/>
          <w:szCs w:val="22"/>
        </w:rPr>
      </w:pPr>
    </w:p>
    <w:p w14:paraId="773FCD12"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SETTINGS:University</w:t>
      </w:r>
      <w:proofErr w:type="gramEnd"/>
      <w:r w:rsidRPr="00FD0727">
        <w:rPr>
          <w:rFonts w:asciiTheme="majorHAnsi" w:hAnsiTheme="majorHAnsi"/>
          <w:color w:val="000000" w:themeColor="text1"/>
          <w:sz w:val="22"/>
          <w:szCs w:val="22"/>
        </w:rPr>
        <w:t xml:space="preserve"> hospital, ICU.</w:t>
      </w:r>
    </w:p>
    <w:p w14:paraId="65AB3268" w14:textId="77777777" w:rsidR="00C776B7" w:rsidRPr="00FD0727" w:rsidRDefault="00C776B7">
      <w:pPr>
        <w:rPr>
          <w:rFonts w:asciiTheme="majorHAnsi" w:hAnsiTheme="majorHAnsi"/>
          <w:color w:val="000000" w:themeColor="text1"/>
          <w:sz w:val="22"/>
          <w:szCs w:val="22"/>
        </w:rPr>
      </w:pPr>
    </w:p>
    <w:p w14:paraId="73B9BE2F"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PATIENTS:Thirty</w:t>
      </w:r>
      <w:proofErr w:type="gramEnd"/>
      <w:r w:rsidRPr="00FD0727">
        <w:rPr>
          <w:rFonts w:asciiTheme="majorHAnsi" w:hAnsiTheme="majorHAnsi"/>
          <w:color w:val="000000" w:themeColor="text1"/>
          <w:sz w:val="22"/>
          <w:szCs w:val="22"/>
        </w:rPr>
        <w:t>-eight septic shock patients requiring norepinephrine to maintain adequate mean arterial pressure and needing deep sedation with propofol and remifentanil to maintain a Richmond Agitation-Sedation Scale score between -3 and -4.</w:t>
      </w:r>
    </w:p>
    <w:p w14:paraId="37C1FB53" w14:textId="77777777" w:rsidR="00C776B7" w:rsidRPr="00FD0727" w:rsidRDefault="00C776B7">
      <w:pPr>
        <w:rPr>
          <w:rFonts w:asciiTheme="majorHAnsi" w:hAnsiTheme="majorHAnsi"/>
          <w:color w:val="000000" w:themeColor="text1"/>
          <w:sz w:val="22"/>
          <w:szCs w:val="22"/>
        </w:rPr>
      </w:pPr>
    </w:p>
    <w:p w14:paraId="27D36882"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INTERVENTIONS:An</w:t>
      </w:r>
      <w:proofErr w:type="gramEnd"/>
      <w:r w:rsidRPr="00FD0727">
        <w:rPr>
          <w:rFonts w:asciiTheme="majorHAnsi" w:hAnsiTheme="majorHAnsi"/>
          <w:color w:val="000000" w:themeColor="text1"/>
          <w:sz w:val="22"/>
          <w:szCs w:val="22"/>
        </w:rPr>
        <w:t xml:space="preserve"> initial set of measurements including hemodynamics, norepinephrine doses, and depth of sedation were obtained during sedation with propofol. Propofol was then replaced by dexmedetomidine and a second set of data was obtained after 4 hours of dexmedetomidine infusion. Sedation was switched back to propofol, and a final set of measurements was obtained after 8 hours. A Richmond Agitation-Sedation Scale score between -3 and -4 was maintained during the study period.</w:t>
      </w:r>
    </w:p>
    <w:p w14:paraId="745D1665" w14:textId="77777777" w:rsidR="00C776B7" w:rsidRPr="00FD0727" w:rsidRDefault="00C776B7">
      <w:pPr>
        <w:rPr>
          <w:rFonts w:asciiTheme="majorHAnsi" w:hAnsiTheme="majorHAnsi"/>
          <w:color w:val="000000" w:themeColor="text1"/>
          <w:sz w:val="22"/>
          <w:szCs w:val="22"/>
        </w:rPr>
      </w:pPr>
    </w:p>
    <w:p w14:paraId="3231125C"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MEASUREMENTS AND MAIN </w:t>
      </w:r>
      <w:proofErr w:type="gramStart"/>
      <w:r w:rsidRPr="00FD0727">
        <w:rPr>
          <w:rFonts w:asciiTheme="majorHAnsi" w:hAnsiTheme="majorHAnsi"/>
          <w:color w:val="000000" w:themeColor="text1"/>
          <w:sz w:val="22"/>
          <w:szCs w:val="22"/>
        </w:rPr>
        <w:t>RESULTS:Norepinephrine</w:t>
      </w:r>
      <w:proofErr w:type="gramEnd"/>
      <w:r w:rsidRPr="00FD0727">
        <w:rPr>
          <w:rFonts w:asciiTheme="majorHAnsi" w:hAnsiTheme="majorHAnsi"/>
          <w:color w:val="000000" w:themeColor="text1"/>
          <w:sz w:val="22"/>
          <w:szCs w:val="22"/>
        </w:rPr>
        <w:t xml:space="preserve"> requirements decreased from 0.69 ± 0.72 μg</w:t>
      </w:r>
      <w:r w:rsidRPr="00FD0727">
        <w:rPr>
          <w:rFonts w:asciiTheme="majorHAnsi" w:hAnsiTheme="majorHAnsi"/>
          <w:i/>
          <w:color w:val="000000" w:themeColor="text1"/>
          <w:sz w:val="22"/>
          <w:szCs w:val="22"/>
        </w:rPr>
        <w:t>kg</w:t>
      </w:r>
      <w:r w:rsidRPr="00FD0727">
        <w:rPr>
          <w:rFonts w:asciiTheme="majorHAnsi" w:hAnsiTheme="majorHAnsi"/>
          <w:color w:val="000000" w:themeColor="text1"/>
          <w:sz w:val="22"/>
          <w:szCs w:val="22"/>
        </w:rPr>
        <w:t>min before dexmedetomidine to 0.30 ± 0.25 μg</w:t>
      </w:r>
      <w:r w:rsidRPr="00FD0727">
        <w:rPr>
          <w:rFonts w:asciiTheme="majorHAnsi" w:hAnsiTheme="majorHAnsi"/>
          <w:i/>
          <w:color w:val="000000" w:themeColor="text1"/>
          <w:sz w:val="22"/>
          <w:szCs w:val="22"/>
        </w:rPr>
        <w:t>kg</w:t>
      </w:r>
      <w:r w:rsidRPr="00FD0727">
        <w:rPr>
          <w:rFonts w:asciiTheme="majorHAnsi" w:hAnsiTheme="majorHAnsi"/>
          <w:color w:val="000000" w:themeColor="text1"/>
          <w:sz w:val="22"/>
          <w:szCs w:val="22"/>
        </w:rPr>
        <w:t>min 4 hours after dexmedetomidine infusion, increasing again to 0.42 ± 0.36 μg</w:t>
      </w:r>
      <w:r w:rsidRPr="00FD0727">
        <w:rPr>
          <w:rFonts w:asciiTheme="majorHAnsi" w:hAnsiTheme="majorHAnsi"/>
          <w:i/>
          <w:color w:val="000000" w:themeColor="text1"/>
          <w:sz w:val="22"/>
          <w:szCs w:val="22"/>
        </w:rPr>
        <w:t>kg</w:t>
      </w:r>
      <w:r w:rsidRPr="00FD0727">
        <w:rPr>
          <w:rFonts w:asciiTheme="majorHAnsi" w:hAnsiTheme="majorHAnsi"/>
          <w:color w:val="000000" w:themeColor="text1"/>
          <w:sz w:val="22"/>
          <w:szCs w:val="22"/>
        </w:rPr>
        <w:t>min while on propofol 8 hours after stopping dexmedetomidine (p &lt; 0.005). Dexmedetomidine dosage was 0.7 ± 0.2 μg</w:t>
      </w:r>
      <w:r w:rsidRPr="00FD0727">
        <w:rPr>
          <w:rFonts w:asciiTheme="majorHAnsi" w:hAnsiTheme="majorHAnsi"/>
          <w:i/>
          <w:color w:val="000000" w:themeColor="text1"/>
          <w:sz w:val="22"/>
          <w:szCs w:val="22"/>
        </w:rPr>
        <w:t>kg</w:t>
      </w:r>
      <w:r w:rsidRPr="00FD0727">
        <w:rPr>
          <w:rFonts w:asciiTheme="majorHAnsi" w:hAnsiTheme="majorHAnsi"/>
          <w:color w:val="000000" w:themeColor="text1"/>
          <w:sz w:val="22"/>
          <w:szCs w:val="22"/>
        </w:rPr>
        <w:t>hr. Before and after dexmedetomidine infusion, sedative doses remained unchanged (propofol 2.6 ± 1.2 vs 2.6 ± 1.2 mg</w:t>
      </w:r>
      <w:r w:rsidRPr="00FD0727">
        <w:rPr>
          <w:rFonts w:asciiTheme="majorHAnsi" w:hAnsiTheme="majorHAnsi"/>
          <w:i/>
          <w:color w:val="000000" w:themeColor="text1"/>
          <w:sz w:val="22"/>
          <w:szCs w:val="22"/>
        </w:rPr>
        <w:t>kg</w:t>
      </w:r>
      <w:r w:rsidRPr="00FD0727">
        <w:rPr>
          <w:rFonts w:asciiTheme="majorHAnsi" w:hAnsiTheme="majorHAnsi"/>
          <w:color w:val="000000" w:themeColor="text1"/>
          <w:sz w:val="22"/>
          <w:szCs w:val="22"/>
        </w:rPr>
        <w:t>hr; p = 0.23 and remifentanil 1.27 ± 0.17 vs 1.27 ± 0.16 μg</w:t>
      </w:r>
      <w:r w:rsidRPr="00FD0727">
        <w:rPr>
          <w:rFonts w:asciiTheme="majorHAnsi" w:hAnsiTheme="majorHAnsi"/>
          <w:i/>
          <w:color w:val="000000" w:themeColor="text1"/>
          <w:sz w:val="22"/>
          <w:szCs w:val="22"/>
        </w:rPr>
        <w:t>kg</w:t>
      </w:r>
      <w:r w:rsidRPr="00FD0727">
        <w:rPr>
          <w:rFonts w:asciiTheme="majorHAnsi" w:hAnsiTheme="majorHAnsi"/>
          <w:color w:val="000000" w:themeColor="text1"/>
          <w:sz w:val="22"/>
          <w:szCs w:val="22"/>
        </w:rPr>
        <w:t>hr; p = 0.52, respectively). Richmond Agitation-Sedation Scale was -4 (-4 to -3) before, -4 (-4 to -3) during, and -4 (-4 to -4) after dexmedetomidine (p = 0.07).</w:t>
      </w:r>
    </w:p>
    <w:p w14:paraId="1F9A1C08" w14:textId="77777777" w:rsidR="00C776B7" w:rsidRPr="00FD0727" w:rsidRDefault="00C776B7">
      <w:pPr>
        <w:rPr>
          <w:rFonts w:asciiTheme="majorHAnsi" w:hAnsiTheme="majorHAnsi"/>
          <w:color w:val="000000" w:themeColor="text1"/>
          <w:sz w:val="22"/>
          <w:szCs w:val="22"/>
        </w:rPr>
      </w:pPr>
    </w:p>
    <w:p w14:paraId="763212C1"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CONCLUSIONS:For</w:t>
      </w:r>
      <w:proofErr w:type="gramEnd"/>
      <w:r w:rsidRPr="00FD0727">
        <w:rPr>
          <w:rFonts w:asciiTheme="majorHAnsi" w:hAnsiTheme="majorHAnsi"/>
          <w:color w:val="000000" w:themeColor="text1"/>
          <w:sz w:val="22"/>
          <w:szCs w:val="22"/>
        </w:rPr>
        <w:t xml:space="preserve"> a comparable level of sedation, switching from propofol to dexmedetomidine resulted in a reduction of catecholamine requirements in septic shock patients.</w:t>
      </w:r>
    </w:p>
    <w:p w14:paraId="7A066AA0" w14:textId="77777777" w:rsidR="00C776B7" w:rsidRPr="00FD0727" w:rsidRDefault="00C776B7">
      <w:pPr>
        <w:rPr>
          <w:rFonts w:asciiTheme="majorHAnsi" w:hAnsiTheme="majorHAnsi"/>
          <w:color w:val="000000" w:themeColor="text1"/>
          <w:sz w:val="22"/>
          <w:szCs w:val="22"/>
        </w:rPr>
      </w:pPr>
    </w:p>
    <w:p w14:paraId="63356758"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Critical Care Medicine, 2019 vol. 47 (2) pp. e89-e95.</w:t>
      </w:r>
    </w:p>
    <w:p w14:paraId="12CA987A" w14:textId="77777777" w:rsidR="00C776B7" w:rsidRDefault="00FD0727">
      <w:pPr>
        <w:rPr>
          <w:rStyle w:val="Hyperlink"/>
          <w:rFonts w:asciiTheme="majorHAnsi" w:hAnsiTheme="majorHAnsi"/>
          <w:color w:val="000000" w:themeColor="text1"/>
          <w:sz w:val="22"/>
          <w:szCs w:val="22"/>
        </w:rPr>
      </w:pPr>
      <w:hyperlink r:id="rId16" w:history="1">
        <w:r w:rsidRPr="00FD0727">
          <w:rPr>
            <w:rStyle w:val="Hyperlink"/>
            <w:rFonts w:asciiTheme="majorHAnsi" w:hAnsiTheme="majorHAnsi"/>
            <w:color w:val="000000" w:themeColor="text1"/>
            <w:sz w:val="22"/>
            <w:szCs w:val="22"/>
          </w:rPr>
          <w:t>http://eutils.ncbi.nlm.nih.gov/entrez/eutils/elink.fcgi?dbfrom=pubmed&amp;id=30394918&amp;retmode=ref&amp;cmd=prlinks</w:t>
        </w:r>
      </w:hyperlink>
    </w:p>
    <w:p w14:paraId="01483D51" w14:textId="77777777" w:rsidR="00051B86" w:rsidRPr="00FD0727" w:rsidRDefault="00051B86">
      <w:pPr>
        <w:rPr>
          <w:rFonts w:asciiTheme="majorHAnsi" w:hAnsiTheme="majorHAnsi"/>
          <w:color w:val="000000" w:themeColor="text1"/>
          <w:sz w:val="22"/>
          <w:szCs w:val="22"/>
        </w:rPr>
      </w:pPr>
    </w:p>
    <w:p w14:paraId="4B64FA5B"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7BE55C28" w14:textId="77777777" w:rsidR="00C776B7" w:rsidRPr="00051B86" w:rsidRDefault="00FD0727">
      <w:pPr>
        <w:pStyle w:val="Heading4"/>
        <w:rPr>
          <w:rFonts w:asciiTheme="majorHAnsi" w:hAnsiTheme="majorHAnsi"/>
          <w:b/>
          <w:color w:val="000000" w:themeColor="text1"/>
          <w:sz w:val="22"/>
          <w:szCs w:val="22"/>
        </w:rPr>
      </w:pPr>
      <w:r w:rsidRPr="00051B86">
        <w:rPr>
          <w:rFonts w:asciiTheme="majorHAnsi" w:hAnsiTheme="majorHAnsi"/>
          <w:b/>
          <w:color w:val="000000" w:themeColor="text1"/>
          <w:sz w:val="22"/>
          <w:szCs w:val="22"/>
        </w:rPr>
        <w:t xml:space="preserve">A Comparison of the Mortality Risk Associated </w:t>
      </w:r>
      <w:proofErr w:type="gramStart"/>
      <w:r w:rsidRPr="00051B86">
        <w:rPr>
          <w:rFonts w:asciiTheme="majorHAnsi" w:hAnsiTheme="majorHAnsi"/>
          <w:b/>
          <w:color w:val="000000" w:themeColor="text1"/>
          <w:sz w:val="22"/>
          <w:szCs w:val="22"/>
        </w:rPr>
        <w:t>With</w:t>
      </w:r>
      <w:proofErr w:type="gramEnd"/>
      <w:r w:rsidRPr="00051B86">
        <w:rPr>
          <w:rFonts w:asciiTheme="majorHAnsi" w:hAnsiTheme="majorHAnsi"/>
          <w:b/>
          <w:color w:val="000000" w:themeColor="text1"/>
          <w:sz w:val="22"/>
          <w:szCs w:val="22"/>
        </w:rPr>
        <w:t xml:space="preserve"> Ventilator-Acquired Bacterial Pneumonia and Nonventilator ICU-Acquired Bacterial Pneumonia.</w:t>
      </w:r>
    </w:p>
    <w:p w14:paraId="290D73CD" w14:textId="77777777" w:rsidR="00C776B7" w:rsidRPr="00FD0727" w:rsidRDefault="00C776B7">
      <w:pPr>
        <w:rPr>
          <w:rFonts w:asciiTheme="majorHAnsi" w:hAnsiTheme="majorHAnsi"/>
          <w:color w:val="000000" w:themeColor="text1"/>
          <w:sz w:val="22"/>
          <w:szCs w:val="22"/>
        </w:rPr>
      </w:pPr>
    </w:p>
    <w:p w14:paraId="04205053"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Wafa Ibn Saied, Bruno Mourvillier, Yves Cohen, Stephane Ruckly, Jean Reignier, Guillaume Marcotte, Shidasp Siami, Lila Bouadma, Michael Darmon, Etienne de Montmollin, Laurent Argaud, Hatem Kallel, Maïté Garrouste-Orgeas, Lilia Soufir, Carole Schwebel, Bertrand Souweine, Dany Glodgran-Toledano, Laurent Papazian, Jean-Francois Timsit, and OUTCOMEREA Study Group.</w:t>
      </w:r>
    </w:p>
    <w:p w14:paraId="66B63340" w14:textId="77777777" w:rsidR="00C776B7" w:rsidRPr="00FD0727" w:rsidRDefault="00C776B7">
      <w:pPr>
        <w:rPr>
          <w:rFonts w:asciiTheme="majorHAnsi" w:hAnsiTheme="majorHAnsi"/>
          <w:color w:val="000000" w:themeColor="text1"/>
          <w:sz w:val="22"/>
          <w:szCs w:val="22"/>
        </w:rPr>
      </w:pPr>
    </w:p>
    <w:p w14:paraId="76D919CE"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OBJECTIVES:To</w:t>
      </w:r>
      <w:proofErr w:type="gramEnd"/>
      <w:r w:rsidRPr="00FD0727">
        <w:rPr>
          <w:rFonts w:asciiTheme="majorHAnsi" w:hAnsiTheme="majorHAnsi"/>
          <w:color w:val="000000" w:themeColor="text1"/>
          <w:sz w:val="22"/>
          <w:szCs w:val="22"/>
        </w:rPr>
        <w:t xml:space="preserve"> investigate the respective impact of ventilator-associated pneumonia and ICU-hospital-acquired pneumonia on the 30-day mortality of ICU patients.</w:t>
      </w:r>
    </w:p>
    <w:p w14:paraId="01BFE1D6" w14:textId="77777777" w:rsidR="00C776B7" w:rsidRPr="00FD0727" w:rsidRDefault="00C776B7">
      <w:pPr>
        <w:rPr>
          <w:rFonts w:asciiTheme="majorHAnsi" w:hAnsiTheme="majorHAnsi"/>
          <w:color w:val="000000" w:themeColor="text1"/>
          <w:sz w:val="22"/>
          <w:szCs w:val="22"/>
        </w:rPr>
      </w:pPr>
    </w:p>
    <w:p w14:paraId="394774BB"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DESIGN:Longitudinal</w:t>
      </w:r>
      <w:proofErr w:type="gramEnd"/>
      <w:r w:rsidRPr="00FD0727">
        <w:rPr>
          <w:rFonts w:asciiTheme="majorHAnsi" w:hAnsiTheme="majorHAnsi"/>
          <w:color w:val="000000" w:themeColor="text1"/>
          <w:sz w:val="22"/>
          <w:szCs w:val="22"/>
        </w:rPr>
        <w:t xml:space="preserve"> prospective studies.</w:t>
      </w:r>
    </w:p>
    <w:p w14:paraId="0556074D" w14:textId="77777777" w:rsidR="00C776B7" w:rsidRPr="00FD0727" w:rsidRDefault="00C776B7">
      <w:pPr>
        <w:rPr>
          <w:rFonts w:asciiTheme="majorHAnsi" w:hAnsiTheme="majorHAnsi"/>
          <w:color w:val="000000" w:themeColor="text1"/>
          <w:sz w:val="22"/>
          <w:szCs w:val="22"/>
        </w:rPr>
      </w:pPr>
    </w:p>
    <w:p w14:paraId="5062C587"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SETTING:French</w:t>
      </w:r>
      <w:proofErr w:type="gramEnd"/>
      <w:r w:rsidRPr="00FD0727">
        <w:rPr>
          <w:rFonts w:asciiTheme="majorHAnsi" w:hAnsiTheme="majorHAnsi"/>
          <w:color w:val="000000" w:themeColor="text1"/>
          <w:sz w:val="22"/>
          <w:szCs w:val="22"/>
        </w:rPr>
        <w:t xml:space="preserve"> ICUs.</w:t>
      </w:r>
    </w:p>
    <w:p w14:paraId="78409A7D" w14:textId="77777777" w:rsidR="00C776B7" w:rsidRPr="00FD0727" w:rsidRDefault="00C776B7">
      <w:pPr>
        <w:rPr>
          <w:rFonts w:asciiTheme="majorHAnsi" w:hAnsiTheme="majorHAnsi"/>
          <w:color w:val="000000" w:themeColor="text1"/>
          <w:sz w:val="22"/>
          <w:szCs w:val="22"/>
        </w:rPr>
      </w:pPr>
    </w:p>
    <w:p w14:paraId="6173B46E"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lastRenderedPageBreak/>
        <w:t>PATIENTS:Patients</w:t>
      </w:r>
      <w:proofErr w:type="gramEnd"/>
      <w:r w:rsidRPr="00FD0727">
        <w:rPr>
          <w:rFonts w:asciiTheme="majorHAnsi" w:hAnsiTheme="majorHAnsi"/>
          <w:color w:val="000000" w:themeColor="text1"/>
          <w:sz w:val="22"/>
          <w:szCs w:val="22"/>
        </w:rPr>
        <w:t xml:space="preserve"> at risk of ventilator-associated pneumonia and ICU-hospital-acquired pneumonia.</w:t>
      </w:r>
    </w:p>
    <w:p w14:paraId="2EDDC617" w14:textId="77777777" w:rsidR="00C776B7" w:rsidRPr="00FD0727" w:rsidRDefault="00C776B7">
      <w:pPr>
        <w:rPr>
          <w:rFonts w:asciiTheme="majorHAnsi" w:hAnsiTheme="majorHAnsi"/>
          <w:color w:val="000000" w:themeColor="text1"/>
          <w:sz w:val="22"/>
          <w:szCs w:val="22"/>
        </w:rPr>
      </w:pPr>
    </w:p>
    <w:p w14:paraId="0D0529F0"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INTERVENTIONS:The</w:t>
      </w:r>
      <w:proofErr w:type="gramEnd"/>
      <w:r w:rsidRPr="00FD0727">
        <w:rPr>
          <w:rFonts w:asciiTheme="majorHAnsi" w:hAnsiTheme="majorHAnsi"/>
          <w:color w:val="000000" w:themeColor="text1"/>
          <w:sz w:val="22"/>
          <w:szCs w:val="22"/>
        </w:rPr>
        <w:t xml:space="preserve"> first three episodes of ventilator-associated pneumonia or ICU-hospital-acquired pneumonia were handled as time-dependent covariates in Cox models. We adjusted using the case-mix, illness severity, Simplified Acute Physiology Score II score at admission, and procedures and therapeutics used during the first 48 hours before the risk period. Baseline characteristics of patients </w:t>
      </w:r>
      <w:proofErr w:type="gramStart"/>
      <w:r w:rsidRPr="00FD0727">
        <w:rPr>
          <w:rFonts w:asciiTheme="majorHAnsi" w:hAnsiTheme="majorHAnsi"/>
          <w:color w:val="000000" w:themeColor="text1"/>
          <w:sz w:val="22"/>
          <w:szCs w:val="22"/>
        </w:rPr>
        <w:t>with regard to</w:t>
      </w:r>
      <w:proofErr w:type="gramEnd"/>
      <w:r w:rsidRPr="00FD0727">
        <w:rPr>
          <w:rFonts w:asciiTheme="majorHAnsi" w:hAnsiTheme="majorHAnsi"/>
          <w:color w:val="000000" w:themeColor="text1"/>
          <w:sz w:val="22"/>
          <w:szCs w:val="22"/>
        </w:rPr>
        <w:t xml:space="preserve"> the adequacy of antibiotic treatment were analyzed, as well as the Sequential Organ Failure Assessment score variation in the 2 days before the occurrence of ventilator-associated pneumonia or ICU-hospital-acquired pneumonia. Mortality was also analyzed for Enterococcus faecium, Staphylococcus aureus, Klebsiella pneumoniae, Acinetobacter baumannii, Pseudomonas aeruginosa, and Enterobacter species(ESKAPE) and P. aeruginosa pathogens.</w:t>
      </w:r>
    </w:p>
    <w:p w14:paraId="1A269DE7" w14:textId="77777777" w:rsidR="00C776B7" w:rsidRPr="00FD0727" w:rsidRDefault="00C776B7">
      <w:pPr>
        <w:rPr>
          <w:rFonts w:asciiTheme="majorHAnsi" w:hAnsiTheme="majorHAnsi"/>
          <w:color w:val="000000" w:themeColor="text1"/>
          <w:sz w:val="22"/>
          <w:szCs w:val="22"/>
        </w:rPr>
      </w:pPr>
    </w:p>
    <w:p w14:paraId="568465DB"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MEASUREMENTS AND MAIN </w:t>
      </w:r>
      <w:proofErr w:type="gramStart"/>
      <w:r w:rsidRPr="00FD0727">
        <w:rPr>
          <w:rFonts w:asciiTheme="majorHAnsi" w:hAnsiTheme="majorHAnsi"/>
          <w:color w:val="000000" w:themeColor="text1"/>
          <w:sz w:val="22"/>
          <w:szCs w:val="22"/>
        </w:rPr>
        <w:t>RESULTS:Of</w:t>
      </w:r>
      <w:proofErr w:type="gramEnd"/>
      <w:r w:rsidRPr="00FD0727">
        <w:rPr>
          <w:rFonts w:asciiTheme="majorHAnsi" w:hAnsiTheme="majorHAnsi"/>
          <w:color w:val="000000" w:themeColor="text1"/>
          <w:sz w:val="22"/>
          <w:szCs w:val="22"/>
        </w:rPr>
        <w:t xml:space="preserve"> 14,212 patients who were admitted to the ICUs and who stayed for more than 48 hours, 7,735 were at risk of ventilator-associated pneumonia and 9,747 were at risk of ICU-hospital-acquired pneumonia. Ventilator-associated pneumonia and ICU-hospital-acquired pneumonia occurred in 1,161 at-risk patients (15%) and 176 at-risk patients (2%), respectively. When adjusted on prognostic variables, ventilator-associated pneumonia (hazard ratio, 1.38 (1.24-1.52); p &lt; 0.0001) and even more ICU-hospital-acquired pneumonia (hazard ratio, 1.82 [1.35-2.45]; p &lt; 0.0001) were associated with increased 30-day mortality. The early antibiotic therapy adequacy was not associated with an improved prognosis, particularly for ICU-hospital-acquired pneumonia. The impact was similar for ventilator-associated pneumonia and ICU-hospital-acquired pneumonia mortality due to P. aeruginosa and the ESKAPE group.</w:t>
      </w:r>
    </w:p>
    <w:p w14:paraId="30447294" w14:textId="77777777" w:rsidR="00C776B7" w:rsidRPr="00FD0727" w:rsidRDefault="00C776B7">
      <w:pPr>
        <w:rPr>
          <w:rFonts w:asciiTheme="majorHAnsi" w:hAnsiTheme="majorHAnsi"/>
          <w:color w:val="000000" w:themeColor="text1"/>
          <w:sz w:val="22"/>
          <w:szCs w:val="22"/>
        </w:rPr>
      </w:pPr>
    </w:p>
    <w:p w14:paraId="4CEC6072"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CONCLUSIONS:In</w:t>
      </w:r>
      <w:proofErr w:type="gramEnd"/>
      <w:r w:rsidRPr="00FD0727">
        <w:rPr>
          <w:rFonts w:asciiTheme="majorHAnsi" w:hAnsiTheme="majorHAnsi"/>
          <w:color w:val="000000" w:themeColor="text1"/>
          <w:sz w:val="22"/>
          <w:szCs w:val="22"/>
        </w:rPr>
        <w:t xml:space="preserve"> a large cohort of patients, we found that both ICU-hospital-acquired pneumonia and ventilator-associated pneumonia were associated with an 82% and a 38% increase in the risk of 30-day mortality, respectively. This study emphasized the importance of preventing ICU-hospital-acquired pneumonia in nonventilated patients.</w:t>
      </w:r>
    </w:p>
    <w:p w14:paraId="233CD699" w14:textId="77777777" w:rsidR="00C776B7" w:rsidRPr="00FD0727" w:rsidRDefault="00C776B7">
      <w:pPr>
        <w:rPr>
          <w:rFonts w:asciiTheme="majorHAnsi" w:hAnsiTheme="majorHAnsi"/>
          <w:color w:val="000000" w:themeColor="text1"/>
          <w:sz w:val="22"/>
          <w:szCs w:val="22"/>
        </w:rPr>
      </w:pPr>
    </w:p>
    <w:p w14:paraId="7001759C"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Critical Care Medicine, 2019 vol. 47 (3) pp. 345-352.</w:t>
      </w:r>
    </w:p>
    <w:p w14:paraId="0309CD33" w14:textId="77777777" w:rsidR="00C776B7" w:rsidRDefault="00FD0727">
      <w:pPr>
        <w:rPr>
          <w:rStyle w:val="Hyperlink"/>
          <w:rFonts w:asciiTheme="majorHAnsi" w:hAnsiTheme="majorHAnsi"/>
          <w:color w:val="000000" w:themeColor="text1"/>
          <w:sz w:val="22"/>
          <w:szCs w:val="22"/>
        </w:rPr>
      </w:pPr>
      <w:hyperlink r:id="rId17" w:history="1">
        <w:r w:rsidRPr="00FD0727">
          <w:rPr>
            <w:rStyle w:val="Hyperlink"/>
            <w:rFonts w:asciiTheme="majorHAnsi" w:hAnsiTheme="majorHAnsi"/>
            <w:color w:val="000000" w:themeColor="text1"/>
            <w:sz w:val="22"/>
            <w:szCs w:val="22"/>
          </w:rPr>
          <w:t>http://eutils.ncbi.nlm.nih.gov/entrez/eutils/elink.fcgi?dbfrom=pubmed&amp;id=30407949&amp;retmode=ref&amp;cmd=prlinks</w:t>
        </w:r>
      </w:hyperlink>
    </w:p>
    <w:p w14:paraId="2A11C3D1" w14:textId="77777777" w:rsidR="00051B86" w:rsidRPr="00FD0727" w:rsidRDefault="00051B86">
      <w:pPr>
        <w:rPr>
          <w:rFonts w:asciiTheme="majorHAnsi" w:hAnsiTheme="majorHAnsi"/>
          <w:color w:val="000000" w:themeColor="text1"/>
          <w:sz w:val="22"/>
          <w:szCs w:val="22"/>
        </w:rPr>
      </w:pPr>
    </w:p>
    <w:p w14:paraId="0691FBCD"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2975ADE8" w14:textId="77777777" w:rsidR="00C776B7" w:rsidRPr="00051B86" w:rsidRDefault="00FD0727">
      <w:pPr>
        <w:pStyle w:val="Heading4"/>
        <w:rPr>
          <w:rFonts w:asciiTheme="majorHAnsi" w:hAnsiTheme="majorHAnsi"/>
          <w:b/>
          <w:color w:val="000000" w:themeColor="text1"/>
          <w:sz w:val="22"/>
          <w:szCs w:val="22"/>
        </w:rPr>
      </w:pPr>
      <w:r w:rsidRPr="00051B86">
        <w:rPr>
          <w:rFonts w:asciiTheme="majorHAnsi" w:hAnsiTheme="majorHAnsi"/>
          <w:b/>
          <w:color w:val="000000" w:themeColor="text1"/>
          <w:sz w:val="22"/>
          <w:szCs w:val="22"/>
        </w:rPr>
        <w:t xml:space="preserve">Declining Mortality in Patients </w:t>
      </w:r>
      <w:proofErr w:type="gramStart"/>
      <w:r w:rsidRPr="00051B86">
        <w:rPr>
          <w:rFonts w:asciiTheme="majorHAnsi" w:hAnsiTheme="majorHAnsi"/>
          <w:b/>
          <w:color w:val="000000" w:themeColor="text1"/>
          <w:sz w:val="22"/>
          <w:szCs w:val="22"/>
        </w:rPr>
        <w:t>With</w:t>
      </w:r>
      <w:proofErr w:type="gramEnd"/>
      <w:r w:rsidRPr="00051B86">
        <w:rPr>
          <w:rFonts w:asciiTheme="majorHAnsi" w:hAnsiTheme="majorHAnsi"/>
          <w:b/>
          <w:color w:val="000000" w:themeColor="text1"/>
          <w:sz w:val="22"/>
          <w:szCs w:val="22"/>
        </w:rPr>
        <w:t xml:space="preserve"> Acute Respiratory Distress Syndrome: An Analysis of the Acute Respiratory Distress Syndrome Network Trials.</w:t>
      </w:r>
    </w:p>
    <w:p w14:paraId="229D6D3B" w14:textId="77777777" w:rsidR="00C776B7" w:rsidRPr="00FD0727" w:rsidRDefault="00C776B7">
      <w:pPr>
        <w:rPr>
          <w:rFonts w:asciiTheme="majorHAnsi" w:hAnsiTheme="majorHAnsi"/>
          <w:color w:val="000000" w:themeColor="text1"/>
          <w:sz w:val="22"/>
          <w:szCs w:val="22"/>
        </w:rPr>
      </w:pPr>
    </w:p>
    <w:p w14:paraId="0C744302"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Zhongheng Zhang, Peter Markus Spieth, Davide Chiumello, Hemant Goyal, Antoni Torres, John G Laffey, and Yucai Hong.</w:t>
      </w:r>
    </w:p>
    <w:p w14:paraId="633B5DA5" w14:textId="77777777" w:rsidR="00C776B7" w:rsidRPr="00FD0727" w:rsidRDefault="00C776B7">
      <w:pPr>
        <w:rPr>
          <w:rFonts w:asciiTheme="majorHAnsi" w:hAnsiTheme="majorHAnsi"/>
          <w:color w:val="000000" w:themeColor="text1"/>
          <w:sz w:val="22"/>
          <w:szCs w:val="22"/>
        </w:rPr>
      </w:pPr>
    </w:p>
    <w:p w14:paraId="77846C70"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OBJECTIVES:There</w:t>
      </w:r>
      <w:proofErr w:type="gramEnd"/>
      <w:r w:rsidRPr="00FD0727">
        <w:rPr>
          <w:rFonts w:asciiTheme="majorHAnsi" w:hAnsiTheme="majorHAnsi"/>
          <w:color w:val="000000" w:themeColor="text1"/>
          <w:sz w:val="22"/>
          <w:szCs w:val="22"/>
        </w:rPr>
        <w:t xml:space="preserve"> has been multiple advances in the management of acute respiratory distress syndrome, but the temporal trends in acute respiratory distress syndrome-related mortality are not well known. This study aimed to investigate the trends in mortality in acute respiratory distress syndrome patients over time and to explore the roles of daily fluid balance and ventilation variables in those patients.</w:t>
      </w:r>
    </w:p>
    <w:p w14:paraId="2E40FB4D" w14:textId="77777777" w:rsidR="00C776B7" w:rsidRPr="00FD0727" w:rsidRDefault="00C776B7">
      <w:pPr>
        <w:rPr>
          <w:rFonts w:asciiTheme="majorHAnsi" w:hAnsiTheme="majorHAnsi"/>
          <w:color w:val="000000" w:themeColor="text1"/>
          <w:sz w:val="22"/>
          <w:szCs w:val="22"/>
        </w:rPr>
      </w:pPr>
    </w:p>
    <w:p w14:paraId="0DF58122"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DESIGN:Secondary</w:t>
      </w:r>
      <w:proofErr w:type="gramEnd"/>
      <w:r w:rsidRPr="00FD0727">
        <w:rPr>
          <w:rFonts w:asciiTheme="majorHAnsi" w:hAnsiTheme="majorHAnsi"/>
          <w:color w:val="000000" w:themeColor="text1"/>
          <w:sz w:val="22"/>
          <w:szCs w:val="22"/>
        </w:rPr>
        <w:t xml:space="preserve"> analysis of randomized controlled trials conducted by the Acute Respiratory Distress Syndrome Network from 1996 to 2013.</w:t>
      </w:r>
    </w:p>
    <w:p w14:paraId="1E67A5C2" w14:textId="77777777" w:rsidR="00C776B7" w:rsidRPr="00FD0727" w:rsidRDefault="00C776B7">
      <w:pPr>
        <w:rPr>
          <w:rFonts w:asciiTheme="majorHAnsi" w:hAnsiTheme="majorHAnsi"/>
          <w:color w:val="000000" w:themeColor="text1"/>
          <w:sz w:val="22"/>
          <w:szCs w:val="22"/>
        </w:rPr>
      </w:pPr>
    </w:p>
    <w:p w14:paraId="094EC3FE"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lastRenderedPageBreak/>
        <w:t>SETTING:Multicenter</w:t>
      </w:r>
      <w:proofErr w:type="gramEnd"/>
      <w:r w:rsidRPr="00FD0727">
        <w:rPr>
          <w:rFonts w:asciiTheme="majorHAnsi" w:hAnsiTheme="majorHAnsi"/>
          <w:color w:val="000000" w:themeColor="text1"/>
          <w:sz w:val="22"/>
          <w:szCs w:val="22"/>
        </w:rPr>
        <w:t xml:space="preserve"> study involving Acute Respiratory Distress Syndrome Network trials.</w:t>
      </w:r>
    </w:p>
    <w:p w14:paraId="2DC1A9D0" w14:textId="77777777" w:rsidR="00C776B7" w:rsidRPr="00FD0727" w:rsidRDefault="00C776B7">
      <w:pPr>
        <w:rPr>
          <w:rFonts w:asciiTheme="majorHAnsi" w:hAnsiTheme="majorHAnsi"/>
          <w:color w:val="000000" w:themeColor="text1"/>
          <w:sz w:val="22"/>
          <w:szCs w:val="22"/>
        </w:rPr>
      </w:pPr>
    </w:p>
    <w:p w14:paraId="799C4F6D"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PATIENTS:Patients</w:t>
      </w:r>
      <w:proofErr w:type="gramEnd"/>
      <w:r w:rsidRPr="00FD0727">
        <w:rPr>
          <w:rFonts w:asciiTheme="majorHAnsi" w:hAnsiTheme="majorHAnsi"/>
          <w:color w:val="000000" w:themeColor="text1"/>
          <w:sz w:val="22"/>
          <w:szCs w:val="22"/>
        </w:rPr>
        <w:t xml:space="preserve"> with acute respiratory distress syndrome.</w:t>
      </w:r>
    </w:p>
    <w:p w14:paraId="7C9FF1A5" w14:textId="77777777" w:rsidR="00C776B7" w:rsidRPr="00FD0727" w:rsidRDefault="00C776B7">
      <w:pPr>
        <w:rPr>
          <w:rFonts w:asciiTheme="majorHAnsi" w:hAnsiTheme="majorHAnsi"/>
          <w:color w:val="000000" w:themeColor="text1"/>
          <w:sz w:val="22"/>
          <w:szCs w:val="22"/>
        </w:rPr>
      </w:pPr>
    </w:p>
    <w:p w14:paraId="1F063A42"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INTERVENTIONS:None</w:t>
      </w:r>
      <w:proofErr w:type="gramEnd"/>
      <w:r w:rsidRPr="00FD0727">
        <w:rPr>
          <w:rFonts w:asciiTheme="majorHAnsi" w:hAnsiTheme="majorHAnsi"/>
          <w:color w:val="000000" w:themeColor="text1"/>
          <w:sz w:val="22"/>
          <w:szCs w:val="22"/>
        </w:rPr>
        <w:t>.</w:t>
      </w:r>
    </w:p>
    <w:p w14:paraId="4CF5BE6F" w14:textId="77777777" w:rsidR="00C776B7" w:rsidRPr="00FD0727" w:rsidRDefault="00C776B7">
      <w:pPr>
        <w:rPr>
          <w:rFonts w:asciiTheme="majorHAnsi" w:hAnsiTheme="majorHAnsi"/>
          <w:color w:val="000000" w:themeColor="text1"/>
          <w:sz w:val="22"/>
          <w:szCs w:val="22"/>
        </w:rPr>
      </w:pPr>
    </w:p>
    <w:p w14:paraId="0A97749B"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MEASURES AND MAIN </w:t>
      </w:r>
      <w:proofErr w:type="gramStart"/>
      <w:r w:rsidRPr="00FD0727">
        <w:rPr>
          <w:rFonts w:asciiTheme="majorHAnsi" w:hAnsiTheme="majorHAnsi"/>
          <w:color w:val="000000" w:themeColor="text1"/>
          <w:sz w:val="22"/>
          <w:szCs w:val="22"/>
        </w:rPr>
        <w:t>RESULTS:Individual</w:t>
      </w:r>
      <w:proofErr w:type="gramEnd"/>
      <w:r w:rsidRPr="00FD0727">
        <w:rPr>
          <w:rFonts w:asciiTheme="majorHAnsi" w:hAnsiTheme="majorHAnsi"/>
          <w:color w:val="000000" w:themeColor="text1"/>
          <w:sz w:val="22"/>
          <w:szCs w:val="22"/>
        </w:rPr>
        <w:t xml:space="preserve"> patient data from 5,159 acute respiratory distress syndrome patients (excluding the Late Steroid Rescue Study trial) were enrolled in this study. The crude mortality rate decreased from 35.4% (95% CI, 29.9-40.8%) in 1996 to 28.3% (95% CI, 22.0-34.7%) in 2013. By adjusting for the baseline Acute Physiology and Chronic Health Evaluation III, age, ICU type, and admission resource, patients enrolled from 2005 to 2010 (odds ratio, 0.61; 95% CI, 0.50-0.74) and those enrolled after 2010 (odds ratio, 0.73; 95% CI, 0.58-0.92) were associated with lower risk of death as compared to those enrolled before 2000. The effect of year on mortality decline disappeared after adjustment for daily fluid balance, positive end-expiratory pressure, tidal volume, and plateau pressure. There were significant trends of declines in daily fluid balance, tidal volume, and plateau pressure and an increase in positive end-expiratory pressure over the 17 years.</w:t>
      </w:r>
    </w:p>
    <w:p w14:paraId="6F610E56" w14:textId="77777777" w:rsidR="00C776B7" w:rsidRPr="00FD0727" w:rsidRDefault="00C776B7">
      <w:pPr>
        <w:rPr>
          <w:rFonts w:asciiTheme="majorHAnsi" w:hAnsiTheme="majorHAnsi"/>
          <w:color w:val="000000" w:themeColor="text1"/>
          <w:sz w:val="22"/>
          <w:szCs w:val="22"/>
        </w:rPr>
      </w:pPr>
    </w:p>
    <w:p w14:paraId="796FE3A3"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CONCLUSIONS:Our</w:t>
      </w:r>
      <w:proofErr w:type="gramEnd"/>
      <w:r w:rsidRPr="00FD0727">
        <w:rPr>
          <w:rFonts w:asciiTheme="majorHAnsi" w:hAnsiTheme="majorHAnsi"/>
          <w:color w:val="000000" w:themeColor="text1"/>
          <w:sz w:val="22"/>
          <w:szCs w:val="22"/>
        </w:rPr>
        <w:t xml:space="preserve"> study shows an improvement in the acute respiratory distress syndrome-related mortality rate in the critically ill patients enrolled in the Acute Respiratory Distress Syndrome Network trials. The effect was probably mediated via decreased tidal volume, plateau pressure, and daily fluid balance and increased positive end-expiratory pressure.</w:t>
      </w:r>
    </w:p>
    <w:p w14:paraId="547CE1B8" w14:textId="77777777" w:rsidR="00C776B7" w:rsidRPr="00FD0727" w:rsidRDefault="00C776B7">
      <w:pPr>
        <w:rPr>
          <w:rFonts w:asciiTheme="majorHAnsi" w:hAnsiTheme="majorHAnsi"/>
          <w:color w:val="000000" w:themeColor="text1"/>
          <w:sz w:val="22"/>
          <w:szCs w:val="22"/>
        </w:rPr>
      </w:pPr>
    </w:p>
    <w:p w14:paraId="55EC3346"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Critical Care Medicine, 2019 vol. 47 (3) pp. 315-323.</w:t>
      </w:r>
    </w:p>
    <w:p w14:paraId="6177DFB1" w14:textId="77777777" w:rsidR="00C776B7" w:rsidRDefault="00FD0727">
      <w:pPr>
        <w:rPr>
          <w:rStyle w:val="Hyperlink"/>
          <w:rFonts w:asciiTheme="majorHAnsi" w:hAnsiTheme="majorHAnsi"/>
          <w:color w:val="000000" w:themeColor="text1"/>
          <w:sz w:val="22"/>
          <w:szCs w:val="22"/>
        </w:rPr>
      </w:pPr>
      <w:hyperlink r:id="rId18" w:history="1">
        <w:r w:rsidRPr="00FD0727">
          <w:rPr>
            <w:rStyle w:val="Hyperlink"/>
            <w:rFonts w:asciiTheme="majorHAnsi" w:hAnsiTheme="majorHAnsi"/>
            <w:color w:val="000000" w:themeColor="text1"/>
            <w:sz w:val="22"/>
            <w:szCs w:val="22"/>
          </w:rPr>
          <w:t>http://eutils.ncbi.nlm.nih.gov/entrez/eutils/elink.fcgi?dbfrom=pubmed&amp;id=30779718&amp;retmode=ref&amp;cmd=prlinks</w:t>
        </w:r>
      </w:hyperlink>
    </w:p>
    <w:p w14:paraId="096D6D48" w14:textId="77777777" w:rsidR="00160B92" w:rsidRPr="00FD0727" w:rsidRDefault="00160B92">
      <w:pPr>
        <w:rPr>
          <w:rFonts w:asciiTheme="majorHAnsi" w:hAnsiTheme="majorHAnsi"/>
          <w:color w:val="000000" w:themeColor="text1"/>
          <w:sz w:val="22"/>
          <w:szCs w:val="22"/>
        </w:rPr>
      </w:pPr>
    </w:p>
    <w:p w14:paraId="4ECD6C48"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39BFDDF9" w14:textId="77777777" w:rsidR="00C776B7" w:rsidRPr="00160B92" w:rsidRDefault="00FD0727">
      <w:pPr>
        <w:pStyle w:val="Heading4"/>
        <w:rPr>
          <w:rFonts w:asciiTheme="majorHAnsi" w:hAnsiTheme="majorHAnsi"/>
          <w:b/>
          <w:color w:val="000000" w:themeColor="text1"/>
          <w:sz w:val="22"/>
          <w:szCs w:val="22"/>
        </w:rPr>
      </w:pPr>
      <w:r w:rsidRPr="00160B92">
        <w:rPr>
          <w:rFonts w:asciiTheme="majorHAnsi" w:hAnsiTheme="majorHAnsi"/>
          <w:b/>
          <w:color w:val="000000" w:themeColor="text1"/>
          <w:sz w:val="22"/>
          <w:szCs w:val="22"/>
        </w:rPr>
        <w:t>Detecting Early Markers of Ventilator-Associated Pneumonia by Analysis of Exhaled Gas.</w:t>
      </w:r>
    </w:p>
    <w:p w14:paraId="10B36ECE" w14:textId="77777777" w:rsidR="00C776B7" w:rsidRPr="00FD0727" w:rsidRDefault="00C776B7">
      <w:pPr>
        <w:rPr>
          <w:rFonts w:asciiTheme="majorHAnsi" w:hAnsiTheme="majorHAnsi"/>
          <w:color w:val="000000" w:themeColor="text1"/>
          <w:sz w:val="22"/>
          <w:szCs w:val="22"/>
        </w:rPr>
      </w:pPr>
    </w:p>
    <w:p w14:paraId="4EAE840A"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Nils Kunze-Szikszay, Karoline Walliser, Jakob Luther, Barbara Cambiaghi, Verena Reupke, Christian Dullin, Wolfgang Vautz, Felix Bremmer, Ursula Telgheder, Cornelia Zscheppank, Michael Quintel, and Thorsten Perl.</w:t>
      </w:r>
    </w:p>
    <w:p w14:paraId="180C5E1C" w14:textId="77777777" w:rsidR="00C776B7" w:rsidRPr="00FD0727" w:rsidRDefault="00C776B7">
      <w:pPr>
        <w:rPr>
          <w:rFonts w:asciiTheme="majorHAnsi" w:hAnsiTheme="majorHAnsi"/>
          <w:color w:val="000000" w:themeColor="text1"/>
          <w:sz w:val="22"/>
          <w:szCs w:val="22"/>
        </w:rPr>
      </w:pPr>
    </w:p>
    <w:p w14:paraId="2D830FEC"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OBJECTIVES:The</w:t>
      </w:r>
      <w:proofErr w:type="gramEnd"/>
      <w:r w:rsidRPr="00FD0727">
        <w:rPr>
          <w:rFonts w:asciiTheme="majorHAnsi" w:hAnsiTheme="majorHAnsi"/>
          <w:color w:val="000000" w:themeColor="text1"/>
          <w:sz w:val="22"/>
          <w:szCs w:val="22"/>
        </w:rPr>
        <w:t xml:space="preserve"> detection of microbial volatile organic compounds or host response markers in the exhaled gas could give an earlier diagnosis of ventilator-associated pneumonia. Gas chromatography-ion mobility spectrometry enables noninvasive, rapid, and sensitive analysis of exhaled gas. Using a rabbit model of ventilator-associated pneumonia we determined if gas chromatography-ion mobility spectrometry </w:t>
      </w:r>
      <w:proofErr w:type="gramStart"/>
      <w:r w:rsidRPr="00FD0727">
        <w:rPr>
          <w:rFonts w:asciiTheme="majorHAnsi" w:hAnsiTheme="majorHAnsi"/>
          <w:color w:val="000000" w:themeColor="text1"/>
          <w:sz w:val="22"/>
          <w:szCs w:val="22"/>
        </w:rPr>
        <w:t>is able to</w:t>
      </w:r>
      <w:proofErr w:type="gramEnd"/>
      <w:r w:rsidRPr="00FD0727">
        <w:rPr>
          <w:rFonts w:asciiTheme="majorHAnsi" w:hAnsiTheme="majorHAnsi"/>
          <w:color w:val="000000" w:themeColor="text1"/>
          <w:sz w:val="22"/>
          <w:szCs w:val="22"/>
        </w:rPr>
        <w:t xml:space="preserve"> detect 1) ventilator-associated pneumonia specific changes and 2) bacterial species-specific changes in the exhaled gas.</w:t>
      </w:r>
    </w:p>
    <w:p w14:paraId="1806899C" w14:textId="77777777" w:rsidR="00C776B7" w:rsidRPr="00FD0727" w:rsidRDefault="00C776B7">
      <w:pPr>
        <w:rPr>
          <w:rFonts w:asciiTheme="majorHAnsi" w:hAnsiTheme="majorHAnsi"/>
          <w:color w:val="000000" w:themeColor="text1"/>
          <w:sz w:val="22"/>
          <w:szCs w:val="22"/>
        </w:rPr>
      </w:pPr>
    </w:p>
    <w:p w14:paraId="4DD9D3FA"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DESIGN:Experimental</w:t>
      </w:r>
      <w:proofErr w:type="gramEnd"/>
      <w:r w:rsidRPr="00FD0727">
        <w:rPr>
          <w:rFonts w:asciiTheme="majorHAnsi" w:hAnsiTheme="majorHAnsi"/>
          <w:color w:val="000000" w:themeColor="text1"/>
          <w:sz w:val="22"/>
          <w:szCs w:val="22"/>
        </w:rPr>
        <w:t xml:space="preserve"> in vivo study.</w:t>
      </w:r>
    </w:p>
    <w:p w14:paraId="38A60167" w14:textId="77777777" w:rsidR="00C776B7" w:rsidRPr="00FD0727" w:rsidRDefault="00C776B7">
      <w:pPr>
        <w:rPr>
          <w:rFonts w:asciiTheme="majorHAnsi" w:hAnsiTheme="majorHAnsi"/>
          <w:color w:val="000000" w:themeColor="text1"/>
          <w:sz w:val="22"/>
          <w:szCs w:val="22"/>
        </w:rPr>
      </w:pPr>
    </w:p>
    <w:p w14:paraId="53908F41"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SETTING:University</w:t>
      </w:r>
      <w:proofErr w:type="gramEnd"/>
      <w:r w:rsidRPr="00FD0727">
        <w:rPr>
          <w:rFonts w:asciiTheme="majorHAnsi" w:hAnsiTheme="majorHAnsi"/>
          <w:color w:val="000000" w:themeColor="text1"/>
          <w:sz w:val="22"/>
          <w:szCs w:val="22"/>
        </w:rPr>
        <w:t xml:space="preserve"> research laboratory.</w:t>
      </w:r>
    </w:p>
    <w:p w14:paraId="6BD48B59" w14:textId="77777777" w:rsidR="00C776B7" w:rsidRPr="00FD0727" w:rsidRDefault="00C776B7">
      <w:pPr>
        <w:rPr>
          <w:rFonts w:asciiTheme="majorHAnsi" w:hAnsiTheme="majorHAnsi"/>
          <w:color w:val="000000" w:themeColor="text1"/>
          <w:sz w:val="22"/>
          <w:szCs w:val="22"/>
        </w:rPr>
      </w:pPr>
    </w:p>
    <w:p w14:paraId="53F2D442"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SUBJECTS:Female</w:t>
      </w:r>
      <w:proofErr w:type="gramEnd"/>
      <w:r w:rsidRPr="00FD0727">
        <w:rPr>
          <w:rFonts w:asciiTheme="majorHAnsi" w:hAnsiTheme="majorHAnsi"/>
          <w:color w:val="000000" w:themeColor="text1"/>
          <w:sz w:val="22"/>
          <w:szCs w:val="22"/>
        </w:rPr>
        <w:t xml:space="preserve"> New Zealand White rabbits.</w:t>
      </w:r>
    </w:p>
    <w:p w14:paraId="25C5DCCB" w14:textId="77777777" w:rsidR="00C776B7" w:rsidRPr="00FD0727" w:rsidRDefault="00C776B7">
      <w:pPr>
        <w:rPr>
          <w:rFonts w:asciiTheme="majorHAnsi" w:hAnsiTheme="majorHAnsi"/>
          <w:color w:val="000000" w:themeColor="text1"/>
          <w:sz w:val="22"/>
          <w:szCs w:val="22"/>
        </w:rPr>
      </w:pPr>
    </w:p>
    <w:p w14:paraId="32B4120B"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INTERVENTIONS:Animals</w:t>
      </w:r>
      <w:proofErr w:type="gramEnd"/>
      <w:r w:rsidRPr="00FD0727">
        <w:rPr>
          <w:rFonts w:asciiTheme="majorHAnsi" w:hAnsiTheme="majorHAnsi"/>
          <w:color w:val="000000" w:themeColor="text1"/>
          <w:sz w:val="22"/>
          <w:szCs w:val="22"/>
        </w:rPr>
        <w:t xml:space="preserve"> were anesthetized and mechanically ventilated. To induce changes in the composition of exhaled gas we induced ventilator-associated pneumonia via endobronchial instillation </w:t>
      </w:r>
      <w:r w:rsidRPr="00FD0727">
        <w:rPr>
          <w:rFonts w:asciiTheme="majorHAnsi" w:hAnsiTheme="majorHAnsi"/>
          <w:color w:val="000000" w:themeColor="text1"/>
          <w:sz w:val="22"/>
          <w:szCs w:val="22"/>
        </w:rPr>
        <w:lastRenderedPageBreak/>
        <w:t>of either Escherichia coli group (n = 11) or Pseudomonas aeruginosa group (n = 11) after 2 hours of mechanical ventilation. In a control group (n = 11) we instilled sterile lysogeny broth endobronchially.</w:t>
      </w:r>
    </w:p>
    <w:p w14:paraId="4124EF9C" w14:textId="77777777" w:rsidR="00C776B7" w:rsidRPr="00FD0727" w:rsidRDefault="00C776B7">
      <w:pPr>
        <w:rPr>
          <w:rFonts w:asciiTheme="majorHAnsi" w:hAnsiTheme="majorHAnsi"/>
          <w:color w:val="000000" w:themeColor="text1"/>
          <w:sz w:val="22"/>
          <w:szCs w:val="22"/>
        </w:rPr>
      </w:pPr>
    </w:p>
    <w:p w14:paraId="410915AE"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MEASUREMENTS AND MAIN </w:t>
      </w:r>
      <w:proofErr w:type="gramStart"/>
      <w:r w:rsidRPr="00FD0727">
        <w:rPr>
          <w:rFonts w:asciiTheme="majorHAnsi" w:hAnsiTheme="majorHAnsi"/>
          <w:color w:val="000000" w:themeColor="text1"/>
          <w:sz w:val="22"/>
          <w:szCs w:val="22"/>
        </w:rPr>
        <w:t>RESULTS:Gas</w:t>
      </w:r>
      <w:proofErr w:type="gramEnd"/>
      <w:r w:rsidRPr="00FD0727">
        <w:rPr>
          <w:rFonts w:asciiTheme="majorHAnsi" w:hAnsiTheme="majorHAnsi"/>
          <w:color w:val="000000" w:themeColor="text1"/>
          <w:sz w:val="22"/>
          <w:szCs w:val="22"/>
        </w:rPr>
        <w:t xml:space="preserve"> chromatography-ion mobility spectrometry gas analysis, CT scans of the lungs, and blood samples were obtained at four measurement points during the 10 hours of mechanical ventilation. The volatile organic compound patterns in the exhaled gas were compared and correlated with ventilator-associated pneumonia severity. Sixty-seven peak areas showed changes in signal intensity in the serial gas analyses. The signal intensity changes in 10 peak regions differed between the groups. Five peak areas (P_648_36, indole, P_714_278, P_700_549, and P_727_557) showed statistically significant changes of signal intensity.</w:t>
      </w:r>
    </w:p>
    <w:p w14:paraId="14917E2B" w14:textId="77777777" w:rsidR="00C776B7" w:rsidRPr="00FD0727" w:rsidRDefault="00C776B7">
      <w:pPr>
        <w:rPr>
          <w:rFonts w:asciiTheme="majorHAnsi" w:hAnsiTheme="majorHAnsi"/>
          <w:color w:val="000000" w:themeColor="text1"/>
          <w:sz w:val="22"/>
          <w:szCs w:val="22"/>
        </w:rPr>
      </w:pPr>
    </w:p>
    <w:p w14:paraId="2CA1F5D0"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CONCLUSIONS:This</w:t>
      </w:r>
      <w:proofErr w:type="gramEnd"/>
      <w:r w:rsidRPr="00FD0727">
        <w:rPr>
          <w:rFonts w:asciiTheme="majorHAnsi" w:hAnsiTheme="majorHAnsi"/>
          <w:color w:val="000000" w:themeColor="text1"/>
          <w:sz w:val="22"/>
          <w:szCs w:val="22"/>
        </w:rPr>
        <w:t xml:space="preserve"> is the first in vivo study that shows the potential of gas chromatography-ion mobility spectrometry for early detection of ventilator-associated pneumonia specific volatile organic compounds and species differentiation by noninvasive analyses of exhaled gas.</w:t>
      </w:r>
    </w:p>
    <w:p w14:paraId="5C5FFD42" w14:textId="77777777" w:rsidR="00C776B7" w:rsidRPr="00FD0727" w:rsidRDefault="00C776B7">
      <w:pPr>
        <w:rPr>
          <w:rFonts w:asciiTheme="majorHAnsi" w:hAnsiTheme="majorHAnsi"/>
          <w:color w:val="000000" w:themeColor="text1"/>
          <w:sz w:val="22"/>
          <w:szCs w:val="22"/>
        </w:rPr>
      </w:pPr>
    </w:p>
    <w:p w14:paraId="6983BEDE"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Critical Care Medicine, 2019 vol. 47 (3) pp. e234-e240.</w:t>
      </w:r>
    </w:p>
    <w:p w14:paraId="7E3E2815" w14:textId="77777777" w:rsidR="00C776B7" w:rsidRDefault="00FD0727">
      <w:pPr>
        <w:rPr>
          <w:rStyle w:val="Hyperlink"/>
          <w:rFonts w:asciiTheme="majorHAnsi" w:hAnsiTheme="majorHAnsi"/>
          <w:color w:val="000000" w:themeColor="text1"/>
          <w:sz w:val="22"/>
          <w:szCs w:val="22"/>
        </w:rPr>
      </w:pPr>
      <w:hyperlink r:id="rId19" w:history="1">
        <w:r w:rsidRPr="00FD0727">
          <w:rPr>
            <w:rStyle w:val="Hyperlink"/>
            <w:rFonts w:asciiTheme="majorHAnsi" w:hAnsiTheme="majorHAnsi"/>
            <w:color w:val="000000" w:themeColor="text1"/>
            <w:sz w:val="22"/>
            <w:szCs w:val="22"/>
          </w:rPr>
          <w:t>http://eutils.ncbi.nlm.nih.gov/entrez/eutils/elink.fcgi?dbfrom=pubmed&amp;id=30507842&amp;retmode=ref&amp;cmd=prlinks</w:t>
        </w:r>
      </w:hyperlink>
    </w:p>
    <w:p w14:paraId="0EFF01CF" w14:textId="3B1566F1" w:rsidR="00063994" w:rsidRPr="00FD0727" w:rsidRDefault="00063994">
      <w:pPr>
        <w:rPr>
          <w:rFonts w:asciiTheme="majorHAnsi" w:hAnsiTheme="majorHAnsi"/>
          <w:color w:val="000000" w:themeColor="text1"/>
          <w:sz w:val="22"/>
          <w:szCs w:val="22"/>
        </w:rPr>
      </w:pPr>
    </w:p>
    <w:p w14:paraId="23D73291"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11BBA963" w14:textId="77777777" w:rsidR="00C776B7" w:rsidRPr="00063994" w:rsidRDefault="00FD0727">
      <w:pPr>
        <w:pStyle w:val="Heading4"/>
        <w:rPr>
          <w:rFonts w:asciiTheme="majorHAnsi" w:hAnsiTheme="majorHAnsi"/>
          <w:b/>
          <w:color w:val="000000" w:themeColor="text1"/>
          <w:sz w:val="22"/>
          <w:szCs w:val="22"/>
        </w:rPr>
      </w:pPr>
      <w:r w:rsidRPr="00063994">
        <w:rPr>
          <w:rFonts w:asciiTheme="majorHAnsi" w:hAnsiTheme="majorHAnsi"/>
          <w:b/>
          <w:color w:val="000000" w:themeColor="text1"/>
          <w:sz w:val="22"/>
          <w:szCs w:val="22"/>
        </w:rPr>
        <w:t>Low Low-Density Lipoprotein Levels Are Associated With, But Do Not Causally Contribute to, Increased Mortality in Sepsis.</w:t>
      </w:r>
    </w:p>
    <w:p w14:paraId="675E0418" w14:textId="77777777" w:rsidR="00C776B7" w:rsidRPr="00FD0727" w:rsidRDefault="00C776B7">
      <w:pPr>
        <w:rPr>
          <w:rFonts w:asciiTheme="majorHAnsi" w:hAnsiTheme="majorHAnsi"/>
          <w:color w:val="000000" w:themeColor="text1"/>
          <w:sz w:val="22"/>
          <w:szCs w:val="22"/>
        </w:rPr>
      </w:pPr>
    </w:p>
    <w:p w14:paraId="1CCFF15A"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Keith R Walley, John H Boyd, HyeJin Julia Kong, and James </w:t>
      </w:r>
      <w:proofErr w:type="gramStart"/>
      <w:r w:rsidRPr="00FD0727">
        <w:rPr>
          <w:rFonts w:asciiTheme="majorHAnsi" w:hAnsiTheme="majorHAnsi"/>
          <w:color w:val="000000" w:themeColor="text1"/>
          <w:sz w:val="22"/>
          <w:szCs w:val="22"/>
        </w:rPr>
        <w:t>A</w:t>
      </w:r>
      <w:proofErr w:type="gramEnd"/>
      <w:r w:rsidRPr="00FD0727">
        <w:rPr>
          <w:rFonts w:asciiTheme="majorHAnsi" w:hAnsiTheme="majorHAnsi"/>
          <w:color w:val="000000" w:themeColor="text1"/>
          <w:sz w:val="22"/>
          <w:szCs w:val="22"/>
        </w:rPr>
        <w:t xml:space="preserve"> Russell.</w:t>
      </w:r>
    </w:p>
    <w:p w14:paraId="706ABAFF" w14:textId="77777777" w:rsidR="00C776B7" w:rsidRPr="00FD0727" w:rsidRDefault="00C776B7">
      <w:pPr>
        <w:rPr>
          <w:rFonts w:asciiTheme="majorHAnsi" w:hAnsiTheme="majorHAnsi"/>
          <w:color w:val="000000" w:themeColor="text1"/>
          <w:sz w:val="22"/>
          <w:szCs w:val="22"/>
        </w:rPr>
      </w:pPr>
    </w:p>
    <w:p w14:paraId="4994B668"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OBJECTIVES:Low</w:t>
      </w:r>
      <w:proofErr w:type="gramEnd"/>
      <w:r w:rsidRPr="00FD0727">
        <w:rPr>
          <w:rFonts w:asciiTheme="majorHAnsi" w:hAnsiTheme="majorHAnsi"/>
          <w:color w:val="000000" w:themeColor="text1"/>
          <w:sz w:val="22"/>
          <w:szCs w:val="22"/>
        </w:rPr>
        <w:t xml:space="preserve"> low-density lipoprotein levels are associated with increased mortality in sepsis. Whether low low-density lipoprotein levels contribute causally to adverse sepsis outcome is unknown.</w:t>
      </w:r>
    </w:p>
    <w:p w14:paraId="692691AA" w14:textId="77777777" w:rsidR="00C776B7" w:rsidRPr="00FD0727" w:rsidRDefault="00C776B7">
      <w:pPr>
        <w:rPr>
          <w:rFonts w:asciiTheme="majorHAnsi" w:hAnsiTheme="majorHAnsi"/>
          <w:color w:val="000000" w:themeColor="text1"/>
          <w:sz w:val="22"/>
          <w:szCs w:val="22"/>
        </w:rPr>
      </w:pPr>
    </w:p>
    <w:p w14:paraId="07AF1774"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DESIGN:Retrospective</w:t>
      </w:r>
      <w:proofErr w:type="gramEnd"/>
      <w:r w:rsidRPr="00FD0727">
        <w:rPr>
          <w:rFonts w:asciiTheme="majorHAnsi" w:hAnsiTheme="majorHAnsi"/>
          <w:color w:val="000000" w:themeColor="text1"/>
          <w:sz w:val="22"/>
          <w:szCs w:val="22"/>
        </w:rPr>
        <w:t xml:space="preserve"> analysis of two sepsis patient cohorts using a Mendelian Randomization strategy.</w:t>
      </w:r>
    </w:p>
    <w:p w14:paraId="632377CF" w14:textId="77777777" w:rsidR="00C776B7" w:rsidRPr="00FD0727" w:rsidRDefault="00C776B7">
      <w:pPr>
        <w:rPr>
          <w:rFonts w:asciiTheme="majorHAnsi" w:hAnsiTheme="majorHAnsi"/>
          <w:color w:val="000000" w:themeColor="text1"/>
          <w:sz w:val="22"/>
          <w:szCs w:val="22"/>
        </w:rPr>
      </w:pPr>
    </w:p>
    <w:p w14:paraId="62B822A7"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SETTING:Sepsis</w:t>
      </w:r>
      <w:proofErr w:type="gramEnd"/>
      <w:r w:rsidRPr="00FD0727">
        <w:rPr>
          <w:rFonts w:asciiTheme="majorHAnsi" w:hAnsiTheme="majorHAnsi"/>
          <w:color w:val="000000" w:themeColor="text1"/>
          <w:sz w:val="22"/>
          <w:szCs w:val="22"/>
        </w:rPr>
        <w:t xml:space="preserve"> patients enrolled into clinical research cohorts at tertiary care teaching hospitals.</w:t>
      </w:r>
    </w:p>
    <w:p w14:paraId="4D16546F" w14:textId="77777777" w:rsidR="00C776B7" w:rsidRPr="00FD0727" w:rsidRDefault="00C776B7">
      <w:pPr>
        <w:rPr>
          <w:rFonts w:asciiTheme="majorHAnsi" w:hAnsiTheme="majorHAnsi"/>
          <w:color w:val="000000" w:themeColor="text1"/>
          <w:sz w:val="22"/>
          <w:szCs w:val="22"/>
        </w:rPr>
      </w:pPr>
    </w:p>
    <w:p w14:paraId="6CB1F226"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PATIENTS:The</w:t>
      </w:r>
      <w:proofErr w:type="gramEnd"/>
      <w:r w:rsidRPr="00FD0727">
        <w:rPr>
          <w:rFonts w:asciiTheme="majorHAnsi" w:hAnsiTheme="majorHAnsi"/>
          <w:color w:val="000000" w:themeColor="text1"/>
          <w:sz w:val="22"/>
          <w:szCs w:val="22"/>
        </w:rPr>
        <w:t xml:space="preserve"> first cohort included 200 sepsis patients enrolled in an observational study in a hospital Emergency Department. The second cohort included genotyped patients enrolled in the Vasopressin and Septic Shock Trial.</w:t>
      </w:r>
    </w:p>
    <w:p w14:paraId="01A3951E" w14:textId="77777777" w:rsidR="00C776B7" w:rsidRPr="00FD0727" w:rsidRDefault="00C776B7">
      <w:pPr>
        <w:rPr>
          <w:rFonts w:asciiTheme="majorHAnsi" w:hAnsiTheme="majorHAnsi"/>
          <w:color w:val="000000" w:themeColor="text1"/>
          <w:sz w:val="22"/>
          <w:szCs w:val="22"/>
        </w:rPr>
      </w:pPr>
    </w:p>
    <w:p w14:paraId="7B9C565E"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INTERVENTIONS:Retrospective</w:t>
      </w:r>
      <w:proofErr w:type="gramEnd"/>
      <w:r w:rsidRPr="00FD0727">
        <w:rPr>
          <w:rFonts w:asciiTheme="majorHAnsi" w:hAnsiTheme="majorHAnsi"/>
          <w:color w:val="000000" w:themeColor="text1"/>
          <w:sz w:val="22"/>
          <w:szCs w:val="22"/>
        </w:rPr>
        <w:t xml:space="preserve"> analysis of these patient datasets. In 632 patients enrolled in Vasopressin and Septic Shock Trial, Proprotein Convertase Subtilisin/Kexin type 9, and 3-Hydroxy-3-Methylglutaryl-CoA Reductase single nucleotide polymorphisms known to be associated with low-density lipoprotein levels were genotyped, and a genetic score related to low-density lipoprotein levels was calculated.</w:t>
      </w:r>
    </w:p>
    <w:p w14:paraId="37AA5660" w14:textId="77777777" w:rsidR="00C776B7" w:rsidRPr="00FD0727" w:rsidRDefault="00C776B7">
      <w:pPr>
        <w:rPr>
          <w:rFonts w:asciiTheme="majorHAnsi" w:hAnsiTheme="majorHAnsi"/>
          <w:color w:val="000000" w:themeColor="text1"/>
          <w:sz w:val="22"/>
          <w:szCs w:val="22"/>
        </w:rPr>
      </w:pPr>
    </w:p>
    <w:p w14:paraId="1CC07A6B"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MEASUREMENTS AND MAIN </w:t>
      </w:r>
      <w:proofErr w:type="gramStart"/>
      <w:r w:rsidRPr="00FD0727">
        <w:rPr>
          <w:rFonts w:asciiTheme="majorHAnsi" w:hAnsiTheme="majorHAnsi"/>
          <w:color w:val="000000" w:themeColor="text1"/>
          <w:sz w:val="22"/>
          <w:szCs w:val="22"/>
        </w:rPr>
        <w:t>RESULTS:In</w:t>
      </w:r>
      <w:proofErr w:type="gramEnd"/>
      <w:r w:rsidRPr="00FD0727">
        <w:rPr>
          <w:rFonts w:asciiTheme="majorHAnsi" w:hAnsiTheme="majorHAnsi"/>
          <w:color w:val="000000" w:themeColor="text1"/>
          <w:sz w:val="22"/>
          <w:szCs w:val="22"/>
        </w:rPr>
        <w:t xml:space="preserve"> the first cohort, we replicated the finding that low low-density lipoprotein levels are associated with increased 28-day mortality. In genotyped patients in the Vasopressin and Septic Shock Trial trial, we found that the 3-Hydroxy-3-Methylglutaryl-CoA Reductase genetic score, known to be directly related to low low-density lipoprotein levels, was not associated with increased mortality. Surprisingly the Proprotein Convertase Subtilisin/Kexin type 9 genetic score, known to be directly related to low low-density lipoprotein levels, was associated with decreased (not increased) mortality.</w:t>
      </w:r>
    </w:p>
    <w:p w14:paraId="1F2510AC" w14:textId="77777777" w:rsidR="00C776B7" w:rsidRPr="00FD0727" w:rsidRDefault="00C776B7">
      <w:pPr>
        <w:rPr>
          <w:rFonts w:asciiTheme="majorHAnsi" w:hAnsiTheme="majorHAnsi"/>
          <w:color w:val="000000" w:themeColor="text1"/>
          <w:sz w:val="22"/>
          <w:szCs w:val="22"/>
        </w:rPr>
      </w:pPr>
    </w:p>
    <w:p w14:paraId="6BFD59FE"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CONCLUSIONS:Both</w:t>
      </w:r>
      <w:proofErr w:type="gramEnd"/>
      <w:r w:rsidRPr="00FD0727">
        <w:rPr>
          <w:rFonts w:asciiTheme="majorHAnsi" w:hAnsiTheme="majorHAnsi"/>
          <w:color w:val="000000" w:themeColor="text1"/>
          <w:sz w:val="22"/>
          <w:szCs w:val="22"/>
        </w:rPr>
        <w:t xml:space="preserve"> 3-Hydroxy-3-Methylglutaryl-CoA Reductase and Proprotein Convertase Subtilisin/ Kexin type 9 genetic scores should have been associated with increased mortality if low low-density lipoprotein levels contributed causally to sepsis mortality. But this was not the case, and the opposite was observed for the Proprotein Convertase Subtilisin/ Kexin type 9 genetic score. This suggests that low-density lipoprotein levels, per se, do not contribute causally to adverse sepsis outcomes. The Proprotein Convertase Subtilisin/ Kexin type 9 genetic score finding raises the possibility that increased low-density lipoprotein clearance (the effect of these Proprotein Convertase Subtilisin/ Kexin type 9 genotypes) may contribute to improved sepsis outcomes.</w:t>
      </w:r>
    </w:p>
    <w:p w14:paraId="7172585C" w14:textId="77777777" w:rsidR="00C776B7" w:rsidRPr="00FD0727" w:rsidRDefault="00C776B7">
      <w:pPr>
        <w:rPr>
          <w:rFonts w:asciiTheme="majorHAnsi" w:hAnsiTheme="majorHAnsi"/>
          <w:color w:val="000000" w:themeColor="text1"/>
          <w:sz w:val="22"/>
          <w:szCs w:val="22"/>
        </w:rPr>
      </w:pPr>
    </w:p>
    <w:p w14:paraId="4AB4C1A0"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Critical Care Medicine, 2019 vol. 47 (3) pp. 463-466.</w:t>
      </w:r>
    </w:p>
    <w:p w14:paraId="1374E8E0" w14:textId="77777777" w:rsidR="00C776B7" w:rsidRDefault="00FD0727">
      <w:pPr>
        <w:rPr>
          <w:rStyle w:val="Hyperlink"/>
          <w:rFonts w:asciiTheme="majorHAnsi" w:hAnsiTheme="majorHAnsi"/>
          <w:color w:val="000000" w:themeColor="text1"/>
          <w:sz w:val="22"/>
          <w:szCs w:val="22"/>
        </w:rPr>
      </w:pPr>
      <w:hyperlink r:id="rId20" w:history="1">
        <w:r w:rsidRPr="00FD0727">
          <w:rPr>
            <w:rStyle w:val="Hyperlink"/>
            <w:rFonts w:asciiTheme="majorHAnsi" w:hAnsiTheme="majorHAnsi"/>
            <w:color w:val="000000" w:themeColor="text1"/>
            <w:sz w:val="22"/>
            <w:szCs w:val="22"/>
          </w:rPr>
          <w:t>http://eutils.ncbi.nlm.nih.gov/entrez/eutils/elink.fcgi?dbfrom=pubmed&amp;id=30394916&amp;retmode=ref&amp;cmd=prlinks</w:t>
        </w:r>
      </w:hyperlink>
    </w:p>
    <w:p w14:paraId="3F1B0E15" w14:textId="77777777" w:rsidR="00737538" w:rsidRPr="00FD0727" w:rsidRDefault="00737538">
      <w:pPr>
        <w:rPr>
          <w:rFonts w:asciiTheme="majorHAnsi" w:hAnsiTheme="majorHAnsi"/>
          <w:color w:val="000000" w:themeColor="text1"/>
          <w:sz w:val="22"/>
          <w:szCs w:val="22"/>
        </w:rPr>
      </w:pPr>
    </w:p>
    <w:p w14:paraId="07169360"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08206D9F" w14:textId="77777777" w:rsidR="00C776B7" w:rsidRPr="00737538" w:rsidRDefault="00FD0727">
      <w:pPr>
        <w:pStyle w:val="Heading4"/>
        <w:rPr>
          <w:rFonts w:asciiTheme="majorHAnsi" w:hAnsiTheme="majorHAnsi"/>
          <w:b/>
          <w:color w:val="000000" w:themeColor="text1"/>
          <w:sz w:val="22"/>
          <w:szCs w:val="22"/>
        </w:rPr>
      </w:pPr>
      <w:r w:rsidRPr="00737538">
        <w:rPr>
          <w:rFonts w:asciiTheme="majorHAnsi" w:hAnsiTheme="majorHAnsi"/>
          <w:b/>
          <w:color w:val="000000" w:themeColor="text1"/>
          <w:sz w:val="22"/>
          <w:szCs w:val="22"/>
        </w:rPr>
        <w:t>Continuous Electroencephalography After Moderate to Severe Traumatic Brain Injury.</w:t>
      </w:r>
    </w:p>
    <w:p w14:paraId="5F1A1286" w14:textId="77777777" w:rsidR="00C776B7" w:rsidRPr="00FD0727" w:rsidRDefault="00C776B7">
      <w:pPr>
        <w:rPr>
          <w:rFonts w:asciiTheme="majorHAnsi" w:hAnsiTheme="majorHAnsi"/>
          <w:color w:val="000000" w:themeColor="text1"/>
          <w:sz w:val="22"/>
          <w:szCs w:val="22"/>
        </w:rPr>
      </w:pPr>
    </w:p>
    <w:p w14:paraId="06458D81"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Hyunjo Lee, Moshe A Mizrahi, Jed A Hartings, Sameer Sharma, Laura Pahren, Laura B Ngwenya, Brian D Moseley, Michael Privitera, Frank C Tortella, and Brandon Foreman.</w:t>
      </w:r>
    </w:p>
    <w:p w14:paraId="355233C7" w14:textId="77777777" w:rsidR="00C776B7" w:rsidRPr="00FD0727" w:rsidRDefault="00C776B7">
      <w:pPr>
        <w:rPr>
          <w:rFonts w:asciiTheme="majorHAnsi" w:hAnsiTheme="majorHAnsi"/>
          <w:color w:val="000000" w:themeColor="text1"/>
          <w:sz w:val="22"/>
          <w:szCs w:val="22"/>
        </w:rPr>
      </w:pPr>
    </w:p>
    <w:p w14:paraId="2D992FB0"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OBJECTIVES:After</w:t>
      </w:r>
      <w:proofErr w:type="gramEnd"/>
      <w:r w:rsidRPr="00FD0727">
        <w:rPr>
          <w:rFonts w:asciiTheme="majorHAnsi" w:hAnsiTheme="majorHAnsi"/>
          <w:color w:val="000000" w:themeColor="text1"/>
          <w:sz w:val="22"/>
          <w:szCs w:val="22"/>
        </w:rPr>
        <w:t xml:space="preserve"> traumatic brain injury, continuous electroencephalography is widely used to detect electrographic seizures. With the development of standardized continuous electroencephalography terminology, we aimed to describe the prevalence and burden of ictal-interictal patterns, including electrographic seizures after moderate-to-severe traumatic brain injury and to correlate continuous electroencephalography features with functional outcome.</w:t>
      </w:r>
    </w:p>
    <w:p w14:paraId="68C736F8" w14:textId="77777777" w:rsidR="00C776B7" w:rsidRPr="00FD0727" w:rsidRDefault="00C776B7">
      <w:pPr>
        <w:rPr>
          <w:rFonts w:asciiTheme="majorHAnsi" w:hAnsiTheme="majorHAnsi"/>
          <w:color w:val="000000" w:themeColor="text1"/>
          <w:sz w:val="22"/>
          <w:szCs w:val="22"/>
        </w:rPr>
      </w:pPr>
    </w:p>
    <w:p w14:paraId="3D94C599"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DESIGN:Post</w:t>
      </w:r>
      <w:proofErr w:type="gramEnd"/>
      <w:r w:rsidRPr="00FD0727">
        <w:rPr>
          <w:rFonts w:asciiTheme="majorHAnsi" w:hAnsiTheme="majorHAnsi"/>
          <w:color w:val="000000" w:themeColor="text1"/>
          <w:sz w:val="22"/>
          <w:szCs w:val="22"/>
        </w:rPr>
        <w:t xml:space="preserve"> hoc analysis of the prospective, randomized controlled phase 2 multicenter INTREPID study (</w:t>
      </w:r>
      <w:hyperlink r:id="rId21" w:history="1">
        <w:r w:rsidRPr="00FD0727">
          <w:rPr>
            <w:rStyle w:val="Hyperlink"/>
            <w:rFonts w:asciiTheme="majorHAnsi" w:hAnsiTheme="majorHAnsi"/>
            <w:color w:val="000000" w:themeColor="text1"/>
            <w:sz w:val="22"/>
            <w:szCs w:val="22"/>
          </w:rPr>
          <w:t>ClinicalTrials.gov</w:t>
        </w:r>
      </w:hyperlink>
      <w:r w:rsidRPr="00FD0727">
        <w:rPr>
          <w:rFonts w:asciiTheme="majorHAnsi" w:hAnsiTheme="majorHAnsi"/>
          <w:color w:val="000000" w:themeColor="text1"/>
          <w:sz w:val="22"/>
          <w:szCs w:val="22"/>
        </w:rPr>
        <w:t>: NCT00805818). Continuous electroencephalography was initiated upon admission to the ICU. The primary outcome was the 3-month Glasgow Outcome Scale-Extended. Consensus electroencephalography reviews were performed by raters certified in standardized continuous electroencephalography terminology blinded to clinical data. Rhythmic, periodic, or ictal patterns were referred to as "ictal-interictal continuum"; severe ictal-interictal continuum was defined as greater than or equal to 1.5 Hz lateralized rhythmic delta activity or generalized periodic discharges and any lateralized periodic discharges or electrographic seizures.</w:t>
      </w:r>
    </w:p>
    <w:p w14:paraId="0F6D61F1" w14:textId="77777777" w:rsidR="00C776B7" w:rsidRPr="00FD0727" w:rsidRDefault="00C776B7">
      <w:pPr>
        <w:rPr>
          <w:rFonts w:asciiTheme="majorHAnsi" w:hAnsiTheme="majorHAnsi"/>
          <w:color w:val="000000" w:themeColor="text1"/>
          <w:sz w:val="22"/>
          <w:szCs w:val="22"/>
        </w:rPr>
      </w:pPr>
    </w:p>
    <w:p w14:paraId="7253087B"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SETTING:Twenty</w:t>
      </w:r>
      <w:proofErr w:type="gramEnd"/>
      <w:r w:rsidRPr="00FD0727">
        <w:rPr>
          <w:rFonts w:asciiTheme="majorHAnsi" w:hAnsiTheme="majorHAnsi"/>
          <w:color w:val="000000" w:themeColor="text1"/>
          <w:sz w:val="22"/>
          <w:szCs w:val="22"/>
        </w:rPr>
        <w:t xml:space="preserve"> U.S. level I trauma centers.</w:t>
      </w:r>
    </w:p>
    <w:p w14:paraId="76793DC8" w14:textId="77777777" w:rsidR="00C776B7" w:rsidRPr="00FD0727" w:rsidRDefault="00C776B7">
      <w:pPr>
        <w:rPr>
          <w:rFonts w:asciiTheme="majorHAnsi" w:hAnsiTheme="majorHAnsi"/>
          <w:color w:val="000000" w:themeColor="text1"/>
          <w:sz w:val="22"/>
          <w:szCs w:val="22"/>
        </w:rPr>
      </w:pPr>
    </w:p>
    <w:p w14:paraId="24441F76"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PATIENTS:Patients</w:t>
      </w:r>
      <w:proofErr w:type="gramEnd"/>
      <w:r w:rsidRPr="00FD0727">
        <w:rPr>
          <w:rFonts w:asciiTheme="majorHAnsi" w:hAnsiTheme="majorHAnsi"/>
          <w:color w:val="000000" w:themeColor="text1"/>
          <w:sz w:val="22"/>
          <w:szCs w:val="22"/>
        </w:rPr>
        <w:t xml:space="preserve"> with nonpenetrating traumatic brain injury and postresuscitation Glasgow Coma Scale score of 4-12 were included.</w:t>
      </w:r>
    </w:p>
    <w:p w14:paraId="6477CACE" w14:textId="77777777" w:rsidR="00C776B7" w:rsidRPr="00FD0727" w:rsidRDefault="00C776B7">
      <w:pPr>
        <w:rPr>
          <w:rFonts w:asciiTheme="majorHAnsi" w:hAnsiTheme="majorHAnsi"/>
          <w:color w:val="000000" w:themeColor="text1"/>
          <w:sz w:val="22"/>
          <w:szCs w:val="22"/>
        </w:rPr>
      </w:pPr>
    </w:p>
    <w:p w14:paraId="62AC31FA"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INTERVENTIONS:None</w:t>
      </w:r>
      <w:proofErr w:type="gramEnd"/>
      <w:r w:rsidRPr="00FD0727">
        <w:rPr>
          <w:rFonts w:asciiTheme="majorHAnsi" w:hAnsiTheme="majorHAnsi"/>
          <w:color w:val="000000" w:themeColor="text1"/>
          <w:sz w:val="22"/>
          <w:szCs w:val="22"/>
        </w:rPr>
        <w:t>.</w:t>
      </w:r>
    </w:p>
    <w:p w14:paraId="0306284E" w14:textId="77777777" w:rsidR="00C776B7" w:rsidRPr="00FD0727" w:rsidRDefault="00C776B7">
      <w:pPr>
        <w:rPr>
          <w:rFonts w:asciiTheme="majorHAnsi" w:hAnsiTheme="majorHAnsi"/>
          <w:color w:val="000000" w:themeColor="text1"/>
          <w:sz w:val="22"/>
          <w:szCs w:val="22"/>
        </w:rPr>
      </w:pPr>
    </w:p>
    <w:p w14:paraId="1E44DBB4"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MEASUREMENTS AND MAIN </w:t>
      </w:r>
      <w:proofErr w:type="gramStart"/>
      <w:r w:rsidRPr="00FD0727">
        <w:rPr>
          <w:rFonts w:asciiTheme="majorHAnsi" w:hAnsiTheme="majorHAnsi"/>
          <w:color w:val="000000" w:themeColor="text1"/>
          <w:sz w:val="22"/>
          <w:szCs w:val="22"/>
        </w:rPr>
        <w:t>RESULTS:Among</w:t>
      </w:r>
      <w:proofErr w:type="gramEnd"/>
      <w:r w:rsidRPr="00FD0727">
        <w:rPr>
          <w:rFonts w:asciiTheme="majorHAnsi" w:hAnsiTheme="majorHAnsi"/>
          <w:color w:val="000000" w:themeColor="text1"/>
          <w:sz w:val="22"/>
          <w:szCs w:val="22"/>
        </w:rPr>
        <w:t xml:space="preserve"> 152 patients with continuous electroencephalography (age 34 ± 14 yr; 88% male), 22 (14%) had severe ictal-interictal continuum including electrographic seizures in four (2.6%). Severe ictal-interictal continuum burden correlated with initial prognostic scores, including the International Mission for Prognosis and Analysis of Clinical Trials in Traumatic Brain Injury (r = 0.51; p = 0.01) and Injury Severity Score (r = 0.49; p = 0.01), but not with functional outcome. After controlling clinical covariates, unfavorable outcome was independently associated with absence of </w:t>
      </w:r>
      <w:r w:rsidRPr="00FD0727">
        <w:rPr>
          <w:rFonts w:asciiTheme="majorHAnsi" w:hAnsiTheme="majorHAnsi"/>
          <w:color w:val="000000" w:themeColor="text1"/>
          <w:sz w:val="22"/>
          <w:szCs w:val="22"/>
        </w:rPr>
        <w:lastRenderedPageBreak/>
        <w:t>posterior dominant rhythm (common odds ratio, 3.38; 95% CI, 1.30-9.09), absence of N2 sleep transients (3.69; 1.69-8.20), predominant delta activity (2.82; 1.32-6.10), and discontinuous background (5.33; 2.28-12.96) within the first 72 hours of monitoring.</w:t>
      </w:r>
    </w:p>
    <w:p w14:paraId="52AD580A" w14:textId="77777777" w:rsidR="00C776B7" w:rsidRPr="00FD0727" w:rsidRDefault="00C776B7">
      <w:pPr>
        <w:rPr>
          <w:rFonts w:asciiTheme="majorHAnsi" w:hAnsiTheme="majorHAnsi"/>
          <w:color w:val="000000" w:themeColor="text1"/>
          <w:sz w:val="22"/>
          <w:szCs w:val="22"/>
        </w:rPr>
      </w:pPr>
    </w:p>
    <w:p w14:paraId="5F176BB2"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CONCLUSIONS:Severe</w:t>
      </w:r>
      <w:proofErr w:type="gramEnd"/>
      <w:r w:rsidRPr="00FD0727">
        <w:rPr>
          <w:rFonts w:asciiTheme="majorHAnsi" w:hAnsiTheme="majorHAnsi"/>
          <w:color w:val="000000" w:themeColor="text1"/>
          <w:sz w:val="22"/>
          <w:szCs w:val="22"/>
        </w:rPr>
        <w:t xml:space="preserve"> ictal-interictal continuum patterns, including electrographic seizures, were associated with clinical markers of injury severity but not functional outcome in this prospective cohort of patients with moderate-to-severe traumatic brain injury. Importantly, continuous electroencephalography background features were independently associated with functional outcome and improved the area under the curve of existing, validated predictive models.</w:t>
      </w:r>
    </w:p>
    <w:p w14:paraId="208B735E" w14:textId="77777777" w:rsidR="00C776B7" w:rsidRPr="00FD0727" w:rsidRDefault="00C776B7">
      <w:pPr>
        <w:rPr>
          <w:rFonts w:asciiTheme="majorHAnsi" w:hAnsiTheme="majorHAnsi"/>
          <w:color w:val="000000" w:themeColor="text1"/>
          <w:sz w:val="22"/>
          <w:szCs w:val="22"/>
        </w:rPr>
      </w:pPr>
    </w:p>
    <w:p w14:paraId="20D59F9D"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Critical Care Medicine, 2019 vol. 47 (4) pp. 574-582.</w:t>
      </w:r>
    </w:p>
    <w:p w14:paraId="3E5901EF" w14:textId="77777777" w:rsidR="00C776B7" w:rsidRDefault="00FD0727">
      <w:pPr>
        <w:rPr>
          <w:rStyle w:val="Hyperlink"/>
          <w:rFonts w:asciiTheme="majorHAnsi" w:hAnsiTheme="majorHAnsi"/>
          <w:color w:val="000000" w:themeColor="text1"/>
          <w:sz w:val="22"/>
          <w:szCs w:val="22"/>
        </w:rPr>
      </w:pPr>
      <w:hyperlink r:id="rId22" w:history="1">
        <w:r w:rsidRPr="00FD0727">
          <w:rPr>
            <w:rStyle w:val="Hyperlink"/>
            <w:rFonts w:asciiTheme="majorHAnsi" w:hAnsiTheme="majorHAnsi"/>
            <w:color w:val="000000" w:themeColor="text1"/>
            <w:sz w:val="22"/>
            <w:szCs w:val="22"/>
          </w:rPr>
          <w:t>http://eutils.ncbi.nlm.nih.gov/entrez/eutils/elink.fcgi?dbfrom=pubmed&amp;id=30624278&amp;retmode=ref&amp;cmd=prlinks</w:t>
        </w:r>
      </w:hyperlink>
    </w:p>
    <w:p w14:paraId="0BF81000" w14:textId="77777777" w:rsidR="00737538" w:rsidRPr="00FD0727" w:rsidRDefault="00737538">
      <w:pPr>
        <w:rPr>
          <w:rFonts w:asciiTheme="majorHAnsi" w:hAnsiTheme="majorHAnsi"/>
          <w:color w:val="000000" w:themeColor="text1"/>
          <w:sz w:val="22"/>
          <w:szCs w:val="22"/>
        </w:rPr>
      </w:pPr>
    </w:p>
    <w:p w14:paraId="77ABF4A1"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1AD4B748" w14:textId="77777777" w:rsidR="00C776B7" w:rsidRPr="00737538" w:rsidRDefault="00FD0727">
      <w:pPr>
        <w:pStyle w:val="Heading4"/>
        <w:rPr>
          <w:rFonts w:asciiTheme="majorHAnsi" w:hAnsiTheme="majorHAnsi"/>
          <w:b/>
          <w:color w:val="000000" w:themeColor="text1"/>
          <w:sz w:val="22"/>
          <w:szCs w:val="22"/>
        </w:rPr>
      </w:pPr>
      <w:r w:rsidRPr="00737538">
        <w:rPr>
          <w:rFonts w:asciiTheme="majorHAnsi" w:hAnsiTheme="majorHAnsi"/>
          <w:b/>
          <w:color w:val="000000" w:themeColor="text1"/>
          <w:sz w:val="22"/>
          <w:szCs w:val="22"/>
        </w:rPr>
        <w:t xml:space="preserve">Effects of Baseline Thrombocytopenia and Platelet Decrease Following Renal Replacement Therapy Initiation in Patients </w:t>
      </w:r>
      <w:proofErr w:type="gramStart"/>
      <w:r w:rsidRPr="00737538">
        <w:rPr>
          <w:rFonts w:asciiTheme="majorHAnsi" w:hAnsiTheme="majorHAnsi"/>
          <w:b/>
          <w:color w:val="000000" w:themeColor="text1"/>
          <w:sz w:val="22"/>
          <w:szCs w:val="22"/>
        </w:rPr>
        <w:t>With</w:t>
      </w:r>
      <w:proofErr w:type="gramEnd"/>
      <w:r w:rsidRPr="00737538">
        <w:rPr>
          <w:rFonts w:asciiTheme="majorHAnsi" w:hAnsiTheme="majorHAnsi"/>
          <w:b/>
          <w:color w:val="000000" w:themeColor="text1"/>
          <w:sz w:val="22"/>
          <w:szCs w:val="22"/>
        </w:rPr>
        <w:t xml:space="preserve"> Severe Acute Kidney Injury.</w:t>
      </w:r>
    </w:p>
    <w:p w14:paraId="6D88031F" w14:textId="77777777" w:rsidR="00C776B7" w:rsidRPr="00FD0727" w:rsidRDefault="00C776B7">
      <w:pPr>
        <w:rPr>
          <w:rFonts w:asciiTheme="majorHAnsi" w:hAnsiTheme="majorHAnsi"/>
          <w:color w:val="000000" w:themeColor="text1"/>
          <w:sz w:val="22"/>
          <w:szCs w:val="22"/>
        </w:rPr>
      </w:pPr>
    </w:p>
    <w:p w14:paraId="15EC9E6C"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Benjamin R Griffin, Anna Jovanovich, Zhiying You, Paul Palevsky, Sarah Faubel, and Diana Jalal.</w:t>
      </w:r>
    </w:p>
    <w:p w14:paraId="318646EA" w14:textId="77777777" w:rsidR="00C776B7" w:rsidRPr="00FD0727" w:rsidRDefault="00C776B7">
      <w:pPr>
        <w:rPr>
          <w:rFonts w:asciiTheme="majorHAnsi" w:hAnsiTheme="majorHAnsi"/>
          <w:color w:val="000000" w:themeColor="text1"/>
          <w:sz w:val="22"/>
          <w:szCs w:val="22"/>
        </w:rPr>
      </w:pPr>
    </w:p>
    <w:p w14:paraId="075B42E6"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OBJECTIVES:Thrombocytopenia</w:t>
      </w:r>
      <w:proofErr w:type="gramEnd"/>
      <w:r w:rsidRPr="00FD0727">
        <w:rPr>
          <w:rFonts w:asciiTheme="majorHAnsi" w:hAnsiTheme="majorHAnsi"/>
          <w:color w:val="000000" w:themeColor="text1"/>
          <w:sz w:val="22"/>
          <w:szCs w:val="22"/>
        </w:rPr>
        <w:t xml:space="preserve"> is common in critically ill patients with severe acute kidney injury and may be worsened by the use of renal replacement therapy. In this study, we evaluate the effects of renal replacement therapy on subsequent platelet values, the prognostic significance of a decrease in platelets, and potential risk factors for platelet decreases.</w:t>
      </w:r>
    </w:p>
    <w:p w14:paraId="53221465" w14:textId="77777777" w:rsidR="00C776B7" w:rsidRPr="00FD0727" w:rsidRDefault="00C776B7">
      <w:pPr>
        <w:rPr>
          <w:rFonts w:asciiTheme="majorHAnsi" w:hAnsiTheme="majorHAnsi"/>
          <w:color w:val="000000" w:themeColor="text1"/>
          <w:sz w:val="22"/>
          <w:szCs w:val="22"/>
        </w:rPr>
      </w:pPr>
    </w:p>
    <w:p w14:paraId="5D755249"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DESIGN:Post</w:t>
      </w:r>
      <w:proofErr w:type="gramEnd"/>
      <w:r w:rsidRPr="00FD0727">
        <w:rPr>
          <w:rFonts w:asciiTheme="majorHAnsi" w:hAnsiTheme="majorHAnsi"/>
          <w:color w:val="000000" w:themeColor="text1"/>
          <w:sz w:val="22"/>
          <w:szCs w:val="22"/>
        </w:rPr>
        <w:t xml:space="preserve"> hoc analysis of the Acute Renal Failure Trial Network Study.</w:t>
      </w:r>
    </w:p>
    <w:p w14:paraId="78E2B46D" w14:textId="77777777" w:rsidR="00C776B7" w:rsidRPr="00FD0727" w:rsidRDefault="00C776B7">
      <w:pPr>
        <w:rPr>
          <w:rFonts w:asciiTheme="majorHAnsi" w:hAnsiTheme="majorHAnsi"/>
          <w:color w:val="000000" w:themeColor="text1"/>
          <w:sz w:val="22"/>
          <w:szCs w:val="22"/>
        </w:rPr>
      </w:pPr>
    </w:p>
    <w:p w14:paraId="2C30A7BE"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SETTING:The</w:t>
      </w:r>
      <w:proofErr w:type="gramEnd"/>
      <w:r w:rsidRPr="00FD0727">
        <w:rPr>
          <w:rFonts w:asciiTheme="majorHAnsi" w:hAnsiTheme="majorHAnsi"/>
          <w:color w:val="000000" w:themeColor="text1"/>
          <w:sz w:val="22"/>
          <w:szCs w:val="22"/>
        </w:rPr>
        <w:t xml:space="preserve"> Acute Renal Failure Trial Network study was a multicenter, prospective, randomized, parallel-group trial of two strategies for renal replacement therapy in critically ill patients with acute kidney injury conducted between November 2003 and July 2007 at 27 Veterans Affairs and university-affiliated medical centers.</w:t>
      </w:r>
    </w:p>
    <w:p w14:paraId="619FFE76" w14:textId="77777777" w:rsidR="00C776B7" w:rsidRPr="00FD0727" w:rsidRDefault="00C776B7">
      <w:pPr>
        <w:rPr>
          <w:rFonts w:asciiTheme="majorHAnsi" w:hAnsiTheme="majorHAnsi"/>
          <w:color w:val="000000" w:themeColor="text1"/>
          <w:sz w:val="22"/>
          <w:szCs w:val="22"/>
        </w:rPr>
      </w:pPr>
    </w:p>
    <w:p w14:paraId="51F1D7EC"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SUBJECTS:The</w:t>
      </w:r>
      <w:proofErr w:type="gramEnd"/>
      <w:r w:rsidRPr="00FD0727">
        <w:rPr>
          <w:rFonts w:asciiTheme="majorHAnsi" w:hAnsiTheme="majorHAnsi"/>
          <w:color w:val="000000" w:themeColor="text1"/>
          <w:sz w:val="22"/>
          <w:szCs w:val="22"/>
        </w:rPr>
        <w:t xml:space="preserve"> Acute Renal Failure Trial Network study evaluated 1,124 patients with severe acute kidney injury requiring renal replacement therapy.</w:t>
      </w:r>
    </w:p>
    <w:p w14:paraId="45F55785" w14:textId="77777777" w:rsidR="00C776B7" w:rsidRPr="00FD0727" w:rsidRDefault="00C776B7">
      <w:pPr>
        <w:rPr>
          <w:rFonts w:asciiTheme="majorHAnsi" w:hAnsiTheme="majorHAnsi"/>
          <w:color w:val="000000" w:themeColor="text1"/>
          <w:sz w:val="22"/>
          <w:szCs w:val="22"/>
        </w:rPr>
      </w:pPr>
    </w:p>
    <w:p w14:paraId="702B5A89"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INTERVENTIONS:Predictor</w:t>
      </w:r>
      <w:proofErr w:type="gramEnd"/>
      <w:r w:rsidRPr="00FD0727">
        <w:rPr>
          <w:rFonts w:asciiTheme="majorHAnsi" w:hAnsiTheme="majorHAnsi"/>
          <w:color w:val="000000" w:themeColor="text1"/>
          <w:sz w:val="22"/>
          <w:szCs w:val="22"/>
        </w:rPr>
        <w:t xml:space="preserve"> variables were thrombocytopenia at initiation of renal replacement therapy and platelet decrease following renal replacement therapy initiation.</w:t>
      </w:r>
    </w:p>
    <w:p w14:paraId="4A3D3613" w14:textId="77777777" w:rsidR="00C776B7" w:rsidRPr="00FD0727" w:rsidRDefault="00C776B7">
      <w:pPr>
        <w:rPr>
          <w:rFonts w:asciiTheme="majorHAnsi" w:hAnsiTheme="majorHAnsi"/>
          <w:color w:val="000000" w:themeColor="text1"/>
          <w:sz w:val="22"/>
          <w:szCs w:val="22"/>
        </w:rPr>
      </w:pPr>
    </w:p>
    <w:p w14:paraId="29505DEE"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MEASUREMENTS AND MAIN </w:t>
      </w:r>
      <w:proofErr w:type="gramStart"/>
      <w:r w:rsidRPr="00FD0727">
        <w:rPr>
          <w:rFonts w:asciiTheme="majorHAnsi" w:hAnsiTheme="majorHAnsi"/>
          <w:color w:val="000000" w:themeColor="text1"/>
          <w:sz w:val="22"/>
          <w:szCs w:val="22"/>
        </w:rPr>
        <w:t>RESULTS:Outcomes</w:t>
      </w:r>
      <w:proofErr w:type="gramEnd"/>
      <w:r w:rsidRPr="00FD0727">
        <w:rPr>
          <w:rFonts w:asciiTheme="majorHAnsi" w:hAnsiTheme="majorHAnsi"/>
          <w:color w:val="000000" w:themeColor="text1"/>
          <w:sz w:val="22"/>
          <w:szCs w:val="22"/>
        </w:rPr>
        <w:t xml:space="preserve"> were mortality at 28 days, 60 days, and 1 year, renal recovery, renal replacement therapy free days, ICU-free days, and hospital-free days. Baseline thrombocytopenia in patients requiring renal replacement therapy was associated with increased mortality and was also associated with lower rates of renal recovery. A decrease in platelet values following renal replacement therapy initiation was associated with increased mortality. Continuous renal replacement therapy was not an independent predictor of worsening thrombocytopenia compared with those treated with intermittent hemodialysis.</w:t>
      </w:r>
    </w:p>
    <w:p w14:paraId="0B3043F0" w14:textId="77777777" w:rsidR="00C776B7" w:rsidRPr="00FD0727" w:rsidRDefault="00C776B7">
      <w:pPr>
        <w:rPr>
          <w:rFonts w:asciiTheme="majorHAnsi" w:hAnsiTheme="majorHAnsi"/>
          <w:color w:val="000000" w:themeColor="text1"/>
          <w:sz w:val="22"/>
          <w:szCs w:val="22"/>
        </w:rPr>
      </w:pPr>
    </w:p>
    <w:p w14:paraId="55AB04CF"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CONCLUSIONS:Baseline</w:t>
      </w:r>
      <w:proofErr w:type="gramEnd"/>
      <w:r w:rsidRPr="00FD0727">
        <w:rPr>
          <w:rFonts w:asciiTheme="majorHAnsi" w:hAnsiTheme="majorHAnsi"/>
          <w:color w:val="000000" w:themeColor="text1"/>
          <w:sz w:val="22"/>
          <w:szCs w:val="22"/>
        </w:rPr>
        <w:t xml:space="preserve"> thrombocytopenia and platelet decrease following renal replacement therapy initiation were associated with increased mortality, and baseline thrombocytopenia was associated with </w:t>
      </w:r>
      <w:r w:rsidRPr="00FD0727">
        <w:rPr>
          <w:rFonts w:asciiTheme="majorHAnsi" w:hAnsiTheme="majorHAnsi"/>
          <w:color w:val="000000" w:themeColor="text1"/>
          <w:sz w:val="22"/>
          <w:szCs w:val="22"/>
        </w:rPr>
        <w:lastRenderedPageBreak/>
        <w:t>decreased rates of renal recovery. Continuous renal replacement therapy did not decrease platelets compared with hemodialysis.</w:t>
      </w:r>
    </w:p>
    <w:p w14:paraId="1CE46300" w14:textId="77777777" w:rsidR="00C776B7" w:rsidRPr="00FD0727" w:rsidRDefault="00C776B7">
      <w:pPr>
        <w:rPr>
          <w:rFonts w:asciiTheme="majorHAnsi" w:hAnsiTheme="majorHAnsi"/>
          <w:color w:val="000000" w:themeColor="text1"/>
          <w:sz w:val="22"/>
          <w:szCs w:val="22"/>
        </w:rPr>
      </w:pPr>
    </w:p>
    <w:p w14:paraId="00B6BCC3"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Critical Care Medicine, 2019 vol. 47 (4) pp. e325-e331.</w:t>
      </w:r>
    </w:p>
    <w:p w14:paraId="7D743C6F" w14:textId="77777777" w:rsidR="00C776B7" w:rsidRDefault="00FD0727">
      <w:pPr>
        <w:rPr>
          <w:rStyle w:val="Hyperlink"/>
          <w:rFonts w:asciiTheme="majorHAnsi" w:hAnsiTheme="majorHAnsi"/>
          <w:color w:val="000000" w:themeColor="text1"/>
          <w:sz w:val="22"/>
          <w:szCs w:val="22"/>
        </w:rPr>
      </w:pPr>
      <w:hyperlink r:id="rId23" w:history="1">
        <w:r w:rsidRPr="00FD0727">
          <w:rPr>
            <w:rStyle w:val="Hyperlink"/>
            <w:rFonts w:asciiTheme="majorHAnsi" w:hAnsiTheme="majorHAnsi"/>
            <w:color w:val="000000" w:themeColor="text1"/>
            <w:sz w:val="22"/>
            <w:szCs w:val="22"/>
          </w:rPr>
          <w:t>http://eutils.ncbi.nlm.nih.gov/entrez/eutils/elink.fcgi?dbfrom=pubmed&amp;id=30585829&amp;retmode=ref&amp;cmd=prlinks</w:t>
        </w:r>
      </w:hyperlink>
    </w:p>
    <w:p w14:paraId="0C32E0EF" w14:textId="77777777" w:rsidR="00F07DA2" w:rsidRPr="00FD0727" w:rsidRDefault="00F07DA2">
      <w:pPr>
        <w:rPr>
          <w:rFonts w:asciiTheme="majorHAnsi" w:hAnsiTheme="majorHAnsi"/>
          <w:color w:val="000000" w:themeColor="text1"/>
          <w:sz w:val="22"/>
          <w:szCs w:val="22"/>
        </w:rPr>
      </w:pPr>
    </w:p>
    <w:p w14:paraId="6F3F65FC"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6E385D12" w14:textId="77777777" w:rsidR="00C776B7" w:rsidRPr="00F07DA2" w:rsidRDefault="00FD0727">
      <w:pPr>
        <w:pStyle w:val="Heading4"/>
        <w:rPr>
          <w:rFonts w:asciiTheme="majorHAnsi" w:hAnsiTheme="majorHAnsi"/>
          <w:b/>
          <w:color w:val="000000" w:themeColor="text1"/>
          <w:sz w:val="22"/>
          <w:szCs w:val="22"/>
        </w:rPr>
      </w:pPr>
      <w:r w:rsidRPr="00F07DA2">
        <w:rPr>
          <w:rFonts w:asciiTheme="majorHAnsi" w:hAnsiTheme="majorHAnsi"/>
          <w:b/>
          <w:color w:val="000000" w:themeColor="text1"/>
          <w:sz w:val="22"/>
          <w:szCs w:val="22"/>
        </w:rPr>
        <w:t>Effects of Positive End-Expiratory Pressure and Spontaneous Breathing Activity on Regional Lung Inflammation in Experimental Acute Respiratory Distress Syndrome.</w:t>
      </w:r>
    </w:p>
    <w:p w14:paraId="0357645E" w14:textId="77777777" w:rsidR="00C776B7" w:rsidRPr="00FD0727" w:rsidRDefault="00C776B7">
      <w:pPr>
        <w:rPr>
          <w:rFonts w:asciiTheme="majorHAnsi" w:hAnsiTheme="majorHAnsi"/>
          <w:color w:val="000000" w:themeColor="text1"/>
          <w:sz w:val="22"/>
          <w:szCs w:val="22"/>
        </w:rPr>
      </w:pPr>
    </w:p>
    <w:p w14:paraId="4AB2221F"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Thomas Kiss, Thomas Bluth, Anja Braune, Robert Huhle, Axel Denz, Moritz Herzog, Johannes Herold, Luigi Vivona, Marco Millone, Alice Bergamaschi, Michael Andreeff, Martin Scharffenberg, Jakob Wittenstein, Marcos F Vidal Melo, Thea Koch, Patricia R M Rocco, Paolo Pelosi, Jörg Kotzerke, and Marcelo Gama de Abreu.</w:t>
      </w:r>
    </w:p>
    <w:p w14:paraId="2ED3CD0A" w14:textId="77777777" w:rsidR="00C776B7" w:rsidRPr="00FD0727" w:rsidRDefault="00C776B7">
      <w:pPr>
        <w:rPr>
          <w:rFonts w:asciiTheme="majorHAnsi" w:hAnsiTheme="majorHAnsi"/>
          <w:color w:val="000000" w:themeColor="text1"/>
          <w:sz w:val="22"/>
          <w:szCs w:val="22"/>
        </w:rPr>
      </w:pPr>
    </w:p>
    <w:p w14:paraId="0E6DC0F1"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OBJECTIVES:To</w:t>
      </w:r>
      <w:proofErr w:type="gramEnd"/>
      <w:r w:rsidRPr="00FD0727">
        <w:rPr>
          <w:rFonts w:asciiTheme="majorHAnsi" w:hAnsiTheme="majorHAnsi"/>
          <w:color w:val="000000" w:themeColor="text1"/>
          <w:sz w:val="22"/>
          <w:szCs w:val="22"/>
        </w:rPr>
        <w:t xml:space="preserve"> determine the impact of positive end-expiratory pressure during mechanical ventilation with and without spontaneous breathing activity on regional lung inflammation in experimental nonsevere acute respiratory distress syndrome.</w:t>
      </w:r>
    </w:p>
    <w:p w14:paraId="238F9BE5" w14:textId="77777777" w:rsidR="00C776B7" w:rsidRPr="00FD0727" w:rsidRDefault="00C776B7">
      <w:pPr>
        <w:rPr>
          <w:rFonts w:asciiTheme="majorHAnsi" w:hAnsiTheme="majorHAnsi"/>
          <w:color w:val="000000" w:themeColor="text1"/>
          <w:sz w:val="22"/>
          <w:szCs w:val="22"/>
        </w:rPr>
      </w:pPr>
    </w:p>
    <w:p w14:paraId="575C5876"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DESIGN:Laboratory</w:t>
      </w:r>
      <w:proofErr w:type="gramEnd"/>
      <w:r w:rsidRPr="00FD0727">
        <w:rPr>
          <w:rFonts w:asciiTheme="majorHAnsi" w:hAnsiTheme="majorHAnsi"/>
          <w:color w:val="000000" w:themeColor="text1"/>
          <w:sz w:val="22"/>
          <w:szCs w:val="22"/>
        </w:rPr>
        <w:t xml:space="preserve"> investigation.</w:t>
      </w:r>
    </w:p>
    <w:p w14:paraId="0CBA9085" w14:textId="77777777" w:rsidR="00C776B7" w:rsidRPr="00FD0727" w:rsidRDefault="00C776B7">
      <w:pPr>
        <w:rPr>
          <w:rFonts w:asciiTheme="majorHAnsi" w:hAnsiTheme="majorHAnsi"/>
          <w:color w:val="000000" w:themeColor="text1"/>
          <w:sz w:val="22"/>
          <w:szCs w:val="22"/>
        </w:rPr>
      </w:pPr>
    </w:p>
    <w:p w14:paraId="6C46F623"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SETTING:University</w:t>
      </w:r>
      <w:proofErr w:type="gramEnd"/>
      <w:r w:rsidRPr="00FD0727">
        <w:rPr>
          <w:rFonts w:asciiTheme="majorHAnsi" w:hAnsiTheme="majorHAnsi"/>
          <w:color w:val="000000" w:themeColor="text1"/>
          <w:sz w:val="22"/>
          <w:szCs w:val="22"/>
        </w:rPr>
        <w:t xml:space="preserve"> hospital research facility.</w:t>
      </w:r>
    </w:p>
    <w:p w14:paraId="795D82EA" w14:textId="77777777" w:rsidR="00C776B7" w:rsidRPr="00FD0727" w:rsidRDefault="00C776B7">
      <w:pPr>
        <w:rPr>
          <w:rFonts w:asciiTheme="majorHAnsi" w:hAnsiTheme="majorHAnsi"/>
          <w:color w:val="000000" w:themeColor="text1"/>
          <w:sz w:val="22"/>
          <w:szCs w:val="22"/>
        </w:rPr>
      </w:pPr>
    </w:p>
    <w:p w14:paraId="137441EC"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SUBJECTS:Twenty</w:t>
      </w:r>
      <w:proofErr w:type="gramEnd"/>
      <w:r w:rsidRPr="00FD0727">
        <w:rPr>
          <w:rFonts w:asciiTheme="majorHAnsi" w:hAnsiTheme="majorHAnsi"/>
          <w:color w:val="000000" w:themeColor="text1"/>
          <w:sz w:val="22"/>
          <w:szCs w:val="22"/>
        </w:rPr>
        <w:t>-four pigs (28.1-58.2 kg).</w:t>
      </w:r>
    </w:p>
    <w:p w14:paraId="6E11B866" w14:textId="77777777" w:rsidR="00C776B7" w:rsidRPr="00FD0727" w:rsidRDefault="00C776B7">
      <w:pPr>
        <w:rPr>
          <w:rFonts w:asciiTheme="majorHAnsi" w:hAnsiTheme="majorHAnsi"/>
          <w:color w:val="000000" w:themeColor="text1"/>
          <w:sz w:val="22"/>
          <w:szCs w:val="22"/>
        </w:rPr>
      </w:pPr>
    </w:p>
    <w:p w14:paraId="38DC0DB4"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INTERVENTIONS:In</w:t>
      </w:r>
      <w:proofErr w:type="gramEnd"/>
      <w:r w:rsidRPr="00FD0727">
        <w:rPr>
          <w:rFonts w:asciiTheme="majorHAnsi" w:hAnsiTheme="majorHAnsi"/>
          <w:color w:val="000000" w:themeColor="text1"/>
          <w:sz w:val="22"/>
          <w:szCs w:val="22"/>
        </w:rPr>
        <w:t xml:space="preserve"> anesthetized animals, intrapleural pressure sensors were placed thoracoscopically in ventral, dorsal, and caudal regions of the left hemithorax. Lung injury was induced with saline lung lavage followed by injurious ventilation in supine position. During airway pressure release ventilation with low tidal volumes, positive end-expiratory pressure was set 4 cm H2O above the level to reach a positive transpulmonary pressure in caudal regions at end-expiration (best-positive end-expiratory pressure). Animals were randomly assigned to one of four groups (n = 6/group; 12 hr): 1) no spontaneous breathing activity and positive end-expiratory pressure = best-positive end-expiratory pressure - 4 cm H2O, 2) no spontaneous breathing activity and positive end-expiratory pressure = best-positive end-expiratory pressure + 4 cm H2O, 3) spontaneous breathing activity and positive end-expiratory pressure = best-positive end-expiratory pressure + 4 cm H2O, 4) spontaneous breathing activity and positive end-expiratory pressure = best-positive end-expiratory pressure - 4 cm H2O.</w:t>
      </w:r>
    </w:p>
    <w:p w14:paraId="6D06748D" w14:textId="77777777" w:rsidR="00C776B7" w:rsidRPr="00FD0727" w:rsidRDefault="00C776B7">
      <w:pPr>
        <w:rPr>
          <w:rFonts w:asciiTheme="majorHAnsi" w:hAnsiTheme="majorHAnsi"/>
          <w:color w:val="000000" w:themeColor="text1"/>
          <w:sz w:val="22"/>
          <w:szCs w:val="22"/>
        </w:rPr>
      </w:pPr>
    </w:p>
    <w:p w14:paraId="2BB22DF9"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MEASUREMENTS AND MAIN </w:t>
      </w:r>
      <w:proofErr w:type="gramStart"/>
      <w:r w:rsidRPr="00FD0727">
        <w:rPr>
          <w:rFonts w:asciiTheme="majorHAnsi" w:hAnsiTheme="majorHAnsi"/>
          <w:color w:val="000000" w:themeColor="text1"/>
          <w:sz w:val="22"/>
          <w:szCs w:val="22"/>
        </w:rPr>
        <w:t>RESULTS:Global</w:t>
      </w:r>
      <w:proofErr w:type="gramEnd"/>
      <w:r w:rsidRPr="00FD0727">
        <w:rPr>
          <w:rFonts w:asciiTheme="majorHAnsi" w:hAnsiTheme="majorHAnsi"/>
          <w:color w:val="000000" w:themeColor="text1"/>
          <w:sz w:val="22"/>
          <w:szCs w:val="22"/>
        </w:rPr>
        <w:t xml:space="preserve"> lung inflammation assessed by specific [F]fluorodeoxyglucose uptake rate (median [25-75% percentiles], min) was decreased with higher compared with lower positive end-expiratory pressure both without spontaneous breathing activity (0.029 [0.027-0.030] vs 0.044 [0.041-0.065]; p = 0.004) and with spontaneous breathing activity (0.032 [0.028-0.043] vs 0.057 [0.042-0.075]; p = 0.016). Spontaneous breathing activity did not increase global lung inflammation. Lung inflammation in dorsal regions correlated with transpulmonary driving pressure from spontaneous breathing at lower (r = 0.850; p = 0.032) but not higher positive end-expiratory pressure (r = 0.018; p = 0.972). Higher positive end-expiratory pressure resulted in a more homogeneous distribution of aeration and regional transpulmonary pressures at end-expiration along the ventral-</w:t>
      </w:r>
      <w:r w:rsidRPr="00FD0727">
        <w:rPr>
          <w:rFonts w:asciiTheme="majorHAnsi" w:hAnsiTheme="majorHAnsi"/>
          <w:color w:val="000000" w:themeColor="text1"/>
          <w:sz w:val="22"/>
          <w:szCs w:val="22"/>
        </w:rPr>
        <w:lastRenderedPageBreak/>
        <w:t>dorsal gradient, as well as a shift of the perfusion center toward dependent zones in the presence of spontaneous breathing activity.</w:t>
      </w:r>
    </w:p>
    <w:p w14:paraId="6D9A80E5" w14:textId="77777777" w:rsidR="00C776B7" w:rsidRPr="00FD0727" w:rsidRDefault="00C776B7">
      <w:pPr>
        <w:rPr>
          <w:rFonts w:asciiTheme="majorHAnsi" w:hAnsiTheme="majorHAnsi"/>
          <w:color w:val="000000" w:themeColor="text1"/>
          <w:sz w:val="22"/>
          <w:szCs w:val="22"/>
        </w:rPr>
      </w:pPr>
    </w:p>
    <w:p w14:paraId="5B4FD06B"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CONCLUSIONS:In</w:t>
      </w:r>
      <w:proofErr w:type="gramEnd"/>
      <w:r w:rsidRPr="00FD0727">
        <w:rPr>
          <w:rFonts w:asciiTheme="majorHAnsi" w:hAnsiTheme="majorHAnsi"/>
          <w:color w:val="000000" w:themeColor="text1"/>
          <w:sz w:val="22"/>
          <w:szCs w:val="22"/>
        </w:rPr>
        <w:t xml:space="preserve"> experimental mild-to-moderate acute respiratory distress syndrome, positive end-expiratory pressure levels that stabilize dependent lung regions reduce global lung inflammation during mechanical ventilation, independent from spontaneous breathing activity.</w:t>
      </w:r>
    </w:p>
    <w:p w14:paraId="1FFB8332" w14:textId="77777777" w:rsidR="00C776B7" w:rsidRPr="00FD0727" w:rsidRDefault="00C776B7">
      <w:pPr>
        <w:rPr>
          <w:rFonts w:asciiTheme="majorHAnsi" w:hAnsiTheme="majorHAnsi"/>
          <w:color w:val="000000" w:themeColor="text1"/>
          <w:sz w:val="22"/>
          <w:szCs w:val="22"/>
        </w:rPr>
      </w:pPr>
    </w:p>
    <w:p w14:paraId="0EE4E557"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Critical Care Medicine, 2019 vol. 47 (4) pp. e358-e365.</w:t>
      </w:r>
    </w:p>
    <w:p w14:paraId="7E3EFBB7" w14:textId="77777777" w:rsidR="00C776B7" w:rsidRDefault="00FD0727">
      <w:pPr>
        <w:rPr>
          <w:rStyle w:val="Hyperlink"/>
          <w:rFonts w:asciiTheme="majorHAnsi" w:hAnsiTheme="majorHAnsi"/>
          <w:color w:val="000000" w:themeColor="text1"/>
          <w:sz w:val="22"/>
          <w:szCs w:val="22"/>
        </w:rPr>
      </w:pPr>
      <w:hyperlink r:id="rId24" w:history="1">
        <w:r w:rsidRPr="00FD0727">
          <w:rPr>
            <w:rStyle w:val="Hyperlink"/>
            <w:rFonts w:asciiTheme="majorHAnsi" w:hAnsiTheme="majorHAnsi"/>
            <w:color w:val="000000" w:themeColor="text1"/>
            <w:sz w:val="22"/>
            <w:szCs w:val="22"/>
          </w:rPr>
          <w:t>http://eutils.ncbi.nlm.nih.gov/entrez/eutils/elink.fcgi?dbfrom=pubmed&amp;id=30676338&amp;retmode=ref&amp;cmd=prlinks</w:t>
        </w:r>
      </w:hyperlink>
    </w:p>
    <w:p w14:paraId="16EBD5C4" w14:textId="77777777" w:rsidR="00F07DA2" w:rsidRPr="00FD0727" w:rsidRDefault="00F07DA2">
      <w:pPr>
        <w:rPr>
          <w:rFonts w:asciiTheme="majorHAnsi" w:hAnsiTheme="majorHAnsi"/>
          <w:color w:val="000000" w:themeColor="text1"/>
          <w:sz w:val="22"/>
          <w:szCs w:val="22"/>
        </w:rPr>
      </w:pPr>
    </w:p>
    <w:p w14:paraId="514B95C3"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5BBD4476" w14:textId="77777777" w:rsidR="00C776B7" w:rsidRPr="00F07DA2" w:rsidRDefault="00FD0727">
      <w:pPr>
        <w:pStyle w:val="Heading4"/>
        <w:rPr>
          <w:rFonts w:asciiTheme="majorHAnsi" w:hAnsiTheme="majorHAnsi"/>
          <w:b/>
          <w:color w:val="000000" w:themeColor="text1"/>
          <w:sz w:val="22"/>
          <w:szCs w:val="22"/>
        </w:rPr>
      </w:pPr>
      <w:r w:rsidRPr="00F07DA2">
        <w:rPr>
          <w:rFonts w:asciiTheme="majorHAnsi" w:hAnsiTheme="majorHAnsi"/>
          <w:b/>
          <w:color w:val="000000" w:themeColor="text1"/>
          <w:sz w:val="22"/>
          <w:szCs w:val="22"/>
        </w:rPr>
        <w:t>Evolution and Impact of Thrombocytopenia in Septic Shock: A Retrospective Cohort Study.</w:t>
      </w:r>
    </w:p>
    <w:p w14:paraId="06F84EEB" w14:textId="77777777" w:rsidR="00C776B7" w:rsidRPr="00FD0727" w:rsidRDefault="00C776B7">
      <w:pPr>
        <w:rPr>
          <w:rFonts w:asciiTheme="majorHAnsi" w:hAnsiTheme="majorHAnsi"/>
          <w:color w:val="000000" w:themeColor="text1"/>
          <w:sz w:val="22"/>
          <w:szCs w:val="22"/>
        </w:rPr>
      </w:pPr>
    </w:p>
    <w:p w14:paraId="7EF83DFF"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Chantalle E Menard, Anand Kumar, Donald S Houston, Alexis F Turgeon, Emily Rimmer, Brett L Houston, Steven Doucette, and Ryan Zarychanski.</w:t>
      </w:r>
    </w:p>
    <w:p w14:paraId="146F5B6C" w14:textId="77777777" w:rsidR="00C776B7" w:rsidRPr="00FD0727" w:rsidRDefault="00C776B7">
      <w:pPr>
        <w:rPr>
          <w:rFonts w:asciiTheme="majorHAnsi" w:hAnsiTheme="majorHAnsi"/>
          <w:color w:val="000000" w:themeColor="text1"/>
          <w:sz w:val="22"/>
          <w:szCs w:val="22"/>
        </w:rPr>
      </w:pPr>
    </w:p>
    <w:p w14:paraId="0F12F469"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OBJECTIVES:To</w:t>
      </w:r>
      <w:proofErr w:type="gramEnd"/>
      <w:r w:rsidRPr="00FD0727">
        <w:rPr>
          <w:rFonts w:asciiTheme="majorHAnsi" w:hAnsiTheme="majorHAnsi"/>
          <w:color w:val="000000" w:themeColor="text1"/>
          <w:sz w:val="22"/>
          <w:szCs w:val="22"/>
        </w:rPr>
        <w:t xml:space="preserve"> characterize the prevalence, incidence, and temporal evolution of thrombocytopenia (platelets &lt; 100 × 10/L) in septic shock and to investigate the independent association of thrombocytopenia on clinical outcomes.</w:t>
      </w:r>
    </w:p>
    <w:p w14:paraId="65372022" w14:textId="77777777" w:rsidR="00C776B7" w:rsidRPr="00FD0727" w:rsidRDefault="00C776B7">
      <w:pPr>
        <w:rPr>
          <w:rFonts w:asciiTheme="majorHAnsi" w:hAnsiTheme="majorHAnsi"/>
          <w:color w:val="000000" w:themeColor="text1"/>
          <w:sz w:val="22"/>
          <w:szCs w:val="22"/>
        </w:rPr>
      </w:pPr>
    </w:p>
    <w:p w14:paraId="0ED896D7"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DESIGN:Retrospective</w:t>
      </w:r>
      <w:proofErr w:type="gramEnd"/>
      <w:r w:rsidRPr="00FD0727">
        <w:rPr>
          <w:rFonts w:asciiTheme="majorHAnsi" w:hAnsiTheme="majorHAnsi"/>
          <w:color w:val="000000" w:themeColor="text1"/>
          <w:sz w:val="22"/>
          <w:szCs w:val="22"/>
        </w:rPr>
        <w:t>, propensity-matched, cohort study.</w:t>
      </w:r>
    </w:p>
    <w:p w14:paraId="261F6B75" w14:textId="77777777" w:rsidR="00C776B7" w:rsidRPr="00FD0727" w:rsidRDefault="00C776B7">
      <w:pPr>
        <w:rPr>
          <w:rFonts w:asciiTheme="majorHAnsi" w:hAnsiTheme="majorHAnsi"/>
          <w:color w:val="000000" w:themeColor="text1"/>
          <w:sz w:val="22"/>
          <w:szCs w:val="22"/>
        </w:rPr>
      </w:pPr>
    </w:p>
    <w:p w14:paraId="1E6A2792"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SETTING:Two</w:t>
      </w:r>
      <w:proofErr w:type="gramEnd"/>
      <w:r w:rsidRPr="00FD0727">
        <w:rPr>
          <w:rFonts w:asciiTheme="majorHAnsi" w:hAnsiTheme="majorHAnsi"/>
          <w:color w:val="000000" w:themeColor="text1"/>
          <w:sz w:val="22"/>
          <w:szCs w:val="22"/>
        </w:rPr>
        <w:t xml:space="preserve"> academic ICUs in Winnipeg, Canada.</w:t>
      </w:r>
    </w:p>
    <w:p w14:paraId="697CCB20" w14:textId="77777777" w:rsidR="00C776B7" w:rsidRPr="00FD0727" w:rsidRDefault="00C776B7">
      <w:pPr>
        <w:rPr>
          <w:rFonts w:asciiTheme="majorHAnsi" w:hAnsiTheme="majorHAnsi"/>
          <w:color w:val="000000" w:themeColor="text1"/>
          <w:sz w:val="22"/>
          <w:szCs w:val="22"/>
        </w:rPr>
      </w:pPr>
    </w:p>
    <w:p w14:paraId="73898894"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PATIENTS:Nine</w:t>
      </w:r>
      <w:proofErr w:type="gramEnd"/>
      <w:r w:rsidRPr="00FD0727">
        <w:rPr>
          <w:rFonts w:asciiTheme="majorHAnsi" w:hAnsiTheme="majorHAnsi"/>
          <w:color w:val="000000" w:themeColor="text1"/>
          <w:sz w:val="22"/>
          <w:szCs w:val="22"/>
        </w:rPr>
        <w:t>-hundred eighty adult patients diagnosed with septic shock between 2007 and 2012.</w:t>
      </w:r>
    </w:p>
    <w:p w14:paraId="7E497C90" w14:textId="77777777" w:rsidR="00C776B7" w:rsidRPr="00FD0727" w:rsidRDefault="00C776B7">
      <w:pPr>
        <w:rPr>
          <w:rFonts w:asciiTheme="majorHAnsi" w:hAnsiTheme="majorHAnsi"/>
          <w:color w:val="000000" w:themeColor="text1"/>
          <w:sz w:val="22"/>
          <w:szCs w:val="22"/>
        </w:rPr>
      </w:pPr>
    </w:p>
    <w:p w14:paraId="643CA89B"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INTERVENTIONS:Propensity</w:t>
      </w:r>
      <w:proofErr w:type="gramEnd"/>
      <w:r w:rsidRPr="00FD0727">
        <w:rPr>
          <w:rFonts w:asciiTheme="majorHAnsi" w:hAnsiTheme="majorHAnsi"/>
          <w:color w:val="000000" w:themeColor="text1"/>
          <w:sz w:val="22"/>
          <w:szCs w:val="22"/>
        </w:rPr>
        <w:t>-matched cohort analysis and Cox proportional hazard model evaluating thrombocytopenia over time.</w:t>
      </w:r>
    </w:p>
    <w:p w14:paraId="061D2BBD" w14:textId="77777777" w:rsidR="00C776B7" w:rsidRPr="00FD0727" w:rsidRDefault="00C776B7">
      <w:pPr>
        <w:rPr>
          <w:rFonts w:asciiTheme="majorHAnsi" w:hAnsiTheme="majorHAnsi"/>
          <w:color w:val="000000" w:themeColor="text1"/>
          <w:sz w:val="22"/>
          <w:szCs w:val="22"/>
        </w:rPr>
      </w:pPr>
    </w:p>
    <w:p w14:paraId="28239494"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MEASUREMENTS AND MAIN </w:t>
      </w:r>
      <w:proofErr w:type="gramStart"/>
      <w:r w:rsidRPr="00FD0727">
        <w:rPr>
          <w:rFonts w:asciiTheme="majorHAnsi" w:hAnsiTheme="majorHAnsi"/>
          <w:color w:val="000000" w:themeColor="text1"/>
          <w:sz w:val="22"/>
          <w:szCs w:val="22"/>
        </w:rPr>
        <w:t>RESULTS:Of</w:t>
      </w:r>
      <w:proofErr w:type="gramEnd"/>
      <w:r w:rsidRPr="00FD0727">
        <w:rPr>
          <w:rFonts w:asciiTheme="majorHAnsi" w:hAnsiTheme="majorHAnsi"/>
          <w:color w:val="000000" w:themeColor="text1"/>
          <w:sz w:val="22"/>
          <w:szCs w:val="22"/>
        </w:rPr>
        <w:t xml:space="preserve"> 980 adults, 165 patients (16.8%) had thrombocytopenia at ICU admission (prevalent), whereas 271 (27.7%) developed thrombocytopenia during ICU admission (incident). Among patients with incident thrombocytopenia, the median time from ICU admission to thrombocytopenia was 2 days (interquartile range, 1-3 d). Among survivors, the median time from incident thrombocytopenia to platelet recovery was 6 days (interquartile range, 4-8 d). The median time from liberation of vasopressors to recovery of platelets concentration (≥ 100 × 10/L) was 2 days (interquartile range, 0-4 d). In a propensity-matched analysis, thrombocytopenia was associated with increased durations of ICU length of stay (9 vs 6 d; p &lt; 0.01), mechanical ventilation (7 vs 4 d; p &lt; 0.01), and vasopressor use (4 vs 3 d; p &lt; 0.01), as well as increased major bleeding events (41% vs 18%; p &lt; 0.01). In an adjusted Cox proportional hazards model, thrombocytopenia was significantly associated with both increased ICU mortality (hazard ratio, 1.99; 95% CI, 1.51-2.63) and hospital mortality (hazard ratio, 1.93; 95% CI, 1.48-2.51).</w:t>
      </w:r>
    </w:p>
    <w:p w14:paraId="7807BDF7" w14:textId="77777777" w:rsidR="00C776B7" w:rsidRPr="00FD0727" w:rsidRDefault="00C776B7">
      <w:pPr>
        <w:rPr>
          <w:rFonts w:asciiTheme="majorHAnsi" w:hAnsiTheme="majorHAnsi"/>
          <w:color w:val="000000" w:themeColor="text1"/>
          <w:sz w:val="22"/>
          <w:szCs w:val="22"/>
        </w:rPr>
      </w:pPr>
    </w:p>
    <w:p w14:paraId="5C0FA284"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CONCLUSIONS:Both</w:t>
      </w:r>
      <w:proofErr w:type="gramEnd"/>
      <w:r w:rsidRPr="00FD0727">
        <w:rPr>
          <w:rFonts w:asciiTheme="majorHAnsi" w:hAnsiTheme="majorHAnsi"/>
          <w:color w:val="000000" w:themeColor="text1"/>
          <w:sz w:val="22"/>
          <w:szCs w:val="22"/>
        </w:rPr>
        <w:t xml:space="preserve"> the prevalence and incidence of thrombocytopenia are high in septic shock. Incident thrombocytopenia occurs early in septic shock, and platelet recovery </w:t>
      </w:r>
      <w:proofErr w:type="gramStart"/>
      <w:r w:rsidRPr="00FD0727">
        <w:rPr>
          <w:rFonts w:asciiTheme="majorHAnsi" w:hAnsiTheme="majorHAnsi"/>
          <w:color w:val="000000" w:themeColor="text1"/>
          <w:sz w:val="22"/>
          <w:szCs w:val="22"/>
        </w:rPr>
        <w:t>lags behind</w:t>
      </w:r>
      <w:proofErr w:type="gramEnd"/>
      <w:r w:rsidRPr="00FD0727">
        <w:rPr>
          <w:rFonts w:asciiTheme="majorHAnsi" w:hAnsiTheme="majorHAnsi"/>
          <w:color w:val="000000" w:themeColor="text1"/>
          <w:sz w:val="22"/>
          <w:szCs w:val="22"/>
        </w:rPr>
        <w:t xml:space="preserve"> clinical recovery. In septic shock, thrombocytopenia is associated with increased length of stay, longer duration of organ support, major bleeding events, and mortality.</w:t>
      </w:r>
    </w:p>
    <w:p w14:paraId="5EDA9079" w14:textId="77777777" w:rsidR="00C776B7" w:rsidRPr="00FD0727" w:rsidRDefault="00C776B7">
      <w:pPr>
        <w:rPr>
          <w:rFonts w:asciiTheme="majorHAnsi" w:hAnsiTheme="majorHAnsi"/>
          <w:color w:val="000000" w:themeColor="text1"/>
          <w:sz w:val="22"/>
          <w:szCs w:val="22"/>
        </w:rPr>
      </w:pPr>
    </w:p>
    <w:p w14:paraId="01E548BA"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lastRenderedPageBreak/>
        <w:t>Critical Care Medicine, 2019 vol. 47 (4) pp. 558-565.</w:t>
      </w:r>
    </w:p>
    <w:p w14:paraId="5423C815" w14:textId="77777777" w:rsidR="00C776B7" w:rsidRDefault="00FD0727">
      <w:pPr>
        <w:rPr>
          <w:rStyle w:val="Hyperlink"/>
          <w:rFonts w:asciiTheme="majorHAnsi" w:hAnsiTheme="majorHAnsi"/>
          <w:color w:val="000000" w:themeColor="text1"/>
          <w:sz w:val="22"/>
          <w:szCs w:val="22"/>
        </w:rPr>
      </w:pPr>
      <w:hyperlink r:id="rId25" w:history="1">
        <w:r w:rsidRPr="00FD0727">
          <w:rPr>
            <w:rStyle w:val="Hyperlink"/>
            <w:rFonts w:asciiTheme="majorHAnsi" w:hAnsiTheme="majorHAnsi"/>
            <w:color w:val="000000" w:themeColor="text1"/>
            <w:sz w:val="22"/>
            <w:szCs w:val="22"/>
          </w:rPr>
          <w:t>http://eutils.ncbi.nlm.nih.gov/entrez/eutils/elink.fcgi?dbfrom=pubmed&amp;id=30855327&amp;retmode=ref&amp;cmd=prlinks</w:t>
        </w:r>
      </w:hyperlink>
    </w:p>
    <w:p w14:paraId="707488BB" w14:textId="77777777" w:rsidR="00F07DA2" w:rsidRPr="00FD0727" w:rsidRDefault="00F07DA2">
      <w:pPr>
        <w:rPr>
          <w:rFonts w:asciiTheme="majorHAnsi" w:hAnsiTheme="majorHAnsi"/>
          <w:color w:val="000000" w:themeColor="text1"/>
          <w:sz w:val="22"/>
          <w:szCs w:val="22"/>
        </w:rPr>
      </w:pPr>
    </w:p>
    <w:p w14:paraId="7BBFB687"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04CA5547" w14:textId="77777777" w:rsidR="00C776B7" w:rsidRPr="00041B84" w:rsidRDefault="00FD0727">
      <w:pPr>
        <w:pStyle w:val="Heading4"/>
        <w:rPr>
          <w:rFonts w:asciiTheme="majorHAnsi" w:hAnsiTheme="majorHAnsi"/>
          <w:b/>
          <w:color w:val="000000" w:themeColor="text1"/>
          <w:sz w:val="22"/>
          <w:szCs w:val="22"/>
        </w:rPr>
      </w:pPr>
      <w:r w:rsidRPr="00041B84">
        <w:rPr>
          <w:rFonts w:asciiTheme="majorHAnsi" w:hAnsiTheme="majorHAnsi"/>
          <w:b/>
          <w:color w:val="000000" w:themeColor="text1"/>
          <w:sz w:val="22"/>
          <w:szCs w:val="22"/>
        </w:rPr>
        <w:t>Incidence, Risk Factors, and Outcomes of Intra-Abdominal Hypertension in Critically Ill Patients-A Prospective Multicenter Study (IROI Study).</w:t>
      </w:r>
    </w:p>
    <w:p w14:paraId="61363E90" w14:textId="77777777" w:rsidR="00C776B7" w:rsidRPr="00FD0727" w:rsidRDefault="00C776B7">
      <w:pPr>
        <w:rPr>
          <w:rFonts w:asciiTheme="majorHAnsi" w:hAnsiTheme="majorHAnsi"/>
          <w:color w:val="000000" w:themeColor="text1"/>
          <w:sz w:val="22"/>
          <w:szCs w:val="22"/>
        </w:rPr>
      </w:pPr>
    </w:p>
    <w:p w14:paraId="790AF5DF"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Annika Reintam Blaser, Adrian Regli, Bart De Keulenaer, Edward J Kimball, Liis Starkopf, Wendy A Davis, Patrick Greiffenstein, Joel Starkopf, and Incidence, Risk Factors, and Outcomes of Intra-Abdominal (IROI) Study Investigators.</w:t>
      </w:r>
    </w:p>
    <w:p w14:paraId="34876ADE" w14:textId="77777777" w:rsidR="00C776B7" w:rsidRPr="00FD0727" w:rsidRDefault="00C776B7">
      <w:pPr>
        <w:rPr>
          <w:rFonts w:asciiTheme="majorHAnsi" w:hAnsiTheme="majorHAnsi"/>
          <w:color w:val="000000" w:themeColor="text1"/>
          <w:sz w:val="22"/>
          <w:szCs w:val="22"/>
        </w:rPr>
      </w:pPr>
    </w:p>
    <w:p w14:paraId="4A1B8E0E"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OBJECTIVES:To</w:t>
      </w:r>
      <w:proofErr w:type="gramEnd"/>
      <w:r w:rsidRPr="00FD0727">
        <w:rPr>
          <w:rFonts w:asciiTheme="majorHAnsi" w:hAnsiTheme="majorHAnsi"/>
          <w:color w:val="000000" w:themeColor="text1"/>
          <w:sz w:val="22"/>
          <w:szCs w:val="22"/>
        </w:rPr>
        <w:t xml:space="preserve"> identify the prevalence, risk factors, and outcomes of intra-abdominal hypertension in a mixed multicenter ICU population.</w:t>
      </w:r>
    </w:p>
    <w:p w14:paraId="1E258CE6" w14:textId="77777777" w:rsidR="00C776B7" w:rsidRPr="00FD0727" w:rsidRDefault="00C776B7">
      <w:pPr>
        <w:rPr>
          <w:rFonts w:asciiTheme="majorHAnsi" w:hAnsiTheme="majorHAnsi"/>
          <w:color w:val="000000" w:themeColor="text1"/>
          <w:sz w:val="22"/>
          <w:szCs w:val="22"/>
        </w:rPr>
      </w:pPr>
    </w:p>
    <w:p w14:paraId="219B16EB"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DESIGN:Prospective</w:t>
      </w:r>
      <w:proofErr w:type="gramEnd"/>
      <w:r w:rsidRPr="00FD0727">
        <w:rPr>
          <w:rFonts w:asciiTheme="majorHAnsi" w:hAnsiTheme="majorHAnsi"/>
          <w:color w:val="000000" w:themeColor="text1"/>
          <w:sz w:val="22"/>
          <w:szCs w:val="22"/>
        </w:rPr>
        <w:t xml:space="preserve"> observational study.</w:t>
      </w:r>
    </w:p>
    <w:p w14:paraId="55CAF429" w14:textId="77777777" w:rsidR="00C776B7" w:rsidRPr="00FD0727" w:rsidRDefault="00C776B7">
      <w:pPr>
        <w:rPr>
          <w:rFonts w:asciiTheme="majorHAnsi" w:hAnsiTheme="majorHAnsi"/>
          <w:color w:val="000000" w:themeColor="text1"/>
          <w:sz w:val="22"/>
          <w:szCs w:val="22"/>
        </w:rPr>
      </w:pPr>
    </w:p>
    <w:p w14:paraId="6605AAF9"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SETTING:Fifteen</w:t>
      </w:r>
      <w:proofErr w:type="gramEnd"/>
      <w:r w:rsidRPr="00FD0727">
        <w:rPr>
          <w:rFonts w:asciiTheme="majorHAnsi" w:hAnsiTheme="majorHAnsi"/>
          <w:color w:val="000000" w:themeColor="text1"/>
          <w:sz w:val="22"/>
          <w:szCs w:val="22"/>
        </w:rPr>
        <w:t xml:space="preserve"> ICUs worldwide.</w:t>
      </w:r>
    </w:p>
    <w:p w14:paraId="027D09BF" w14:textId="77777777" w:rsidR="00C776B7" w:rsidRPr="00FD0727" w:rsidRDefault="00C776B7">
      <w:pPr>
        <w:rPr>
          <w:rFonts w:asciiTheme="majorHAnsi" w:hAnsiTheme="majorHAnsi"/>
          <w:color w:val="000000" w:themeColor="text1"/>
          <w:sz w:val="22"/>
          <w:szCs w:val="22"/>
        </w:rPr>
      </w:pPr>
    </w:p>
    <w:p w14:paraId="11EB9E76"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PATIENTS:Consecutive</w:t>
      </w:r>
      <w:proofErr w:type="gramEnd"/>
      <w:r w:rsidRPr="00FD0727">
        <w:rPr>
          <w:rFonts w:asciiTheme="majorHAnsi" w:hAnsiTheme="majorHAnsi"/>
          <w:color w:val="000000" w:themeColor="text1"/>
          <w:sz w:val="22"/>
          <w:szCs w:val="22"/>
        </w:rPr>
        <w:t xml:space="preserve"> adult ICU patients with a bladder catheter.</w:t>
      </w:r>
    </w:p>
    <w:p w14:paraId="172ABF95" w14:textId="77777777" w:rsidR="00C776B7" w:rsidRPr="00FD0727" w:rsidRDefault="00C776B7">
      <w:pPr>
        <w:rPr>
          <w:rFonts w:asciiTheme="majorHAnsi" w:hAnsiTheme="majorHAnsi"/>
          <w:color w:val="000000" w:themeColor="text1"/>
          <w:sz w:val="22"/>
          <w:szCs w:val="22"/>
        </w:rPr>
      </w:pPr>
    </w:p>
    <w:p w14:paraId="5E046FC6"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INTERVENTIONS:None</w:t>
      </w:r>
      <w:proofErr w:type="gramEnd"/>
      <w:r w:rsidRPr="00FD0727">
        <w:rPr>
          <w:rFonts w:asciiTheme="majorHAnsi" w:hAnsiTheme="majorHAnsi"/>
          <w:color w:val="000000" w:themeColor="text1"/>
          <w:sz w:val="22"/>
          <w:szCs w:val="22"/>
        </w:rPr>
        <w:t>.</w:t>
      </w:r>
    </w:p>
    <w:p w14:paraId="6B40E50E" w14:textId="77777777" w:rsidR="00C776B7" w:rsidRPr="00FD0727" w:rsidRDefault="00C776B7">
      <w:pPr>
        <w:rPr>
          <w:rFonts w:asciiTheme="majorHAnsi" w:hAnsiTheme="majorHAnsi"/>
          <w:color w:val="000000" w:themeColor="text1"/>
          <w:sz w:val="22"/>
          <w:szCs w:val="22"/>
        </w:rPr>
      </w:pPr>
    </w:p>
    <w:p w14:paraId="33A03A08"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MEASUREMENTS AND MAIN </w:t>
      </w:r>
      <w:proofErr w:type="gramStart"/>
      <w:r w:rsidRPr="00FD0727">
        <w:rPr>
          <w:rFonts w:asciiTheme="majorHAnsi" w:hAnsiTheme="majorHAnsi"/>
          <w:color w:val="000000" w:themeColor="text1"/>
          <w:sz w:val="22"/>
          <w:szCs w:val="22"/>
        </w:rPr>
        <w:t>RESULTS:Four</w:t>
      </w:r>
      <w:proofErr w:type="gramEnd"/>
      <w:r w:rsidRPr="00FD0727">
        <w:rPr>
          <w:rFonts w:asciiTheme="majorHAnsi" w:hAnsiTheme="majorHAnsi"/>
          <w:color w:val="000000" w:themeColor="text1"/>
          <w:sz w:val="22"/>
          <w:szCs w:val="22"/>
        </w:rPr>
        <w:t xml:space="preserve"> hundred ninety-one patients were included. Intra-abdominal pressure was measured a minimum of every 8 hours. Subjects with a mean intra-abdominal pressure equal to or greater than 12 mm Hg were defined as having intra-abdominal hypertension. Intra-abdominal hypertension was present in 34.0% of the patients on the day of ICU admission (159/467) and in 48.9% of the patients (240/491) during the observation period. The severity of intra-abdominal hypertension was as follows: grade I, 47.5%; grade II, 36.6%; grade III, 11.7%; and grade IV, 4.2%. The severity of intra-abdominal hypertension during the first 2 weeks of the ICU stay was identified as an independent predictor of 28- and 90-day mortality, whereas the presence of intra-abdominal hypertension on the day of ICU admission did not predict mortality. Body mass index, Acute Physiology and Chronic Health Evaluation II score greater than or equal to 18, presence of abdominal distension, absence of bowel sounds, and positive end-expiratory pressure greater than or equal to 7 cm H2O were independently associated with the development of intra-abdominal hypertension at any time during the observation period. In subjects without intra-abdominal hypertension on day 1, body mass index combined with daily positive fluid balance and positive end-expiratory pressure greater than or equal to 7 cm H2O (as documented on the day before intra-abdominal hypertension occurred) were associated with the development of intra-abdominal hypertension during the first week in the ICU.</w:t>
      </w:r>
    </w:p>
    <w:p w14:paraId="24DF06C5" w14:textId="77777777" w:rsidR="00C776B7" w:rsidRPr="00FD0727" w:rsidRDefault="00C776B7">
      <w:pPr>
        <w:rPr>
          <w:rFonts w:asciiTheme="majorHAnsi" w:hAnsiTheme="majorHAnsi"/>
          <w:color w:val="000000" w:themeColor="text1"/>
          <w:sz w:val="22"/>
          <w:szCs w:val="22"/>
        </w:rPr>
      </w:pPr>
    </w:p>
    <w:p w14:paraId="1B138072"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CONCLUSIONS:In</w:t>
      </w:r>
      <w:proofErr w:type="gramEnd"/>
      <w:r w:rsidRPr="00FD0727">
        <w:rPr>
          <w:rFonts w:asciiTheme="majorHAnsi" w:hAnsiTheme="majorHAnsi"/>
          <w:color w:val="000000" w:themeColor="text1"/>
          <w:sz w:val="22"/>
          <w:szCs w:val="22"/>
        </w:rPr>
        <w:t xml:space="preserve"> our mixed ICU patient cohort, intra-abdominal hypertension occurred in almost half of all subjects and was twice as prevalent in mechanically ventilated patients as in spontaneously breathing patients. Presence and severity of intra-abdominal hypertension during the observation period significantly and independently increased 28- and 90-day mortality. Five admission day variables were independently associated with the presence or development of intra-abdominal hypertension. Positive fluid balance was associated with the development of intra-abdominal hypertension after day 1.</w:t>
      </w:r>
    </w:p>
    <w:p w14:paraId="563356D3" w14:textId="77777777" w:rsidR="00C776B7" w:rsidRPr="00FD0727" w:rsidRDefault="00C776B7">
      <w:pPr>
        <w:rPr>
          <w:rFonts w:asciiTheme="majorHAnsi" w:hAnsiTheme="majorHAnsi"/>
          <w:color w:val="000000" w:themeColor="text1"/>
          <w:sz w:val="22"/>
          <w:szCs w:val="22"/>
        </w:rPr>
      </w:pPr>
    </w:p>
    <w:p w14:paraId="0A96CC73"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Critical Care Medicine, 2019 vol. 47 (4) pp. 535-542.</w:t>
      </w:r>
    </w:p>
    <w:p w14:paraId="562E0B8D" w14:textId="77777777" w:rsidR="00C776B7" w:rsidRDefault="00FD0727">
      <w:pPr>
        <w:rPr>
          <w:rStyle w:val="Hyperlink"/>
          <w:rFonts w:asciiTheme="majorHAnsi" w:hAnsiTheme="majorHAnsi"/>
          <w:color w:val="000000" w:themeColor="text1"/>
          <w:sz w:val="22"/>
          <w:szCs w:val="22"/>
        </w:rPr>
      </w:pPr>
      <w:hyperlink r:id="rId26" w:history="1">
        <w:r w:rsidRPr="00FD0727">
          <w:rPr>
            <w:rStyle w:val="Hyperlink"/>
            <w:rFonts w:asciiTheme="majorHAnsi" w:hAnsiTheme="majorHAnsi"/>
            <w:color w:val="000000" w:themeColor="text1"/>
            <w:sz w:val="22"/>
            <w:szCs w:val="22"/>
          </w:rPr>
          <w:t>http://eutils.ncbi.nlm.nih.gov/entrez/eutils/elink.fcgi?dbfrom=pubmed&amp;id=30608280&amp;retmode=ref&amp;cmd=prlinks</w:t>
        </w:r>
      </w:hyperlink>
    </w:p>
    <w:p w14:paraId="47EE9601" w14:textId="77777777" w:rsidR="00041B84" w:rsidRPr="00FD0727" w:rsidRDefault="00041B84">
      <w:pPr>
        <w:rPr>
          <w:rFonts w:asciiTheme="majorHAnsi" w:hAnsiTheme="majorHAnsi"/>
          <w:color w:val="000000" w:themeColor="text1"/>
          <w:sz w:val="22"/>
          <w:szCs w:val="22"/>
        </w:rPr>
      </w:pPr>
    </w:p>
    <w:p w14:paraId="09748085" w14:textId="5F33B668"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5573325A" w14:textId="77777777" w:rsidR="00C776B7" w:rsidRPr="00041B84" w:rsidRDefault="00FD0727">
      <w:pPr>
        <w:pStyle w:val="Heading4"/>
        <w:rPr>
          <w:rFonts w:asciiTheme="majorHAnsi" w:hAnsiTheme="majorHAnsi"/>
          <w:b/>
          <w:color w:val="000000" w:themeColor="text1"/>
          <w:sz w:val="22"/>
          <w:szCs w:val="22"/>
        </w:rPr>
      </w:pPr>
      <w:r w:rsidRPr="00041B84">
        <w:rPr>
          <w:rFonts w:asciiTheme="majorHAnsi" w:hAnsiTheme="majorHAnsi"/>
          <w:b/>
          <w:color w:val="000000" w:themeColor="text1"/>
          <w:sz w:val="22"/>
          <w:szCs w:val="22"/>
        </w:rPr>
        <w:t xml:space="preserve">Respiratory Variability of Pulmonary Velocity-Time Integral </w:t>
      </w:r>
      <w:proofErr w:type="gramStart"/>
      <w:r w:rsidRPr="00041B84">
        <w:rPr>
          <w:rFonts w:asciiTheme="majorHAnsi" w:hAnsiTheme="majorHAnsi"/>
          <w:b/>
          <w:color w:val="000000" w:themeColor="text1"/>
          <w:sz w:val="22"/>
          <w:szCs w:val="22"/>
        </w:rPr>
        <w:t>As</w:t>
      </w:r>
      <w:proofErr w:type="gramEnd"/>
      <w:r w:rsidRPr="00041B84">
        <w:rPr>
          <w:rFonts w:asciiTheme="majorHAnsi" w:hAnsiTheme="majorHAnsi"/>
          <w:b/>
          <w:color w:val="000000" w:themeColor="text1"/>
          <w:sz w:val="22"/>
          <w:szCs w:val="22"/>
        </w:rPr>
        <w:t xml:space="preserve"> a New Gauge of Fluid Responsiveness For Mechanically Ventilated Patients in the ICU.</w:t>
      </w:r>
    </w:p>
    <w:p w14:paraId="3F5F7DD6" w14:textId="77777777" w:rsidR="00C776B7" w:rsidRPr="00FD0727" w:rsidRDefault="00C776B7">
      <w:pPr>
        <w:rPr>
          <w:rFonts w:asciiTheme="majorHAnsi" w:hAnsiTheme="majorHAnsi"/>
          <w:color w:val="000000" w:themeColor="text1"/>
          <w:sz w:val="22"/>
          <w:szCs w:val="22"/>
        </w:rPr>
      </w:pPr>
    </w:p>
    <w:p w14:paraId="4D6B5E19"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Ariane Gavaud, Lee S Nguyen, Antoine Caubel, Guillaume Grillet, Erwan Donal, and Guillaume Belliard.</w:t>
      </w:r>
    </w:p>
    <w:p w14:paraId="2B05B961" w14:textId="77777777" w:rsidR="00C776B7" w:rsidRPr="00FD0727" w:rsidRDefault="00C776B7">
      <w:pPr>
        <w:rPr>
          <w:rFonts w:asciiTheme="majorHAnsi" w:hAnsiTheme="majorHAnsi"/>
          <w:color w:val="000000" w:themeColor="text1"/>
          <w:sz w:val="22"/>
          <w:szCs w:val="22"/>
        </w:rPr>
      </w:pPr>
    </w:p>
    <w:p w14:paraId="15A57EFB"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OBJECTIVES:To</w:t>
      </w:r>
      <w:proofErr w:type="gramEnd"/>
      <w:r w:rsidRPr="00FD0727">
        <w:rPr>
          <w:rFonts w:asciiTheme="majorHAnsi" w:hAnsiTheme="majorHAnsi"/>
          <w:color w:val="000000" w:themeColor="text1"/>
          <w:sz w:val="22"/>
          <w:szCs w:val="22"/>
        </w:rPr>
        <w:t xml:space="preserve"> evaluate reliability and feasibility of the respiratory variability of pulmonary velocity-time integral as a new dynamic marker of fluid responsiveness in mechanically ventilated patients.</w:t>
      </w:r>
    </w:p>
    <w:p w14:paraId="09051444" w14:textId="77777777" w:rsidR="00C776B7" w:rsidRPr="00FD0727" w:rsidRDefault="00C776B7">
      <w:pPr>
        <w:rPr>
          <w:rFonts w:asciiTheme="majorHAnsi" w:hAnsiTheme="majorHAnsi"/>
          <w:color w:val="000000" w:themeColor="text1"/>
          <w:sz w:val="22"/>
          <w:szCs w:val="22"/>
        </w:rPr>
      </w:pPr>
    </w:p>
    <w:p w14:paraId="22E72735"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DESIGN:Prospective</w:t>
      </w:r>
      <w:proofErr w:type="gramEnd"/>
      <w:r w:rsidRPr="00FD0727">
        <w:rPr>
          <w:rFonts w:asciiTheme="majorHAnsi" w:hAnsiTheme="majorHAnsi"/>
          <w:color w:val="000000" w:themeColor="text1"/>
          <w:sz w:val="22"/>
          <w:szCs w:val="22"/>
        </w:rPr>
        <w:t xml:space="preserve"> observational study.</w:t>
      </w:r>
    </w:p>
    <w:p w14:paraId="18D7E011" w14:textId="77777777" w:rsidR="00C776B7" w:rsidRPr="00FD0727" w:rsidRDefault="00C776B7">
      <w:pPr>
        <w:rPr>
          <w:rFonts w:asciiTheme="majorHAnsi" w:hAnsiTheme="majorHAnsi"/>
          <w:color w:val="000000" w:themeColor="text1"/>
          <w:sz w:val="22"/>
          <w:szCs w:val="22"/>
        </w:rPr>
      </w:pPr>
    </w:p>
    <w:p w14:paraId="2CBBAE6A"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SETTING:Medical</w:t>
      </w:r>
      <w:proofErr w:type="gramEnd"/>
      <w:r w:rsidRPr="00FD0727">
        <w:rPr>
          <w:rFonts w:asciiTheme="majorHAnsi" w:hAnsiTheme="majorHAnsi"/>
          <w:color w:val="000000" w:themeColor="text1"/>
          <w:sz w:val="22"/>
          <w:szCs w:val="22"/>
        </w:rPr>
        <w:t>-surgical ICU of a general hospital.</w:t>
      </w:r>
    </w:p>
    <w:p w14:paraId="371EE1DD" w14:textId="77777777" w:rsidR="00C776B7" w:rsidRPr="00FD0727" w:rsidRDefault="00C776B7">
      <w:pPr>
        <w:rPr>
          <w:rFonts w:asciiTheme="majorHAnsi" w:hAnsiTheme="majorHAnsi"/>
          <w:color w:val="000000" w:themeColor="text1"/>
          <w:sz w:val="22"/>
          <w:szCs w:val="22"/>
        </w:rPr>
      </w:pPr>
    </w:p>
    <w:p w14:paraId="36CBAE75"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PATIENTS:Fifty</w:t>
      </w:r>
      <w:proofErr w:type="gramEnd"/>
      <w:r w:rsidRPr="00FD0727">
        <w:rPr>
          <w:rFonts w:asciiTheme="majorHAnsi" w:hAnsiTheme="majorHAnsi"/>
          <w:color w:val="000000" w:themeColor="text1"/>
          <w:sz w:val="22"/>
          <w:szCs w:val="22"/>
        </w:rPr>
        <w:t xml:space="preserve"> mechanically ventilated patients with acute circulatory failure.</w:t>
      </w:r>
    </w:p>
    <w:p w14:paraId="3EF089CF" w14:textId="77777777" w:rsidR="00C776B7" w:rsidRPr="00FD0727" w:rsidRDefault="00C776B7">
      <w:pPr>
        <w:rPr>
          <w:rFonts w:asciiTheme="majorHAnsi" w:hAnsiTheme="majorHAnsi"/>
          <w:color w:val="000000" w:themeColor="text1"/>
          <w:sz w:val="22"/>
          <w:szCs w:val="22"/>
        </w:rPr>
      </w:pPr>
    </w:p>
    <w:p w14:paraId="2CE392BB"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INTERVENTIONS:Transthoracic</w:t>
      </w:r>
      <w:proofErr w:type="gramEnd"/>
      <w:r w:rsidRPr="00FD0727">
        <w:rPr>
          <w:rFonts w:asciiTheme="majorHAnsi" w:hAnsiTheme="majorHAnsi"/>
          <w:color w:val="000000" w:themeColor="text1"/>
          <w:sz w:val="22"/>
          <w:szCs w:val="22"/>
        </w:rPr>
        <w:t xml:space="preserve"> echocardiography was performed at inclusion (transthoracic echocardiography baseline). Fluid therapy was prescribed to patients exhibiting one value greater than or equal to 13% among commonly used variables of fluid responsiveness: respiratory variability of aortic velocity-time integral, respiratory variability of inferior vena cava diameter, or pulse pressure variation.</w:t>
      </w:r>
    </w:p>
    <w:p w14:paraId="3180E32E" w14:textId="77777777" w:rsidR="00C776B7" w:rsidRPr="00FD0727" w:rsidRDefault="00C776B7">
      <w:pPr>
        <w:rPr>
          <w:rFonts w:asciiTheme="majorHAnsi" w:hAnsiTheme="majorHAnsi"/>
          <w:color w:val="000000" w:themeColor="text1"/>
          <w:sz w:val="22"/>
          <w:szCs w:val="22"/>
        </w:rPr>
      </w:pPr>
    </w:p>
    <w:p w14:paraId="38982DFC"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MEASUREMENTS AND MAIN </w:t>
      </w:r>
      <w:proofErr w:type="gramStart"/>
      <w:r w:rsidRPr="00FD0727">
        <w:rPr>
          <w:rFonts w:asciiTheme="majorHAnsi" w:hAnsiTheme="majorHAnsi"/>
          <w:color w:val="000000" w:themeColor="text1"/>
          <w:sz w:val="22"/>
          <w:szCs w:val="22"/>
        </w:rPr>
        <w:t>RESULTS:Respiratory</w:t>
      </w:r>
      <w:proofErr w:type="gramEnd"/>
      <w:r w:rsidRPr="00FD0727">
        <w:rPr>
          <w:rFonts w:asciiTheme="majorHAnsi" w:hAnsiTheme="majorHAnsi"/>
          <w:color w:val="000000" w:themeColor="text1"/>
          <w:sz w:val="22"/>
          <w:szCs w:val="22"/>
        </w:rPr>
        <w:t xml:space="preserve"> variability of pulmonary velocity-time integral was assessed at baseline. Respiratory variability of pulmonary velocity-time integral was significantly greater in patients who received fluid therapy (26.9 ± 12.5% vs 6.2 ± 4.3%; p &lt; 0.0001). Respiratory variability of pulmonary velocity-time integral was correlated with respiratory variability of aortic velocity-time integral (r = 0.75; p &lt; 0.0001), respiratory variability of inferior vena cava diameter (r = 0.42; p &lt; 0.01), and pulse pressure variation (r = 0.87; p &lt; 0.0001) at baseline and with the relative increase in cardiac output after fluid therapy (r = 0.44; p = 0.019). Fluid responsiveness was defined as a 10% increase in cardiac output after fluid therapy, assessed by a second transthoracic echocardiography. Respiratory variability of pulmonary velocity-time integral was associated with fluid responsiveness (adjusted odds ratio, 1.58; 95% CI, 1.08-2.32; p = 0.002). Area under the receiver operating characteristics curve was 0.972, and a value of respiratory variability of pulmonary velocity-time integral greater than or equal to 14% yielded a sensitivity of 92% and specificity of 87% to predict fluid responsiveness. Interobserver reproducibility was excellent (intraclass correlation coefficient = 0.94).</w:t>
      </w:r>
    </w:p>
    <w:p w14:paraId="4128E0F5" w14:textId="77777777" w:rsidR="00C776B7" w:rsidRPr="00FD0727" w:rsidRDefault="00C776B7">
      <w:pPr>
        <w:rPr>
          <w:rFonts w:asciiTheme="majorHAnsi" w:hAnsiTheme="majorHAnsi"/>
          <w:color w:val="000000" w:themeColor="text1"/>
          <w:sz w:val="22"/>
          <w:szCs w:val="22"/>
        </w:rPr>
      </w:pPr>
    </w:p>
    <w:p w14:paraId="584AEA9F"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CONCLUSIONS:Respiratory</w:t>
      </w:r>
      <w:proofErr w:type="gramEnd"/>
      <w:r w:rsidRPr="00FD0727">
        <w:rPr>
          <w:rFonts w:asciiTheme="majorHAnsi" w:hAnsiTheme="majorHAnsi"/>
          <w:color w:val="000000" w:themeColor="text1"/>
          <w:sz w:val="22"/>
          <w:szCs w:val="22"/>
        </w:rPr>
        <w:t xml:space="preserve"> variability of pulmonary velocity-time integral is a simple and reliable marker of fluid responsiveness for ventilated patients in ICU.</w:t>
      </w:r>
    </w:p>
    <w:p w14:paraId="4D17CAE0" w14:textId="77777777" w:rsidR="00C776B7" w:rsidRPr="00FD0727" w:rsidRDefault="00C776B7">
      <w:pPr>
        <w:rPr>
          <w:rFonts w:asciiTheme="majorHAnsi" w:hAnsiTheme="majorHAnsi"/>
          <w:color w:val="000000" w:themeColor="text1"/>
          <w:sz w:val="22"/>
          <w:szCs w:val="22"/>
        </w:rPr>
      </w:pPr>
    </w:p>
    <w:p w14:paraId="24CEC98B"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Critical Care Medicine, 2019 vol. 47 (4) pp. e310-e316.</w:t>
      </w:r>
    </w:p>
    <w:p w14:paraId="2C16AEFE" w14:textId="77777777" w:rsidR="00C776B7" w:rsidRDefault="00FD0727">
      <w:pPr>
        <w:rPr>
          <w:rStyle w:val="Hyperlink"/>
          <w:rFonts w:asciiTheme="majorHAnsi" w:hAnsiTheme="majorHAnsi"/>
          <w:color w:val="000000" w:themeColor="text1"/>
          <w:sz w:val="22"/>
          <w:szCs w:val="22"/>
        </w:rPr>
      </w:pPr>
      <w:hyperlink r:id="rId27" w:history="1">
        <w:r w:rsidRPr="00FD0727">
          <w:rPr>
            <w:rStyle w:val="Hyperlink"/>
            <w:rFonts w:asciiTheme="majorHAnsi" w:hAnsiTheme="majorHAnsi"/>
            <w:color w:val="000000" w:themeColor="text1"/>
            <w:sz w:val="22"/>
            <w:szCs w:val="22"/>
          </w:rPr>
          <w:t>http://eutils.ncbi.nlm.nih.gov/entrez/eutils/elink.fcgi?dbfrom=pubmed&amp;id=30664525&amp;retmode=ref&amp;cmd=prlinks</w:t>
        </w:r>
      </w:hyperlink>
    </w:p>
    <w:p w14:paraId="5DE99051" w14:textId="77777777" w:rsidR="00041B84" w:rsidRPr="00FD0727" w:rsidRDefault="00041B84">
      <w:pPr>
        <w:rPr>
          <w:rFonts w:asciiTheme="majorHAnsi" w:hAnsiTheme="majorHAnsi"/>
          <w:color w:val="000000" w:themeColor="text1"/>
          <w:sz w:val="22"/>
          <w:szCs w:val="22"/>
        </w:rPr>
      </w:pPr>
    </w:p>
    <w:p w14:paraId="577A491A" w14:textId="77777777" w:rsidR="00041B84" w:rsidRDefault="00FD0727" w:rsidP="00041B84">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r w:rsidR="00041B84">
        <w:rPr>
          <w:rFonts w:asciiTheme="majorHAnsi" w:hAnsiTheme="majorHAnsi"/>
          <w:color w:val="000000" w:themeColor="text1"/>
          <w:sz w:val="22"/>
          <w:szCs w:val="22"/>
        </w:rPr>
        <w:t xml:space="preserve"> </w:t>
      </w:r>
    </w:p>
    <w:p w14:paraId="68F719CD" w14:textId="095353B9" w:rsidR="00C776B7" w:rsidRPr="00041B84" w:rsidRDefault="00FD0727" w:rsidP="00041B84">
      <w:pPr>
        <w:rPr>
          <w:rFonts w:asciiTheme="majorHAnsi" w:hAnsiTheme="majorHAnsi"/>
          <w:b/>
          <w:color w:val="000000" w:themeColor="text1"/>
          <w:sz w:val="22"/>
          <w:szCs w:val="22"/>
        </w:rPr>
      </w:pPr>
      <w:r w:rsidRPr="00041B84">
        <w:rPr>
          <w:rFonts w:asciiTheme="majorHAnsi" w:hAnsiTheme="majorHAnsi"/>
          <w:b/>
          <w:color w:val="000000" w:themeColor="text1"/>
          <w:sz w:val="22"/>
          <w:szCs w:val="22"/>
        </w:rPr>
        <w:t>Does Obesity Protect Against Death in Sepsis? A Retrospective Cohort Study of 55,038 Adult Patients.</w:t>
      </w:r>
    </w:p>
    <w:p w14:paraId="6AA5ACEE" w14:textId="77777777" w:rsidR="00C776B7" w:rsidRPr="00FD0727" w:rsidRDefault="00C776B7">
      <w:pPr>
        <w:rPr>
          <w:rFonts w:asciiTheme="majorHAnsi" w:hAnsiTheme="majorHAnsi"/>
          <w:color w:val="000000" w:themeColor="text1"/>
          <w:sz w:val="22"/>
          <w:szCs w:val="22"/>
        </w:rPr>
      </w:pPr>
    </w:p>
    <w:p w14:paraId="70E81008"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lastRenderedPageBreak/>
        <w:t>Dominique J Pepper, Cumhur Y Demirkale, Junfeng Sun, Chanu Rhee, David Fram, Peter Eichacker, Michael Klompas, Anthony F Suffredini, and Sameer S Kadri.</w:t>
      </w:r>
    </w:p>
    <w:p w14:paraId="11BC007D" w14:textId="77777777" w:rsidR="00C776B7" w:rsidRPr="00FD0727" w:rsidRDefault="00C776B7">
      <w:pPr>
        <w:rPr>
          <w:rFonts w:asciiTheme="majorHAnsi" w:hAnsiTheme="majorHAnsi"/>
          <w:color w:val="000000" w:themeColor="text1"/>
          <w:sz w:val="22"/>
          <w:szCs w:val="22"/>
        </w:rPr>
      </w:pPr>
    </w:p>
    <w:p w14:paraId="746B7F5E"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OBJECTIVES:Observational</w:t>
      </w:r>
      <w:proofErr w:type="gramEnd"/>
      <w:r w:rsidRPr="00FD0727">
        <w:rPr>
          <w:rFonts w:asciiTheme="majorHAnsi" w:hAnsiTheme="majorHAnsi"/>
          <w:color w:val="000000" w:themeColor="text1"/>
          <w:sz w:val="22"/>
          <w:szCs w:val="22"/>
        </w:rPr>
        <w:t xml:space="preserve"> studies suggest obesity is associated with sepsis survival, but these studies are small, fail to adjust for key confounders, measure body mass index at inconsistent time points, and/or use administrative data to define sepsis. To estimate the relationship between body mass index and sepsis mortality using detailed clinical data for case detection and risk adjustment.</w:t>
      </w:r>
    </w:p>
    <w:p w14:paraId="5B022FAF" w14:textId="77777777" w:rsidR="00C776B7" w:rsidRPr="00FD0727" w:rsidRDefault="00C776B7">
      <w:pPr>
        <w:rPr>
          <w:rFonts w:asciiTheme="majorHAnsi" w:hAnsiTheme="majorHAnsi"/>
          <w:color w:val="000000" w:themeColor="text1"/>
          <w:sz w:val="22"/>
          <w:szCs w:val="22"/>
        </w:rPr>
      </w:pPr>
    </w:p>
    <w:p w14:paraId="7DEC3432"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DESIGN:Retrospective</w:t>
      </w:r>
      <w:proofErr w:type="gramEnd"/>
      <w:r w:rsidRPr="00FD0727">
        <w:rPr>
          <w:rFonts w:asciiTheme="majorHAnsi" w:hAnsiTheme="majorHAnsi"/>
          <w:color w:val="000000" w:themeColor="text1"/>
          <w:sz w:val="22"/>
          <w:szCs w:val="22"/>
        </w:rPr>
        <w:t xml:space="preserve"> cohort analysis of a large clinical data repository.</w:t>
      </w:r>
    </w:p>
    <w:p w14:paraId="699B6A62" w14:textId="77777777" w:rsidR="00C776B7" w:rsidRPr="00FD0727" w:rsidRDefault="00C776B7">
      <w:pPr>
        <w:rPr>
          <w:rFonts w:asciiTheme="majorHAnsi" w:hAnsiTheme="majorHAnsi"/>
          <w:color w:val="000000" w:themeColor="text1"/>
          <w:sz w:val="22"/>
          <w:szCs w:val="22"/>
        </w:rPr>
      </w:pPr>
    </w:p>
    <w:p w14:paraId="0A4D1423"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SETTING:One</w:t>
      </w:r>
      <w:proofErr w:type="gramEnd"/>
      <w:r w:rsidRPr="00FD0727">
        <w:rPr>
          <w:rFonts w:asciiTheme="majorHAnsi" w:hAnsiTheme="majorHAnsi"/>
          <w:color w:val="000000" w:themeColor="text1"/>
          <w:sz w:val="22"/>
          <w:szCs w:val="22"/>
        </w:rPr>
        <w:t>-hundred thirty-nine hospitals in the United States.</w:t>
      </w:r>
    </w:p>
    <w:p w14:paraId="4A0A30B8" w14:textId="77777777" w:rsidR="00C776B7" w:rsidRPr="00FD0727" w:rsidRDefault="00C776B7">
      <w:pPr>
        <w:rPr>
          <w:rFonts w:asciiTheme="majorHAnsi" w:hAnsiTheme="majorHAnsi"/>
          <w:color w:val="000000" w:themeColor="text1"/>
          <w:sz w:val="22"/>
          <w:szCs w:val="22"/>
        </w:rPr>
      </w:pPr>
    </w:p>
    <w:p w14:paraId="03FBF0EB"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PATIENTS:Adult</w:t>
      </w:r>
      <w:proofErr w:type="gramEnd"/>
      <w:r w:rsidRPr="00FD0727">
        <w:rPr>
          <w:rFonts w:asciiTheme="majorHAnsi" w:hAnsiTheme="majorHAnsi"/>
          <w:color w:val="000000" w:themeColor="text1"/>
          <w:sz w:val="22"/>
          <w:szCs w:val="22"/>
        </w:rPr>
        <w:t xml:space="preserve"> inpatients with sepsis meeting Sepsis-3 criteria.</w:t>
      </w:r>
    </w:p>
    <w:p w14:paraId="73561453" w14:textId="77777777" w:rsidR="00C776B7" w:rsidRPr="00FD0727" w:rsidRDefault="00C776B7">
      <w:pPr>
        <w:rPr>
          <w:rFonts w:asciiTheme="majorHAnsi" w:hAnsiTheme="majorHAnsi"/>
          <w:color w:val="000000" w:themeColor="text1"/>
          <w:sz w:val="22"/>
          <w:szCs w:val="22"/>
        </w:rPr>
      </w:pPr>
    </w:p>
    <w:p w14:paraId="4856B3C1"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EXPOSURE:Body</w:t>
      </w:r>
      <w:proofErr w:type="gramEnd"/>
      <w:r w:rsidRPr="00FD0727">
        <w:rPr>
          <w:rFonts w:asciiTheme="majorHAnsi" w:hAnsiTheme="majorHAnsi"/>
          <w:color w:val="000000" w:themeColor="text1"/>
          <w:sz w:val="22"/>
          <w:szCs w:val="22"/>
        </w:rPr>
        <w:t xml:space="preserve"> mass index in six categories: underweight (body mass index &lt; 18.5 kg/ m), normal weight (body mass index = 18.5-24.9 kg/ m), overweight (body mass index = 25.0-29.9 kg/ m), obese class I (body mass index = 30.0-34.9 kg/ m), obese class II (body mass index = 35.0-39.9 kg/ m), and obese class III (body mass index ≥ 40 kg/ m).</w:t>
      </w:r>
    </w:p>
    <w:p w14:paraId="413AD9D7" w14:textId="77777777" w:rsidR="00C776B7" w:rsidRPr="00FD0727" w:rsidRDefault="00C776B7">
      <w:pPr>
        <w:rPr>
          <w:rFonts w:asciiTheme="majorHAnsi" w:hAnsiTheme="majorHAnsi"/>
          <w:color w:val="000000" w:themeColor="text1"/>
          <w:sz w:val="22"/>
          <w:szCs w:val="22"/>
        </w:rPr>
      </w:pPr>
    </w:p>
    <w:p w14:paraId="09C3E812"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MEASUREMENTS:Multivariate</w:t>
      </w:r>
      <w:proofErr w:type="gramEnd"/>
      <w:r w:rsidRPr="00FD0727">
        <w:rPr>
          <w:rFonts w:asciiTheme="majorHAnsi" w:hAnsiTheme="majorHAnsi"/>
          <w:color w:val="000000" w:themeColor="text1"/>
          <w:sz w:val="22"/>
          <w:szCs w:val="22"/>
        </w:rPr>
        <w:t xml:space="preserve"> logistic regression with generalized estimating equations to estimate the effect of body mass index category on short-term mortality (in-hospital death or discharge to hospice) adjusting for patient, infection, and hospital-level factors. Sensitivity analyses were conducted in subgroups of age, gender, Elixhauser comorbidity index, Sequential Organ Failure Assessment quartiles, bacteremic sepsis, and ICU admission.</w:t>
      </w:r>
    </w:p>
    <w:p w14:paraId="3BAAC1A6" w14:textId="77777777" w:rsidR="00C776B7" w:rsidRPr="00FD0727" w:rsidRDefault="00C776B7">
      <w:pPr>
        <w:rPr>
          <w:rFonts w:asciiTheme="majorHAnsi" w:hAnsiTheme="majorHAnsi"/>
          <w:color w:val="000000" w:themeColor="text1"/>
          <w:sz w:val="22"/>
          <w:szCs w:val="22"/>
        </w:rPr>
      </w:pPr>
    </w:p>
    <w:p w14:paraId="20D3BF3E"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MAIN </w:t>
      </w:r>
      <w:proofErr w:type="gramStart"/>
      <w:r w:rsidRPr="00FD0727">
        <w:rPr>
          <w:rFonts w:asciiTheme="majorHAnsi" w:hAnsiTheme="majorHAnsi"/>
          <w:color w:val="000000" w:themeColor="text1"/>
          <w:sz w:val="22"/>
          <w:szCs w:val="22"/>
        </w:rPr>
        <w:t>RESULTS:From</w:t>
      </w:r>
      <w:proofErr w:type="gramEnd"/>
      <w:r w:rsidRPr="00FD0727">
        <w:rPr>
          <w:rFonts w:asciiTheme="majorHAnsi" w:hAnsiTheme="majorHAnsi"/>
          <w:color w:val="000000" w:themeColor="text1"/>
          <w:sz w:val="22"/>
          <w:szCs w:val="22"/>
        </w:rPr>
        <w:t xml:space="preserve"> 2009 to 2015, we identified 55,038 adults with sepsis and assessable body mass index measurements: 6% underweight, 33% normal weight, 28% overweight, and 33% obese. Crude mortality was inversely proportional to body mass index category: underweight (31%), normal weight (24%), overweight (19%), obese class I (16%), obese class II (16%), and obese class III (14%). Compared with normal weight, the adjusted odds ratio (95% CI) of mortality was 1.62 (1.50-1.74) for underweight, 0.73 (0.70-0.77) for overweight, 0.61 (0.57-0.66) for obese class I, 0.61 (0.55-0.67) for obese class II, and 0.65 (0.59-0.71) for obese class III. Results were consistent in sensitivity analyses.</w:t>
      </w:r>
    </w:p>
    <w:p w14:paraId="765C815D" w14:textId="77777777" w:rsidR="00C776B7" w:rsidRPr="00FD0727" w:rsidRDefault="00C776B7">
      <w:pPr>
        <w:rPr>
          <w:rFonts w:asciiTheme="majorHAnsi" w:hAnsiTheme="majorHAnsi"/>
          <w:color w:val="000000" w:themeColor="text1"/>
          <w:sz w:val="22"/>
          <w:szCs w:val="22"/>
        </w:rPr>
      </w:pPr>
    </w:p>
    <w:p w14:paraId="55DBD6CD"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CONCLUSIONS:In</w:t>
      </w:r>
      <w:proofErr w:type="gramEnd"/>
      <w:r w:rsidRPr="00FD0727">
        <w:rPr>
          <w:rFonts w:asciiTheme="majorHAnsi" w:hAnsiTheme="majorHAnsi"/>
          <w:color w:val="000000" w:themeColor="text1"/>
          <w:sz w:val="22"/>
          <w:szCs w:val="22"/>
        </w:rPr>
        <w:t xml:space="preserve"> adults with clinically defined sepsis, we demonstrate lower short-term mortality in patients with higher body mass indices compared with those with normal body mass indices (both unadjusted and adjusted analyses) and higher short-term mortality in those with low body mass indices. Understanding how obesity improves survival in sepsis would inform prognostic and therapeutic strategies.</w:t>
      </w:r>
    </w:p>
    <w:p w14:paraId="6DCC66CA" w14:textId="77777777" w:rsidR="00C776B7" w:rsidRPr="00FD0727" w:rsidRDefault="00C776B7">
      <w:pPr>
        <w:rPr>
          <w:rFonts w:asciiTheme="majorHAnsi" w:hAnsiTheme="majorHAnsi"/>
          <w:color w:val="000000" w:themeColor="text1"/>
          <w:sz w:val="22"/>
          <w:szCs w:val="22"/>
        </w:rPr>
      </w:pPr>
    </w:p>
    <w:p w14:paraId="559037F0"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Critical Care Medicine, 2019 vol. 47 (5) pp. 643-650.</w:t>
      </w:r>
    </w:p>
    <w:p w14:paraId="18BEC30A" w14:textId="77777777" w:rsidR="00C776B7" w:rsidRDefault="00FD0727">
      <w:pPr>
        <w:rPr>
          <w:rStyle w:val="Hyperlink"/>
          <w:rFonts w:asciiTheme="majorHAnsi" w:hAnsiTheme="majorHAnsi"/>
          <w:color w:val="000000" w:themeColor="text1"/>
          <w:sz w:val="22"/>
          <w:szCs w:val="22"/>
        </w:rPr>
      </w:pPr>
      <w:hyperlink r:id="rId28" w:history="1">
        <w:r w:rsidRPr="00FD0727">
          <w:rPr>
            <w:rStyle w:val="Hyperlink"/>
            <w:rFonts w:asciiTheme="majorHAnsi" w:hAnsiTheme="majorHAnsi"/>
            <w:color w:val="000000" w:themeColor="text1"/>
            <w:sz w:val="22"/>
            <w:szCs w:val="22"/>
          </w:rPr>
          <w:t>http://eutils.ncbi.nlm.nih.gov/entrez/eutils/elink.fcgi?dbfrom=pubmed&amp;id=30789403&amp;retmode=ref&amp;cmd=prlinks</w:t>
        </w:r>
      </w:hyperlink>
    </w:p>
    <w:p w14:paraId="5CBF9B8C" w14:textId="77777777" w:rsidR="00041B84" w:rsidRPr="00FD0727" w:rsidRDefault="00041B84">
      <w:pPr>
        <w:rPr>
          <w:rFonts w:asciiTheme="majorHAnsi" w:hAnsiTheme="majorHAnsi"/>
          <w:color w:val="000000" w:themeColor="text1"/>
          <w:sz w:val="22"/>
          <w:szCs w:val="22"/>
        </w:rPr>
      </w:pPr>
    </w:p>
    <w:p w14:paraId="694D09BB"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4B7B467D" w14:textId="77777777" w:rsidR="00C776B7" w:rsidRPr="00041B84" w:rsidRDefault="00FD0727">
      <w:pPr>
        <w:pStyle w:val="Heading4"/>
        <w:rPr>
          <w:rFonts w:asciiTheme="majorHAnsi" w:hAnsiTheme="majorHAnsi"/>
          <w:b/>
          <w:color w:val="000000" w:themeColor="text1"/>
          <w:sz w:val="22"/>
          <w:szCs w:val="22"/>
        </w:rPr>
      </w:pPr>
      <w:r w:rsidRPr="00041B84">
        <w:rPr>
          <w:rFonts w:asciiTheme="majorHAnsi" w:hAnsiTheme="majorHAnsi"/>
          <w:b/>
          <w:color w:val="000000" w:themeColor="text1"/>
          <w:sz w:val="22"/>
          <w:szCs w:val="22"/>
        </w:rPr>
        <w:t>Effect of Antihypertensive Medications on Sepsis-Related Outcomes: A Population-Based Cohort Study.</w:t>
      </w:r>
    </w:p>
    <w:p w14:paraId="534C1767" w14:textId="77777777" w:rsidR="00C776B7" w:rsidRPr="00041B84" w:rsidRDefault="00C776B7">
      <w:pPr>
        <w:rPr>
          <w:rFonts w:asciiTheme="majorHAnsi" w:hAnsiTheme="majorHAnsi"/>
          <w:b/>
          <w:color w:val="000000" w:themeColor="text1"/>
          <w:sz w:val="22"/>
          <w:szCs w:val="22"/>
        </w:rPr>
      </w:pPr>
    </w:p>
    <w:p w14:paraId="292ABD23"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lastRenderedPageBreak/>
        <w:t>Joohae Kim, Young Ae Kim, Bin Hwangbo, Min Jeong Kim, Hyunsoon Cho, Yul Hwangbo, and Eun Sook Lee.</w:t>
      </w:r>
    </w:p>
    <w:p w14:paraId="67A69EB6" w14:textId="77777777" w:rsidR="00C776B7" w:rsidRPr="00FD0727" w:rsidRDefault="00C776B7">
      <w:pPr>
        <w:rPr>
          <w:rFonts w:asciiTheme="majorHAnsi" w:hAnsiTheme="majorHAnsi"/>
          <w:color w:val="000000" w:themeColor="text1"/>
          <w:sz w:val="22"/>
          <w:szCs w:val="22"/>
        </w:rPr>
      </w:pPr>
    </w:p>
    <w:p w14:paraId="7E239264"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OBJECTIVES:Although</w:t>
      </w:r>
      <w:proofErr w:type="gramEnd"/>
      <w:r w:rsidRPr="00FD0727">
        <w:rPr>
          <w:rFonts w:asciiTheme="majorHAnsi" w:hAnsiTheme="majorHAnsi"/>
          <w:color w:val="000000" w:themeColor="text1"/>
          <w:sz w:val="22"/>
          <w:szCs w:val="22"/>
        </w:rPr>
        <w:t xml:space="preserve"> the effect of antihypertensive agents on sepsis has been studied, evidence for survival benefit was limited in the literature. We investigated differences in sepsis-related outcomes depending on the antihypertensive drugs given prior to sepsis in patients with hypertension.</w:t>
      </w:r>
    </w:p>
    <w:p w14:paraId="35B40435" w14:textId="77777777" w:rsidR="00C776B7" w:rsidRPr="00FD0727" w:rsidRDefault="00C776B7">
      <w:pPr>
        <w:rPr>
          <w:rFonts w:asciiTheme="majorHAnsi" w:hAnsiTheme="majorHAnsi"/>
          <w:color w:val="000000" w:themeColor="text1"/>
          <w:sz w:val="22"/>
          <w:szCs w:val="22"/>
        </w:rPr>
      </w:pPr>
    </w:p>
    <w:p w14:paraId="56124516"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DESIGN:Population</w:t>
      </w:r>
      <w:proofErr w:type="gramEnd"/>
      <w:r w:rsidRPr="00FD0727">
        <w:rPr>
          <w:rFonts w:asciiTheme="majorHAnsi" w:hAnsiTheme="majorHAnsi"/>
          <w:color w:val="000000" w:themeColor="text1"/>
          <w:sz w:val="22"/>
          <w:szCs w:val="22"/>
        </w:rPr>
        <w:t>-based cohort study.</w:t>
      </w:r>
    </w:p>
    <w:p w14:paraId="15F1430C" w14:textId="77777777" w:rsidR="00C776B7" w:rsidRPr="00FD0727" w:rsidRDefault="00C776B7">
      <w:pPr>
        <w:rPr>
          <w:rFonts w:asciiTheme="majorHAnsi" w:hAnsiTheme="majorHAnsi"/>
          <w:color w:val="000000" w:themeColor="text1"/>
          <w:sz w:val="22"/>
          <w:szCs w:val="22"/>
        </w:rPr>
      </w:pPr>
    </w:p>
    <w:p w14:paraId="63A5E5F8"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SETTING:Sample</w:t>
      </w:r>
      <w:proofErr w:type="gramEnd"/>
      <w:r w:rsidRPr="00FD0727">
        <w:rPr>
          <w:rFonts w:asciiTheme="majorHAnsi" w:hAnsiTheme="majorHAnsi"/>
          <w:color w:val="000000" w:themeColor="text1"/>
          <w:sz w:val="22"/>
          <w:szCs w:val="22"/>
        </w:rPr>
        <w:t xml:space="preserve"> cohort Database of the National Health Insurance Service from 2003 to 2013 in South Korea.</w:t>
      </w:r>
    </w:p>
    <w:p w14:paraId="6E74474A" w14:textId="77777777" w:rsidR="00C776B7" w:rsidRPr="00FD0727" w:rsidRDefault="00C776B7">
      <w:pPr>
        <w:rPr>
          <w:rFonts w:asciiTheme="majorHAnsi" w:hAnsiTheme="majorHAnsi"/>
          <w:color w:val="000000" w:themeColor="text1"/>
          <w:sz w:val="22"/>
          <w:szCs w:val="22"/>
        </w:rPr>
      </w:pPr>
    </w:p>
    <w:p w14:paraId="7DDFC6CF"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PATIENTS:Patients</w:t>
      </w:r>
      <w:proofErr w:type="gramEnd"/>
      <w:r w:rsidRPr="00FD0727">
        <w:rPr>
          <w:rFonts w:asciiTheme="majorHAnsi" w:hAnsiTheme="majorHAnsi"/>
          <w:color w:val="000000" w:themeColor="text1"/>
          <w:sz w:val="22"/>
          <w:szCs w:val="22"/>
        </w:rPr>
        <w:t xml:space="preserve"> over 30 years old who were diagnosed with sepsis after receiving hypertension treatment.</w:t>
      </w:r>
    </w:p>
    <w:p w14:paraId="0CDAE6D1" w14:textId="77777777" w:rsidR="00C776B7" w:rsidRPr="00FD0727" w:rsidRDefault="00C776B7">
      <w:pPr>
        <w:rPr>
          <w:rFonts w:asciiTheme="majorHAnsi" w:hAnsiTheme="majorHAnsi"/>
          <w:color w:val="000000" w:themeColor="text1"/>
          <w:sz w:val="22"/>
          <w:szCs w:val="22"/>
        </w:rPr>
      </w:pPr>
    </w:p>
    <w:p w14:paraId="44D59DE4"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INTERVENTIONS:None</w:t>
      </w:r>
      <w:proofErr w:type="gramEnd"/>
      <w:r w:rsidRPr="00FD0727">
        <w:rPr>
          <w:rFonts w:asciiTheme="majorHAnsi" w:hAnsiTheme="majorHAnsi"/>
          <w:color w:val="000000" w:themeColor="text1"/>
          <w:sz w:val="22"/>
          <w:szCs w:val="22"/>
        </w:rPr>
        <w:t>.</w:t>
      </w:r>
    </w:p>
    <w:p w14:paraId="521715FC" w14:textId="77777777" w:rsidR="00C776B7" w:rsidRPr="00FD0727" w:rsidRDefault="00C776B7">
      <w:pPr>
        <w:rPr>
          <w:rFonts w:asciiTheme="majorHAnsi" w:hAnsiTheme="majorHAnsi"/>
          <w:color w:val="000000" w:themeColor="text1"/>
          <w:sz w:val="22"/>
          <w:szCs w:val="22"/>
        </w:rPr>
      </w:pPr>
    </w:p>
    <w:p w14:paraId="5AB33C70"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MEASUREMENTS AND MAIN </w:t>
      </w:r>
      <w:proofErr w:type="gramStart"/>
      <w:r w:rsidRPr="00FD0727">
        <w:rPr>
          <w:rFonts w:asciiTheme="majorHAnsi" w:hAnsiTheme="majorHAnsi"/>
          <w:color w:val="000000" w:themeColor="text1"/>
          <w:sz w:val="22"/>
          <w:szCs w:val="22"/>
        </w:rPr>
        <w:t>RESULTS:Primary</w:t>
      </w:r>
      <w:proofErr w:type="gramEnd"/>
      <w:r w:rsidRPr="00FD0727">
        <w:rPr>
          <w:rFonts w:asciiTheme="majorHAnsi" w:hAnsiTheme="majorHAnsi"/>
          <w:color w:val="000000" w:themeColor="text1"/>
          <w:sz w:val="22"/>
          <w:szCs w:val="22"/>
        </w:rPr>
        <w:t xml:space="preserve"> outcomes, 30-day and 90-day mortality rates, were analyzed for differences among three representative antihypertensive medications: angiotensin- converting enzyme inhibitors or angiotensin II receptor blockers, calcium channel blockers, and thiazides. In total, 4,549 patients diagnosed with hypertension prior to hospitalization for sepsis were identified. The 30-day mortality was significantly higher among patients who did not receive any medications within 1 month before sepsis (36.8%) than among patients who did (32.0%; p &lt; 0.001). The risk for 90-days mortality was significantly lower in prior angiotensin-converting enzyme inhibitors or angiotensin II receptor blocker users (reference) than in other drug users (odds ratio, 1.27; 95% CI, 1.07-1.52). There was no difference in the risk for 30-day and 90-day mortality depending on whether calcium channel blockers or thiazides were used. Use of calcium channel blockers was associated with a decreased risk for inotropic agent administration, compared with those of angiotensin-converting enzyme inhibitors or angiotensin II receptor blockers (odds ratio, 1.23; 95% CI, 1.05-1.44) and thiazides (odds ratio, 1.33; 95% CI, 1.12-1.58).</w:t>
      </w:r>
    </w:p>
    <w:p w14:paraId="29227100" w14:textId="77777777" w:rsidR="00C776B7" w:rsidRPr="00FD0727" w:rsidRDefault="00C776B7">
      <w:pPr>
        <w:rPr>
          <w:rFonts w:asciiTheme="majorHAnsi" w:hAnsiTheme="majorHAnsi"/>
          <w:color w:val="000000" w:themeColor="text1"/>
          <w:sz w:val="22"/>
          <w:szCs w:val="22"/>
        </w:rPr>
      </w:pPr>
    </w:p>
    <w:p w14:paraId="2955DE73"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CONCLUSIONS:In</w:t>
      </w:r>
      <w:proofErr w:type="gramEnd"/>
      <w:r w:rsidRPr="00FD0727">
        <w:rPr>
          <w:rFonts w:asciiTheme="majorHAnsi" w:hAnsiTheme="majorHAnsi"/>
          <w:color w:val="000000" w:themeColor="text1"/>
          <w:sz w:val="22"/>
          <w:szCs w:val="22"/>
        </w:rPr>
        <w:t xml:space="preserve"> patients with sepsis, lower mortality rate was associated with prior use of angiotensin-converting enzyme inhibitors and angiotensin II receptor blockers not with use of calcium channel blockers or thiazides. The requirement of inotropic agents was significantly lower in prior use of calcium channel blockers, although the survival benefits were not prominent.</w:t>
      </w:r>
    </w:p>
    <w:p w14:paraId="5E43A643" w14:textId="77777777" w:rsidR="00C776B7" w:rsidRPr="00FD0727" w:rsidRDefault="00C776B7">
      <w:pPr>
        <w:rPr>
          <w:rFonts w:asciiTheme="majorHAnsi" w:hAnsiTheme="majorHAnsi"/>
          <w:color w:val="000000" w:themeColor="text1"/>
          <w:sz w:val="22"/>
          <w:szCs w:val="22"/>
        </w:rPr>
      </w:pPr>
    </w:p>
    <w:p w14:paraId="644E32ED"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Critical Care Medicine, 2019 vol. 47 (5) pp. e386-e393.</w:t>
      </w:r>
    </w:p>
    <w:p w14:paraId="27049F17" w14:textId="77777777" w:rsidR="00C776B7" w:rsidRDefault="00FD0727">
      <w:pPr>
        <w:rPr>
          <w:rStyle w:val="Hyperlink"/>
          <w:rFonts w:asciiTheme="majorHAnsi" w:hAnsiTheme="majorHAnsi"/>
          <w:color w:val="000000" w:themeColor="text1"/>
          <w:sz w:val="22"/>
          <w:szCs w:val="22"/>
        </w:rPr>
      </w:pPr>
      <w:hyperlink r:id="rId29" w:history="1">
        <w:r w:rsidRPr="00FD0727">
          <w:rPr>
            <w:rStyle w:val="Hyperlink"/>
            <w:rFonts w:asciiTheme="majorHAnsi" w:hAnsiTheme="majorHAnsi"/>
            <w:color w:val="000000" w:themeColor="text1"/>
            <w:sz w:val="22"/>
            <w:szCs w:val="22"/>
          </w:rPr>
          <w:t>http://eutils.ncbi.nlm.nih.gov/entrez/eutils/elink.fcgi?dbfrom=pubmed&amp;id=30688717&amp;retmode=ref&amp;cmd=prlinks</w:t>
        </w:r>
      </w:hyperlink>
    </w:p>
    <w:p w14:paraId="3DBF44AB" w14:textId="77777777" w:rsidR="00041B84" w:rsidRPr="00FD0727" w:rsidRDefault="00041B84">
      <w:pPr>
        <w:rPr>
          <w:rFonts w:asciiTheme="majorHAnsi" w:hAnsiTheme="majorHAnsi"/>
          <w:color w:val="000000" w:themeColor="text1"/>
          <w:sz w:val="22"/>
          <w:szCs w:val="22"/>
        </w:rPr>
      </w:pPr>
    </w:p>
    <w:p w14:paraId="39570240" w14:textId="5218F08F"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59FE1E93" w14:textId="77777777" w:rsidR="00C776B7" w:rsidRPr="00041B84" w:rsidRDefault="00FD0727">
      <w:pPr>
        <w:pStyle w:val="Heading4"/>
        <w:rPr>
          <w:rFonts w:asciiTheme="majorHAnsi" w:hAnsiTheme="majorHAnsi"/>
          <w:b/>
          <w:color w:val="000000" w:themeColor="text1"/>
          <w:sz w:val="22"/>
          <w:szCs w:val="22"/>
        </w:rPr>
      </w:pPr>
      <w:r w:rsidRPr="00041B84">
        <w:rPr>
          <w:rFonts w:asciiTheme="majorHAnsi" w:hAnsiTheme="majorHAnsi"/>
          <w:b/>
          <w:color w:val="000000" w:themeColor="text1"/>
          <w:sz w:val="22"/>
          <w:szCs w:val="22"/>
        </w:rPr>
        <w:t xml:space="preserve">Moderate-Intensity Insulin Therapy Is Associated </w:t>
      </w:r>
      <w:proofErr w:type="gramStart"/>
      <w:r w:rsidRPr="00041B84">
        <w:rPr>
          <w:rFonts w:asciiTheme="majorHAnsi" w:hAnsiTheme="majorHAnsi"/>
          <w:b/>
          <w:color w:val="000000" w:themeColor="text1"/>
          <w:sz w:val="22"/>
          <w:szCs w:val="22"/>
        </w:rPr>
        <w:t>With</w:t>
      </w:r>
      <w:proofErr w:type="gramEnd"/>
      <w:r w:rsidRPr="00041B84">
        <w:rPr>
          <w:rFonts w:asciiTheme="majorHAnsi" w:hAnsiTheme="majorHAnsi"/>
          <w:b/>
          <w:color w:val="000000" w:themeColor="text1"/>
          <w:sz w:val="22"/>
          <w:szCs w:val="22"/>
        </w:rPr>
        <w:t xml:space="preserve"> Reduced Length of Stay in Critically Ill Patients With Diabetic Ketoacidosis and Hyperosmolar Hyperglycemic State.</w:t>
      </w:r>
    </w:p>
    <w:p w14:paraId="04E7D8A1" w14:textId="77777777" w:rsidR="00C776B7" w:rsidRPr="00FD0727" w:rsidRDefault="00C776B7">
      <w:pPr>
        <w:rPr>
          <w:rFonts w:asciiTheme="majorHAnsi" w:hAnsiTheme="majorHAnsi"/>
          <w:color w:val="000000" w:themeColor="text1"/>
          <w:sz w:val="22"/>
          <w:szCs w:val="22"/>
        </w:rPr>
      </w:pPr>
    </w:p>
    <w:p w14:paraId="4D6E4931"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Rachelle L Firestone, Patricia L Parker, Komal A Pandya, Machelle D Wilson, and Jeremiah J Duby.</w:t>
      </w:r>
    </w:p>
    <w:p w14:paraId="1AFAB931" w14:textId="77777777" w:rsidR="00C776B7" w:rsidRPr="00FD0727" w:rsidRDefault="00C776B7">
      <w:pPr>
        <w:rPr>
          <w:rFonts w:asciiTheme="majorHAnsi" w:hAnsiTheme="majorHAnsi"/>
          <w:color w:val="000000" w:themeColor="text1"/>
          <w:sz w:val="22"/>
          <w:szCs w:val="22"/>
        </w:rPr>
      </w:pPr>
    </w:p>
    <w:p w14:paraId="1F9F3EDB"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OBJECTIVES:Insulin</w:t>
      </w:r>
      <w:proofErr w:type="gramEnd"/>
      <w:r w:rsidRPr="00FD0727">
        <w:rPr>
          <w:rFonts w:asciiTheme="majorHAnsi" w:hAnsiTheme="majorHAnsi"/>
          <w:color w:val="000000" w:themeColor="text1"/>
          <w:sz w:val="22"/>
          <w:szCs w:val="22"/>
        </w:rPr>
        <w:t xml:space="preserve"> infusion therapy is commonly used in the hospital setting to manage diabetic ketoacidosis and hyperosmolar hyperglycemic state. Clinical evidence suggests both hypoglycemia and </w:t>
      </w:r>
      <w:r w:rsidRPr="00FD0727">
        <w:rPr>
          <w:rFonts w:asciiTheme="majorHAnsi" w:hAnsiTheme="majorHAnsi"/>
          <w:color w:val="000000" w:themeColor="text1"/>
          <w:sz w:val="22"/>
          <w:szCs w:val="22"/>
        </w:rPr>
        <w:lastRenderedPageBreak/>
        <w:t>glycemic variability negatively impact patient outcomes. The hypothesis of this study was that moderate-intensity insulin therapy decreases hospital length of stay and prevalence of hypoglycemia in patients with diabetic ketoacidosis and hyperosmolar hyperglycemic state.</w:t>
      </w:r>
    </w:p>
    <w:p w14:paraId="3B3B17EC" w14:textId="77777777" w:rsidR="00C776B7" w:rsidRPr="00FD0727" w:rsidRDefault="00C776B7">
      <w:pPr>
        <w:rPr>
          <w:rFonts w:asciiTheme="majorHAnsi" w:hAnsiTheme="majorHAnsi"/>
          <w:color w:val="000000" w:themeColor="text1"/>
          <w:sz w:val="22"/>
          <w:szCs w:val="22"/>
        </w:rPr>
      </w:pPr>
    </w:p>
    <w:p w14:paraId="651193B2"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DESIGN:Pre</w:t>
      </w:r>
      <w:proofErr w:type="gramEnd"/>
      <w:r w:rsidRPr="00FD0727">
        <w:rPr>
          <w:rFonts w:asciiTheme="majorHAnsi" w:hAnsiTheme="majorHAnsi"/>
          <w:color w:val="000000" w:themeColor="text1"/>
          <w:sz w:val="22"/>
          <w:szCs w:val="22"/>
        </w:rPr>
        <w:t>-post study.</w:t>
      </w:r>
    </w:p>
    <w:p w14:paraId="6E5C0122" w14:textId="77777777" w:rsidR="00C776B7" w:rsidRPr="00FD0727" w:rsidRDefault="00C776B7">
      <w:pPr>
        <w:rPr>
          <w:rFonts w:asciiTheme="majorHAnsi" w:hAnsiTheme="majorHAnsi"/>
          <w:color w:val="000000" w:themeColor="text1"/>
          <w:sz w:val="22"/>
          <w:szCs w:val="22"/>
        </w:rPr>
      </w:pPr>
    </w:p>
    <w:p w14:paraId="5AA45DA7"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SETTING:Large</w:t>
      </w:r>
      <w:proofErr w:type="gramEnd"/>
      <w:r w:rsidRPr="00FD0727">
        <w:rPr>
          <w:rFonts w:asciiTheme="majorHAnsi" w:hAnsiTheme="majorHAnsi"/>
          <w:color w:val="000000" w:themeColor="text1"/>
          <w:sz w:val="22"/>
          <w:szCs w:val="22"/>
        </w:rPr>
        <w:t xml:space="preserve"> academic medical center in the United States.</w:t>
      </w:r>
    </w:p>
    <w:p w14:paraId="6EA9A383" w14:textId="77777777" w:rsidR="00C776B7" w:rsidRPr="00FD0727" w:rsidRDefault="00C776B7">
      <w:pPr>
        <w:rPr>
          <w:rFonts w:asciiTheme="majorHAnsi" w:hAnsiTheme="majorHAnsi"/>
          <w:color w:val="000000" w:themeColor="text1"/>
          <w:sz w:val="22"/>
          <w:szCs w:val="22"/>
        </w:rPr>
      </w:pPr>
    </w:p>
    <w:p w14:paraId="7CF2BC3E"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PATIENTS:Two</w:t>
      </w:r>
      <w:proofErr w:type="gramEnd"/>
      <w:r w:rsidRPr="00FD0727">
        <w:rPr>
          <w:rFonts w:asciiTheme="majorHAnsi" w:hAnsiTheme="majorHAnsi"/>
          <w:color w:val="000000" w:themeColor="text1"/>
          <w:sz w:val="22"/>
          <w:szCs w:val="22"/>
        </w:rPr>
        <w:t>-hundred one consecutive, nonpregnant, adult patients admitted for diabetic ketoacidosis and hyperosmolar hyperglycemic state between October 2010 and December 2014.</w:t>
      </w:r>
    </w:p>
    <w:p w14:paraId="072C86D8" w14:textId="77777777" w:rsidR="00C776B7" w:rsidRPr="00FD0727" w:rsidRDefault="00C776B7">
      <w:pPr>
        <w:rPr>
          <w:rFonts w:asciiTheme="majorHAnsi" w:hAnsiTheme="majorHAnsi"/>
          <w:color w:val="000000" w:themeColor="text1"/>
          <w:sz w:val="22"/>
          <w:szCs w:val="22"/>
        </w:rPr>
      </w:pPr>
    </w:p>
    <w:p w14:paraId="523DCABC"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INTERVENTIONS:High</w:t>
      </w:r>
      <w:proofErr w:type="gramEnd"/>
      <w:r w:rsidRPr="00FD0727">
        <w:rPr>
          <w:rFonts w:asciiTheme="majorHAnsi" w:hAnsiTheme="majorHAnsi"/>
          <w:color w:val="000000" w:themeColor="text1"/>
          <w:sz w:val="22"/>
          <w:szCs w:val="22"/>
        </w:rPr>
        <w:t>-intensity insulin therapy versus moderate-intensity insulin therapy. High-intensity insulin therapy was designed to rapidly normalize blood glucose levels with bolus doses of insulin and rapid insulin titration. Moderate-intensity insulin therapy was designed to mitigate glycemic variability and hypoglycemia through avoidance of bolus dosing, a liberalized blood glucose target, and gradual insulin titration.</w:t>
      </w:r>
    </w:p>
    <w:p w14:paraId="279765F7" w14:textId="77777777" w:rsidR="00C776B7" w:rsidRPr="00FD0727" w:rsidRDefault="00C776B7">
      <w:pPr>
        <w:rPr>
          <w:rFonts w:asciiTheme="majorHAnsi" w:hAnsiTheme="majorHAnsi"/>
          <w:color w:val="000000" w:themeColor="text1"/>
          <w:sz w:val="22"/>
          <w:szCs w:val="22"/>
        </w:rPr>
      </w:pPr>
    </w:p>
    <w:p w14:paraId="762F7C22"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MEASUREMENTS AND MAIN </w:t>
      </w:r>
      <w:proofErr w:type="gramStart"/>
      <w:r w:rsidRPr="00FD0727">
        <w:rPr>
          <w:rFonts w:asciiTheme="majorHAnsi" w:hAnsiTheme="majorHAnsi"/>
          <w:color w:val="000000" w:themeColor="text1"/>
          <w:sz w:val="22"/>
          <w:szCs w:val="22"/>
        </w:rPr>
        <w:t>RESULTS:Hospital</w:t>
      </w:r>
      <w:proofErr w:type="gramEnd"/>
      <w:r w:rsidRPr="00FD0727">
        <w:rPr>
          <w:rFonts w:asciiTheme="majorHAnsi" w:hAnsiTheme="majorHAnsi"/>
          <w:color w:val="000000" w:themeColor="text1"/>
          <w:sz w:val="22"/>
          <w:szCs w:val="22"/>
        </w:rPr>
        <w:t xml:space="preserve"> and ICU length of stay were reduced by 23.6% and 38%, respectively. The relative risk of remaining in the hospital at day 7 (0.51; p = 0.022) and day 14 (0.28; p = 0.044) were significantly reduced by the moderate-intensity insulin therapy strategy. The relative risk of remaining in the ICU at 48 hours was significantly lower in the moderate-intensity insulin therapy cohort (0.34; p = 0.0048). The prevalence (35% vs 1%; p = 0.0003) and relative risk (0.028; p = 0.0004) of hypoglycemia were significantly lower in the moderate-intensity insulin therapy cohort. Glycemic variability decreased by 28.6% (p &lt; 0.0001). There was no difference in the time to anion gap closure (p = 0.123).</w:t>
      </w:r>
    </w:p>
    <w:p w14:paraId="16BA2887" w14:textId="77777777" w:rsidR="00C776B7" w:rsidRPr="00FD0727" w:rsidRDefault="00C776B7">
      <w:pPr>
        <w:rPr>
          <w:rFonts w:asciiTheme="majorHAnsi" w:hAnsiTheme="majorHAnsi"/>
          <w:color w:val="000000" w:themeColor="text1"/>
          <w:sz w:val="22"/>
          <w:szCs w:val="22"/>
        </w:rPr>
      </w:pPr>
    </w:p>
    <w:p w14:paraId="7EB18666"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CONCLUSIONS:Moderate</w:t>
      </w:r>
      <w:proofErr w:type="gramEnd"/>
      <w:r w:rsidRPr="00FD0727">
        <w:rPr>
          <w:rFonts w:asciiTheme="majorHAnsi" w:hAnsiTheme="majorHAnsi"/>
          <w:color w:val="000000" w:themeColor="text1"/>
          <w:sz w:val="22"/>
          <w:szCs w:val="22"/>
        </w:rPr>
        <w:t>-intensity insulin therapy for diabetic ketoacidosis and hyperosmolar hyperglycemic state resulted in improvements in hospital and ICU length of stay, which appeared to be associated with decreased glycemic variability.</w:t>
      </w:r>
    </w:p>
    <w:p w14:paraId="7B7E0291" w14:textId="77777777" w:rsidR="00C776B7" w:rsidRPr="00FD0727" w:rsidRDefault="00C776B7">
      <w:pPr>
        <w:rPr>
          <w:rFonts w:asciiTheme="majorHAnsi" w:hAnsiTheme="majorHAnsi"/>
          <w:color w:val="000000" w:themeColor="text1"/>
          <w:sz w:val="22"/>
          <w:szCs w:val="22"/>
        </w:rPr>
      </w:pPr>
    </w:p>
    <w:p w14:paraId="2C357D46"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Critical Care Medicine, 2019 vol. 47 (5) pp. 700-705.</w:t>
      </w:r>
    </w:p>
    <w:p w14:paraId="1B139F01" w14:textId="77777777" w:rsidR="00C776B7" w:rsidRDefault="00FD0727">
      <w:pPr>
        <w:rPr>
          <w:rStyle w:val="Hyperlink"/>
          <w:rFonts w:asciiTheme="majorHAnsi" w:hAnsiTheme="majorHAnsi"/>
          <w:color w:val="000000" w:themeColor="text1"/>
          <w:sz w:val="22"/>
          <w:szCs w:val="22"/>
        </w:rPr>
      </w:pPr>
      <w:hyperlink r:id="rId30" w:history="1">
        <w:r w:rsidRPr="00FD0727">
          <w:rPr>
            <w:rStyle w:val="Hyperlink"/>
            <w:rFonts w:asciiTheme="majorHAnsi" w:hAnsiTheme="majorHAnsi"/>
            <w:color w:val="000000" w:themeColor="text1"/>
            <w:sz w:val="22"/>
            <w:szCs w:val="22"/>
          </w:rPr>
          <w:t>http://eutils.ncbi.nlm.nih.gov/entrez/eutils/elink.fcgi?dbfrom=pubmed&amp;id=30855284&amp;retmode=ref&amp;cmd=prlinks</w:t>
        </w:r>
      </w:hyperlink>
    </w:p>
    <w:p w14:paraId="21D16D3A" w14:textId="77777777" w:rsidR="00041B84" w:rsidRPr="00FD0727" w:rsidRDefault="00041B84">
      <w:pPr>
        <w:rPr>
          <w:rFonts w:asciiTheme="majorHAnsi" w:hAnsiTheme="majorHAnsi"/>
          <w:color w:val="000000" w:themeColor="text1"/>
          <w:sz w:val="22"/>
          <w:szCs w:val="22"/>
        </w:rPr>
      </w:pPr>
    </w:p>
    <w:p w14:paraId="5AC7A228"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37A4CC99" w14:textId="77777777" w:rsidR="00C776B7" w:rsidRPr="00041B84" w:rsidRDefault="00FD0727">
      <w:pPr>
        <w:pStyle w:val="Heading4"/>
        <w:rPr>
          <w:rFonts w:asciiTheme="majorHAnsi" w:hAnsiTheme="majorHAnsi"/>
          <w:b/>
          <w:color w:val="000000" w:themeColor="text1"/>
          <w:sz w:val="22"/>
          <w:szCs w:val="22"/>
        </w:rPr>
      </w:pPr>
      <w:r w:rsidRPr="00041B84">
        <w:rPr>
          <w:rFonts w:asciiTheme="majorHAnsi" w:hAnsiTheme="majorHAnsi"/>
          <w:b/>
          <w:color w:val="000000" w:themeColor="text1"/>
          <w:sz w:val="22"/>
          <w:szCs w:val="22"/>
        </w:rPr>
        <w:t>Neutropenic Enterocolitis in Critically Ill Patients: Spectrum of the Disease and Risk of Invasive Fungal Disease.</w:t>
      </w:r>
    </w:p>
    <w:p w14:paraId="4849CAEB" w14:textId="77777777" w:rsidR="00C776B7" w:rsidRPr="00FD0727" w:rsidRDefault="00C776B7">
      <w:pPr>
        <w:rPr>
          <w:rFonts w:asciiTheme="majorHAnsi" w:hAnsiTheme="majorHAnsi"/>
          <w:color w:val="000000" w:themeColor="text1"/>
          <w:sz w:val="22"/>
          <w:szCs w:val="22"/>
        </w:rPr>
      </w:pPr>
    </w:p>
    <w:p w14:paraId="51FA8232"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Baptiste Duceau, Muriel Picard, Romain Pirracchio, Anne Wanquet, Frédéric Pène, Sybille Merceron, Djamel Mokart, Anne-Sophie Moreau, Etienne Lengliné, Emmanuel Canet, Virginie Lemiale, Eric Mariotte, Elie Azoulay, and Lara Zafrani.</w:t>
      </w:r>
    </w:p>
    <w:p w14:paraId="1261966D" w14:textId="77777777" w:rsidR="00C776B7" w:rsidRPr="00FD0727" w:rsidRDefault="00C776B7">
      <w:pPr>
        <w:rPr>
          <w:rFonts w:asciiTheme="majorHAnsi" w:hAnsiTheme="majorHAnsi"/>
          <w:color w:val="000000" w:themeColor="text1"/>
          <w:sz w:val="22"/>
          <w:szCs w:val="22"/>
        </w:rPr>
      </w:pPr>
    </w:p>
    <w:p w14:paraId="44D49A68"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OBJECTIVES:Neutropenic</w:t>
      </w:r>
      <w:proofErr w:type="gramEnd"/>
      <w:r w:rsidRPr="00FD0727">
        <w:rPr>
          <w:rFonts w:asciiTheme="majorHAnsi" w:hAnsiTheme="majorHAnsi"/>
          <w:color w:val="000000" w:themeColor="text1"/>
          <w:sz w:val="22"/>
          <w:szCs w:val="22"/>
        </w:rPr>
        <w:t xml:space="preserve"> enterocolitis occurs in about 5.3% of patients hospitalized for hematologic malignancies receiving chemotherapy. Data from critically ill patients with neutropenic enterocolitis are scarce. Our objectives were to describe the population of patients with neutropenic enterocolitis admitted to an ICU and to investigate the risk factors of invasive fungal disease.</w:t>
      </w:r>
    </w:p>
    <w:p w14:paraId="2B345436" w14:textId="77777777" w:rsidR="00C776B7" w:rsidRPr="00FD0727" w:rsidRDefault="00C776B7">
      <w:pPr>
        <w:rPr>
          <w:rFonts w:asciiTheme="majorHAnsi" w:hAnsiTheme="majorHAnsi"/>
          <w:color w:val="000000" w:themeColor="text1"/>
          <w:sz w:val="22"/>
          <w:szCs w:val="22"/>
        </w:rPr>
      </w:pPr>
    </w:p>
    <w:p w14:paraId="118F5996"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DESIGN:A</w:t>
      </w:r>
      <w:proofErr w:type="gramEnd"/>
      <w:r w:rsidRPr="00FD0727">
        <w:rPr>
          <w:rFonts w:asciiTheme="majorHAnsi" w:hAnsiTheme="majorHAnsi"/>
          <w:color w:val="000000" w:themeColor="text1"/>
          <w:sz w:val="22"/>
          <w:szCs w:val="22"/>
        </w:rPr>
        <w:t xml:space="preserve"> multicentric retrospective cohort study between January 2010 and August 2017.</w:t>
      </w:r>
    </w:p>
    <w:p w14:paraId="436C8B49" w14:textId="77777777" w:rsidR="00C776B7" w:rsidRPr="00FD0727" w:rsidRDefault="00C776B7">
      <w:pPr>
        <w:rPr>
          <w:rFonts w:asciiTheme="majorHAnsi" w:hAnsiTheme="majorHAnsi"/>
          <w:color w:val="000000" w:themeColor="text1"/>
          <w:sz w:val="22"/>
          <w:szCs w:val="22"/>
        </w:rPr>
      </w:pPr>
    </w:p>
    <w:p w14:paraId="36284769"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SETTING:Six</w:t>
      </w:r>
      <w:proofErr w:type="gramEnd"/>
      <w:r w:rsidRPr="00FD0727">
        <w:rPr>
          <w:rFonts w:asciiTheme="majorHAnsi" w:hAnsiTheme="majorHAnsi"/>
          <w:color w:val="000000" w:themeColor="text1"/>
          <w:sz w:val="22"/>
          <w:szCs w:val="22"/>
        </w:rPr>
        <w:t xml:space="preserve"> French ICUs members of the Groupe de Recherche Respiratoire en Onco-Hématologie research network.</w:t>
      </w:r>
    </w:p>
    <w:p w14:paraId="42486375" w14:textId="77777777" w:rsidR="00C776B7" w:rsidRPr="00FD0727" w:rsidRDefault="00C776B7">
      <w:pPr>
        <w:rPr>
          <w:rFonts w:asciiTheme="majorHAnsi" w:hAnsiTheme="majorHAnsi"/>
          <w:color w:val="000000" w:themeColor="text1"/>
          <w:sz w:val="22"/>
          <w:szCs w:val="22"/>
        </w:rPr>
      </w:pPr>
    </w:p>
    <w:p w14:paraId="6E1C50F3"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PATIENTS:Adult</w:t>
      </w:r>
      <w:proofErr w:type="gramEnd"/>
      <w:r w:rsidRPr="00FD0727">
        <w:rPr>
          <w:rFonts w:asciiTheme="majorHAnsi" w:hAnsiTheme="majorHAnsi"/>
          <w:color w:val="000000" w:themeColor="text1"/>
          <w:sz w:val="22"/>
          <w:szCs w:val="22"/>
        </w:rPr>
        <w:t xml:space="preserve"> neutropenic patients hospitalized in the ICU with a diagnosis of enteritis and/or colitis. Patients with differential diagnosis (Clostridium difficile colitis, viral colitis, inflammatory enterocolitis, mesenteric ischemia, radiation-induced gastrointestinal toxicity, and Graft vs Host Disease) were excluded.</w:t>
      </w:r>
    </w:p>
    <w:p w14:paraId="4F5A6520" w14:textId="77777777" w:rsidR="00C776B7" w:rsidRPr="00FD0727" w:rsidRDefault="00C776B7">
      <w:pPr>
        <w:rPr>
          <w:rFonts w:asciiTheme="majorHAnsi" w:hAnsiTheme="majorHAnsi"/>
          <w:color w:val="000000" w:themeColor="text1"/>
          <w:sz w:val="22"/>
          <w:szCs w:val="22"/>
        </w:rPr>
      </w:pPr>
    </w:p>
    <w:p w14:paraId="59E6575D"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INTERVENTIONS:None</w:t>
      </w:r>
      <w:proofErr w:type="gramEnd"/>
      <w:r w:rsidRPr="00FD0727">
        <w:rPr>
          <w:rFonts w:asciiTheme="majorHAnsi" w:hAnsiTheme="majorHAnsi"/>
          <w:color w:val="000000" w:themeColor="text1"/>
          <w:sz w:val="22"/>
          <w:szCs w:val="22"/>
        </w:rPr>
        <w:t>.</w:t>
      </w:r>
    </w:p>
    <w:p w14:paraId="74B26359" w14:textId="77777777" w:rsidR="00C776B7" w:rsidRPr="00FD0727" w:rsidRDefault="00C776B7">
      <w:pPr>
        <w:rPr>
          <w:rFonts w:asciiTheme="majorHAnsi" w:hAnsiTheme="majorHAnsi"/>
          <w:color w:val="000000" w:themeColor="text1"/>
          <w:sz w:val="22"/>
          <w:szCs w:val="22"/>
        </w:rPr>
      </w:pPr>
    </w:p>
    <w:p w14:paraId="7A9A41FE"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MEASUREMENT AND MAIN </w:t>
      </w:r>
      <w:proofErr w:type="gramStart"/>
      <w:r w:rsidRPr="00FD0727">
        <w:rPr>
          <w:rFonts w:asciiTheme="majorHAnsi" w:hAnsiTheme="majorHAnsi"/>
          <w:color w:val="000000" w:themeColor="text1"/>
          <w:sz w:val="22"/>
          <w:szCs w:val="22"/>
        </w:rPr>
        <w:t>RESULTS:We</w:t>
      </w:r>
      <w:proofErr w:type="gramEnd"/>
      <w:r w:rsidRPr="00FD0727">
        <w:rPr>
          <w:rFonts w:asciiTheme="majorHAnsi" w:hAnsiTheme="majorHAnsi"/>
          <w:color w:val="000000" w:themeColor="text1"/>
          <w:sz w:val="22"/>
          <w:szCs w:val="22"/>
        </w:rPr>
        <w:t xml:space="preserve"> included 134 patients (median Sequential Organ Failure Assessment 10 [8-12]), with 38.8% hospital mortality and 32.1% ICU mortality rates. The main underlying malignancies were acute leukemia (n = 65, 48.5%), lymphoma (n = 49, 36.6%), solid tumor (n = 14, 10.4%), and myeloma (n = 4, 3.0%). Patients were neutropenic during a median of 14 days (9-22 d). Infection was documented in 81 patients (60.4%), including an isolated bacterial infection in 64 patients (47.8%), an isolated fungal infection in nine patients (6.7%), and a coinfection with both pathogens in eight patients (5.0%). Radiologically assessed enteritis (odds ratio, 2.60; 95% CI, 1.32-7.56; p = 0.015) and HIV infection (odds ratio, 2.03; 95% CI, 1.21-3.31; p = 0.016) were independently associated with invasive fungal disease.</w:t>
      </w:r>
    </w:p>
    <w:p w14:paraId="0AE2A670" w14:textId="77777777" w:rsidR="00C776B7" w:rsidRPr="00FD0727" w:rsidRDefault="00C776B7">
      <w:pPr>
        <w:rPr>
          <w:rFonts w:asciiTheme="majorHAnsi" w:hAnsiTheme="majorHAnsi"/>
          <w:color w:val="000000" w:themeColor="text1"/>
          <w:sz w:val="22"/>
          <w:szCs w:val="22"/>
        </w:rPr>
      </w:pPr>
    </w:p>
    <w:p w14:paraId="3417BF3A"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CONCLUSIONS:The</w:t>
      </w:r>
      <w:proofErr w:type="gramEnd"/>
      <w:r w:rsidRPr="00FD0727">
        <w:rPr>
          <w:rFonts w:asciiTheme="majorHAnsi" w:hAnsiTheme="majorHAnsi"/>
          <w:color w:val="000000" w:themeColor="text1"/>
          <w:sz w:val="22"/>
          <w:szCs w:val="22"/>
        </w:rPr>
        <w:t xml:space="preserve"> rate of invasive fungal disease reaches 20% in patients with neutropenic enterocolitis when enteritis is considered. To avoid treatment delay, antifungal therapy might be systematically discussed in ICU patients admitted for neutropenic enterocolitis with radiologically assessed enteritis.</w:t>
      </w:r>
    </w:p>
    <w:p w14:paraId="0E0FD1D1" w14:textId="77777777" w:rsidR="00C776B7" w:rsidRPr="00FD0727" w:rsidRDefault="00C776B7">
      <w:pPr>
        <w:rPr>
          <w:rFonts w:asciiTheme="majorHAnsi" w:hAnsiTheme="majorHAnsi"/>
          <w:color w:val="000000" w:themeColor="text1"/>
          <w:sz w:val="22"/>
          <w:szCs w:val="22"/>
        </w:rPr>
      </w:pPr>
    </w:p>
    <w:p w14:paraId="0FF0E5D1"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Critical Care Medicine, 2019 vol. 47 (5) pp. 668-676.</w:t>
      </w:r>
    </w:p>
    <w:p w14:paraId="27AD40D2" w14:textId="77777777" w:rsidR="00C776B7" w:rsidRDefault="00FD0727">
      <w:pPr>
        <w:rPr>
          <w:rStyle w:val="Hyperlink"/>
          <w:rFonts w:asciiTheme="majorHAnsi" w:hAnsiTheme="majorHAnsi"/>
          <w:color w:val="000000" w:themeColor="text1"/>
          <w:sz w:val="22"/>
          <w:szCs w:val="22"/>
        </w:rPr>
      </w:pPr>
      <w:hyperlink r:id="rId31" w:history="1">
        <w:r w:rsidRPr="00FD0727">
          <w:rPr>
            <w:rStyle w:val="Hyperlink"/>
            <w:rFonts w:asciiTheme="majorHAnsi" w:hAnsiTheme="majorHAnsi"/>
            <w:color w:val="000000" w:themeColor="text1"/>
            <w:sz w:val="22"/>
            <w:szCs w:val="22"/>
          </w:rPr>
          <w:t>http://eutils.ncbi.nlm.nih.gov/entrez/eutils/elink.fcgi?dbfrom=pubmed&amp;id=30741755&amp;retmode=ref&amp;cmd=prlinks</w:t>
        </w:r>
      </w:hyperlink>
    </w:p>
    <w:p w14:paraId="7A580449" w14:textId="77777777" w:rsidR="00041B84" w:rsidRPr="00FD0727" w:rsidRDefault="00041B84">
      <w:pPr>
        <w:rPr>
          <w:rFonts w:asciiTheme="majorHAnsi" w:hAnsiTheme="majorHAnsi"/>
          <w:color w:val="000000" w:themeColor="text1"/>
          <w:sz w:val="22"/>
          <w:szCs w:val="22"/>
        </w:rPr>
      </w:pPr>
    </w:p>
    <w:p w14:paraId="3C9C6D1D"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5812CD8C" w14:textId="77777777" w:rsidR="00C776B7" w:rsidRPr="00041B84" w:rsidRDefault="00FD0727">
      <w:pPr>
        <w:pStyle w:val="Heading4"/>
        <w:rPr>
          <w:rFonts w:asciiTheme="majorHAnsi" w:hAnsiTheme="majorHAnsi"/>
          <w:b/>
          <w:color w:val="000000" w:themeColor="text1"/>
          <w:sz w:val="22"/>
          <w:szCs w:val="22"/>
        </w:rPr>
      </w:pPr>
      <w:r w:rsidRPr="00041B84">
        <w:rPr>
          <w:rFonts w:asciiTheme="majorHAnsi" w:hAnsiTheme="majorHAnsi"/>
          <w:b/>
          <w:color w:val="000000" w:themeColor="text1"/>
          <w:sz w:val="22"/>
          <w:szCs w:val="22"/>
        </w:rPr>
        <w:t xml:space="preserve">Short-Term Adverse Outcomes Associated </w:t>
      </w:r>
      <w:proofErr w:type="gramStart"/>
      <w:r w:rsidRPr="00041B84">
        <w:rPr>
          <w:rFonts w:asciiTheme="majorHAnsi" w:hAnsiTheme="majorHAnsi"/>
          <w:b/>
          <w:color w:val="000000" w:themeColor="text1"/>
          <w:sz w:val="22"/>
          <w:szCs w:val="22"/>
        </w:rPr>
        <w:t>With</w:t>
      </w:r>
      <w:proofErr w:type="gramEnd"/>
      <w:r w:rsidRPr="00041B84">
        <w:rPr>
          <w:rFonts w:asciiTheme="majorHAnsi" w:hAnsiTheme="majorHAnsi"/>
          <w:b/>
          <w:color w:val="000000" w:themeColor="text1"/>
          <w:sz w:val="22"/>
          <w:szCs w:val="22"/>
        </w:rPr>
        <w:t xml:space="preserve"> Hypoglycemia in Critically Ill Children.</w:t>
      </w:r>
    </w:p>
    <w:p w14:paraId="64644FCB" w14:textId="77777777" w:rsidR="00C776B7" w:rsidRPr="00FD0727" w:rsidRDefault="00C776B7">
      <w:pPr>
        <w:rPr>
          <w:rFonts w:asciiTheme="majorHAnsi" w:hAnsiTheme="majorHAnsi"/>
          <w:color w:val="000000" w:themeColor="text1"/>
          <w:sz w:val="22"/>
          <w:szCs w:val="22"/>
        </w:rPr>
      </w:pPr>
    </w:p>
    <w:p w14:paraId="77561A13"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Edward Vincent S Faustino, Eliotte L Hirshberg, Lisa A Asaro, Katherine V Biagas, Neethi Pinto, Vijay Srinivasan, Dayanand N Bagdure, Garry M Steil, Kerry Coughlin-Wells, David Wypij, Vinay M Nadkarni, Michael S D Agus, Peter M Mourani, Ranjit Chima, Neal J Thomas, Simon Li, Alan Pinto, Christopher Newth, Amanda Hassinger, Kris Bysani, Kyle J Rehder, Sarah Kandil, Kupper Wintergerst, Adam Schwarz, Lauren Marsillio, Natalie Cvijanovich, Nga Pham, Michael Quasney, Heidi Flori, Myke Federman, Sholeen Nett, Shirley Viteri, James Schneider, Shivanand Medar, Anil Sapru, Patrick McQuillen, Christopher Babbitt, John C Lin, Philippe Jouvet, Ofer Yanay, Christine Allen, and Heart And Lung Failure-Pediatric INsulin Titration (HALF-PINT) Study Investigators.</w:t>
      </w:r>
    </w:p>
    <w:p w14:paraId="3D334A5B" w14:textId="77777777" w:rsidR="00C776B7" w:rsidRPr="00FD0727" w:rsidRDefault="00C776B7">
      <w:pPr>
        <w:rPr>
          <w:rFonts w:asciiTheme="majorHAnsi" w:hAnsiTheme="majorHAnsi"/>
          <w:color w:val="000000" w:themeColor="text1"/>
          <w:sz w:val="22"/>
          <w:szCs w:val="22"/>
        </w:rPr>
      </w:pPr>
    </w:p>
    <w:p w14:paraId="73B85DD9"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OBJECTIVES:Previous</w:t>
      </w:r>
      <w:proofErr w:type="gramEnd"/>
      <w:r w:rsidRPr="00FD0727">
        <w:rPr>
          <w:rFonts w:asciiTheme="majorHAnsi" w:hAnsiTheme="majorHAnsi"/>
          <w:color w:val="000000" w:themeColor="text1"/>
          <w:sz w:val="22"/>
          <w:szCs w:val="22"/>
        </w:rPr>
        <w:t xml:space="preserve"> studies report worse short-term outcomes with hypoglycemia in critically ill children. These studies relied on intermittent blood glucose measurements, which may have introduced detection bias. We analyzed data from the Heart </w:t>
      </w:r>
      <w:proofErr w:type="gramStart"/>
      <w:r w:rsidRPr="00FD0727">
        <w:rPr>
          <w:rFonts w:asciiTheme="majorHAnsi" w:hAnsiTheme="majorHAnsi"/>
          <w:color w:val="000000" w:themeColor="text1"/>
          <w:sz w:val="22"/>
          <w:szCs w:val="22"/>
        </w:rPr>
        <w:t>And</w:t>
      </w:r>
      <w:proofErr w:type="gramEnd"/>
      <w:r w:rsidRPr="00FD0727">
        <w:rPr>
          <w:rFonts w:asciiTheme="majorHAnsi" w:hAnsiTheme="majorHAnsi"/>
          <w:color w:val="000000" w:themeColor="text1"/>
          <w:sz w:val="22"/>
          <w:szCs w:val="22"/>
        </w:rPr>
        <w:t xml:space="preserve"> Lung Failure-Pediatric INsulin Titration trial to determine the association of hypoglycemia with adverse short-term outcomes in critically ill children.</w:t>
      </w:r>
    </w:p>
    <w:p w14:paraId="02F5310B" w14:textId="77777777" w:rsidR="00C776B7" w:rsidRPr="00FD0727" w:rsidRDefault="00C776B7">
      <w:pPr>
        <w:rPr>
          <w:rFonts w:asciiTheme="majorHAnsi" w:hAnsiTheme="majorHAnsi"/>
          <w:color w:val="000000" w:themeColor="text1"/>
          <w:sz w:val="22"/>
          <w:szCs w:val="22"/>
        </w:rPr>
      </w:pPr>
    </w:p>
    <w:p w14:paraId="136712FE"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DESIGN:Nested</w:t>
      </w:r>
      <w:proofErr w:type="gramEnd"/>
      <w:r w:rsidRPr="00FD0727">
        <w:rPr>
          <w:rFonts w:asciiTheme="majorHAnsi" w:hAnsiTheme="majorHAnsi"/>
          <w:color w:val="000000" w:themeColor="text1"/>
          <w:sz w:val="22"/>
          <w:szCs w:val="22"/>
        </w:rPr>
        <w:t xml:space="preserve"> case-control study.</w:t>
      </w:r>
    </w:p>
    <w:p w14:paraId="74506341" w14:textId="77777777" w:rsidR="00C776B7" w:rsidRPr="00FD0727" w:rsidRDefault="00C776B7">
      <w:pPr>
        <w:rPr>
          <w:rFonts w:asciiTheme="majorHAnsi" w:hAnsiTheme="majorHAnsi"/>
          <w:color w:val="000000" w:themeColor="text1"/>
          <w:sz w:val="22"/>
          <w:szCs w:val="22"/>
        </w:rPr>
      </w:pPr>
    </w:p>
    <w:p w14:paraId="4AFCA24F"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lastRenderedPageBreak/>
        <w:t>SETTING:Thirty</w:t>
      </w:r>
      <w:proofErr w:type="gramEnd"/>
      <w:r w:rsidRPr="00FD0727">
        <w:rPr>
          <w:rFonts w:asciiTheme="majorHAnsi" w:hAnsiTheme="majorHAnsi"/>
          <w:color w:val="000000" w:themeColor="text1"/>
          <w:sz w:val="22"/>
          <w:szCs w:val="22"/>
        </w:rPr>
        <w:t>-five PICUs. A computerized algorithm that guided the timing of blood glucose measurements and titration of insulin infusion, continuous glucose monitors, and standardized glucose infusion rates were used to minimize hypoglycemia.</w:t>
      </w:r>
    </w:p>
    <w:p w14:paraId="58EB878A" w14:textId="77777777" w:rsidR="00C776B7" w:rsidRPr="00FD0727" w:rsidRDefault="00C776B7">
      <w:pPr>
        <w:rPr>
          <w:rFonts w:asciiTheme="majorHAnsi" w:hAnsiTheme="majorHAnsi"/>
          <w:color w:val="000000" w:themeColor="text1"/>
          <w:sz w:val="22"/>
          <w:szCs w:val="22"/>
        </w:rPr>
      </w:pPr>
    </w:p>
    <w:p w14:paraId="5EBBA6FA"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PATIENTS:Nondiabetic</w:t>
      </w:r>
      <w:proofErr w:type="gramEnd"/>
      <w:r w:rsidRPr="00FD0727">
        <w:rPr>
          <w:rFonts w:asciiTheme="majorHAnsi" w:hAnsiTheme="majorHAnsi"/>
          <w:color w:val="000000" w:themeColor="text1"/>
          <w:sz w:val="22"/>
          <w:szCs w:val="22"/>
        </w:rPr>
        <w:t xml:space="preserve"> children with cardiovascular and</w:t>
      </w:r>
      <w:r w:rsidRPr="00FD0727">
        <w:rPr>
          <w:rFonts w:asciiTheme="majorHAnsi" w:hAnsiTheme="majorHAnsi"/>
          <w:i/>
          <w:color w:val="000000" w:themeColor="text1"/>
          <w:sz w:val="22"/>
          <w:szCs w:val="22"/>
        </w:rPr>
        <w:t>or respiratory failure and hyperglycemia. Cases were children with any hypoglycemia (blood glucose &lt; 60</w:t>
      </w:r>
      <w:r w:rsidRPr="00FD0727">
        <w:rPr>
          <w:rFonts w:asciiTheme="majorHAnsi" w:hAnsiTheme="majorHAnsi"/>
          <w:color w:val="000000" w:themeColor="text1"/>
          <w:sz w:val="22"/>
          <w:szCs w:val="22"/>
        </w:rPr>
        <w:t> </w:t>
      </w:r>
      <w:r w:rsidRPr="00FD0727">
        <w:rPr>
          <w:rFonts w:asciiTheme="majorHAnsi" w:hAnsiTheme="majorHAnsi"/>
          <w:i/>
          <w:color w:val="000000" w:themeColor="text1"/>
          <w:sz w:val="22"/>
          <w:szCs w:val="22"/>
        </w:rPr>
        <w:t>mg</w:t>
      </w:r>
      <w:r w:rsidRPr="00FD0727">
        <w:rPr>
          <w:rFonts w:asciiTheme="majorHAnsi" w:hAnsiTheme="majorHAnsi"/>
          <w:color w:val="000000" w:themeColor="text1"/>
          <w:sz w:val="22"/>
          <w:szCs w:val="22"/>
        </w:rPr>
        <w:t>dL), whereas controls were children without hypoglycemia. Each case was matched with up to four unique controls according to age group, study day, and severity of illness.</w:t>
      </w:r>
    </w:p>
    <w:p w14:paraId="6001A999" w14:textId="77777777" w:rsidR="00C776B7" w:rsidRPr="00FD0727" w:rsidRDefault="00C776B7">
      <w:pPr>
        <w:rPr>
          <w:rFonts w:asciiTheme="majorHAnsi" w:hAnsiTheme="majorHAnsi"/>
          <w:color w:val="000000" w:themeColor="text1"/>
          <w:sz w:val="22"/>
          <w:szCs w:val="22"/>
        </w:rPr>
      </w:pPr>
    </w:p>
    <w:p w14:paraId="3AD4382F"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INTERVENTIONS:None</w:t>
      </w:r>
      <w:proofErr w:type="gramEnd"/>
      <w:r w:rsidRPr="00FD0727">
        <w:rPr>
          <w:rFonts w:asciiTheme="majorHAnsi" w:hAnsiTheme="majorHAnsi"/>
          <w:color w:val="000000" w:themeColor="text1"/>
          <w:sz w:val="22"/>
          <w:szCs w:val="22"/>
        </w:rPr>
        <w:t>.</w:t>
      </w:r>
    </w:p>
    <w:p w14:paraId="7A7C4899" w14:textId="77777777" w:rsidR="00C776B7" w:rsidRPr="00FD0727" w:rsidRDefault="00C776B7">
      <w:pPr>
        <w:rPr>
          <w:rFonts w:asciiTheme="majorHAnsi" w:hAnsiTheme="majorHAnsi"/>
          <w:color w:val="000000" w:themeColor="text1"/>
          <w:sz w:val="22"/>
          <w:szCs w:val="22"/>
        </w:rPr>
      </w:pPr>
    </w:p>
    <w:p w14:paraId="0CFA1A82"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MEASUREMENTS AND MAIN </w:t>
      </w:r>
      <w:proofErr w:type="gramStart"/>
      <w:r w:rsidRPr="00FD0727">
        <w:rPr>
          <w:rFonts w:asciiTheme="majorHAnsi" w:hAnsiTheme="majorHAnsi"/>
          <w:color w:val="000000" w:themeColor="text1"/>
          <w:sz w:val="22"/>
          <w:szCs w:val="22"/>
        </w:rPr>
        <w:t>RESULTS:A</w:t>
      </w:r>
      <w:proofErr w:type="gramEnd"/>
      <w:r w:rsidRPr="00FD0727">
        <w:rPr>
          <w:rFonts w:asciiTheme="majorHAnsi" w:hAnsiTheme="majorHAnsi"/>
          <w:color w:val="000000" w:themeColor="text1"/>
          <w:sz w:val="22"/>
          <w:szCs w:val="22"/>
        </w:rPr>
        <w:t xml:space="preserve"> total of 112 (16.0%) of 698 children who received the Heart And Lung Failure-Pediatric INsulin Titration protocol developed hypoglycemia, including 25 (3.6%) who developed severe hypoglycemia (blood glucose &lt; 40 mg/dL). Of these, 110 cases were matched to 427 controls. Hypoglycemia was associated with fewer ICU-free days (median, 15.3 vs 20.2 d; p = 0.04) and fewer hospital-free days (0 vs 7 d; p = 0.01) through day 28. Ventilator-free days through day 28 and mortality at 28 and 90 days did not differ between groups. More children with insulin-induced versus noninsulin-induced hypoglycemia had zero ICU-free days (35.8% vs 20.9%; p = 0.008). Outcomes did not differ between children with severe versus nonsevere hypoglycemia or those with recurrent versus isolated hypoglycemia.</w:t>
      </w:r>
    </w:p>
    <w:p w14:paraId="71D7A9B1" w14:textId="77777777" w:rsidR="00C776B7" w:rsidRPr="00FD0727" w:rsidRDefault="00C776B7">
      <w:pPr>
        <w:rPr>
          <w:rFonts w:asciiTheme="majorHAnsi" w:hAnsiTheme="majorHAnsi"/>
          <w:color w:val="000000" w:themeColor="text1"/>
          <w:sz w:val="22"/>
          <w:szCs w:val="22"/>
        </w:rPr>
      </w:pPr>
    </w:p>
    <w:p w14:paraId="7995DB8A"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CONCLUSIONS:When</w:t>
      </w:r>
      <w:proofErr w:type="gramEnd"/>
      <w:r w:rsidRPr="00FD0727">
        <w:rPr>
          <w:rFonts w:asciiTheme="majorHAnsi" w:hAnsiTheme="majorHAnsi"/>
          <w:color w:val="000000" w:themeColor="text1"/>
          <w:sz w:val="22"/>
          <w:szCs w:val="22"/>
        </w:rPr>
        <w:t xml:space="preserve"> a computerized algorithm, continuous glucose monitors and standardized glucose infusion rates were used to manage hyperglycemia in critically ill children with cardiovascular and/ or respiratory failure, severe hypoglycemia (blood glucose &lt; 40 mg/ dL) was uncommon, but any hypoglycemia (blood glucose &lt; 60 mg/ dL) remained common and was associated with worse short-term outcomes.</w:t>
      </w:r>
    </w:p>
    <w:p w14:paraId="0514413C" w14:textId="77777777" w:rsidR="00C776B7" w:rsidRPr="00FD0727" w:rsidRDefault="00C776B7">
      <w:pPr>
        <w:rPr>
          <w:rFonts w:asciiTheme="majorHAnsi" w:hAnsiTheme="majorHAnsi"/>
          <w:color w:val="000000" w:themeColor="text1"/>
          <w:sz w:val="22"/>
          <w:szCs w:val="22"/>
        </w:rPr>
      </w:pPr>
    </w:p>
    <w:p w14:paraId="75175743"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Critical Care Medicine, 2019 vol. 47 (5) pp. 706-714.</w:t>
      </w:r>
    </w:p>
    <w:p w14:paraId="1B7B9596" w14:textId="77777777" w:rsidR="00C776B7" w:rsidRDefault="00FD0727">
      <w:pPr>
        <w:rPr>
          <w:rStyle w:val="Hyperlink"/>
          <w:rFonts w:asciiTheme="majorHAnsi" w:hAnsiTheme="majorHAnsi"/>
          <w:color w:val="000000" w:themeColor="text1"/>
          <w:sz w:val="22"/>
          <w:szCs w:val="22"/>
        </w:rPr>
      </w:pPr>
      <w:hyperlink r:id="rId32" w:history="1">
        <w:r w:rsidRPr="00FD0727">
          <w:rPr>
            <w:rStyle w:val="Hyperlink"/>
            <w:rFonts w:asciiTheme="majorHAnsi" w:hAnsiTheme="majorHAnsi"/>
            <w:color w:val="000000" w:themeColor="text1"/>
            <w:sz w:val="22"/>
            <w:szCs w:val="22"/>
          </w:rPr>
          <w:t>http://eutils.ncbi.nlm.nih.gov/entrez/eutils/elink.fcgi?dbfrom=pubmed&amp;id=30789401&amp;retmode=ref&amp;cmd=prlinks</w:t>
        </w:r>
      </w:hyperlink>
    </w:p>
    <w:p w14:paraId="1DA969E5" w14:textId="77777777" w:rsidR="00041B84" w:rsidRPr="00FD0727" w:rsidRDefault="00041B84">
      <w:pPr>
        <w:rPr>
          <w:rFonts w:asciiTheme="majorHAnsi" w:hAnsiTheme="majorHAnsi"/>
          <w:color w:val="000000" w:themeColor="text1"/>
          <w:sz w:val="22"/>
          <w:szCs w:val="22"/>
        </w:rPr>
      </w:pPr>
    </w:p>
    <w:p w14:paraId="6FDCDED1" w14:textId="58079E03"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075CF6B5" w14:textId="77777777" w:rsidR="00C776B7" w:rsidRPr="00041B84" w:rsidRDefault="00FD0727">
      <w:pPr>
        <w:pStyle w:val="Heading4"/>
        <w:rPr>
          <w:rFonts w:asciiTheme="majorHAnsi" w:hAnsiTheme="majorHAnsi"/>
          <w:b/>
          <w:color w:val="000000" w:themeColor="text1"/>
          <w:sz w:val="22"/>
          <w:szCs w:val="22"/>
        </w:rPr>
      </w:pPr>
      <w:r w:rsidRPr="00041B84">
        <w:rPr>
          <w:rFonts w:asciiTheme="majorHAnsi" w:hAnsiTheme="majorHAnsi"/>
          <w:b/>
          <w:color w:val="000000" w:themeColor="text1"/>
          <w:sz w:val="22"/>
          <w:szCs w:val="22"/>
        </w:rPr>
        <w:t xml:space="preserve">The Effect of Mechanical Ventilation on Peripheral Perfusion Index and Its Association </w:t>
      </w:r>
      <w:proofErr w:type="gramStart"/>
      <w:r w:rsidRPr="00041B84">
        <w:rPr>
          <w:rFonts w:asciiTheme="majorHAnsi" w:hAnsiTheme="majorHAnsi"/>
          <w:b/>
          <w:color w:val="000000" w:themeColor="text1"/>
          <w:sz w:val="22"/>
          <w:szCs w:val="22"/>
        </w:rPr>
        <w:t>With</w:t>
      </w:r>
      <w:proofErr w:type="gramEnd"/>
      <w:r w:rsidRPr="00041B84">
        <w:rPr>
          <w:rFonts w:asciiTheme="majorHAnsi" w:hAnsiTheme="majorHAnsi"/>
          <w:b/>
          <w:color w:val="000000" w:themeColor="text1"/>
          <w:sz w:val="22"/>
          <w:szCs w:val="22"/>
        </w:rPr>
        <w:t xml:space="preserve"> the Prognosis of Critically Ill Patients.</w:t>
      </w:r>
    </w:p>
    <w:p w14:paraId="14713E1F" w14:textId="77777777" w:rsidR="00C776B7" w:rsidRPr="00FD0727" w:rsidRDefault="00C776B7">
      <w:pPr>
        <w:rPr>
          <w:rFonts w:asciiTheme="majorHAnsi" w:hAnsiTheme="majorHAnsi"/>
          <w:color w:val="000000" w:themeColor="text1"/>
          <w:sz w:val="22"/>
          <w:szCs w:val="22"/>
        </w:rPr>
      </w:pPr>
    </w:p>
    <w:p w14:paraId="5768DFDC"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Longxiang Su, Ruiming Zhang, Qing Zhang, Qun Xu, Xiang Zhou, Na Cui, Hao Wang, Xiaoting Wang, Wenzhao Chai, Xi Rui, Dawei Liu, and Yun Long.</w:t>
      </w:r>
    </w:p>
    <w:p w14:paraId="6D60E864" w14:textId="77777777" w:rsidR="00C776B7" w:rsidRPr="00FD0727" w:rsidRDefault="00C776B7">
      <w:pPr>
        <w:rPr>
          <w:rFonts w:asciiTheme="majorHAnsi" w:hAnsiTheme="majorHAnsi"/>
          <w:color w:val="000000" w:themeColor="text1"/>
          <w:sz w:val="22"/>
          <w:szCs w:val="22"/>
        </w:rPr>
      </w:pPr>
    </w:p>
    <w:p w14:paraId="39C02CA1"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OBJECTIVES:This</w:t>
      </w:r>
      <w:proofErr w:type="gramEnd"/>
      <w:r w:rsidRPr="00FD0727">
        <w:rPr>
          <w:rFonts w:asciiTheme="majorHAnsi" w:hAnsiTheme="majorHAnsi"/>
          <w:color w:val="000000" w:themeColor="text1"/>
          <w:sz w:val="22"/>
          <w:szCs w:val="22"/>
        </w:rPr>
        <w:t xml:space="preserve"> study aimed to explore the relationship between the variables of mechanical ventilation and circulatory perfusion and its association with ICU mortality during the first day of mechanical ventilation.</w:t>
      </w:r>
    </w:p>
    <w:p w14:paraId="1C7CF056" w14:textId="77777777" w:rsidR="00C776B7" w:rsidRPr="00FD0727" w:rsidRDefault="00C776B7">
      <w:pPr>
        <w:rPr>
          <w:rFonts w:asciiTheme="majorHAnsi" w:hAnsiTheme="majorHAnsi"/>
          <w:color w:val="000000" w:themeColor="text1"/>
          <w:sz w:val="22"/>
          <w:szCs w:val="22"/>
        </w:rPr>
      </w:pPr>
    </w:p>
    <w:p w14:paraId="001CD08A"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DESIGN:Retrospective</w:t>
      </w:r>
      <w:proofErr w:type="gramEnd"/>
      <w:r w:rsidRPr="00FD0727">
        <w:rPr>
          <w:rFonts w:asciiTheme="majorHAnsi" w:hAnsiTheme="majorHAnsi"/>
          <w:color w:val="000000" w:themeColor="text1"/>
          <w:sz w:val="22"/>
          <w:szCs w:val="22"/>
        </w:rPr>
        <w:t xml:space="preserve"> cohort study.</w:t>
      </w:r>
    </w:p>
    <w:p w14:paraId="6C78E192" w14:textId="77777777" w:rsidR="00C776B7" w:rsidRPr="00FD0727" w:rsidRDefault="00C776B7">
      <w:pPr>
        <w:rPr>
          <w:rFonts w:asciiTheme="majorHAnsi" w:hAnsiTheme="majorHAnsi"/>
          <w:color w:val="000000" w:themeColor="text1"/>
          <w:sz w:val="22"/>
          <w:szCs w:val="22"/>
        </w:rPr>
      </w:pPr>
    </w:p>
    <w:p w14:paraId="74729B05"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SETTING:The</w:t>
      </w:r>
      <w:proofErr w:type="gramEnd"/>
      <w:r w:rsidRPr="00FD0727">
        <w:rPr>
          <w:rFonts w:asciiTheme="majorHAnsi" w:hAnsiTheme="majorHAnsi"/>
          <w:color w:val="000000" w:themeColor="text1"/>
          <w:sz w:val="22"/>
          <w:szCs w:val="22"/>
        </w:rPr>
        <w:t xml:space="preserve"> Department of Critical Care Medicine, Peking Union Medical College Hospital.</w:t>
      </w:r>
    </w:p>
    <w:p w14:paraId="6BB1F624" w14:textId="77777777" w:rsidR="00C776B7" w:rsidRPr="00FD0727" w:rsidRDefault="00C776B7">
      <w:pPr>
        <w:rPr>
          <w:rFonts w:asciiTheme="majorHAnsi" w:hAnsiTheme="majorHAnsi"/>
          <w:color w:val="000000" w:themeColor="text1"/>
          <w:sz w:val="22"/>
          <w:szCs w:val="22"/>
        </w:rPr>
      </w:pPr>
    </w:p>
    <w:p w14:paraId="253CAF80"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PATIENTS:Patients</w:t>
      </w:r>
      <w:proofErr w:type="gramEnd"/>
      <w:r w:rsidRPr="00FD0727">
        <w:rPr>
          <w:rFonts w:asciiTheme="majorHAnsi" w:hAnsiTheme="majorHAnsi"/>
          <w:color w:val="000000" w:themeColor="text1"/>
          <w:sz w:val="22"/>
          <w:szCs w:val="22"/>
        </w:rPr>
        <w:t xml:space="preserve"> who have undergone mechanical ventilation.</w:t>
      </w:r>
    </w:p>
    <w:p w14:paraId="2425950C" w14:textId="77777777" w:rsidR="00C776B7" w:rsidRPr="00FD0727" w:rsidRDefault="00C776B7">
      <w:pPr>
        <w:rPr>
          <w:rFonts w:asciiTheme="majorHAnsi" w:hAnsiTheme="majorHAnsi"/>
          <w:color w:val="000000" w:themeColor="text1"/>
          <w:sz w:val="22"/>
          <w:szCs w:val="22"/>
        </w:rPr>
      </w:pPr>
    </w:p>
    <w:p w14:paraId="50D3B524"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lastRenderedPageBreak/>
        <w:t>INTERVENTIONS:None</w:t>
      </w:r>
      <w:proofErr w:type="gramEnd"/>
      <w:r w:rsidRPr="00FD0727">
        <w:rPr>
          <w:rFonts w:asciiTheme="majorHAnsi" w:hAnsiTheme="majorHAnsi"/>
          <w:color w:val="000000" w:themeColor="text1"/>
          <w:sz w:val="22"/>
          <w:szCs w:val="22"/>
        </w:rPr>
        <w:t>.</w:t>
      </w:r>
    </w:p>
    <w:p w14:paraId="64D9005D" w14:textId="77777777" w:rsidR="00C776B7" w:rsidRPr="00FD0727" w:rsidRDefault="00C776B7">
      <w:pPr>
        <w:rPr>
          <w:rFonts w:asciiTheme="majorHAnsi" w:hAnsiTheme="majorHAnsi"/>
          <w:color w:val="000000" w:themeColor="text1"/>
          <w:sz w:val="22"/>
          <w:szCs w:val="22"/>
        </w:rPr>
      </w:pPr>
    </w:p>
    <w:p w14:paraId="73EFEB44"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MEASUREMENTS AND MAIN </w:t>
      </w:r>
      <w:proofErr w:type="gramStart"/>
      <w:r w:rsidRPr="00FD0727">
        <w:rPr>
          <w:rFonts w:asciiTheme="majorHAnsi" w:hAnsiTheme="majorHAnsi"/>
          <w:color w:val="000000" w:themeColor="text1"/>
          <w:sz w:val="22"/>
          <w:szCs w:val="22"/>
        </w:rPr>
        <w:t>RESULTS:This</w:t>
      </w:r>
      <w:proofErr w:type="gramEnd"/>
      <w:r w:rsidRPr="00FD0727">
        <w:rPr>
          <w:rFonts w:asciiTheme="majorHAnsi" w:hAnsiTheme="majorHAnsi"/>
          <w:color w:val="000000" w:themeColor="text1"/>
          <w:sz w:val="22"/>
          <w:szCs w:val="22"/>
        </w:rPr>
        <w:t xml:space="preserve"> study used the main clinical data obtained from the real-time bedside messaging systems of mechanically ventilated patients during their first day in the ICU from May 2013 to May 2016, including data on the variables of mechanical ventilation and circulatory perfusion. An analysis was then performed on the association of the above data with the patient's in-ICU mortality. There were 5,103 patients who received mechanical ventilation during this period, and of these, 309 patients died during their ICU treatment. Peak airway pressure, mean airway pressure, respiratory rate, heart rate, mean arterial pressure, FIO2, blood oxygen saturation, PO2, peripheral perfusion index, and lactate level were correlated with patient outcomes. A Cox logistic regression analysis suggested that mean airway pressure and perfusion index were the most independent risk and protective factors, respectively, for patient ICU mortality. The areas under the curve for a poor prognosis for mean airway pressure and perfusion index were 0.799 (95% CI, 0.77-0.829) and 0.759 (95% CI, 0.729-0.789), respectively. Further, mean airway pressure and perfusion index exhibited a causal interaction. The relative excess risk due to interaction was 2.061 (-0.691 to 4.814), the attributable proportion due to interaction was 0.210 (-0.027 to 0.447), and the synergy index was 1.306 (0.930-1.833).</w:t>
      </w:r>
    </w:p>
    <w:p w14:paraId="562176BA" w14:textId="77777777" w:rsidR="00C776B7" w:rsidRPr="00FD0727" w:rsidRDefault="00C776B7">
      <w:pPr>
        <w:rPr>
          <w:rFonts w:asciiTheme="majorHAnsi" w:hAnsiTheme="majorHAnsi"/>
          <w:color w:val="000000" w:themeColor="text1"/>
          <w:sz w:val="22"/>
          <w:szCs w:val="22"/>
        </w:rPr>
      </w:pPr>
    </w:p>
    <w:p w14:paraId="5CD4B47B"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CONCLUSIONS:A</w:t>
      </w:r>
      <w:proofErr w:type="gramEnd"/>
      <w:r w:rsidRPr="00FD0727">
        <w:rPr>
          <w:rFonts w:asciiTheme="majorHAnsi" w:hAnsiTheme="majorHAnsi"/>
          <w:color w:val="000000" w:themeColor="text1"/>
          <w:sz w:val="22"/>
          <w:szCs w:val="22"/>
        </w:rPr>
        <w:t xml:space="preserve"> higher mean airway pressure and lower perfusion index provided a worse prognosis in mechanically ventilated patients, and it appears that these two variables have a casual interaction.</w:t>
      </w:r>
    </w:p>
    <w:p w14:paraId="671CB6A3" w14:textId="77777777" w:rsidR="00C776B7" w:rsidRPr="00FD0727" w:rsidRDefault="00C776B7">
      <w:pPr>
        <w:rPr>
          <w:rFonts w:asciiTheme="majorHAnsi" w:hAnsiTheme="majorHAnsi"/>
          <w:color w:val="000000" w:themeColor="text1"/>
          <w:sz w:val="22"/>
          <w:szCs w:val="22"/>
        </w:rPr>
      </w:pPr>
    </w:p>
    <w:p w14:paraId="539770E4"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Critical Care Medicine, 2019 vol. 47 (5) pp. 685-690.</w:t>
      </w:r>
    </w:p>
    <w:p w14:paraId="73D2C752" w14:textId="77777777" w:rsidR="00C776B7" w:rsidRDefault="00FD0727">
      <w:pPr>
        <w:rPr>
          <w:rStyle w:val="Hyperlink"/>
          <w:rFonts w:asciiTheme="majorHAnsi" w:hAnsiTheme="majorHAnsi"/>
          <w:color w:val="000000" w:themeColor="text1"/>
          <w:sz w:val="22"/>
          <w:szCs w:val="22"/>
        </w:rPr>
      </w:pPr>
      <w:hyperlink r:id="rId33" w:history="1">
        <w:r w:rsidRPr="00FD0727">
          <w:rPr>
            <w:rStyle w:val="Hyperlink"/>
            <w:rFonts w:asciiTheme="majorHAnsi" w:hAnsiTheme="majorHAnsi"/>
            <w:color w:val="000000" w:themeColor="text1"/>
            <w:sz w:val="22"/>
            <w:szCs w:val="22"/>
          </w:rPr>
          <w:t>http://eutils.ncbi.nlm.nih.gov/entrez/eutils/elink.fcgi?dbfrom=pubmed&amp;id=30730443&amp;retmode=ref&amp;cmd=prlinks</w:t>
        </w:r>
      </w:hyperlink>
    </w:p>
    <w:p w14:paraId="0727CF0F" w14:textId="7F8A9B1A" w:rsidR="00041B84" w:rsidRPr="00FD0727" w:rsidRDefault="00041B84">
      <w:pPr>
        <w:rPr>
          <w:rFonts w:asciiTheme="majorHAnsi" w:hAnsiTheme="majorHAnsi"/>
          <w:color w:val="000000" w:themeColor="text1"/>
          <w:sz w:val="22"/>
          <w:szCs w:val="22"/>
        </w:rPr>
      </w:pPr>
    </w:p>
    <w:p w14:paraId="13560676"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664289BF" w14:textId="77777777" w:rsidR="00C776B7" w:rsidRPr="00041B84" w:rsidRDefault="00FD0727">
      <w:pPr>
        <w:pStyle w:val="Heading4"/>
        <w:rPr>
          <w:rFonts w:asciiTheme="majorHAnsi" w:hAnsiTheme="majorHAnsi"/>
          <w:b/>
          <w:color w:val="000000" w:themeColor="text1"/>
          <w:sz w:val="22"/>
          <w:szCs w:val="22"/>
        </w:rPr>
      </w:pPr>
      <w:r w:rsidRPr="00041B84">
        <w:rPr>
          <w:rFonts w:asciiTheme="majorHAnsi" w:hAnsiTheme="majorHAnsi"/>
          <w:b/>
          <w:color w:val="000000" w:themeColor="text1"/>
          <w:sz w:val="22"/>
          <w:szCs w:val="22"/>
        </w:rPr>
        <w:t xml:space="preserve">High-Flow Oxygen Therapy After Noninvasive Ventilation Interruption in Patients Recovering </w:t>
      </w:r>
      <w:proofErr w:type="gramStart"/>
      <w:r w:rsidRPr="00041B84">
        <w:rPr>
          <w:rFonts w:asciiTheme="majorHAnsi" w:hAnsiTheme="majorHAnsi"/>
          <w:b/>
          <w:color w:val="000000" w:themeColor="text1"/>
          <w:sz w:val="22"/>
          <w:szCs w:val="22"/>
        </w:rPr>
        <w:t>From</w:t>
      </w:r>
      <w:proofErr w:type="gramEnd"/>
      <w:r w:rsidRPr="00041B84">
        <w:rPr>
          <w:rFonts w:asciiTheme="majorHAnsi" w:hAnsiTheme="majorHAnsi"/>
          <w:b/>
          <w:color w:val="000000" w:themeColor="text1"/>
          <w:sz w:val="22"/>
          <w:szCs w:val="22"/>
        </w:rPr>
        <w:t xml:space="preserve"> Hypercapnic Acute Respiratory Failure: A Physiological Crossover Trial.</w:t>
      </w:r>
    </w:p>
    <w:p w14:paraId="21AB5D06" w14:textId="77777777" w:rsidR="00C776B7" w:rsidRPr="00FD0727" w:rsidRDefault="00C776B7">
      <w:pPr>
        <w:rPr>
          <w:rFonts w:asciiTheme="majorHAnsi" w:hAnsiTheme="majorHAnsi"/>
          <w:color w:val="000000" w:themeColor="text1"/>
          <w:sz w:val="22"/>
          <w:szCs w:val="22"/>
        </w:rPr>
      </w:pPr>
    </w:p>
    <w:p w14:paraId="461C7397"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Federico Longhini, Lara Pisani, Ramona Lungu, Vittoria Comellini, Andrea Bruni, Eugenio Garofalo, Maria Laura Vega, Gianmaria Cammarota, Stefano Nava, and Paolo Navalesi.</w:t>
      </w:r>
    </w:p>
    <w:p w14:paraId="4C8B3B7A" w14:textId="77777777" w:rsidR="00C776B7" w:rsidRPr="00FD0727" w:rsidRDefault="00C776B7">
      <w:pPr>
        <w:rPr>
          <w:rFonts w:asciiTheme="majorHAnsi" w:hAnsiTheme="majorHAnsi"/>
          <w:color w:val="000000" w:themeColor="text1"/>
          <w:sz w:val="22"/>
          <w:szCs w:val="22"/>
        </w:rPr>
      </w:pPr>
    </w:p>
    <w:p w14:paraId="14758613"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OBJECTIVES:Assessing</w:t>
      </w:r>
      <w:proofErr w:type="gramEnd"/>
      <w:r w:rsidRPr="00FD0727">
        <w:rPr>
          <w:rFonts w:asciiTheme="majorHAnsi" w:hAnsiTheme="majorHAnsi"/>
          <w:color w:val="000000" w:themeColor="text1"/>
          <w:sz w:val="22"/>
          <w:szCs w:val="22"/>
        </w:rPr>
        <w:t xml:space="preserve"> gas exchange, diaphragm function, respiratory rate, and patient comfort during high-flow oxygen therapy and standard oxygen at the time of noninvasive ventilation discontinuation.</w:t>
      </w:r>
    </w:p>
    <w:p w14:paraId="7BA536B4" w14:textId="77777777" w:rsidR="00C776B7" w:rsidRPr="00FD0727" w:rsidRDefault="00C776B7">
      <w:pPr>
        <w:rPr>
          <w:rFonts w:asciiTheme="majorHAnsi" w:hAnsiTheme="majorHAnsi"/>
          <w:color w:val="000000" w:themeColor="text1"/>
          <w:sz w:val="22"/>
          <w:szCs w:val="22"/>
        </w:rPr>
      </w:pPr>
    </w:p>
    <w:p w14:paraId="0C309340"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DESIGN:Randomized</w:t>
      </w:r>
      <w:proofErr w:type="gramEnd"/>
      <w:r w:rsidRPr="00FD0727">
        <w:rPr>
          <w:rFonts w:asciiTheme="majorHAnsi" w:hAnsiTheme="majorHAnsi"/>
          <w:color w:val="000000" w:themeColor="text1"/>
          <w:sz w:val="22"/>
          <w:szCs w:val="22"/>
        </w:rPr>
        <w:t xml:space="preserve"> crossover physiologic study.</w:t>
      </w:r>
    </w:p>
    <w:p w14:paraId="3E8DBB78" w14:textId="77777777" w:rsidR="00C776B7" w:rsidRPr="00FD0727" w:rsidRDefault="00C776B7">
      <w:pPr>
        <w:rPr>
          <w:rFonts w:asciiTheme="majorHAnsi" w:hAnsiTheme="majorHAnsi"/>
          <w:color w:val="000000" w:themeColor="text1"/>
          <w:sz w:val="22"/>
          <w:szCs w:val="22"/>
        </w:rPr>
      </w:pPr>
    </w:p>
    <w:p w14:paraId="5E5DAD6E"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SETTING:Two</w:t>
      </w:r>
      <w:proofErr w:type="gramEnd"/>
      <w:r w:rsidRPr="00FD0727">
        <w:rPr>
          <w:rFonts w:asciiTheme="majorHAnsi" w:hAnsiTheme="majorHAnsi"/>
          <w:color w:val="000000" w:themeColor="text1"/>
          <w:sz w:val="22"/>
          <w:szCs w:val="22"/>
        </w:rPr>
        <w:t xml:space="preserve"> ICUs.</w:t>
      </w:r>
    </w:p>
    <w:p w14:paraId="4AD32FB3" w14:textId="77777777" w:rsidR="00C776B7" w:rsidRPr="00FD0727" w:rsidRDefault="00C776B7">
      <w:pPr>
        <w:rPr>
          <w:rFonts w:asciiTheme="majorHAnsi" w:hAnsiTheme="majorHAnsi"/>
          <w:color w:val="000000" w:themeColor="text1"/>
          <w:sz w:val="22"/>
          <w:szCs w:val="22"/>
        </w:rPr>
      </w:pPr>
    </w:p>
    <w:p w14:paraId="22D9BE98"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PATIENTS:Thirty</w:t>
      </w:r>
      <w:proofErr w:type="gramEnd"/>
      <w:r w:rsidRPr="00FD0727">
        <w:rPr>
          <w:rFonts w:asciiTheme="majorHAnsi" w:hAnsiTheme="majorHAnsi"/>
          <w:color w:val="000000" w:themeColor="text1"/>
          <w:sz w:val="22"/>
          <w:szCs w:val="22"/>
        </w:rPr>
        <w:t xml:space="preserve"> chronic obstructive pulmonary disease patients with hypercapnic acute respiratory failure receiving noninvasive ventilation greater than 24 hours.</w:t>
      </w:r>
    </w:p>
    <w:p w14:paraId="16719B86" w14:textId="77777777" w:rsidR="00C776B7" w:rsidRPr="00FD0727" w:rsidRDefault="00C776B7">
      <w:pPr>
        <w:rPr>
          <w:rFonts w:asciiTheme="majorHAnsi" w:hAnsiTheme="majorHAnsi"/>
          <w:color w:val="000000" w:themeColor="text1"/>
          <w:sz w:val="22"/>
          <w:szCs w:val="22"/>
        </w:rPr>
      </w:pPr>
    </w:p>
    <w:p w14:paraId="1F68100A"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INTERVENTIONS:All</w:t>
      </w:r>
      <w:proofErr w:type="gramEnd"/>
      <w:r w:rsidRPr="00FD0727">
        <w:rPr>
          <w:rFonts w:asciiTheme="majorHAnsi" w:hAnsiTheme="majorHAnsi"/>
          <w:color w:val="000000" w:themeColor="text1"/>
          <w:sz w:val="22"/>
          <w:szCs w:val="22"/>
        </w:rPr>
        <w:t xml:space="preserve"> patients underwent five 30-minute trials, the first, third, and fifth trial in noninvasive ventilation, whereas the second and fourth were randomly conducted with either standard oxygen and high-flow oxygen therapy.</w:t>
      </w:r>
    </w:p>
    <w:p w14:paraId="763C177C" w14:textId="77777777" w:rsidR="00C776B7" w:rsidRPr="00FD0727" w:rsidRDefault="00C776B7">
      <w:pPr>
        <w:rPr>
          <w:rFonts w:asciiTheme="majorHAnsi" w:hAnsiTheme="majorHAnsi"/>
          <w:color w:val="000000" w:themeColor="text1"/>
          <w:sz w:val="22"/>
          <w:szCs w:val="22"/>
        </w:rPr>
      </w:pPr>
    </w:p>
    <w:p w14:paraId="7A5DF7AA"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MEASUREMENTS AND MAIN </w:t>
      </w:r>
      <w:proofErr w:type="gramStart"/>
      <w:r w:rsidRPr="00FD0727">
        <w:rPr>
          <w:rFonts w:asciiTheme="majorHAnsi" w:hAnsiTheme="majorHAnsi"/>
          <w:color w:val="000000" w:themeColor="text1"/>
          <w:sz w:val="22"/>
          <w:szCs w:val="22"/>
        </w:rPr>
        <w:t>RESULTS:Diaphragm</w:t>
      </w:r>
      <w:proofErr w:type="gramEnd"/>
      <w:r w:rsidRPr="00FD0727">
        <w:rPr>
          <w:rFonts w:asciiTheme="majorHAnsi" w:hAnsiTheme="majorHAnsi"/>
          <w:color w:val="000000" w:themeColor="text1"/>
          <w:sz w:val="22"/>
          <w:szCs w:val="22"/>
        </w:rPr>
        <w:t xml:space="preserve"> displacement and thickening fraction were determined by sonographic evaluation at the end of each trial. Arterial blood gases, respiratory rate, and patient comfort were also assessed. PaCO2 (p = 0.153) and pH (p = 0.114) were not different among </w:t>
      </w:r>
      <w:r w:rsidRPr="00FD0727">
        <w:rPr>
          <w:rFonts w:asciiTheme="majorHAnsi" w:hAnsiTheme="majorHAnsi"/>
          <w:color w:val="000000" w:themeColor="text1"/>
          <w:sz w:val="22"/>
          <w:szCs w:val="22"/>
        </w:rPr>
        <w:lastRenderedPageBreak/>
        <w:t>trials, while PaO2 was greater in noninvasive ventilation than with both standard oxygen (p ≤ 0.005) and high-flow oxygen therapy (p ≤ 0.001). The diaphragm displacement was no different among trials (p = 0.875), while its thickening fraction was greater with standard oxygen, compared with high-flow oxygen therapy and all noninvasive ventilation trials (p &lt; 0.001 for all comparisons), without differences between high-flow oxygen therapy and noninvasive ventilation. Respiratory rate also increased with standard oxygen, compared with both high-flow oxygen therapy (p &lt; 0.001) and noninvasive ventilation (p &lt; 0.01). High-flow oxygen therapy improved comfort, compared with standard oxygen (p = 0.004) and noninvasive ventilation (p &lt; 0.001).</w:t>
      </w:r>
    </w:p>
    <w:p w14:paraId="01F32C46" w14:textId="77777777" w:rsidR="00C776B7" w:rsidRPr="00FD0727" w:rsidRDefault="00C776B7">
      <w:pPr>
        <w:rPr>
          <w:rFonts w:asciiTheme="majorHAnsi" w:hAnsiTheme="majorHAnsi"/>
          <w:color w:val="000000" w:themeColor="text1"/>
          <w:sz w:val="22"/>
          <w:szCs w:val="22"/>
        </w:rPr>
      </w:pPr>
    </w:p>
    <w:p w14:paraId="68F6221D"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CONCLUSIONS:At</w:t>
      </w:r>
      <w:proofErr w:type="gramEnd"/>
      <w:r w:rsidRPr="00FD0727">
        <w:rPr>
          <w:rFonts w:asciiTheme="majorHAnsi" w:hAnsiTheme="majorHAnsi"/>
          <w:color w:val="000000" w:themeColor="text1"/>
          <w:sz w:val="22"/>
          <w:szCs w:val="22"/>
        </w:rPr>
        <w:t xml:space="preserve"> the time of noninvasive ventilation interruption, PaCO2 and diaphragm displacement remained unchanged regardless of the modality of oxygen administration. However, although standard oxygen resulted in a remarkable increase in diaphragm thickening fraction, high-flow oxygen therapy allowed maintaining it unchanged, while improving patient comfort.</w:t>
      </w:r>
    </w:p>
    <w:p w14:paraId="4587A494" w14:textId="77777777" w:rsidR="00C776B7" w:rsidRPr="00FD0727" w:rsidRDefault="00C776B7">
      <w:pPr>
        <w:rPr>
          <w:rFonts w:asciiTheme="majorHAnsi" w:hAnsiTheme="majorHAnsi"/>
          <w:color w:val="000000" w:themeColor="text1"/>
          <w:sz w:val="22"/>
          <w:szCs w:val="22"/>
        </w:rPr>
      </w:pPr>
    </w:p>
    <w:p w14:paraId="7FC19DC6"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Critical Care Medicine, 2019 vol. 47 (6) pp. e506-e511.</w:t>
      </w:r>
    </w:p>
    <w:p w14:paraId="41CEB73B" w14:textId="77777777" w:rsidR="00C776B7" w:rsidRDefault="00FD0727">
      <w:pPr>
        <w:rPr>
          <w:rStyle w:val="Hyperlink"/>
          <w:rFonts w:asciiTheme="majorHAnsi" w:hAnsiTheme="majorHAnsi"/>
          <w:color w:val="000000" w:themeColor="text1"/>
          <w:sz w:val="22"/>
          <w:szCs w:val="22"/>
        </w:rPr>
      </w:pPr>
      <w:hyperlink r:id="rId34" w:history="1">
        <w:r w:rsidRPr="00FD0727">
          <w:rPr>
            <w:rStyle w:val="Hyperlink"/>
            <w:rFonts w:asciiTheme="majorHAnsi" w:hAnsiTheme="majorHAnsi"/>
            <w:color w:val="000000" w:themeColor="text1"/>
            <w:sz w:val="22"/>
            <w:szCs w:val="22"/>
          </w:rPr>
          <w:t>http://eutils.ncbi.nlm.nih.gov/entrez/eutils/elink.fcgi?dbfrom=pubmed&amp;id=30882477&amp;retmode=ref&amp;cmd=prlinks</w:t>
        </w:r>
      </w:hyperlink>
    </w:p>
    <w:p w14:paraId="036D2EBB" w14:textId="77777777" w:rsidR="00041B84" w:rsidRPr="00FD0727" w:rsidRDefault="00041B84">
      <w:pPr>
        <w:rPr>
          <w:rFonts w:asciiTheme="majorHAnsi" w:hAnsiTheme="majorHAnsi"/>
          <w:color w:val="000000" w:themeColor="text1"/>
          <w:sz w:val="22"/>
          <w:szCs w:val="22"/>
        </w:rPr>
      </w:pPr>
    </w:p>
    <w:p w14:paraId="3258277A"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7AEF5360" w14:textId="77777777" w:rsidR="00C776B7" w:rsidRPr="00041B84" w:rsidRDefault="00FD0727">
      <w:pPr>
        <w:pStyle w:val="Heading4"/>
        <w:rPr>
          <w:rFonts w:asciiTheme="majorHAnsi" w:hAnsiTheme="majorHAnsi"/>
          <w:b/>
          <w:color w:val="000000" w:themeColor="text1"/>
          <w:sz w:val="22"/>
          <w:szCs w:val="22"/>
        </w:rPr>
      </w:pPr>
      <w:r w:rsidRPr="00041B84">
        <w:rPr>
          <w:rFonts w:asciiTheme="majorHAnsi" w:hAnsiTheme="majorHAnsi"/>
          <w:b/>
          <w:color w:val="000000" w:themeColor="text1"/>
          <w:sz w:val="22"/>
          <w:szCs w:val="22"/>
        </w:rPr>
        <w:t xml:space="preserve">Nebulized Amikacin and Fosfomycin for Severe Pseudomonas </w:t>
      </w:r>
      <w:proofErr w:type="gramStart"/>
      <w:r w:rsidRPr="00041B84">
        <w:rPr>
          <w:rFonts w:asciiTheme="majorHAnsi" w:hAnsiTheme="majorHAnsi"/>
          <w:b/>
          <w:color w:val="000000" w:themeColor="text1"/>
          <w:sz w:val="22"/>
          <w:szCs w:val="22"/>
        </w:rPr>
        <w:t>aeruginosa</w:t>
      </w:r>
      <w:proofErr w:type="gramEnd"/>
      <w:r w:rsidRPr="00041B84">
        <w:rPr>
          <w:rFonts w:asciiTheme="majorHAnsi" w:hAnsiTheme="majorHAnsi"/>
          <w:b/>
          <w:color w:val="000000" w:themeColor="text1"/>
          <w:sz w:val="22"/>
          <w:szCs w:val="22"/>
        </w:rPr>
        <w:t xml:space="preserve"> Pneumonia: An Experimental Study.</w:t>
      </w:r>
    </w:p>
    <w:p w14:paraId="4A5E84D5" w14:textId="77777777" w:rsidR="00C776B7" w:rsidRPr="00FD0727" w:rsidRDefault="00C776B7">
      <w:pPr>
        <w:rPr>
          <w:rFonts w:asciiTheme="majorHAnsi" w:hAnsiTheme="majorHAnsi"/>
          <w:color w:val="000000" w:themeColor="text1"/>
          <w:sz w:val="22"/>
          <w:szCs w:val="22"/>
        </w:rPr>
      </w:pPr>
    </w:p>
    <w:p w14:paraId="271ABC11"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Gianluigi Li Bassi, Ana Motos, Laia Fernandez-Barat, Eli Aguilera Xiol, Chiara Chiurazzi, Tarek Senussi, Maria A Saco, Carla Fuster, Marco Carbonara, Joaquim Bobi, Rosanel Amaro, Francesca De Rosa, Talitha Comaru, Hua Yang, Otavio T Ranzani, Joan-Daniel Marti, Mariano Rinaudo, Oscar Comino Trinidad, Montserrat Rigol, Josep Bringué, Jose Ramirez, David P Nicolau, Paolo Pelosi, Massimo Antonelli, Francesco Blasi, Antonio Artigas, A Bruce Montgomery, and Antoni Torres.</w:t>
      </w:r>
    </w:p>
    <w:p w14:paraId="47ADA61A" w14:textId="77777777" w:rsidR="00C776B7" w:rsidRPr="00FD0727" w:rsidRDefault="00C776B7">
      <w:pPr>
        <w:rPr>
          <w:rFonts w:asciiTheme="majorHAnsi" w:hAnsiTheme="majorHAnsi"/>
          <w:color w:val="000000" w:themeColor="text1"/>
          <w:sz w:val="22"/>
          <w:szCs w:val="22"/>
        </w:rPr>
      </w:pPr>
    </w:p>
    <w:p w14:paraId="6BCA09AF"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OBJECTIVES:Latest</w:t>
      </w:r>
      <w:proofErr w:type="gramEnd"/>
      <w:r w:rsidRPr="00FD0727">
        <w:rPr>
          <w:rFonts w:asciiTheme="majorHAnsi" w:hAnsiTheme="majorHAnsi"/>
          <w:color w:val="000000" w:themeColor="text1"/>
          <w:sz w:val="22"/>
          <w:szCs w:val="22"/>
        </w:rPr>
        <w:t xml:space="preserve"> trials failed to confirm merits of nebulized amikacin for critically ill patients with nosocomial pneumonia. We studied various nebulized and IV antibiotic regimens in a porcine model of severe Pseudomonas aeruginosa pneumonia, resistant to amikacin, fosfomycin, and susceptible to meropenem.</w:t>
      </w:r>
    </w:p>
    <w:p w14:paraId="40E28166" w14:textId="77777777" w:rsidR="00C776B7" w:rsidRPr="00FD0727" w:rsidRDefault="00C776B7">
      <w:pPr>
        <w:rPr>
          <w:rFonts w:asciiTheme="majorHAnsi" w:hAnsiTheme="majorHAnsi"/>
          <w:color w:val="000000" w:themeColor="text1"/>
          <w:sz w:val="22"/>
          <w:szCs w:val="22"/>
        </w:rPr>
      </w:pPr>
    </w:p>
    <w:p w14:paraId="4C8B0596"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DESIGN:Prospective</w:t>
      </w:r>
      <w:proofErr w:type="gramEnd"/>
      <w:r w:rsidRPr="00FD0727">
        <w:rPr>
          <w:rFonts w:asciiTheme="majorHAnsi" w:hAnsiTheme="majorHAnsi"/>
          <w:color w:val="000000" w:themeColor="text1"/>
          <w:sz w:val="22"/>
          <w:szCs w:val="22"/>
        </w:rPr>
        <w:t xml:space="preserve"> randomized animal study.</w:t>
      </w:r>
    </w:p>
    <w:p w14:paraId="0C623C0A" w14:textId="77777777" w:rsidR="00C776B7" w:rsidRPr="00FD0727" w:rsidRDefault="00C776B7">
      <w:pPr>
        <w:rPr>
          <w:rFonts w:asciiTheme="majorHAnsi" w:hAnsiTheme="majorHAnsi"/>
          <w:color w:val="000000" w:themeColor="text1"/>
          <w:sz w:val="22"/>
          <w:szCs w:val="22"/>
        </w:rPr>
      </w:pPr>
    </w:p>
    <w:p w14:paraId="2FA5F85E"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SETTING:Animal</w:t>
      </w:r>
      <w:proofErr w:type="gramEnd"/>
      <w:r w:rsidRPr="00FD0727">
        <w:rPr>
          <w:rFonts w:asciiTheme="majorHAnsi" w:hAnsiTheme="majorHAnsi"/>
          <w:color w:val="000000" w:themeColor="text1"/>
          <w:sz w:val="22"/>
          <w:szCs w:val="22"/>
        </w:rPr>
        <w:t xml:space="preserve"> Research, University of Barcelona, Spain.</w:t>
      </w:r>
    </w:p>
    <w:p w14:paraId="0D35F27D" w14:textId="77777777" w:rsidR="00C776B7" w:rsidRPr="00FD0727" w:rsidRDefault="00C776B7">
      <w:pPr>
        <w:rPr>
          <w:rFonts w:asciiTheme="majorHAnsi" w:hAnsiTheme="majorHAnsi"/>
          <w:color w:val="000000" w:themeColor="text1"/>
          <w:sz w:val="22"/>
          <w:szCs w:val="22"/>
        </w:rPr>
      </w:pPr>
    </w:p>
    <w:p w14:paraId="69A44BB2"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SUBJECTS:Thirty</w:t>
      </w:r>
      <w:proofErr w:type="gramEnd"/>
      <w:r w:rsidRPr="00FD0727">
        <w:rPr>
          <w:rFonts w:asciiTheme="majorHAnsi" w:hAnsiTheme="majorHAnsi"/>
          <w:color w:val="000000" w:themeColor="text1"/>
          <w:sz w:val="22"/>
          <w:szCs w:val="22"/>
        </w:rPr>
        <w:t xml:space="preserve"> female pigs.</w:t>
      </w:r>
    </w:p>
    <w:p w14:paraId="5EF8E4E5" w14:textId="77777777" w:rsidR="00C776B7" w:rsidRPr="00FD0727" w:rsidRDefault="00C776B7">
      <w:pPr>
        <w:rPr>
          <w:rFonts w:asciiTheme="majorHAnsi" w:hAnsiTheme="majorHAnsi"/>
          <w:color w:val="000000" w:themeColor="text1"/>
          <w:sz w:val="22"/>
          <w:szCs w:val="22"/>
        </w:rPr>
      </w:pPr>
    </w:p>
    <w:p w14:paraId="0D72215A"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INTERVENTIONS:The</w:t>
      </w:r>
      <w:proofErr w:type="gramEnd"/>
      <w:r w:rsidRPr="00FD0727">
        <w:rPr>
          <w:rFonts w:asciiTheme="majorHAnsi" w:hAnsiTheme="majorHAnsi"/>
          <w:color w:val="000000" w:themeColor="text1"/>
          <w:sz w:val="22"/>
          <w:szCs w:val="22"/>
        </w:rPr>
        <w:t xml:space="preserve"> animals were randomized to receive nebulized saline solution (CONTROL); nebulized amikacin every 6 hours; nebulized fosfomycin every 6 hours; IV meropenem alone every 8 hours; nebulized amikacin and fosfomycin every 6 hours; amikacin and fosfomycin every 6 hours, with IV meropenem every 8 hours. Nebulization was performed through a vibrating mesh nebulizer. The primary outcome was lung tissue bacterial concentration. Secondary outcomes were tracheal secretions P. aeruginosa concentration, clinical variables, lung histology, and development of meropenem resistance.</w:t>
      </w:r>
    </w:p>
    <w:p w14:paraId="6E762C58" w14:textId="77777777" w:rsidR="00C776B7" w:rsidRPr="00FD0727" w:rsidRDefault="00C776B7">
      <w:pPr>
        <w:rPr>
          <w:rFonts w:asciiTheme="majorHAnsi" w:hAnsiTheme="majorHAnsi"/>
          <w:color w:val="000000" w:themeColor="text1"/>
          <w:sz w:val="22"/>
          <w:szCs w:val="22"/>
        </w:rPr>
      </w:pPr>
    </w:p>
    <w:p w14:paraId="46902414"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lastRenderedPageBreak/>
        <w:t xml:space="preserve">MEASUREMENTS AND MAIN </w:t>
      </w:r>
      <w:proofErr w:type="gramStart"/>
      <w:r w:rsidRPr="00FD0727">
        <w:rPr>
          <w:rFonts w:asciiTheme="majorHAnsi" w:hAnsiTheme="majorHAnsi"/>
          <w:color w:val="000000" w:themeColor="text1"/>
          <w:sz w:val="22"/>
          <w:szCs w:val="22"/>
        </w:rPr>
        <w:t>RESULTS:We</w:t>
      </w:r>
      <w:proofErr w:type="gramEnd"/>
      <w:r w:rsidRPr="00FD0727">
        <w:rPr>
          <w:rFonts w:asciiTheme="majorHAnsi" w:hAnsiTheme="majorHAnsi"/>
          <w:color w:val="000000" w:themeColor="text1"/>
          <w:sz w:val="22"/>
          <w:szCs w:val="22"/>
        </w:rPr>
        <w:t xml:space="preserve"> included five animals into each group. Lung P. aeruginosa burden varied among groups (p &lt; 0.001). </w:t>
      </w:r>
      <w:proofErr w:type="gramStart"/>
      <w:r w:rsidRPr="00FD0727">
        <w:rPr>
          <w:rFonts w:asciiTheme="majorHAnsi" w:hAnsiTheme="majorHAnsi"/>
          <w:color w:val="000000" w:themeColor="text1"/>
          <w:sz w:val="22"/>
          <w:szCs w:val="22"/>
        </w:rPr>
        <w:t>In particular, IV</w:t>
      </w:r>
      <w:proofErr w:type="gramEnd"/>
      <w:r w:rsidRPr="00FD0727">
        <w:rPr>
          <w:rFonts w:asciiTheme="majorHAnsi" w:hAnsiTheme="majorHAnsi"/>
          <w:color w:val="000000" w:themeColor="text1"/>
          <w:sz w:val="22"/>
          <w:szCs w:val="22"/>
        </w:rPr>
        <w:t xml:space="preserve"> meropenem and amikacin and fosfomycin + IV meropenem groups presented lower P. aeruginosa concentrations versus amikacin and fosfomycin, amikacin, CONTROL, and fosfomycin groups (p &lt; 0.05), without significant difference between these two groups undergoing IV meropenem treatment. The sole use of nebulized antibiotics resulted in dense P. aeruginosa accumulation at the edges of the interlobular septa. Amikacin, amikacin and fosfomycin, and amikacin and fosfomycin + IV meropenem effectively reduced P. aeruginosa in tracheal secretions (p &lt; 0.001). Pathognomonic clinical variables of respiratory infection did not differ among groups. Resistance to meropenem increased in IV meropenem group versus amikacin and fosfomycin + meropenem (p = 0.004).</w:t>
      </w:r>
    </w:p>
    <w:p w14:paraId="22C4F3B3" w14:textId="77777777" w:rsidR="00C776B7" w:rsidRPr="00FD0727" w:rsidRDefault="00C776B7">
      <w:pPr>
        <w:rPr>
          <w:rFonts w:asciiTheme="majorHAnsi" w:hAnsiTheme="majorHAnsi"/>
          <w:color w:val="000000" w:themeColor="text1"/>
          <w:sz w:val="22"/>
          <w:szCs w:val="22"/>
        </w:rPr>
      </w:pPr>
    </w:p>
    <w:p w14:paraId="78C5EB19"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CONCLUSIONS:Our</w:t>
      </w:r>
      <w:proofErr w:type="gramEnd"/>
      <w:r w:rsidRPr="00FD0727">
        <w:rPr>
          <w:rFonts w:asciiTheme="majorHAnsi" w:hAnsiTheme="majorHAnsi"/>
          <w:color w:val="000000" w:themeColor="text1"/>
          <w:sz w:val="22"/>
          <w:szCs w:val="22"/>
        </w:rPr>
        <w:t xml:space="preserve"> findings corroborate that amikacin and fosfomycin alone efficiently reduced P. aeruginosa in tracheal secretions, with negligible effects in pulmonary tissue. Combination of amikacin and fosfomycin with IV meropenem does not increase antipseudomonal pulmonary tissue activity, but it does reduce development of meropenem-resistant P. aeruginosa, in comparison with the sole use of IV meropenem. Our findings imply potential merits for preemptive use of nebulized antibiotics </w:t>
      </w:r>
      <w:proofErr w:type="gramStart"/>
      <w:r w:rsidRPr="00FD0727">
        <w:rPr>
          <w:rFonts w:asciiTheme="majorHAnsi" w:hAnsiTheme="majorHAnsi"/>
          <w:color w:val="000000" w:themeColor="text1"/>
          <w:sz w:val="22"/>
          <w:szCs w:val="22"/>
        </w:rPr>
        <w:t>in order to</w:t>
      </w:r>
      <w:proofErr w:type="gramEnd"/>
      <w:r w:rsidRPr="00FD0727">
        <w:rPr>
          <w:rFonts w:asciiTheme="majorHAnsi" w:hAnsiTheme="majorHAnsi"/>
          <w:color w:val="000000" w:themeColor="text1"/>
          <w:sz w:val="22"/>
          <w:szCs w:val="22"/>
        </w:rPr>
        <w:t xml:space="preserve"> reduce resistance to IV meropenem.</w:t>
      </w:r>
    </w:p>
    <w:p w14:paraId="5BD90C73" w14:textId="77777777" w:rsidR="00C776B7" w:rsidRPr="00FD0727" w:rsidRDefault="00C776B7">
      <w:pPr>
        <w:rPr>
          <w:rFonts w:asciiTheme="majorHAnsi" w:hAnsiTheme="majorHAnsi"/>
          <w:color w:val="000000" w:themeColor="text1"/>
          <w:sz w:val="22"/>
          <w:szCs w:val="22"/>
        </w:rPr>
      </w:pPr>
    </w:p>
    <w:p w14:paraId="30BF870C"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Critical Care Medicine, 2019 vol. 47 (6) pp. e470-e477.</w:t>
      </w:r>
    </w:p>
    <w:p w14:paraId="3EACA715" w14:textId="77777777" w:rsidR="00C776B7" w:rsidRDefault="00FD0727">
      <w:pPr>
        <w:rPr>
          <w:rStyle w:val="Hyperlink"/>
          <w:rFonts w:asciiTheme="majorHAnsi" w:hAnsiTheme="majorHAnsi"/>
          <w:color w:val="000000" w:themeColor="text1"/>
          <w:sz w:val="22"/>
          <w:szCs w:val="22"/>
        </w:rPr>
      </w:pPr>
      <w:hyperlink r:id="rId35" w:history="1">
        <w:r w:rsidRPr="00FD0727">
          <w:rPr>
            <w:rStyle w:val="Hyperlink"/>
            <w:rFonts w:asciiTheme="majorHAnsi" w:hAnsiTheme="majorHAnsi"/>
            <w:color w:val="000000" w:themeColor="text1"/>
            <w:sz w:val="22"/>
            <w:szCs w:val="22"/>
          </w:rPr>
          <w:t>http://eutils.ncbi.nlm.nih.gov/entrez/eutils/elink.fcgi?dbfrom=pubmed&amp;id=30882478&amp;retmode=ref&amp;cmd=prlinks</w:t>
        </w:r>
      </w:hyperlink>
    </w:p>
    <w:p w14:paraId="0EA68032" w14:textId="77777777" w:rsidR="00041B84" w:rsidRPr="00FD0727" w:rsidRDefault="00041B84">
      <w:pPr>
        <w:rPr>
          <w:rFonts w:asciiTheme="majorHAnsi" w:hAnsiTheme="majorHAnsi"/>
          <w:color w:val="000000" w:themeColor="text1"/>
          <w:sz w:val="22"/>
          <w:szCs w:val="22"/>
        </w:rPr>
      </w:pPr>
    </w:p>
    <w:p w14:paraId="0092B4AA"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17297DAE" w14:textId="77777777" w:rsidR="00C776B7" w:rsidRPr="00FD0727" w:rsidRDefault="00FD0727">
      <w:pPr>
        <w:pStyle w:val="Heading4"/>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Quality of Life and 1-Year Survival in Patients </w:t>
      </w:r>
      <w:proofErr w:type="gramStart"/>
      <w:r w:rsidRPr="00FD0727">
        <w:rPr>
          <w:rFonts w:asciiTheme="majorHAnsi" w:hAnsiTheme="majorHAnsi"/>
          <w:color w:val="000000" w:themeColor="text1"/>
          <w:sz w:val="22"/>
          <w:szCs w:val="22"/>
        </w:rPr>
        <w:t>With</w:t>
      </w:r>
      <w:proofErr w:type="gramEnd"/>
      <w:r w:rsidRPr="00FD0727">
        <w:rPr>
          <w:rFonts w:asciiTheme="majorHAnsi" w:hAnsiTheme="majorHAnsi"/>
          <w:color w:val="000000" w:themeColor="text1"/>
          <w:sz w:val="22"/>
          <w:szCs w:val="22"/>
        </w:rPr>
        <w:t xml:space="preserve"> Early Septic Shock: Long-Term Follow-Up of the Australasian Resuscitation in Sepsis Evaluation Trial.</w:t>
      </w:r>
    </w:p>
    <w:p w14:paraId="2DC73E3A" w14:textId="77777777" w:rsidR="00C776B7" w:rsidRPr="00FD0727" w:rsidRDefault="00C776B7">
      <w:pPr>
        <w:rPr>
          <w:rFonts w:asciiTheme="majorHAnsi" w:hAnsiTheme="majorHAnsi"/>
          <w:color w:val="000000" w:themeColor="text1"/>
          <w:sz w:val="22"/>
          <w:szCs w:val="22"/>
        </w:rPr>
      </w:pPr>
    </w:p>
    <w:p w14:paraId="4FAAF705"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Alisa M Higgins, Sandra L Peake, Rinaldo Bellomo, D Jamie Cooper, Anthony Delaney, Anthony H Harris, Belinda D Howe, Alistair D Nichol, Steve A Webb, Patricia J Williams, and Australasian Resuscitation in Sepsis Evaluation (ARISE) Investigators and the ANZICS Clinical Trials Group.</w:t>
      </w:r>
    </w:p>
    <w:p w14:paraId="6CD368FF" w14:textId="77777777" w:rsidR="00C776B7" w:rsidRPr="00FD0727" w:rsidRDefault="00C776B7">
      <w:pPr>
        <w:rPr>
          <w:rFonts w:asciiTheme="majorHAnsi" w:hAnsiTheme="majorHAnsi"/>
          <w:color w:val="000000" w:themeColor="text1"/>
          <w:sz w:val="22"/>
          <w:szCs w:val="22"/>
        </w:rPr>
      </w:pPr>
    </w:p>
    <w:p w14:paraId="056FEFA2"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OBJECTIVES:To</w:t>
      </w:r>
      <w:proofErr w:type="gramEnd"/>
      <w:r w:rsidRPr="00FD0727">
        <w:rPr>
          <w:rFonts w:asciiTheme="majorHAnsi" w:hAnsiTheme="majorHAnsi"/>
          <w:color w:val="000000" w:themeColor="text1"/>
          <w:sz w:val="22"/>
          <w:szCs w:val="22"/>
        </w:rPr>
        <w:t xml:space="preserve"> examine long-term survival and quality of life of patients with early septic shock.</w:t>
      </w:r>
    </w:p>
    <w:p w14:paraId="3248CA08" w14:textId="77777777" w:rsidR="00C776B7" w:rsidRPr="00FD0727" w:rsidRDefault="00C776B7">
      <w:pPr>
        <w:rPr>
          <w:rFonts w:asciiTheme="majorHAnsi" w:hAnsiTheme="majorHAnsi"/>
          <w:color w:val="000000" w:themeColor="text1"/>
          <w:sz w:val="22"/>
          <w:szCs w:val="22"/>
        </w:rPr>
      </w:pPr>
    </w:p>
    <w:p w14:paraId="2D7B66E1"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DESIGN:Prospective</w:t>
      </w:r>
      <w:proofErr w:type="gramEnd"/>
      <w:r w:rsidRPr="00FD0727">
        <w:rPr>
          <w:rFonts w:asciiTheme="majorHAnsi" w:hAnsiTheme="majorHAnsi"/>
          <w:color w:val="000000" w:themeColor="text1"/>
          <w:sz w:val="22"/>
          <w:szCs w:val="22"/>
        </w:rPr>
        <w:t>, randomized, parallel-group trial.</w:t>
      </w:r>
    </w:p>
    <w:p w14:paraId="722694A3" w14:textId="77777777" w:rsidR="00C776B7" w:rsidRPr="00FD0727" w:rsidRDefault="00C776B7">
      <w:pPr>
        <w:rPr>
          <w:rFonts w:asciiTheme="majorHAnsi" w:hAnsiTheme="majorHAnsi"/>
          <w:color w:val="000000" w:themeColor="text1"/>
          <w:sz w:val="22"/>
          <w:szCs w:val="22"/>
        </w:rPr>
      </w:pPr>
    </w:p>
    <w:p w14:paraId="4D211552"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SETTING:Fifty</w:t>
      </w:r>
      <w:proofErr w:type="gramEnd"/>
      <w:r w:rsidRPr="00FD0727">
        <w:rPr>
          <w:rFonts w:asciiTheme="majorHAnsi" w:hAnsiTheme="majorHAnsi"/>
          <w:color w:val="000000" w:themeColor="text1"/>
          <w:sz w:val="22"/>
          <w:szCs w:val="22"/>
        </w:rPr>
        <w:t>-one hospitals in Australia, New Zealand, Finland, Hong Kong, and the Republic of Ireland.</w:t>
      </w:r>
    </w:p>
    <w:p w14:paraId="093BB80B" w14:textId="77777777" w:rsidR="00C776B7" w:rsidRPr="00FD0727" w:rsidRDefault="00C776B7">
      <w:pPr>
        <w:rPr>
          <w:rFonts w:asciiTheme="majorHAnsi" w:hAnsiTheme="majorHAnsi"/>
          <w:color w:val="000000" w:themeColor="text1"/>
          <w:sz w:val="22"/>
          <w:szCs w:val="22"/>
        </w:rPr>
      </w:pPr>
    </w:p>
    <w:p w14:paraId="53103BE3"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PATIENTS:One</w:t>
      </w:r>
      <w:proofErr w:type="gramEnd"/>
      <w:r w:rsidRPr="00FD0727">
        <w:rPr>
          <w:rFonts w:asciiTheme="majorHAnsi" w:hAnsiTheme="majorHAnsi"/>
          <w:color w:val="000000" w:themeColor="text1"/>
          <w:sz w:val="22"/>
          <w:szCs w:val="22"/>
        </w:rPr>
        <w:t>-thousand five-hundred ninety-one patients who presented to the emergency department with early septic shock between October 2008 and April 2014, and were enrolled in the Australasian Resuscitation in Sepsis Evaluation trial.</w:t>
      </w:r>
    </w:p>
    <w:p w14:paraId="30D64EA7" w14:textId="77777777" w:rsidR="00C776B7" w:rsidRPr="00FD0727" w:rsidRDefault="00C776B7">
      <w:pPr>
        <w:rPr>
          <w:rFonts w:asciiTheme="majorHAnsi" w:hAnsiTheme="majorHAnsi"/>
          <w:color w:val="000000" w:themeColor="text1"/>
          <w:sz w:val="22"/>
          <w:szCs w:val="22"/>
        </w:rPr>
      </w:pPr>
    </w:p>
    <w:p w14:paraId="289438AF"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INTERVENTIONS:Early</w:t>
      </w:r>
      <w:proofErr w:type="gramEnd"/>
      <w:r w:rsidRPr="00FD0727">
        <w:rPr>
          <w:rFonts w:asciiTheme="majorHAnsi" w:hAnsiTheme="majorHAnsi"/>
          <w:color w:val="000000" w:themeColor="text1"/>
          <w:sz w:val="22"/>
          <w:szCs w:val="22"/>
        </w:rPr>
        <w:t xml:space="preserve"> goal-directed therapy versus usual care.</w:t>
      </w:r>
    </w:p>
    <w:p w14:paraId="594F4726" w14:textId="77777777" w:rsidR="00C776B7" w:rsidRPr="00FD0727" w:rsidRDefault="00C776B7">
      <w:pPr>
        <w:rPr>
          <w:rFonts w:asciiTheme="majorHAnsi" w:hAnsiTheme="majorHAnsi"/>
          <w:color w:val="000000" w:themeColor="text1"/>
          <w:sz w:val="22"/>
          <w:szCs w:val="22"/>
        </w:rPr>
      </w:pPr>
    </w:p>
    <w:p w14:paraId="516951C6"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MEASUREMENTS AND MAIN </w:t>
      </w:r>
      <w:proofErr w:type="gramStart"/>
      <w:r w:rsidRPr="00FD0727">
        <w:rPr>
          <w:rFonts w:asciiTheme="majorHAnsi" w:hAnsiTheme="majorHAnsi"/>
          <w:color w:val="000000" w:themeColor="text1"/>
          <w:sz w:val="22"/>
          <w:szCs w:val="22"/>
        </w:rPr>
        <w:t>RESULTS:Long</w:t>
      </w:r>
      <w:proofErr w:type="gramEnd"/>
      <w:r w:rsidRPr="00FD0727">
        <w:rPr>
          <w:rFonts w:asciiTheme="majorHAnsi" w:hAnsiTheme="majorHAnsi"/>
          <w:color w:val="000000" w:themeColor="text1"/>
          <w:sz w:val="22"/>
          <w:szCs w:val="22"/>
        </w:rPr>
        <w:t xml:space="preserve">-term survival was measured up to 12 months postrandomization. Health-related quality of life was measured using the EuroQoL-5D-3L, Short Form 36 and Assessment of Quality of Life 4D at baseline, and at 6 and 12 months following randomization. Mortality data were available for 1,548 patients (97.3%) and 1,515 patients (95.2%) at 6 and 12 months, respectively. Health-related quality of life data were available for 85.1% of survivors at 12 months. There were no significant differences in mortality between groups at either 6 </w:t>
      </w:r>
      <w:proofErr w:type="gramStart"/>
      <w:r w:rsidRPr="00FD0727">
        <w:rPr>
          <w:rFonts w:asciiTheme="majorHAnsi" w:hAnsiTheme="majorHAnsi"/>
          <w:color w:val="000000" w:themeColor="text1"/>
          <w:sz w:val="22"/>
          <w:szCs w:val="22"/>
        </w:rPr>
        <w:t>months</w:t>
      </w:r>
      <w:proofErr w:type="gramEnd"/>
      <w:r w:rsidRPr="00FD0727">
        <w:rPr>
          <w:rFonts w:asciiTheme="majorHAnsi" w:hAnsiTheme="majorHAnsi"/>
          <w:color w:val="000000" w:themeColor="text1"/>
          <w:sz w:val="22"/>
          <w:szCs w:val="22"/>
        </w:rPr>
        <w:t xml:space="preserve"> (early goal-directed </w:t>
      </w:r>
      <w:r w:rsidRPr="00FD0727">
        <w:rPr>
          <w:rFonts w:asciiTheme="majorHAnsi" w:hAnsiTheme="majorHAnsi"/>
          <w:color w:val="000000" w:themeColor="text1"/>
          <w:sz w:val="22"/>
          <w:szCs w:val="22"/>
        </w:rPr>
        <w:lastRenderedPageBreak/>
        <w:t xml:space="preserve">therapy 21.8% vs usual care 22.6%; p = 0.70) or 12 months (early goal-directed therapy 26.4% vs usual care 27.9%; p = 0.50). There were no group differences in health-related quality of life at either 6 or 12 </w:t>
      </w:r>
      <w:proofErr w:type="gramStart"/>
      <w:r w:rsidRPr="00FD0727">
        <w:rPr>
          <w:rFonts w:asciiTheme="majorHAnsi" w:hAnsiTheme="majorHAnsi"/>
          <w:color w:val="000000" w:themeColor="text1"/>
          <w:sz w:val="22"/>
          <w:szCs w:val="22"/>
        </w:rPr>
        <w:t>months</w:t>
      </w:r>
      <w:proofErr w:type="gramEnd"/>
      <w:r w:rsidRPr="00FD0727">
        <w:rPr>
          <w:rFonts w:asciiTheme="majorHAnsi" w:hAnsiTheme="majorHAnsi"/>
          <w:color w:val="000000" w:themeColor="text1"/>
          <w:sz w:val="22"/>
          <w:szCs w:val="22"/>
        </w:rPr>
        <w:t xml:space="preserve"> (EuroQoL-5D-3L utility scores at 12 mo early goal-directed therapy 0.65 ± 0.33 vs usual care 0.64 ± 0.34; p = 0.50), with the health-related quality of life of both groups being significantly lower than population norms.</w:t>
      </w:r>
    </w:p>
    <w:p w14:paraId="5072F205" w14:textId="77777777" w:rsidR="00C776B7" w:rsidRPr="00FD0727" w:rsidRDefault="00C776B7">
      <w:pPr>
        <w:rPr>
          <w:rFonts w:asciiTheme="majorHAnsi" w:hAnsiTheme="majorHAnsi"/>
          <w:color w:val="000000" w:themeColor="text1"/>
          <w:sz w:val="22"/>
          <w:szCs w:val="22"/>
        </w:rPr>
      </w:pPr>
    </w:p>
    <w:p w14:paraId="64BB8288"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CONCLUSIONS:In</w:t>
      </w:r>
      <w:proofErr w:type="gramEnd"/>
      <w:r w:rsidRPr="00FD0727">
        <w:rPr>
          <w:rFonts w:asciiTheme="majorHAnsi" w:hAnsiTheme="majorHAnsi"/>
          <w:color w:val="000000" w:themeColor="text1"/>
          <w:sz w:val="22"/>
          <w:szCs w:val="22"/>
        </w:rPr>
        <w:t xml:space="preserve"> patients presenting to the emergency department with early septic shock, early goal-directed therapy compared with usual care did not reduce mortality nor improve health-related quality of life at either 6 or 12 months.</w:t>
      </w:r>
    </w:p>
    <w:p w14:paraId="088B77A6" w14:textId="77777777" w:rsidR="00C776B7" w:rsidRPr="00FD0727" w:rsidRDefault="00C776B7">
      <w:pPr>
        <w:rPr>
          <w:rFonts w:asciiTheme="majorHAnsi" w:hAnsiTheme="majorHAnsi"/>
          <w:color w:val="000000" w:themeColor="text1"/>
          <w:sz w:val="22"/>
          <w:szCs w:val="22"/>
        </w:rPr>
      </w:pPr>
    </w:p>
    <w:p w14:paraId="6979BF6B"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Critical Care Medicine, 2019 vol. 47 (6) pp. 765-773.</w:t>
      </w:r>
    </w:p>
    <w:p w14:paraId="7EB15AD6" w14:textId="77777777" w:rsidR="00C776B7" w:rsidRDefault="00FD0727">
      <w:pPr>
        <w:rPr>
          <w:rStyle w:val="Hyperlink"/>
          <w:rFonts w:asciiTheme="majorHAnsi" w:hAnsiTheme="majorHAnsi"/>
          <w:color w:val="000000" w:themeColor="text1"/>
          <w:sz w:val="22"/>
          <w:szCs w:val="22"/>
        </w:rPr>
      </w:pPr>
      <w:hyperlink r:id="rId36" w:history="1">
        <w:r w:rsidRPr="00FD0727">
          <w:rPr>
            <w:rStyle w:val="Hyperlink"/>
            <w:rFonts w:asciiTheme="majorHAnsi" w:hAnsiTheme="majorHAnsi"/>
            <w:color w:val="000000" w:themeColor="text1"/>
            <w:sz w:val="22"/>
            <w:szCs w:val="22"/>
          </w:rPr>
          <w:t>http://eutils.ncbi.nlm.nih.gov/entrez/eutils/elink.fcgi?dbfrom=pubmed&amp;id=30985391&amp;retmode=ref&amp;cmd=prlinks</w:t>
        </w:r>
      </w:hyperlink>
    </w:p>
    <w:p w14:paraId="2490C3D9" w14:textId="77777777" w:rsidR="00041B84" w:rsidRPr="00FD0727" w:rsidRDefault="00041B84">
      <w:pPr>
        <w:rPr>
          <w:rFonts w:asciiTheme="majorHAnsi" w:hAnsiTheme="majorHAnsi"/>
          <w:color w:val="000000" w:themeColor="text1"/>
          <w:sz w:val="22"/>
          <w:szCs w:val="22"/>
        </w:rPr>
      </w:pPr>
    </w:p>
    <w:p w14:paraId="74F6C451"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39D64BF1" w14:textId="77777777" w:rsidR="00C776B7" w:rsidRPr="00041B84" w:rsidRDefault="00FD0727">
      <w:pPr>
        <w:pStyle w:val="Heading4"/>
        <w:rPr>
          <w:rFonts w:asciiTheme="majorHAnsi" w:hAnsiTheme="majorHAnsi"/>
          <w:b/>
          <w:color w:val="000000" w:themeColor="text1"/>
          <w:sz w:val="22"/>
          <w:szCs w:val="22"/>
        </w:rPr>
      </w:pPr>
      <w:r w:rsidRPr="00041B84">
        <w:rPr>
          <w:rFonts w:asciiTheme="majorHAnsi" w:hAnsiTheme="majorHAnsi"/>
          <w:b/>
          <w:color w:val="000000" w:themeColor="text1"/>
          <w:sz w:val="22"/>
          <w:szCs w:val="22"/>
        </w:rPr>
        <w:t>Respiratory Mechanics, Lung Recruitability, and Gas Exchange in Pulmonary and Extrapulmonary Acute Respiratory Distress Syndrome.</w:t>
      </w:r>
    </w:p>
    <w:p w14:paraId="6D2C2168" w14:textId="77777777" w:rsidR="00C776B7" w:rsidRPr="00FD0727" w:rsidRDefault="00C776B7">
      <w:pPr>
        <w:rPr>
          <w:rFonts w:asciiTheme="majorHAnsi" w:hAnsiTheme="majorHAnsi"/>
          <w:color w:val="000000" w:themeColor="text1"/>
          <w:sz w:val="22"/>
          <w:szCs w:val="22"/>
        </w:rPr>
      </w:pPr>
    </w:p>
    <w:p w14:paraId="510A9036"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Silvia Coppola, Sara Froio, Antonella Marino, Matteo Brioni, Bruno Mario Cesana, Massimo Cressoni, Luciano Gattinoni, and Davide Chiumello.</w:t>
      </w:r>
    </w:p>
    <w:p w14:paraId="1D4B4428" w14:textId="77777777" w:rsidR="00C776B7" w:rsidRPr="00FD0727" w:rsidRDefault="00C776B7">
      <w:pPr>
        <w:rPr>
          <w:rFonts w:asciiTheme="majorHAnsi" w:hAnsiTheme="majorHAnsi"/>
          <w:color w:val="000000" w:themeColor="text1"/>
          <w:sz w:val="22"/>
          <w:szCs w:val="22"/>
        </w:rPr>
      </w:pPr>
    </w:p>
    <w:p w14:paraId="6B827285"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OBJECTIVES:Acute</w:t>
      </w:r>
      <w:proofErr w:type="gramEnd"/>
      <w:r w:rsidRPr="00FD0727">
        <w:rPr>
          <w:rFonts w:asciiTheme="majorHAnsi" w:hAnsiTheme="majorHAnsi"/>
          <w:color w:val="000000" w:themeColor="text1"/>
          <w:sz w:val="22"/>
          <w:szCs w:val="22"/>
        </w:rPr>
        <w:t xml:space="preserve"> respiratory distress syndrome is a clinical syndrome characterized by a refractory hypoxemia due to an inflammatory and high permeability pulmonary edema secondary to direct or indirect lung insult (pulmonary and extrapulmonary form). Aim of this study was to evaluate in a large database of acute respiratory distress syndrome patients, the pulmonary versus extrapulmonary form in terms of respiratory mechanics, lung recruitment, gas exchange, and positive end-expiratory pressure response.</w:t>
      </w:r>
    </w:p>
    <w:p w14:paraId="067036CE" w14:textId="77777777" w:rsidR="00C776B7" w:rsidRPr="00FD0727" w:rsidRDefault="00C776B7">
      <w:pPr>
        <w:rPr>
          <w:rFonts w:asciiTheme="majorHAnsi" w:hAnsiTheme="majorHAnsi"/>
          <w:color w:val="000000" w:themeColor="text1"/>
          <w:sz w:val="22"/>
          <w:szCs w:val="22"/>
        </w:rPr>
      </w:pPr>
    </w:p>
    <w:p w14:paraId="19F33243"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DESIGN:A</w:t>
      </w:r>
      <w:proofErr w:type="gramEnd"/>
      <w:r w:rsidRPr="00FD0727">
        <w:rPr>
          <w:rFonts w:asciiTheme="majorHAnsi" w:hAnsiTheme="majorHAnsi"/>
          <w:color w:val="000000" w:themeColor="text1"/>
          <w:sz w:val="22"/>
          <w:szCs w:val="22"/>
        </w:rPr>
        <w:t xml:space="preserve"> secondary analysis of previously published data.</w:t>
      </w:r>
    </w:p>
    <w:p w14:paraId="21DBFB60" w14:textId="77777777" w:rsidR="00C776B7" w:rsidRPr="00FD0727" w:rsidRDefault="00C776B7">
      <w:pPr>
        <w:rPr>
          <w:rFonts w:asciiTheme="majorHAnsi" w:hAnsiTheme="majorHAnsi"/>
          <w:color w:val="000000" w:themeColor="text1"/>
          <w:sz w:val="22"/>
          <w:szCs w:val="22"/>
        </w:rPr>
      </w:pPr>
    </w:p>
    <w:p w14:paraId="0F474CD9"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PATIENTS:One</w:t>
      </w:r>
      <w:proofErr w:type="gramEnd"/>
      <w:r w:rsidRPr="00FD0727">
        <w:rPr>
          <w:rFonts w:asciiTheme="majorHAnsi" w:hAnsiTheme="majorHAnsi"/>
          <w:color w:val="000000" w:themeColor="text1"/>
          <w:sz w:val="22"/>
          <w:szCs w:val="22"/>
        </w:rPr>
        <w:t>-hundred eighty-one sedated and paralyzed acute respiratory distress syndrome patients (age 60 yr [46-72 yr], body mass index 25 kg/ m [22-28 kg/ m], and PaO2/FIO2 184 ± 66).</w:t>
      </w:r>
    </w:p>
    <w:p w14:paraId="3D5BD26F" w14:textId="77777777" w:rsidR="00C776B7" w:rsidRPr="00FD0727" w:rsidRDefault="00C776B7">
      <w:pPr>
        <w:rPr>
          <w:rFonts w:asciiTheme="majorHAnsi" w:hAnsiTheme="majorHAnsi"/>
          <w:color w:val="000000" w:themeColor="text1"/>
          <w:sz w:val="22"/>
          <w:szCs w:val="22"/>
        </w:rPr>
      </w:pPr>
    </w:p>
    <w:p w14:paraId="06A4CF9C"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INTERVENTIONS:Lung</w:t>
      </w:r>
      <w:proofErr w:type="gramEnd"/>
      <w:r w:rsidRPr="00FD0727">
        <w:rPr>
          <w:rFonts w:asciiTheme="majorHAnsi" w:hAnsiTheme="majorHAnsi"/>
          <w:color w:val="000000" w:themeColor="text1"/>
          <w:sz w:val="22"/>
          <w:szCs w:val="22"/>
        </w:rPr>
        <w:t xml:space="preserve"> CT scan performed at 5 and 45 cm H2O. Two levels of positive end-expiratory pressure (5 and 15 cm H2O) were randomly applied.</w:t>
      </w:r>
    </w:p>
    <w:p w14:paraId="7BBD3AA2" w14:textId="77777777" w:rsidR="00C776B7" w:rsidRPr="00FD0727" w:rsidRDefault="00C776B7">
      <w:pPr>
        <w:rPr>
          <w:rFonts w:asciiTheme="majorHAnsi" w:hAnsiTheme="majorHAnsi"/>
          <w:color w:val="000000" w:themeColor="text1"/>
          <w:sz w:val="22"/>
          <w:szCs w:val="22"/>
        </w:rPr>
      </w:pPr>
    </w:p>
    <w:p w14:paraId="257F4413"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MEASUREMENTS AND MAIN </w:t>
      </w:r>
      <w:proofErr w:type="gramStart"/>
      <w:r w:rsidRPr="00FD0727">
        <w:rPr>
          <w:rFonts w:asciiTheme="majorHAnsi" w:hAnsiTheme="majorHAnsi"/>
          <w:color w:val="000000" w:themeColor="text1"/>
          <w:sz w:val="22"/>
          <w:szCs w:val="22"/>
        </w:rPr>
        <w:t>RESULTS:Ninety</w:t>
      </w:r>
      <w:proofErr w:type="gramEnd"/>
      <w:r w:rsidRPr="00FD0727">
        <w:rPr>
          <w:rFonts w:asciiTheme="majorHAnsi" w:hAnsiTheme="majorHAnsi"/>
          <w:color w:val="000000" w:themeColor="text1"/>
          <w:sz w:val="22"/>
          <w:szCs w:val="22"/>
        </w:rPr>
        <w:t>-seven and 84 patients had a pulmonary and extrapulmonary acute respiratory distress syndrome. The median time from intensive care admission to the CT scan and respiratory mechanics analysis was 4 days (interquartile range, 2-6). At both positive end-expiratory pressure levels, pulmonary acute respiratory distress syndrome presented a significantly lower PaO2/FIO2 and higher physiologic dead space compared with extrapulmonary acute respiratory distress syndrome. The lung and chest wall elastance were similar between groups. The intra-abdominal pressure was significantly higher in extrapulmonary compared with pulmonary acute respiratory distress syndrome (10 mm Hg [7-12 mm Hg] vs 7 mm Hg [5-8 mm Hg]). The lung weight and lung recruitability were significantly higher in pulmonary acute respiratory distress syndrome (1,534 g [1,286-1,835 g] vs 1,342 g [1,090-1,507 g] and 16% [9-25%] vs 9% [5-14%]).</w:t>
      </w:r>
    </w:p>
    <w:p w14:paraId="1E63640C" w14:textId="77777777" w:rsidR="00C776B7" w:rsidRPr="00FD0727" w:rsidRDefault="00C776B7">
      <w:pPr>
        <w:rPr>
          <w:rFonts w:asciiTheme="majorHAnsi" w:hAnsiTheme="majorHAnsi"/>
          <w:color w:val="000000" w:themeColor="text1"/>
          <w:sz w:val="22"/>
          <w:szCs w:val="22"/>
        </w:rPr>
      </w:pPr>
    </w:p>
    <w:p w14:paraId="6601DD59"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lastRenderedPageBreak/>
        <w:t>CONCLUSIONS:In</w:t>
      </w:r>
      <w:proofErr w:type="gramEnd"/>
      <w:r w:rsidRPr="00FD0727">
        <w:rPr>
          <w:rFonts w:asciiTheme="majorHAnsi" w:hAnsiTheme="majorHAnsi"/>
          <w:color w:val="000000" w:themeColor="text1"/>
          <w:sz w:val="22"/>
          <w:szCs w:val="22"/>
        </w:rPr>
        <w:t xml:space="preserve"> the early stage, pulmonary acute respiratory distress syndrome is characterized by a greater impairment of gas exchange and higher lung recruitability. The recognition of the origin of acute respiratory distress syndrome is important for a more customized ventilatory management.</w:t>
      </w:r>
    </w:p>
    <w:p w14:paraId="709599FD" w14:textId="77777777" w:rsidR="00C776B7" w:rsidRPr="00FD0727" w:rsidRDefault="00C776B7">
      <w:pPr>
        <w:rPr>
          <w:rFonts w:asciiTheme="majorHAnsi" w:hAnsiTheme="majorHAnsi"/>
          <w:color w:val="000000" w:themeColor="text1"/>
          <w:sz w:val="22"/>
          <w:szCs w:val="22"/>
        </w:rPr>
      </w:pPr>
    </w:p>
    <w:p w14:paraId="36416603"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Critical Care Medicine, 2019 vol. 47 (6) pp. 792-799.</w:t>
      </w:r>
    </w:p>
    <w:p w14:paraId="05F35889" w14:textId="77777777" w:rsidR="00C776B7" w:rsidRDefault="00FD0727">
      <w:pPr>
        <w:rPr>
          <w:rStyle w:val="Hyperlink"/>
          <w:rFonts w:asciiTheme="majorHAnsi" w:hAnsiTheme="majorHAnsi"/>
          <w:color w:val="000000" w:themeColor="text1"/>
          <w:sz w:val="22"/>
          <w:szCs w:val="22"/>
        </w:rPr>
      </w:pPr>
      <w:hyperlink r:id="rId37" w:history="1">
        <w:r w:rsidRPr="00FD0727">
          <w:rPr>
            <w:rStyle w:val="Hyperlink"/>
            <w:rFonts w:asciiTheme="majorHAnsi" w:hAnsiTheme="majorHAnsi"/>
            <w:color w:val="000000" w:themeColor="text1"/>
            <w:sz w:val="22"/>
            <w:szCs w:val="22"/>
          </w:rPr>
          <w:t>http://eutils.ncbi.nlm.nih.gov/entrez/eutils/elink.fcgi?dbfrom=pubmed&amp;id=30908313&amp;retmode=ref&amp;cmd=prlinks</w:t>
        </w:r>
      </w:hyperlink>
    </w:p>
    <w:p w14:paraId="60B632D2" w14:textId="77777777" w:rsidR="00041B84" w:rsidRPr="00FD0727" w:rsidRDefault="00041B84">
      <w:pPr>
        <w:rPr>
          <w:rFonts w:asciiTheme="majorHAnsi" w:hAnsiTheme="majorHAnsi"/>
          <w:color w:val="000000" w:themeColor="text1"/>
          <w:sz w:val="22"/>
          <w:szCs w:val="22"/>
        </w:rPr>
      </w:pPr>
    </w:p>
    <w:p w14:paraId="63983245"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60CD6B3D" w14:textId="77777777" w:rsidR="00C776B7" w:rsidRPr="00041B84" w:rsidRDefault="00FD0727">
      <w:pPr>
        <w:pStyle w:val="Heading4"/>
        <w:rPr>
          <w:rFonts w:asciiTheme="majorHAnsi" w:hAnsiTheme="majorHAnsi"/>
          <w:b/>
          <w:color w:val="000000" w:themeColor="text1"/>
          <w:sz w:val="22"/>
          <w:szCs w:val="22"/>
        </w:rPr>
      </w:pPr>
      <w:r w:rsidRPr="00041B84">
        <w:rPr>
          <w:rFonts w:asciiTheme="majorHAnsi" w:hAnsiTheme="majorHAnsi"/>
          <w:b/>
          <w:color w:val="000000" w:themeColor="text1"/>
          <w:sz w:val="22"/>
          <w:szCs w:val="22"/>
        </w:rPr>
        <w:t xml:space="preserve">The Effect of Vitamin C on Clinical Outcome in Critically Ill Patients: A Systematic Review </w:t>
      </w:r>
      <w:proofErr w:type="gramStart"/>
      <w:r w:rsidRPr="00041B84">
        <w:rPr>
          <w:rFonts w:asciiTheme="majorHAnsi" w:hAnsiTheme="majorHAnsi"/>
          <w:b/>
          <w:color w:val="000000" w:themeColor="text1"/>
          <w:sz w:val="22"/>
          <w:szCs w:val="22"/>
        </w:rPr>
        <w:t>With</w:t>
      </w:r>
      <w:proofErr w:type="gramEnd"/>
      <w:r w:rsidRPr="00041B84">
        <w:rPr>
          <w:rFonts w:asciiTheme="majorHAnsi" w:hAnsiTheme="majorHAnsi"/>
          <w:b/>
          <w:color w:val="000000" w:themeColor="text1"/>
          <w:sz w:val="22"/>
          <w:szCs w:val="22"/>
        </w:rPr>
        <w:t xml:space="preserve"> Meta-Analysis of Randomized Controlled Trials.</w:t>
      </w:r>
    </w:p>
    <w:p w14:paraId="4397EBC3" w14:textId="77777777" w:rsidR="00C776B7" w:rsidRPr="00FD0727" w:rsidRDefault="00C776B7">
      <w:pPr>
        <w:rPr>
          <w:rFonts w:asciiTheme="majorHAnsi" w:hAnsiTheme="majorHAnsi"/>
          <w:color w:val="000000" w:themeColor="text1"/>
          <w:sz w:val="22"/>
          <w:szCs w:val="22"/>
        </w:rPr>
      </w:pPr>
    </w:p>
    <w:p w14:paraId="363C6132"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Alessandro Putzu, Anne-Marie Daems, Juan Carlos Lopez-Delgado, Vito Federico Giordano, and Giovanni Landoni.</w:t>
      </w:r>
    </w:p>
    <w:p w14:paraId="45698E56" w14:textId="77777777" w:rsidR="00C776B7" w:rsidRPr="00FD0727" w:rsidRDefault="00C776B7">
      <w:pPr>
        <w:rPr>
          <w:rFonts w:asciiTheme="majorHAnsi" w:hAnsiTheme="majorHAnsi"/>
          <w:color w:val="000000" w:themeColor="text1"/>
          <w:sz w:val="22"/>
          <w:szCs w:val="22"/>
        </w:rPr>
      </w:pPr>
    </w:p>
    <w:p w14:paraId="7D86448B"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OBJECTIVES:The</w:t>
      </w:r>
      <w:proofErr w:type="gramEnd"/>
      <w:r w:rsidRPr="00FD0727">
        <w:rPr>
          <w:rFonts w:asciiTheme="majorHAnsi" w:hAnsiTheme="majorHAnsi"/>
          <w:color w:val="000000" w:themeColor="text1"/>
          <w:sz w:val="22"/>
          <w:szCs w:val="22"/>
        </w:rPr>
        <w:t xml:space="preserve"> effects of vitamin C administration on clinical outcome in critically ill patients remain controversial.</w:t>
      </w:r>
    </w:p>
    <w:p w14:paraId="23007764" w14:textId="77777777" w:rsidR="00C776B7" w:rsidRPr="00FD0727" w:rsidRDefault="00C776B7">
      <w:pPr>
        <w:rPr>
          <w:rFonts w:asciiTheme="majorHAnsi" w:hAnsiTheme="majorHAnsi"/>
          <w:color w:val="000000" w:themeColor="text1"/>
          <w:sz w:val="22"/>
          <w:szCs w:val="22"/>
        </w:rPr>
      </w:pPr>
    </w:p>
    <w:p w14:paraId="63F10A92"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DATA </w:t>
      </w:r>
      <w:proofErr w:type="gramStart"/>
      <w:r w:rsidRPr="00FD0727">
        <w:rPr>
          <w:rFonts w:asciiTheme="majorHAnsi" w:hAnsiTheme="majorHAnsi"/>
          <w:color w:val="000000" w:themeColor="text1"/>
          <w:sz w:val="22"/>
          <w:szCs w:val="22"/>
        </w:rPr>
        <w:t>SOURCES:Online</w:t>
      </w:r>
      <w:proofErr w:type="gramEnd"/>
      <w:r w:rsidRPr="00FD0727">
        <w:rPr>
          <w:rFonts w:asciiTheme="majorHAnsi" w:hAnsiTheme="majorHAnsi"/>
          <w:color w:val="000000" w:themeColor="text1"/>
          <w:sz w:val="22"/>
          <w:szCs w:val="22"/>
        </w:rPr>
        <w:t xml:space="preserve"> databases were searched up to October 1, 2018.</w:t>
      </w:r>
    </w:p>
    <w:p w14:paraId="312F7BAD" w14:textId="77777777" w:rsidR="00C776B7" w:rsidRPr="00FD0727" w:rsidRDefault="00C776B7">
      <w:pPr>
        <w:rPr>
          <w:rFonts w:asciiTheme="majorHAnsi" w:hAnsiTheme="majorHAnsi"/>
          <w:color w:val="000000" w:themeColor="text1"/>
          <w:sz w:val="22"/>
          <w:szCs w:val="22"/>
        </w:rPr>
      </w:pPr>
    </w:p>
    <w:p w14:paraId="05A86043"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STUDY </w:t>
      </w:r>
      <w:proofErr w:type="gramStart"/>
      <w:r w:rsidRPr="00FD0727">
        <w:rPr>
          <w:rFonts w:asciiTheme="majorHAnsi" w:hAnsiTheme="majorHAnsi"/>
          <w:color w:val="000000" w:themeColor="text1"/>
          <w:sz w:val="22"/>
          <w:szCs w:val="22"/>
        </w:rPr>
        <w:t>SELECTION:We</w:t>
      </w:r>
      <w:proofErr w:type="gramEnd"/>
      <w:r w:rsidRPr="00FD0727">
        <w:rPr>
          <w:rFonts w:asciiTheme="majorHAnsi" w:hAnsiTheme="majorHAnsi"/>
          <w:color w:val="000000" w:themeColor="text1"/>
          <w:sz w:val="22"/>
          <w:szCs w:val="22"/>
        </w:rPr>
        <w:t xml:space="preserve"> included randomized controlled trials on the use of vitamin C (any regimen) in adult critically ill patients versus placebo or no therapy.</w:t>
      </w:r>
    </w:p>
    <w:p w14:paraId="27819799" w14:textId="77777777" w:rsidR="00C776B7" w:rsidRPr="00FD0727" w:rsidRDefault="00C776B7">
      <w:pPr>
        <w:rPr>
          <w:rFonts w:asciiTheme="majorHAnsi" w:hAnsiTheme="majorHAnsi"/>
          <w:color w:val="000000" w:themeColor="text1"/>
          <w:sz w:val="22"/>
          <w:szCs w:val="22"/>
        </w:rPr>
      </w:pPr>
    </w:p>
    <w:p w14:paraId="31A19755"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DATA </w:t>
      </w:r>
      <w:proofErr w:type="gramStart"/>
      <w:r w:rsidRPr="00FD0727">
        <w:rPr>
          <w:rFonts w:asciiTheme="majorHAnsi" w:hAnsiTheme="majorHAnsi"/>
          <w:color w:val="000000" w:themeColor="text1"/>
          <w:sz w:val="22"/>
          <w:szCs w:val="22"/>
        </w:rPr>
        <w:t>EXTRACTION:Risk</w:t>
      </w:r>
      <w:proofErr w:type="gramEnd"/>
      <w:r w:rsidRPr="00FD0727">
        <w:rPr>
          <w:rFonts w:asciiTheme="majorHAnsi" w:hAnsiTheme="majorHAnsi"/>
          <w:color w:val="000000" w:themeColor="text1"/>
          <w:sz w:val="22"/>
          <w:szCs w:val="22"/>
        </w:rPr>
        <w:t xml:space="preserve"> ratio for dichotomous outcome and standardized mean difference for continuous outcome with 95% CI were calculated using random-effects model meta-analysis.</w:t>
      </w:r>
    </w:p>
    <w:p w14:paraId="1F376E0C" w14:textId="77777777" w:rsidR="00C776B7" w:rsidRPr="00FD0727" w:rsidRDefault="00C776B7">
      <w:pPr>
        <w:rPr>
          <w:rFonts w:asciiTheme="majorHAnsi" w:hAnsiTheme="majorHAnsi"/>
          <w:color w:val="000000" w:themeColor="text1"/>
          <w:sz w:val="22"/>
          <w:szCs w:val="22"/>
        </w:rPr>
      </w:pPr>
    </w:p>
    <w:p w14:paraId="2C8597DB"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DATA </w:t>
      </w:r>
      <w:proofErr w:type="gramStart"/>
      <w:r w:rsidRPr="00FD0727">
        <w:rPr>
          <w:rFonts w:asciiTheme="majorHAnsi" w:hAnsiTheme="majorHAnsi"/>
          <w:color w:val="000000" w:themeColor="text1"/>
          <w:sz w:val="22"/>
          <w:szCs w:val="22"/>
        </w:rPr>
        <w:t>SYNTHESIS:Forty</w:t>
      </w:r>
      <w:proofErr w:type="gramEnd"/>
      <w:r w:rsidRPr="00FD0727">
        <w:rPr>
          <w:rFonts w:asciiTheme="majorHAnsi" w:hAnsiTheme="majorHAnsi"/>
          <w:color w:val="000000" w:themeColor="text1"/>
          <w:sz w:val="22"/>
          <w:szCs w:val="22"/>
        </w:rPr>
        <w:t>-four randomized studies, 16 performed in ICU setting (2,857 patients) and 28 in cardiac surgery (3,598 patients), published between 1995 and 2018, were included in the analysis. In ICU patients, vitamin C administration was not associated with a difference in mortality (risk ratio, 0.90; 95% CI, 0.74-1.10; p = 0.31), acute kidney injury, ICU or hospital length of stay compared with control. In cardiac surgery, vitamin C was associated to a reduction in postoperative atrial fibrillation (risk ratio, 0.64; 95% CI, 0.52-0.78; p &lt; 0.0001), ICU stay (standardized mean difference, -0.28 d; 95% CI, -0.43 to -0.13 d; p = 0.0003), and hospital stay (standardized mean difference, -0.30 d; 95% CI, -0.49 to -0.10 d; p = 0.002). Furthermore, no differences in postoperative mortality, acute kidney injury, stroke, and ventricular arrhythmia were found.</w:t>
      </w:r>
    </w:p>
    <w:p w14:paraId="1C1F69B4" w14:textId="77777777" w:rsidR="00C776B7" w:rsidRPr="00FD0727" w:rsidRDefault="00C776B7">
      <w:pPr>
        <w:rPr>
          <w:rFonts w:asciiTheme="majorHAnsi" w:hAnsiTheme="majorHAnsi"/>
          <w:color w:val="000000" w:themeColor="text1"/>
          <w:sz w:val="22"/>
          <w:szCs w:val="22"/>
        </w:rPr>
      </w:pPr>
    </w:p>
    <w:p w14:paraId="7C26DA41"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CONCLUSIONS:In</w:t>
      </w:r>
      <w:proofErr w:type="gramEnd"/>
      <w:r w:rsidRPr="00FD0727">
        <w:rPr>
          <w:rFonts w:asciiTheme="majorHAnsi" w:hAnsiTheme="majorHAnsi"/>
          <w:color w:val="000000" w:themeColor="text1"/>
          <w:sz w:val="22"/>
          <w:szCs w:val="22"/>
        </w:rPr>
        <w:t xml:space="preserve"> a mixed population of ICU patients, vitamin C administration is associated with no significant effect on survival, length of ICU or hospital stay. In cardiac surgery, beneficial effects on postoperative atrial fibrillation, ICU or hospital length of stay remain unclear. However, the quality and quantity of evidence is still insufficient to draw firm conclusions, not supporting neither discouraging the systematic administration of vitamin C in these populations. Vitamin C remains an attractive intervention for future investigations aimed to improve clinical outcome.</w:t>
      </w:r>
    </w:p>
    <w:p w14:paraId="798FF4D5" w14:textId="77777777" w:rsidR="00C776B7" w:rsidRPr="00FD0727" w:rsidRDefault="00C776B7">
      <w:pPr>
        <w:rPr>
          <w:rFonts w:asciiTheme="majorHAnsi" w:hAnsiTheme="majorHAnsi"/>
          <w:color w:val="000000" w:themeColor="text1"/>
          <w:sz w:val="22"/>
          <w:szCs w:val="22"/>
        </w:rPr>
      </w:pPr>
    </w:p>
    <w:p w14:paraId="22B08E16"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Critical Care Medicine, 2019 vol. 47 (6) pp. 774-783.</w:t>
      </w:r>
    </w:p>
    <w:p w14:paraId="6A479B76" w14:textId="77777777" w:rsidR="00C776B7" w:rsidRDefault="00FD0727">
      <w:pPr>
        <w:rPr>
          <w:rStyle w:val="Hyperlink"/>
          <w:rFonts w:asciiTheme="majorHAnsi" w:hAnsiTheme="majorHAnsi"/>
          <w:color w:val="000000" w:themeColor="text1"/>
          <w:sz w:val="22"/>
          <w:szCs w:val="22"/>
        </w:rPr>
      </w:pPr>
      <w:hyperlink r:id="rId38" w:history="1">
        <w:r w:rsidRPr="00FD0727">
          <w:rPr>
            <w:rStyle w:val="Hyperlink"/>
            <w:rFonts w:asciiTheme="majorHAnsi" w:hAnsiTheme="majorHAnsi"/>
            <w:color w:val="000000" w:themeColor="text1"/>
            <w:sz w:val="22"/>
            <w:szCs w:val="22"/>
          </w:rPr>
          <w:t>http://eutils.ncbi.nlm.nih.gov/entrez/eutils/elink.fcgi?dbfrom=pubmed&amp;id=30839358&amp;retmode=ref&amp;cmd=prlinks</w:t>
        </w:r>
      </w:hyperlink>
    </w:p>
    <w:p w14:paraId="1D3006CC" w14:textId="77777777" w:rsidR="0019144E" w:rsidRPr="00FD0727" w:rsidRDefault="0019144E">
      <w:pPr>
        <w:rPr>
          <w:rFonts w:asciiTheme="majorHAnsi" w:hAnsiTheme="majorHAnsi"/>
          <w:color w:val="000000" w:themeColor="text1"/>
          <w:sz w:val="22"/>
          <w:szCs w:val="22"/>
        </w:rPr>
      </w:pPr>
    </w:p>
    <w:p w14:paraId="5823E3EB"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73EB9758" w14:textId="77777777" w:rsidR="00C776B7" w:rsidRPr="00EC1FB8" w:rsidRDefault="00FD0727">
      <w:pPr>
        <w:pStyle w:val="Heading4"/>
        <w:rPr>
          <w:rFonts w:asciiTheme="majorHAnsi" w:hAnsiTheme="majorHAnsi"/>
          <w:b/>
          <w:color w:val="000000" w:themeColor="text1"/>
          <w:sz w:val="22"/>
          <w:szCs w:val="22"/>
        </w:rPr>
      </w:pPr>
      <w:r w:rsidRPr="00EC1FB8">
        <w:rPr>
          <w:rFonts w:asciiTheme="majorHAnsi" w:hAnsiTheme="majorHAnsi"/>
          <w:b/>
          <w:color w:val="000000" w:themeColor="text1"/>
          <w:sz w:val="22"/>
          <w:szCs w:val="22"/>
        </w:rPr>
        <w:lastRenderedPageBreak/>
        <w:t>Thromboelastography Predicts Thromboembolism in Critically Ill Coagulopathic Patients.</w:t>
      </w:r>
    </w:p>
    <w:p w14:paraId="3019F72B" w14:textId="77777777" w:rsidR="00C776B7" w:rsidRPr="00FD0727" w:rsidRDefault="00C776B7">
      <w:pPr>
        <w:rPr>
          <w:rFonts w:asciiTheme="majorHAnsi" w:hAnsiTheme="majorHAnsi"/>
          <w:color w:val="000000" w:themeColor="text1"/>
          <w:sz w:val="22"/>
          <w:szCs w:val="22"/>
        </w:rPr>
      </w:pPr>
    </w:p>
    <w:p w14:paraId="6F2BEB2F"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Yusrah Harahsheh, Oonagh C Duff, and Kwok M Ho.</w:t>
      </w:r>
    </w:p>
    <w:p w14:paraId="02EA5D9E" w14:textId="77777777" w:rsidR="00C776B7" w:rsidRPr="00FD0727" w:rsidRDefault="00C776B7">
      <w:pPr>
        <w:rPr>
          <w:rFonts w:asciiTheme="majorHAnsi" w:hAnsiTheme="majorHAnsi"/>
          <w:color w:val="000000" w:themeColor="text1"/>
          <w:sz w:val="22"/>
          <w:szCs w:val="22"/>
        </w:rPr>
      </w:pPr>
    </w:p>
    <w:p w14:paraId="74162D78"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OBJECTIVES:Critically</w:t>
      </w:r>
      <w:proofErr w:type="gramEnd"/>
      <w:r w:rsidRPr="00FD0727">
        <w:rPr>
          <w:rFonts w:asciiTheme="majorHAnsi" w:hAnsiTheme="majorHAnsi"/>
          <w:color w:val="000000" w:themeColor="text1"/>
          <w:sz w:val="22"/>
          <w:szCs w:val="22"/>
        </w:rPr>
        <w:t xml:space="preserve"> ill patients with deranged conventional coagulation tests are often perceived to have an increased bleeding risk. Whether anticoagulant prophylaxis for these patients should be withheld is contentious. This study assessed the ability of using in vitro clot strength, as measured by thromboelastography, to predict thromboembolism in patients with abnormal coagulation profiles.</w:t>
      </w:r>
    </w:p>
    <w:p w14:paraId="11DB41D8" w14:textId="77777777" w:rsidR="00C776B7" w:rsidRPr="00FD0727" w:rsidRDefault="00C776B7">
      <w:pPr>
        <w:rPr>
          <w:rFonts w:asciiTheme="majorHAnsi" w:hAnsiTheme="majorHAnsi"/>
          <w:color w:val="000000" w:themeColor="text1"/>
          <w:sz w:val="22"/>
          <w:szCs w:val="22"/>
        </w:rPr>
      </w:pPr>
    </w:p>
    <w:p w14:paraId="2379BF95"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DESIGN:Prospective</w:t>
      </w:r>
      <w:proofErr w:type="gramEnd"/>
      <w:r w:rsidRPr="00FD0727">
        <w:rPr>
          <w:rFonts w:asciiTheme="majorHAnsi" w:hAnsiTheme="majorHAnsi"/>
          <w:color w:val="000000" w:themeColor="text1"/>
          <w:sz w:val="22"/>
          <w:szCs w:val="22"/>
        </w:rPr>
        <w:t xml:space="preserve"> cohort study.</w:t>
      </w:r>
    </w:p>
    <w:p w14:paraId="10B76EE1" w14:textId="77777777" w:rsidR="00C776B7" w:rsidRPr="00FD0727" w:rsidRDefault="00C776B7">
      <w:pPr>
        <w:rPr>
          <w:rFonts w:asciiTheme="majorHAnsi" w:hAnsiTheme="majorHAnsi"/>
          <w:color w:val="000000" w:themeColor="text1"/>
          <w:sz w:val="22"/>
          <w:szCs w:val="22"/>
        </w:rPr>
      </w:pPr>
    </w:p>
    <w:p w14:paraId="6825669B"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SETTING:A</w:t>
      </w:r>
      <w:proofErr w:type="gramEnd"/>
      <w:r w:rsidRPr="00FD0727">
        <w:rPr>
          <w:rFonts w:asciiTheme="majorHAnsi" w:hAnsiTheme="majorHAnsi"/>
          <w:color w:val="000000" w:themeColor="text1"/>
          <w:sz w:val="22"/>
          <w:szCs w:val="22"/>
        </w:rPr>
        <w:t xml:space="preserve"> tertiary ICU.</w:t>
      </w:r>
    </w:p>
    <w:p w14:paraId="7DDE4356" w14:textId="77777777" w:rsidR="00C776B7" w:rsidRPr="00FD0727" w:rsidRDefault="00C776B7">
      <w:pPr>
        <w:rPr>
          <w:rFonts w:asciiTheme="majorHAnsi" w:hAnsiTheme="majorHAnsi"/>
          <w:color w:val="000000" w:themeColor="text1"/>
          <w:sz w:val="22"/>
          <w:szCs w:val="22"/>
        </w:rPr>
      </w:pPr>
    </w:p>
    <w:p w14:paraId="52CA442F"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PATIENTS:Two</w:t>
      </w:r>
      <w:proofErr w:type="gramEnd"/>
      <w:r w:rsidRPr="00FD0727">
        <w:rPr>
          <w:rFonts w:asciiTheme="majorHAnsi" w:hAnsiTheme="majorHAnsi"/>
          <w:color w:val="000000" w:themeColor="text1"/>
          <w:sz w:val="22"/>
          <w:szCs w:val="22"/>
        </w:rPr>
        <w:t>-hundred and fifteen critically ill coagulopathic patients with thrombocytopenia and/or a derangement in at least one conventional coagulation test (international normalized ratio or activated partial thromboplastin time) within 48 hours of ICU admission.</w:t>
      </w:r>
    </w:p>
    <w:p w14:paraId="34A6A859" w14:textId="77777777" w:rsidR="00C776B7" w:rsidRPr="00FD0727" w:rsidRDefault="00C776B7">
      <w:pPr>
        <w:rPr>
          <w:rFonts w:asciiTheme="majorHAnsi" w:hAnsiTheme="majorHAnsi"/>
          <w:color w:val="000000" w:themeColor="text1"/>
          <w:sz w:val="22"/>
          <w:szCs w:val="22"/>
        </w:rPr>
      </w:pPr>
    </w:p>
    <w:p w14:paraId="78954009"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INTERVENTIONS:None</w:t>
      </w:r>
      <w:proofErr w:type="gramEnd"/>
      <w:r w:rsidRPr="00FD0727">
        <w:rPr>
          <w:rFonts w:asciiTheme="majorHAnsi" w:hAnsiTheme="majorHAnsi"/>
          <w:color w:val="000000" w:themeColor="text1"/>
          <w:sz w:val="22"/>
          <w:szCs w:val="22"/>
        </w:rPr>
        <w:t>.</w:t>
      </w:r>
    </w:p>
    <w:p w14:paraId="10C69415" w14:textId="77777777" w:rsidR="00C776B7" w:rsidRPr="00FD0727" w:rsidRDefault="00C776B7">
      <w:pPr>
        <w:rPr>
          <w:rFonts w:asciiTheme="majorHAnsi" w:hAnsiTheme="majorHAnsi"/>
          <w:color w:val="000000" w:themeColor="text1"/>
          <w:sz w:val="22"/>
          <w:szCs w:val="22"/>
        </w:rPr>
      </w:pPr>
    </w:p>
    <w:p w14:paraId="2D2B9204"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MEASUREMENTS AND MAIN </w:t>
      </w:r>
      <w:proofErr w:type="gramStart"/>
      <w:r w:rsidRPr="00FD0727">
        <w:rPr>
          <w:rFonts w:asciiTheme="majorHAnsi" w:hAnsiTheme="majorHAnsi"/>
          <w:color w:val="000000" w:themeColor="text1"/>
          <w:sz w:val="22"/>
          <w:szCs w:val="22"/>
        </w:rPr>
        <w:t>RESULTS:Thromboelastography</w:t>
      </w:r>
      <w:proofErr w:type="gramEnd"/>
      <w:r w:rsidRPr="00FD0727">
        <w:rPr>
          <w:rFonts w:asciiTheme="majorHAnsi" w:hAnsiTheme="majorHAnsi"/>
          <w:color w:val="000000" w:themeColor="text1"/>
          <w:sz w:val="22"/>
          <w:szCs w:val="22"/>
        </w:rPr>
        <w:t xml:space="preserve"> was performed for all study patients, and plasma thrombotic biomarkers were measured in a nested cohort (n = 40). Of the 215 patients included, 34 patients (16%) developed subsequent thromboembolism-predominantly among those with a normal (maximum amplitude, 54-72 mm) or increased (maximum amplitude, &gt; 72 mm) in vitro clot strength on thromboelastography (91%; area under the receiver-operating characteristic curve, 0.74; 95% CI, 0.64-0.83). The ability of the maximum amplitude to predict thromboembolism was comparable to plasma P-selectin concentrations (thromboembolism, 78.3 ng</w:t>
      </w:r>
      <w:r w:rsidRPr="00FD0727">
        <w:rPr>
          <w:rFonts w:asciiTheme="majorHAnsi" w:hAnsiTheme="majorHAnsi"/>
          <w:i/>
          <w:color w:val="000000" w:themeColor="text1"/>
          <w:sz w:val="22"/>
          <w:szCs w:val="22"/>
        </w:rPr>
        <w:t>mL vs no thromboembolism, 59.5</w:t>
      </w:r>
      <w:r w:rsidRPr="00FD0727">
        <w:rPr>
          <w:rFonts w:asciiTheme="majorHAnsi" w:hAnsiTheme="majorHAnsi"/>
          <w:color w:val="000000" w:themeColor="text1"/>
          <w:sz w:val="22"/>
          <w:szCs w:val="22"/>
        </w:rPr>
        <w:t> </w:t>
      </w:r>
      <w:r w:rsidRPr="00FD0727">
        <w:rPr>
          <w:rFonts w:asciiTheme="majorHAnsi" w:hAnsiTheme="majorHAnsi"/>
          <w:i/>
          <w:color w:val="000000" w:themeColor="text1"/>
          <w:sz w:val="22"/>
          <w:szCs w:val="22"/>
        </w:rPr>
        <w:t>ng</w:t>
      </w:r>
      <w:r w:rsidRPr="00FD0727">
        <w:rPr>
          <w:rFonts w:asciiTheme="majorHAnsi" w:hAnsiTheme="majorHAnsi"/>
          <w:color w:val="000000" w:themeColor="text1"/>
          <w:sz w:val="22"/>
          <w:szCs w:val="22"/>
        </w:rPr>
        <w:t>mL; p = 0.031; area under the receiver-operating characteristic curve, 0.73; 95% CI, 0.52-0.95). In addition, patients with an increased maximum amplitude were also less likely to receive blood product transfusions within 24 hours of testing compared with those with a subnormal maximum amplitude (12.8% vs 69.2%, respectively; area under the receiver-operating characteristic curve, 0.74; 95% CI, 0.67-0.80).</w:t>
      </w:r>
    </w:p>
    <w:p w14:paraId="7B8D799E" w14:textId="77777777" w:rsidR="00C776B7" w:rsidRPr="00FD0727" w:rsidRDefault="00C776B7">
      <w:pPr>
        <w:rPr>
          <w:rFonts w:asciiTheme="majorHAnsi" w:hAnsiTheme="majorHAnsi"/>
          <w:color w:val="000000" w:themeColor="text1"/>
          <w:sz w:val="22"/>
          <w:szCs w:val="22"/>
        </w:rPr>
      </w:pPr>
    </w:p>
    <w:p w14:paraId="7D7F9E40"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CONCLUSIONS:In</w:t>
      </w:r>
      <w:proofErr w:type="gramEnd"/>
      <w:r w:rsidRPr="00FD0727">
        <w:rPr>
          <w:rFonts w:asciiTheme="majorHAnsi" w:hAnsiTheme="majorHAnsi"/>
          <w:color w:val="000000" w:themeColor="text1"/>
          <w:sz w:val="22"/>
          <w:szCs w:val="22"/>
        </w:rPr>
        <w:t xml:space="preserve"> patients with abnormal coagulation profiles, an increased in vitro clot strength on thromboelastography was associated with an increased risk of thromboembolism, and a reduced risk of requiring transfusion compared with those with a normal or reduced in vitro clot strength.</w:t>
      </w:r>
    </w:p>
    <w:p w14:paraId="23E70732" w14:textId="77777777" w:rsidR="00C776B7" w:rsidRPr="00FD0727" w:rsidRDefault="00C776B7">
      <w:pPr>
        <w:rPr>
          <w:rFonts w:asciiTheme="majorHAnsi" w:hAnsiTheme="majorHAnsi"/>
          <w:color w:val="000000" w:themeColor="text1"/>
          <w:sz w:val="22"/>
          <w:szCs w:val="22"/>
        </w:rPr>
      </w:pPr>
    </w:p>
    <w:p w14:paraId="710BCC13"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Critical Care Medicine, 2019 vol. 47 (6) pp. 826-832.</w:t>
      </w:r>
    </w:p>
    <w:p w14:paraId="6CA0D69B" w14:textId="77777777" w:rsidR="00C776B7" w:rsidRDefault="00FD0727">
      <w:pPr>
        <w:rPr>
          <w:rStyle w:val="Hyperlink"/>
          <w:rFonts w:asciiTheme="majorHAnsi" w:hAnsiTheme="majorHAnsi"/>
          <w:color w:val="000000" w:themeColor="text1"/>
          <w:sz w:val="22"/>
          <w:szCs w:val="22"/>
        </w:rPr>
      </w:pPr>
      <w:hyperlink r:id="rId39" w:history="1">
        <w:r w:rsidRPr="00FD0727">
          <w:rPr>
            <w:rStyle w:val="Hyperlink"/>
            <w:rFonts w:asciiTheme="majorHAnsi" w:hAnsiTheme="majorHAnsi"/>
            <w:color w:val="000000" w:themeColor="text1"/>
            <w:sz w:val="22"/>
            <w:szCs w:val="22"/>
          </w:rPr>
          <w:t>http://eutils.ncbi.nlm.nih.gov/entrez/eutils/elink.fcgi?dbfrom=pubmed&amp;id=30920409&amp;retmode=ref&amp;cmd=prlinks</w:t>
        </w:r>
      </w:hyperlink>
    </w:p>
    <w:p w14:paraId="7CD25C26" w14:textId="77777777" w:rsidR="00EC1FB8" w:rsidRPr="00FD0727" w:rsidRDefault="00EC1FB8">
      <w:pPr>
        <w:rPr>
          <w:rFonts w:asciiTheme="majorHAnsi" w:hAnsiTheme="majorHAnsi"/>
          <w:color w:val="000000" w:themeColor="text1"/>
          <w:sz w:val="22"/>
          <w:szCs w:val="22"/>
        </w:rPr>
      </w:pPr>
    </w:p>
    <w:p w14:paraId="7155F31D"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095C94A7" w14:textId="77777777" w:rsidR="00C776B7" w:rsidRPr="008841A4" w:rsidRDefault="00FD0727">
      <w:pPr>
        <w:pStyle w:val="Heading4"/>
        <w:rPr>
          <w:rFonts w:asciiTheme="majorHAnsi" w:hAnsiTheme="majorHAnsi"/>
          <w:b/>
          <w:color w:val="000000" w:themeColor="text1"/>
          <w:sz w:val="22"/>
          <w:szCs w:val="22"/>
        </w:rPr>
      </w:pPr>
      <w:r w:rsidRPr="008841A4">
        <w:rPr>
          <w:rFonts w:asciiTheme="majorHAnsi" w:hAnsiTheme="majorHAnsi"/>
          <w:b/>
          <w:color w:val="000000" w:themeColor="text1"/>
          <w:sz w:val="22"/>
          <w:szCs w:val="22"/>
        </w:rPr>
        <w:t>Transfusion-Associated Circulatory Overload in ICUs: A Scoping Review of Incidence, Risk Factors, and Outcomes.</w:t>
      </w:r>
    </w:p>
    <w:p w14:paraId="3FBF7A8C" w14:textId="77777777" w:rsidR="00C776B7" w:rsidRPr="00FD0727" w:rsidRDefault="00C776B7">
      <w:pPr>
        <w:rPr>
          <w:rFonts w:asciiTheme="majorHAnsi" w:hAnsiTheme="majorHAnsi"/>
          <w:color w:val="000000" w:themeColor="text1"/>
          <w:sz w:val="22"/>
          <w:szCs w:val="22"/>
        </w:rPr>
      </w:pPr>
    </w:p>
    <w:p w14:paraId="2FCD2952"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Lise De Cloedt, Nadia Savy, France Gauvin, Stephen Taylor, Jacques Lacroix, and Guillaume Emeriaud.</w:t>
      </w:r>
    </w:p>
    <w:p w14:paraId="6CB70E2C" w14:textId="77777777" w:rsidR="00C776B7" w:rsidRPr="00FD0727" w:rsidRDefault="00C776B7">
      <w:pPr>
        <w:rPr>
          <w:rFonts w:asciiTheme="majorHAnsi" w:hAnsiTheme="majorHAnsi"/>
          <w:color w:val="000000" w:themeColor="text1"/>
          <w:sz w:val="22"/>
          <w:szCs w:val="22"/>
        </w:rPr>
      </w:pPr>
    </w:p>
    <w:p w14:paraId="45A79097"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Transfusion-associated circulatory overload is the most frequent serious adverse transfusion reaction, with an incidence close to 1% of transfused patients in the general adult population. Patients in ICUs are probably more at risk of transfusion-associated circulatory overload as they are more frequently </w:t>
      </w:r>
      <w:r w:rsidRPr="00FD0727">
        <w:rPr>
          <w:rFonts w:asciiTheme="majorHAnsi" w:hAnsiTheme="majorHAnsi"/>
          <w:color w:val="000000" w:themeColor="text1"/>
          <w:sz w:val="22"/>
          <w:szCs w:val="22"/>
        </w:rPr>
        <w:lastRenderedPageBreak/>
        <w:t>transfused and associated with more comorbidities. However, the epidemiology of transfusion-associated circulatory overload in ICU is not well characterized, leading to a risk of underdiagnosis.</w:t>
      </w:r>
    </w:p>
    <w:p w14:paraId="4862CC31" w14:textId="77777777" w:rsidR="00C776B7" w:rsidRPr="00FD0727" w:rsidRDefault="00C776B7">
      <w:pPr>
        <w:rPr>
          <w:rFonts w:asciiTheme="majorHAnsi" w:hAnsiTheme="majorHAnsi"/>
          <w:color w:val="000000" w:themeColor="text1"/>
          <w:sz w:val="22"/>
          <w:szCs w:val="22"/>
        </w:rPr>
      </w:pPr>
    </w:p>
    <w:p w14:paraId="11405DC1"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OBJECTIVES:We</w:t>
      </w:r>
      <w:proofErr w:type="gramEnd"/>
      <w:r w:rsidRPr="00FD0727">
        <w:rPr>
          <w:rFonts w:asciiTheme="majorHAnsi" w:hAnsiTheme="majorHAnsi"/>
          <w:color w:val="000000" w:themeColor="text1"/>
          <w:sz w:val="22"/>
          <w:szCs w:val="22"/>
        </w:rPr>
        <w:t xml:space="preserve"> conducted a scoping review to describe the incidence, risk factors, and outcomes of transfusion-associated circulatory overload in PICU and adult ICU.</w:t>
      </w:r>
    </w:p>
    <w:p w14:paraId="6D596271" w14:textId="77777777" w:rsidR="00C776B7" w:rsidRPr="00FD0727" w:rsidRDefault="00C776B7">
      <w:pPr>
        <w:rPr>
          <w:rFonts w:asciiTheme="majorHAnsi" w:hAnsiTheme="majorHAnsi"/>
          <w:color w:val="000000" w:themeColor="text1"/>
          <w:sz w:val="22"/>
          <w:szCs w:val="22"/>
        </w:rPr>
      </w:pPr>
    </w:p>
    <w:p w14:paraId="19228522"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DATA </w:t>
      </w:r>
      <w:proofErr w:type="gramStart"/>
      <w:r w:rsidRPr="00FD0727">
        <w:rPr>
          <w:rFonts w:asciiTheme="majorHAnsi" w:hAnsiTheme="majorHAnsi"/>
          <w:color w:val="000000" w:themeColor="text1"/>
          <w:sz w:val="22"/>
          <w:szCs w:val="22"/>
        </w:rPr>
        <w:t>SOURCES:PubMed</w:t>
      </w:r>
      <w:proofErr w:type="gramEnd"/>
      <w:r w:rsidRPr="00FD0727">
        <w:rPr>
          <w:rFonts w:asciiTheme="majorHAnsi" w:hAnsiTheme="majorHAnsi"/>
          <w:color w:val="000000" w:themeColor="text1"/>
          <w:sz w:val="22"/>
          <w:szCs w:val="22"/>
        </w:rPr>
        <w:t>, Ovid Medline, Ovid All EBM Reviews, Ovid Embase, and EBSCO CINAHL COMPLETE.</w:t>
      </w:r>
    </w:p>
    <w:p w14:paraId="5C5A3B66" w14:textId="77777777" w:rsidR="00C776B7" w:rsidRPr="00FD0727" w:rsidRDefault="00C776B7">
      <w:pPr>
        <w:rPr>
          <w:rFonts w:asciiTheme="majorHAnsi" w:hAnsiTheme="majorHAnsi"/>
          <w:color w:val="000000" w:themeColor="text1"/>
          <w:sz w:val="22"/>
          <w:szCs w:val="22"/>
        </w:rPr>
      </w:pPr>
    </w:p>
    <w:p w14:paraId="0CA58DED"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STUDY </w:t>
      </w:r>
      <w:proofErr w:type="gramStart"/>
      <w:r w:rsidRPr="00FD0727">
        <w:rPr>
          <w:rFonts w:asciiTheme="majorHAnsi" w:hAnsiTheme="majorHAnsi"/>
          <w:color w:val="000000" w:themeColor="text1"/>
          <w:sz w:val="22"/>
          <w:szCs w:val="22"/>
        </w:rPr>
        <w:t>SELECTION:Two</w:t>
      </w:r>
      <w:proofErr w:type="gramEnd"/>
      <w:r w:rsidRPr="00FD0727">
        <w:rPr>
          <w:rFonts w:asciiTheme="majorHAnsi" w:hAnsiTheme="majorHAnsi"/>
          <w:color w:val="000000" w:themeColor="text1"/>
          <w:sz w:val="22"/>
          <w:szCs w:val="22"/>
        </w:rPr>
        <w:t xml:space="preserve"> reviewers independently screened each article for inclusion criteria. Studies were eligible if they reported data on incidence, risk factors, or outcomes of transfusion-associated circulatory overload in at least 10 ICU patients.</w:t>
      </w:r>
    </w:p>
    <w:p w14:paraId="464276B8" w14:textId="77777777" w:rsidR="00C776B7" w:rsidRPr="00FD0727" w:rsidRDefault="00C776B7">
      <w:pPr>
        <w:rPr>
          <w:rFonts w:asciiTheme="majorHAnsi" w:hAnsiTheme="majorHAnsi"/>
          <w:color w:val="000000" w:themeColor="text1"/>
          <w:sz w:val="22"/>
          <w:szCs w:val="22"/>
        </w:rPr>
      </w:pPr>
    </w:p>
    <w:p w14:paraId="7ED13E77"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DATA </w:t>
      </w:r>
      <w:proofErr w:type="gramStart"/>
      <w:r w:rsidRPr="00FD0727">
        <w:rPr>
          <w:rFonts w:asciiTheme="majorHAnsi" w:hAnsiTheme="majorHAnsi"/>
          <w:color w:val="000000" w:themeColor="text1"/>
          <w:sz w:val="22"/>
          <w:szCs w:val="22"/>
        </w:rPr>
        <w:t>SYNTHESIS:Among</w:t>
      </w:r>
      <w:proofErr w:type="gramEnd"/>
      <w:r w:rsidRPr="00FD0727">
        <w:rPr>
          <w:rFonts w:asciiTheme="majorHAnsi" w:hAnsiTheme="majorHAnsi"/>
          <w:color w:val="000000" w:themeColor="text1"/>
          <w:sz w:val="22"/>
          <w:szCs w:val="22"/>
        </w:rPr>
        <w:t xml:space="preserve"> 5,926 studies identified, nine were included. Five studies were prospective, and four were retrospective. The definition of transfusion-associated circulatory overload varied among studies. The pooled incidence of transfusion-associated circulatory overload was of 5.5% (95% CI, 2.6-9.4%) in adult ICUs (four studies, 2,252 patients, high heterogeneity). In PICUs, two studies (345 patients) reported 0 cases, and a third study (136 patients) reported variable incidences between 1.5% and 76%, depending on diagnostic criteria. Risk factors for transfusion-associated circulatory overload included positive fluid balance, the number and type of products transfused, rate of transfusion, and cardiovascular and renal comorbidities. Transfusion-associated circulatory overload was associated with increased ICU and hospital lengths of stay, whereas the association with mortality was not consistent.</w:t>
      </w:r>
    </w:p>
    <w:p w14:paraId="3C566254" w14:textId="77777777" w:rsidR="00C776B7" w:rsidRPr="00FD0727" w:rsidRDefault="00C776B7">
      <w:pPr>
        <w:rPr>
          <w:rFonts w:asciiTheme="majorHAnsi" w:hAnsiTheme="majorHAnsi"/>
          <w:color w:val="000000" w:themeColor="text1"/>
          <w:sz w:val="22"/>
          <w:szCs w:val="22"/>
        </w:rPr>
      </w:pPr>
    </w:p>
    <w:p w14:paraId="5906F72C"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CONCLUSIONS:Transfusion</w:t>
      </w:r>
      <w:proofErr w:type="gramEnd"/>
      <w:r w:rsidRPr="00FD0727">
        <w:rPr>
          <w:rFonts w:asciiTheme="majorHAnsi" w:hAnsiTheme="majorHAnsi"/>
          <w:color w:val="000000" w:themeColor="text1"/>
          <w:sz w:val="22"/>
          <w:szCs w:val="22"/>
        </w:rPr>
        <w:t>-associated circulatory overload is frequent in ICU patients and is associated with adverse outcomes. The lack of a pediatric-adjusted definition of transfusion-associated circulatory overload may lead to a risk of underdiagnosis of this condition in PICUs. Further research is warranted to improve the knowledge of transfusion-associated circulatory overload and the safety of transfusion in ICU patients.</w:t>
      </w:r>
    </w:p>
    <w:p w14:paraId="7B4537D6" w14:textId="77777777" w:rsidR="00C776B7" w:rsidRPr="00FD0727" w:rsidRDefault="00C776B7">
      <w:pPr>
        <w:rPr>
          <w:rFonts w:asciiTheme="majorHAnsi" w:hAnsiTheme="majorHAnsi"/>
          <w:color w:val="000000" w:themeColor="text1"/>
          <w:sz w:val="22"/>
          <w:szCs w:val="22"/>
        </w:rPr>
      </w:pPr>
    </w:p>
    <w:p w14:paraId="297BF951"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Critical Care Medicine, 2019 vol. 47 (6) pp. 849-856.</w:t>
      </w:r>
    </w:p>
    <w:p w14:paraId="1418538C" w14:textId="77777777" w:rsidR="00C776B7" w:rsidRDefault="00FD0727">
      <w:pPr>
        <w:rPr>
          <w:rStyle w:val="Hyperlink"/>
          <w:rFonts w:asciiTheme="majorHAnsi" w:hAnsiTheme="majorHAnsi"/>
          <w:color w:val="000000" w:themeColor="text1"/>
          <w:sz w:val="22"/>
          <w:szCs w:val="22"/>
        </w:rPr>
      </w:pPr>
      <w:hyperlink r:id="rId40" w:history="1">
        <w:r w:rsidRPr="00FD0727">
          <w:rPr>
            <w:rStyle w:val="Hyperlink"/>
            <w:rFonts w:asciiTheme="majorHAnsi" w:hAnsiTheme="majorHAnsi"/>
            <w:color w:val="000000" w:themeColor="text1"/>
            <w:sz w:val="22"/>
            <w:szCs w:val="22"/>
          </w:rPr>
          <w:t>http://eutils.ncbi.nlm.nih.gov/entrez/eutils/elink.fcgi?dbfrom=pubmed&amp;id=30882480&amp;retmode=ref&amp;cmd=prlinks</w:t>
        </w:r>
      </w:hyperlink>
    </w:p>
    <w:p w14:paraId="3F19BC8F" w14:textId="77777777" w:rsidR="0051301B" w:rsidRPr="00FD0727" w:rsidRDefault="0051301B">
      <w:pPr>
        <w:rPr>
          <w:rFonts w:asciiTheme="majorHAnsi" w:hAnsiTheme="majorHAnsi"/>
          <w:color w:val="000000" w:themeColor="text1"/>
          <w:sz w:val="22"/>
          <w:szCs w:val="22"/>
        </w:rPr>
      </w:pPr>
    </w:p>
    <w:p w14:paraId="756F65FB" w14:textId="7515EC9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4DA84ADD" w14:textId="77777777" w:rsidR="00C776B7" w:rsidRPr="00374455" w:rsidRDefault="00FD0727">
      <w:pPr>
        <w:pStyle w:val="Heading4"/>
        <w:rPr>
          <w:rFonts w:asciiTheme="majorHAnsi" w:hAnsiTheme="majorHAnsi"/>
          <w:b/>
          <w:color w:val="000000" w:themeColor="text1"/>
          <w:sz w:val="22"/>
          <w:szCs w:val="22"/>
        </w:rPr>
      </w:pPr>
      <w:r w:rsidRPr="00374455">
        <w:rPr>
          <w:rFonts w:asciiTheme="majorHAnsi" w:hAnsiTheme="majorHAnsi"/>
          <w:b/>
          <w:color w:val="000000" w:themeColor="text1"/>
          <w:sz w:val="22"/>
          <w:szCs w:val="22"/>
        </w:rPr>
        <w:t>Association Between Mean Arterial Pressure and Acute Kidney Injury and a Composite of Myocardial Injury and Mortality in Postoperative Critically Ill Patients: A Retrospective Cohort Analysis.</w:t>
      </w:r>
    </w:p>
    <w:p w14:paraId="4C4CE3B7" w14:textId="77777777" w:rsidR="00C776B7" w:rsidRPr="00FD0727" w:rsidRDefault="00C776B7">
      <w:pPr>
        <w:rPr>
          <w:rFonts w:asciiTheme="majorHAnsi" w:hAnsiTheme="majorHAnsi"/>
          <w:color w:val="000000" w:themeColor="text1"/>
          <w:sz w:val="22"/>
          <w:szCs w:val="22"/>
        </w:rPr>
      </w:pPr>
    </w:p>
    <w:p w14:paraId="3CC8BEBE"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Ashish K Khanna, Kamal Maheshwari, Guangmei Mao, Liu Liu, Silvia E Perez-Protto, Praneeta Chodavarapu, Yehoshua N Schacham, and Daniel I Sessler.</w:t>
      </w:r>
    </w:p>
    <w:p w14:paraId="7C4A6200" w14:textId="77777777" w:rsidR="00C776B7" w:rsidRPr="00FD0727" w:rsidRDefault="00C776B7">
      <w:pPr>
        <w:rPr>
          <w:rFonts w:asciiTheme="majorHAnsi" w:hAnsiTheme="majorHAnsi"/>
          <w:color w:val="000000" w:themeColor="text1"/>
          <w:sz w:val="22"/>
          <w:szCs w:val="22"/>
        </w:rPr>
      </w:pPr>
    </w:p>
    <w:p w14:paraId="4C9E982E"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OBJECTIVES:Hypotension</w:t>
      </w:r>
      <w:proofErr w:type="gramEnd"/>
      <w:r w:rsidRPr="00FD0727">
        <w:rPr>
          <w:rFonts w:asciiTheme="majorHAnsi" w:hAnsiTheme="majorHAnsi"/>
          <w:color w:val="000000" w:themeColor="text1"/>
          <w:sz w:val="22"/>
          <w:szCs w:val="22"/>
        </w:rPr>
        <w:t xml:space="preserve"> thresholds that provoke renal injury, myocardial injury, and mortality in critical care patients remain unknown. We primarily sought to determine the relationship between hypotension and a composite of myocardial injury (troponin T ≥ 0.03 ng/ mL without nonischemic cause) and death up to 7 postoperative days. Secondarily, we considered acute kidney injury (creatinine concentration ≥ 0.3 mg/dL or 1.5 times baseline).</w:t>
      </w:r>
    </w:p>
    <w:p w14:paraId="7B40F20D" w14:textId="77777777" w:rsidR="00C776B7" w:rsidRPr="00FD0727" w:rsidRDefault="00C776B7">
      <w:pPr>
        <w:rPr>
          <w:rFonts w:asciiTheme="majorHAnsi" w:hAnsiTheme="majorHAnsi"/>
          <w:color w:val="000000" w:themeColor="text1"/>
          <w:sz w:val="22"/>
          <w:szCs w:val="22"/>
        </w:rPr>
      </w:pPr>
    </w:p>
    <w:p w14:paraId="0592D8A8"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DESIGN:Retrospective</w:t>
      </w:r>
      <w:proofErr w:type="gramEnd"/>
      <w:r w:rsidRPr="00FD0727">
        <w:rPr>
          <w:rFonts w:asciiTheme="majorHAnsi" w:hAnsiTheme="majorHAnsi"/>
          <w:color w:val="000000" w:themeColor="text1"/>
          <w:sz w:val="22"/>
          <w:szCs w:val="22"/>
        </w:rPr>
        <w:t xml:space="preserve"> cohort.</w:t>
      </w:r>
    </w:p>
    <w:p w14:paraId="6D8E694A" w14:textId="77777777" w:rsidR="00C776B7" w:rsidRPr="00FD0727" w:rsidRDefault="00C776B7">
      <w:pPr>
        <w:rPr>
          <w:rFonts w:asciiTheme="majorHAnsi" w:hAnsiTheme="majorHAnsi"/>
          <w:color w:val="000000" w:themeColor="text1"/>
          <w:sz w:val="22"/>
          <w:szCs w:val="22"/>
        </w:rPr>
      </w:pPr>
    </w:p>
    <w:p w14:paraId="0B6A27EF"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lastRenderedPageBreak/>
        <w:t>SETTING:Surgical</w:t>
      </w:r>
      <w:proofErr w:type="gramEnd"/>
      <w:r w:rsidRPr="00FD0727">
        <w:rPr>
          <w:rFonts w:asciiTheme="majorHAnsi" w:hAnsiTheme="majorHAnsi"/>
          <w:color w:val="000000" w:themeColor="text1"/>
          <w:sz w:val="22"/>
          <w:szCs w:val="22"/>
        </w:rPr>
        <w:t xml:space="preserve"> ICU at an academic medical center.</w:t>
      </w:r>
    </w:p>
    <w:p w14:paraId="028AAC9B" w14:textId="77777777" w:rsidR="00C776B7" w:rsidRPr="00FD0727" w:rsidRDefault="00C776B7">
      <w:pPr>
        <w:rPr>
          <w:rFonts w:asciiTheme="majorHAnsi" w:hAnsiTheme="majorHAnsi"/>
          <w:color w:val="000000" w:themeColor="text1"/>
          <w:sz w:val="22"/>
          <w:szCs w:val="22"/>
        </w:rPr>
      </w:pPr>
    </w:p>
    <w:p w14:paraId="1D0C734D"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PATIENTS:Two</w:t>
      </w:r>
      <w:proofErr w:type="gramEnd"/>
      <w:r w:rsidRPr="00FD0727">
        <w:rPr>
          <w:rFonts w:asciiTheme="majorHAnsi" w:hAnsiTheme="majorHAnsi"/>
          <w:color w:val="000000" w:themeColor="text1"/>
          <w:sz w:val="22"/>
          <w:szCs w:val="22"/>
        </w:rPr>
        <w:t>-thousand eight-hundred thirty-three postoperative patients admitted to the surgical ICU.</w:t>
      </w:r>
    </w:p>
    <w:p w14:paraId="01B02546" w14:textId="77777777" w:rsidR="00C776B7" w:rsidRPr="00FD0727" w:rsidRDefault="00C776B7">
      <w:pPr>
        <w:rPr>
          <w:rFonts w:asciiTheme="majorHAnsi" w:hAnsiTheme="majorHAnsi"/>
          <w:color w:val="000000" w:themeColor="text1"/>
          <w:sz w:val="22"/>
          <w:szCs w:val="22"/>
        </w:rPr>
      </w:pPr>
    </w:p>
    <w:p w14:paraId="5D929FCE"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INTERVENTIONS:A</w:t>
      </w:r>
      <w:proofErr w:type="gramEnd"/>
      <w:r w:rsidRPr="00FD0727">
        <w:rPr>
          <w:rFonts w:asciiTheme="majorHAnsi" w:hAnsiTheme="majorHAnsi"/>
          <w:color w:val="000000" w:themeColor="text1"/>
          <w:sz w:val="22"/>
          <w:szCs w:val="22"/>
        </w:rPr>
        <w:t xml:space="preserve"> Cox proportional hazard survival model was used to assess the association between lowest mean arterial pressure on each intensive care day, considered as a time-varying covariate, and outcomes. In sensitivity analyses hypotension defined as pressures less than 80 mm Hg and 70 mm Hg were also considered.</w:t>
      </w:r>
    </w:p>
    <w:p w14:paraId="5D099693" w14:textId="77777777" w:rsidR="00C776B7" w:rsidRPr="00FD0727" w:rsidRDefault="00C776B7">
      <w:pPr>
        <w:rPr>
          <w:rFonts w:asciiTheme="majorHAnsi" w:hAnsiTheme="majorHAnsi"/>
          <w:color w:val="000000" w:themeColor="text1"/>
          <w:sz w:val="22"/>
          <w:szCs w:val="22"/>
        </w:rPr>
      </w:pPr>
    </w:p>
    <w:p w14:paraId="53E27618"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MEASUREMENTS AND MAIN </w:t>
      </w:r>
      <w:proofErr w:type="gramStart"/>
      <w:r w:rsidRPr="00FD0727">
        <w:rPr>
          <w:rFonts w:asciiTheme="majorHAnsi" w:hAnsiTheme="majorHAnsi"/>
          <w:color w:val="000000" w:themeColor="text1"/>
          <w:sz w:val="22"/>
          <w:szCs w:val="22"/>
        </w:rPr>
        <w:t>RESULTS:There</w:t>
      </w:r>
      <w:proofErr w:type="gramEnd"/>
      <w:r w:rsidRPr="00FD0727">
        <w:rPr>
          <w:rFonts w:asciiTheme="majorHAnsi" w:hAnsiTheme="majorHAnsi"/>
          <w:color w:val="000000" w:themeColor="text1"/>
          <w:sz w:val="22"/>
          <w:szCs w:val="22"/>
        </w:rPr>
        <w:t xml:space="preserve"> was a strong nonlinear (quadratic) association between the lowest mean arterial pressure and the primary outcome of myocardial injury after noncardiac surgery or mortality, with estimated risk increasing at lower pressures. The risk of myocardial injury after noncardiac surgery or mortality was an estimated 23% higher at the 25th percentile (78 mm Hg) of lowest mean arterial pressure compared with at the median of 87 mm Hg, with adjusted hazard ratio (95% CI) of 1.23 (1.12-1.355; p &lt; 0.001). Overall results were generally similar in sensitivity analyses based on every hour of mean arterial pressure less than 80 mm Hg and any mean arterial pressure less than 70 mm Hg. Post hoc analyses showed that the relationship between ICU hypotension and outcomes depended on the amount of intraoperative hypotension. The risk of acute kidney injury increased over a range of minimum daily pressures from 110 mm Hg to 50 mm Hg, with an adjusted hazard ratio of 1.27 (95% CI, 1.18-1.37; p &lt; 0.001).</w:t>
      </w:r>
    </w:p>
    <w:p w14:paraId="31D957C1" w14:textId="77777777" w:rsidR="00C776B7" w:rsidRPr="00FD0727" w:rsidRDefault="00C776B7">
      <w:pPr>
        <w:rPr>
          <w:rFonts w:asciiTheme="majorHAnsi" w:hAnsiTheme="majorHAnsi"/>
          <w:color w:val="000000" w:themeColor="text1"/>
          <w:sz w:val="22"/>
          <w:szCs w:val="22"/>
        </w:rPr>
      </w:pPr>
    </w:p>
    <w:p w14:paraId="7A084334"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CONCLUSIONS:Increasing</w:t>
      </w:r>
      <w:proofErr w:type="gramEnd"/>
      <w:r w:rsidRPr="00FD0727">
        <w:rPr>
          <w:rFonts w:asciiTheme="majorHAnsi" w:hAnsiTheme="majorHAnsi"/>
          <w:color w:val="000000" w:themeColor="text1"/>
          <w:sz w:val="22"/>
          <w:szCs w:val="22"/>
        </w:rPr>
        <w:t xml:space="preserve"> amounts of hypotension (defined by lowest mean arterial pressures per day) were strongly associated with myocardial injury, mortality, and renal injury in postoperative critical care patients.</w:t>
      </w:r>
    </w:p>
    <w:p w14:paraId="2A0715A8" w14:textId="77777777" w:rsidR="00C776B7" w:rsidRPr="00FD0727" w:rsidRDefault="00C776B7">
      <w:pPr>
        <w:rPr>
          <w:rFonts w:asciiTheme="majorHAnsi" w:hAnsiTheme="majorHAnsi"/>
          <w:color w:val="000000" w:themeColor="text1"/>
          <w:sz w:val="22"/>
          <w:szCs w:val="22"/>
        </w:rPr>
      </w:pPr>
    </w:p>
    <w:p w14:paraId="6CD699EE"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Critical Care Medicine, 2019 vol. 47 (7) pp. 910-917.</w:t>
      </w:r>
    </w:p>
    <w:p w14:paraId="7FDC3FBC" w14:textId="77777777" w:rsidR="00C776B7" w:rsidRDefault="00FD0727">
      <w:pPr>
        <w:rPr>
          <w:rStyle w:val="Hyperlink"/>
          <w:rFonts w:asciiTheme="majorHAnsi" w:hAnsiTheme="majorHAnsi"/>
          <w:color w:val="000000" w:themeColor="text1"/>
          <w:sz w:val="22"/>
          <w:szCs w:val="22"/>
        </w:rPr>
      </w:pPr>
      <w:hyperlink r:id="rId41" w:history="1">
        <w:r w:rsidRPr="00FD0727">
          <w:rPr>
            <w:rStyle w:val="Hyperlink"/>
            <w:rFonts w:asciiTheme="majorHAnsi" w:hAnsiTheme="majorHAnsi"/>
            <w:color w:val="000000" w:themeColor="text1"/>
            <w:sz w:val="22"/>
            <w:szCs w:val="22"/>
          </w:rPr>
          <w:t>http://eutils.ncbi.nlm.nih.gov/entrez/eutils/elink.fcgi?dbfrom=pubmed&amp;id=30985388&amp;retmode=ref&amp;cmd=prlinks</w:t>
        </w:r>
      </w:hyperlink>
    </w:p>
    <w:p w14:paraId="652245AE" w14:textId="77777777" w:rsidR="00374455" w:rsidRPr="00FD0727" w:rsidRDefault="00374455">
      <w:pPr>
        <w:rPr>
          <w:rFonts w:asciiTheme="majorHAnsi" w:hAnsiTheme="majorHAnsi"/>
          <w:color w:val="000000" w:themeColor="text1"/>
          <w:sz w:val="22"/>
          <w:szCs w:val="22"/>
        </w:rPr>
      </w:pPr>
    </w:p>
    <w:p w14:paraId="3F860E4D"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14DF7552" w14:textId="77777777" w:rsidR="00C776B7" w:rsidRPr="00374455" w:rsidRDefault="00FD0727">
      <w:pPr>
        <w:pStyle w:val="Heading4"/>
        <w:rPr>
          <w:rFonts w:asciiTheme="majorHAnsi" w:hAnsiTheme="majorHAnsi"/>
          <w:b/>
          <w:color w:val="000000" w:themeColor="text1"/>
          <w:sz w:val="22"/>
          <w:szCs w:val="22"/>
        </w:rPr>
      </w:pPr>
      <w:r w:rsidRPr="00374455">
        <w:rPr>
          <w:rFonts w:asciiTheme="majorHAnsi" w:hAnsiTheme="majorHAnsi"/>
          <w:b/>
          <w:color w:val="000000" w:themeColor="text1"/>
          <w:sz w:val="22"/>
          <w:szCs w:val="22"/>
        </w:rPr>
        <w:t>Association of Blood Component Ratios With 24-Hour Mortality in Injured Children Receiving Massive Transfusion.</w:t>
      </w:r>
    </w:p>
    <w:p w14:paraId="5BA479FE" w14:textId="77777777" w:rsidR="00C776B7" w:rsidRPr="00FD0727" w:rsidRDefault="00C776B7">
      <w:pPr>
        <w:rPr>
          <w:rFonts w:asciiTheme="majorHAnsi" w:hAnsiTheme="majorHAnsi"/>
          <w:color w:val="000000" w:themeColor="text1"/>
          <w:sz w:val="22"/>
          <w:szCs w:val="22"/>
        </w:rPr>
      </w:pPr>
    </w:p>
    <w:p w14:paraId="4FE8EFBF"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Elissa K Butler, Brianna M Mills, Saman Arbabi, Eileen M Bulger, Monica S Vavilala, Jonathan I Groner, Lynn G Stansbury, John R Hess, and Frederick P Rivara.</w:t>
      </w:r>
    </w:p>
    <w:p w14:paraId="3642507F" w14:textId="77777777" w:rsidR="00C776B7" w:rsidRPr="00FD0727" w:rsidRDefault="00C776B7">
      <w:pPr>
        <w:rPr>
          <w:rFonts w:asciiTheme="majorHAnsi" w:hAnsiTheme="majorHAnsi"/>
          <w:color w:val="000000" w:themeColor="text1"/>
          <w:sz w:val="22"/>
          <w:szCs w:val="22"/>
        </w:rPr>
      </w:pPr>
    </w:p>
    <w:p w14:paraId="2916F75F"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OBJECTIVES:To</w:t>
      </w:r>
      <w:proofErr w:type="gramEnd"/>
      <w:r w:rsidRPr="00FD0727">
        <w:rPr>
          <w:rFonts w:asciiTheme="majorHAnsi" w:hAnsiTheme="majorHAnsi"/>
          <w:color w:val="000000" w:themeColor="text1"/>
          <w:sz w:val="22"/>
          <w:szCs w:val="22"/>
        </w:rPr>
        <w:t xml:space="preserve"> determine if higher fresh frozen plasma and platelet to packed RBC ratios are associated with lower 24-hour mortality in bleeding pediatric trauma patients.</w:t>
      </w:r>
    </w:p>
    <w:p w14:paraId="711CCC2E" w14:textId="77777777" w:rsidR="00C776B7" w:rsidRPr="00FD0727" w:rsidRDefault="00C776B7">
      <w:pPr>
        <w:rPr>
          <w:rFonts w:asciiTheme="majorHAnsi" w:hAnsiTheme="majorHAnsi"/>
          <w:color w:val="000000" w:themeColor="text1"/>
          <w:sz w:val="22"/>
          <w:szCs w:val="22"/>
        </w:rPr>
      </w:pPr>
    </w:p>
    <w:p w14:paraId="78D1E44A"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DESIGN:Retrospective</w:t>
      </w:r>
      <w:proofErr w:type="gramEnd"/>
      <w:r w:rsidRPr="00FD0727">
        <w:rPr>
          <w:rFonts w:asciiTheme="majorHAnsi" w:hAnsiTheme="majorHAnsi"/>
          <w:color w:val="000000" w:themeColor="text1"/>
          <w:sz w:val="22"/>
          <w:szCs w:val="22"/>
        </w:rPr>
        <w:t xml:space="preserve"> cohort study using the Pediatric Trauma Quality Improvement Program Database from 2014 to 2016.</w:t>
      </w:r>
    </w:p>
    <w:p w14:paraId="272FD429" w14:textId="77777777" w:rsidR="00C776B7" w:rsidRPr="00FD0727" w:rsidRDefault="00C776B7">
      <w:pPr>
        <w:rPr>
          <w:rFonts w:asciiTheme="majorHAnsi" w:hAnsiTheme="majorHAnsi"/>
          <w:color w:val="000000" w:themeColor="text1"/>
          <w:sz w:val="22"/>
          <w:szCs w:val="22"/>
        </w:rPr>
      </w:pPr>
    </w:p>
    <w:p w14:paraId="70EAE44F"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SETTING:Level</w:t>
      </w:r>
      <w:proofErr w:type="gramEnd"/>
      <w:r w:rsidRPr="00FD0727">
        <w:rPr>
          <w:rFonts w:asciiTheme="majorHAnsi" w:hAnsiTheme="majorHAnsi"/>
          <w:color w:val="000000" w:themeColor="text1"/>
          <w:sz w:val="22"/>
          <w:szCs w:val="22"/>
        </w:rPr>
        <w:t xml:space="preserve"> I and II pediatric trauma centers participating in the Trauma Quality Improvement Program PATIENTS:: Injured children (≤ 14 yr old) who received massive transfusion (≥ 40 mL/kg total blood products in 24 hr). Of 123,836 patients, 590 underwent massive transfusion, of which 583 met inclusion criteria.</w:t>
      </w:r>
    </w:p>
    <w:p w14:paraId="7E45AC79" w14:textId="77777777" w:rsidR="00C776B7" w:rsidRPr="00FD0727" w:rsidRDefault="00C776B7">
      <w:pPr>
        <w:rPr>
          <w:rFonts w:asciiTheme="majorHAnsi" w:hAnsiTheme="majorHAnsi"/>
          <w:color w:val="000000" w:themeColor="text1"/>
          <w:sz w:val="22"/>
          <w:szCs w:val="22"/>
        </w:rPr>
      </w:pPr>
    </w:p>
    <w:p w14:paraId="51F68EE0"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INTERVENTIONS:None</w:t>
      </w:r>
      <w:proofErr w:type="gramEnd"/>
      <w:r w:rsidRPr="00FD0727">
        <w:rPr>
          <w:rFonts w:asciiTheme="majorHAnsi" w:hAnsiTheme="majorHAnsi"/>
          <w:color w:val="000000" w:themeColor="text1"/>
          <w:sz w:val="22"/>
          <w:szCs w:val="22"/>
        </w:rPr>
        <w:t>.</w:t>
      </w:r>
    </w:p>
    <w:p w14:paraId="7AD3F705" w14:textId="77777777" w:rsidR="00C776B7" w:rsidRPr="00FD0727" w:rsidRDefault="00C776B7">
      <w:pPr>
        <w:rPr>
          <w:rFonts w:asciiTheme="majorHAnsi" w:hAnsiTheme="majorHAnsi"/>
          <w:color w:val="000000" w:themeColor="text1"/>
          <w:sz w:val="22"/>
          <w:szCs w:val="22"/>
        </w:rPr>
      </w:pPr>
    </w:p>
    <w:p w14:paraId="30B87E3E"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MEASUREMENTS AND MAIN </w:t>
      </w:r>
      <w:proofErr w:type="gramStart"/>
      <w:r w:rsidRPr="00FD0727">
        <w:rPr>
          <w:rFonts w:asciiTheme="majorHAnsi" w:hAnsiTheme="majorHAnsi"/>
          <w:color w:val="000000" w:themeColor="text1"/>
          <w:sz w:val="22"/>
          <w:szCs w:val="22"/>
        </w:rPr>
        <w:t>RESULTS:Ratios</w:t>
      </w:r>
      <w:proofErr w:type="gramEnd"/>
      <w:r w:rsidRPr="00FD0727">
        <w:rPr>
          <w:rFonts w:asciiTheme="majorHAnsi" w:hAnsiTheme="majorHAnsi"/>
          <w:color w:val="000000" w:themeColor="text1"/>
          <w:sz w:val="22"/>
          <w:szCs w:val="22"/>
        </w:rPr>
        <w:t xml:space="preserve"> of fresh frozen plasma:packed RBC and platelet:packed RBC. Of the 583 patients, 60% were male and the median age was 5 years (interquartile range, 2-10 yr). Overall mortality was 19.7% (95% CI, 16.6-23.2%) at 24 hours. There was 51% (adjusted relative risk, 0.49; 95% CI, 0.27-0.87; p = 0.02) and 40% (adjusted relative risk, 0.60; 95% CI, 0.39-0.92; p = 0.02) lower risk of death at 24 hours for the high (≥ 1:1) and medium (≥ 1:2 and &lt; 1:1) fresh frozen </w:t>
      </w:r>
      <w:proofErr w:type="gramStart"/>
      <w:r w:rsidRPr="00FD0727">
        <w:rPr>
          <w:rFonts w:asciiTheme="majorHAnsi" w:hAnsiTheme="majorHAnsi"/>
          <w:color w:val="000000" w:themeColor="text1"/>
          <w:sz w:val="22"/>
          <w:szCs w:val="22"/>
        </w:rPr>
        <w:t>plasma:packed</w:t>
      </w:r>
      <w:proofErr w:type="gramEnd"/>
      <w:r w:rsidRPr="00FD0727">
        <w:rPr>
          <w:rFonts w:asciiTheme="majorHAnsi" w:hAnsiTheme="majorHAnsi"/>
          <w:color w:val="000000" w:themeColor="text1"/>
          <w:sz w:val="22"/>
          <w:szCs w:val="22"/>
        </w:rPr>
        <w:t xml:space="preserve"> RBC ratio groups, respectively, compared with the low ratio group (&lt; 1:2). </w:t>
      </w:r>
      <w:proofErr w:type="gramStart"/>
      <w:r w:rsidRPr="00FD0727">
        <w:rPr>
          <w:rFonts w:asciiTheme="majorHAnsi" w:hAnsiTheme="majorHAnsi"/>
          <w:color w:val="000000" w:themeColor="text1"/>
          <w:sz w:val="22"/>
          <w:szCs w:val="22"/>
        </w:rPr>
        <w:t>Platelet:packed</w:t>
      </w:r>
      <w:proofErr w:type="gramEnd"/>
      <w:r w:rsidRPr="00FD0727">
        <w:rPr>
          <w:rFonts w:asciiTheme="majorHAnsi" w:hAnsiTheme="majorHAnsi"/>
          <w:color w:val="000000" w:themeColor="text1"/>
          <w:sz w:val="22"/>
          <w:szCs w:val="22"/>
        </w:rPr>
        <w:t xml:space="preserve"> RBC ratio was not associated with mortality (adjusted relative risk, 0.94; 95% CI, 0.51-1.71; p = 0.83).</w:t>
      </w:r>
    </w:p>
    <w:p w14:paraId="30CFDB14" w14:textId="77777777" w:rsidR="00C776B7" w:rsidRPr="00FD0727" w:rsidRDefault="00C776B7">
      <w:pPr>
        <w:rPr>
          <w:rFonts w:asciiTheme="majorHAnsi" w:hAnsiTheme="majorHAnsi"/>
          <w:color w:val="000000" w:themeColor="text1"/>
          <w:sz w:val="22"/>
          <w:szCs w:val="22"/>
        </w:rPr>
      </w:pPr>
    </w:p>
    <w:p w14:paraId="31145DD7"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CONCLUSIONS:Higher</w:t>
      </w:r>
      <w:proofErr w:type="gramEnd"/>
      <w:r w:rsidRPr="00FD0727">
        <w:rPr>
          <w:rFonts w:asciiTheme="majorHAnsi" w:hAnsiTheme="majorHAnsi"/>
          <w:color w:val="000000" w:themeColor="text1"/>
          <w:sz w:val="22"/>
          <w:szCs w:val="22"/>
        </w:rPr>
        <w:t xml:space="preserve"> fresh frozen plasma ratios were associated with lower 24-hour mortality in massively transfused pediatric trauma patients. The platelet ratio was not associated with mortality. Although these findings represent the largest study evaluating blood product ratios in pediatric trauma patients, prospective studies are necessary to determine the optimum blood product ratios to minimize mortality in this population.</w:t>
      </w:r>
    </w:p>
    <w:p w14:paraId="7560D732" w14:textId="77777777" w:rsidR="00C776B7" w:rsidRPr="00FD0727" w:rsidRDefault="00C776B7">
      <w:pPr>
        <w:rPr>
          <w:rFonts w:asciiTheme="majorHAnsi" w:hAnsiTheme="majorHAnsi"/>
          <w:color w:val="000000" w:themeColor="text1"/>
          <w:sz w:val="22"/>
          <w:szCs w:val="22"/>
        </w:rPr>
      </w:pPr>
    </w:p>
    <w:p w14:paraId="1F2C8E0E"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Critical Care Medicine, 2019 vol. 47 (7) pp. 975-983.</w:t>
      </w:r>
    </w:p>
    <w:p w14:paraId="0B52705A" w14:textId="77777777" w:rsidR="00C776B7" w:rsidRDefault="00FD0727">
      <w:pPr>
        <w:rPr>
          <w:rStyle w:val="Hyperlink"/>
          <w:rFonts w:asciiTheme="majorHAnsi" w:hAnsiTheme="majorHAnsi"/>
          <w:color w:val="000000" w:themeColor="text1"/>
          <w:sz w:val="22"/>
          <w:szCs w:val="22"/>
        </w:rPr>
      </w:pPr>
      <w:hyperlink r:id="rId42" w:history="1">
        <w:r w:rsidRPr="00FD0727">
          <w:rPr>
            <w:rStyle w:val="Hyperlink"/>
            <w:rFonts w:asciiTheme="majorHAnsi" w:hAnsiTheme="majorHAnsi"/>
            <w:color w:val="000000" w:themeColor="text1"/>
            <w:sz w:val="22"/>
            <w:szCs w:val="22"/>
          </w:rPr>
          <w:t>http://eutils.ncbi.nlm.nih.gov/entrez/eutils/elink.fcgi?dbfrom=pubmed&amp;id=31205079&amp;retmode=ref&amp;cmd=prlinks</w:t>
        </w:r>
      </w:hyperlink>
    </w:p>
    <w:p w14:paraId="6ED8028B" w14:textId="77777777" w:rsidR="00374455" w:rsidRPr="00FD0727" w:rsidRDefault="00374455">
      <w:pPr>
        <w:rPr>
          <w:rFonts w:asciiTheme="majorHAnsi" w:hAnsiTheme="majorHAnsi"/>
          <w:color w:val="000000" w:themeColor="text1"/>
          <w:sz w:val="22"/>
          <w:szCs w:val="22"/>
        </w:rPr>
      </w:pPr>
    </w:p>
    <w:p w14:paraId="74ACE82F"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28545BD2" w14:textId="77777777" w:rsidR="00C776B7" w:rsidRPr="00374455" w:rsidRDefault="00FD0727">
      <w:pPr>
        <w:pStyle w:val="Heading4"/>
        <w:rPr>
          <w:rFonts w:asciiTheme="majorHAnsi" w:hAnsiTheme="majorHAnsi"/>
          <w:b/>
          <w:color w:val="000000" w:themeColor="text1"/>
          <w:sz w:val="22"/>
          <w:szCs w:val="22"/>
        </w:rPr>
      </w:pPr>
      <w:r w:rsidRPr="00374455">
        <w:rPr>
          <w:rFonts w:asciiTheme="majorHAnsi" w:hAnsiTheme="majorHAnsi"/>
          <w:b/>
          <w:color w:val="000000" w:themeColor="text1"/>
          <w:sz w:val="22"/>
          <w:szCs w:val="22"/>
        </w:rPr>
        <w:t xml:space="preserve">Circulating Endothelial Cells </w:t>
      </w:r>
      <w:proofErr w:type="gramStart"/>
      <w:r w:rsidRPr="00374455">
        <w:rPr>
          <w:rFonts w:asciiTheme="majorHAnsi" w:hAnsiTheme="majorHAnsi"/>
          <w:b/>
          <w:color w:val="000000" w:themeColor="text1"/>
          <w:sz w:val="22"/>
          <w:szCs w:val="22"/>
        </w:rPr>
        <w:t>From</w:t>
      </w:r>
      <w:proofErr w:type="gramEnd"/>
      <w:r w:rsidRPr="00374455">
        <w:rPr>
          <w:rFonts w:asciiTheme="majorHAnsi" w:hAnsiTheme="majorHAnsi"/>
          <w:b/>
          <w:color w:val="000000" w:themeColor="text1"/>
          <w:sz w:val="22"/>
          <w:szCs w:val="22"/>
        </w:rPr>
        <w:t xml:space="preserve"> Septic Shock Patients Convert to Fibroblasts Are Associated With the Resuscitation Fluid Dose and Are Biomarkers for Survival Prediction.</w:t>
      </w:r>
    </w:p>
    <w:p w14:paraId="47534DCC" w14:textId="77777777" w:rsidR="00C776B7" w:rsidRPr="00FD0727" w:rsidRDefault="00C776B7">
      <w:pPr>
        <w:rPr>
          <w:rFonts w:asciiTheme="majorHAnsi" w:hAnsiTheme="majorHAnsi"/>
          <w:color w:val="000000" w:themeColor="text1"/>
          <w:sz w:val="22"/>
          <w:szCs w:val="22"/>
        </w:rPr>
      </w:pPr>
    </w:p>
    <w:p w14:paraId="61DC6206"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Pablo Tapia, Sebastian Gatica, Cristian Cortés-Rivera, Carolina Otero, Alvaro Becerra, Claudia A Riedel, Claudio Cabello-Verrugio, Alexis M Kalergis, and Felipe Simon.</w:t>
      </w:r>
    </w:p>
    <w:p w14:paraId="5EA974FE" w14:textId="77777777" w:rsidR="00C776B7" w:rsidRPr="00FD0727" w:rsidRDefault="00C776B7">
      <w:pPr>
        <w:rPr>
          <w:rFonts w:asciiTheme="majorHAnsi" w:hAnsiTheme="majorHAnsi"/>
          <w:color w:val="000000" w:themeColor="text1"/>
          <w:sz w:val="22"/>
          <w:szCs w:val="22"/>
        </w:rPr>
      </w:pPr>
    </w:p>
    <w:p w14:paraId="25FA14EF"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OBJECTIVES:To</w:t>
      </w:r>
      <w:proofErr w:type="gramEnd"/>
      <w:r w:rsidRPr="00FD0727">
        <w:rPr>
          <w:rFonts w:asciiTheme="majorHAnsi" w:hAnsiTheme="majorHAnsi"/>
          <w:color w:val="000000" w:themeColor="text1"/>
          <w:sz w:val="22"/>
          <w:szCs w:val="22"/>
        </w:rPr>
        <w:t xml:space="preserve"> determine whether circulating endothelial cells from septic shock patients and from nonseptic shock patients are transformed in activated fibroblast by changing the expression level of endothelial and fibrotic proteins, whether the level of the protein expression change is associated with the amount of administered resuscitation fluid, and whether this circulating endothelial cell protein expression change is a biomarker to predict sepsis survival.</w:t>
      </w:r>
    </w:p>
    <w:p w14:paraId="0601D471" w14:textId="77777777" w:rsidR="00C776B7" w:rsidRPr="00FD0727" w:rsidRDefault="00C776B7">
      <w:pPr>
        <w:rPr>
          <w:rFonts w:asciiTheme="majorHAnsi" w:hAnsiTheme="majorHAnsi"/>
          <w:color w:val="000000" w:themeColor="text1"/>
          <w:sz w:val="22"/>
          <w:szCs w:val="22"/>
        </w:rPr>
      </w:pPr>
    </w:p>
    <w:p w14:paraId="0F3FAEB2"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DESIGN:Prospective</w:t>
      </w:r>
      <w:proofErr w:type="gramEnd"/>
      <w:r w:rsidRPr="00FD0727">
        <w:rPr>
          <w:rFonts w:asciiTheme="majorHAnsi" w:hAnsiTheme="majorHAnsi"/>
          <w:color w:val="000000" w:themeColor="text1"/>
          <w:sz w:val="22"/>
          <w:szCs w:val="22"/>
        </w:rPr>
        <w:t xml:space="preserve"> study.</w:t>
      </w:r>
    </w:p>
    <w:p w14:paraId="191DAC9F" w14:textId="77777777" w:rsidR="00C776B7" w:rsidRPr="00FD0727" w:rsidRDefault="00C776B7">
      <w:pPr>
        <w:rPr>
          <w:rFonts w:asciiTheme="majorHAnsi" w:hAnsiTheme="majorHAnsi"/>
          <w:color w:val="000000" w:themeColor="text1"/>
          <w:sz w:val="22"/>
          <w:szCs w:val="22"/>
        </w:rPr>
      </w:pPr>
    </w:p>
    <w:p w14:paraId="22740DF4"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SETTING:Medical</w:t>
      </w:r>
      <w:proofErr w:type="gramEnd"/>
      <w:r w:rsidRPr="00FD0727">
        <w:rPr>
          <w:rFonts w:asciiTheme="majorHAnsi" w:hAnsiTheme="majorHAnsi"/>
          <w:color w:val="000000" w:themeColor="text1"/>
          <w:sz w:val="22"/>
          <w:szCs w:val="22"/>
        </w:rPr>
        <w:t>-surgical ICUs in a tertiary care hospital.</w:t>
      </w:r>
    </w:p>
    <w:p w14:paraId="59481A56" w14:textId="77777777" w:rsidR="00C776B7" w:rsidRPr="00FD0727" w:rsidRDefault="00C776B7">
      <w:pPr>
        <w:rPr>
          <w:rFonts w:asciiTheme="majorHAnsi" w:hAnsiTheme="majorHAnsi"/>
          <w:color w:val="000000" w:themeColor="text1"/>
          <w:sz w:val="22"/>
          <w:szCs w:val="22"/>
        </w:rPr>
      </w:pPr>
    </w:p>
    <w:p w14:paraId="3E274722"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PATIENTS:Forty</w:t>
      </w:r>
      <w:proofErr w:type="gramEnd"/>
      <w:r w:rsidRPr="00FD0727">
        <w:rPr>
          <w:rFonts w:asciiTheme="majorHAnsi" w:hAnsiTheme="majorHAnsi"/>
          <w:color w:val="000000" w:themeColor="text1"/>
          <w:sz w:val="22"/>
          <w:szCs w:val="22"/>
        </w:rPr>
        <w:t>-three patients admitted in ICU and 22 healthy volunteers.</w:t>
      </w:r>
    </w:p>
    <w:p w14:paraId="03E0C0CB" w14:textId="77777777" w:rsidR="00C776B7" w:rsidRPr="00FD0727" w:rsidRDefault="00C776B7">
      <w:pPr>
        <w:rPr>
          <w:rFonts w:asciiTheme="majorHAnsi" w:hAnsiTheme="majorHAnsi"/>
          <w:color w:val="000000" w:themeColor="text1"/>
          <w:sz w:val="22"/>
          <w:szCs w:val="22"/>
        </w:rPr>
      </w:pPr>
    </w:p>
    <w:p w14:paraId="6050CC43"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INTERVENTIONS:None</w:t>
      </w:r>
      <w:proofErr w:type="gramEnd"/>
      <w:r w:rsidRPr="00FD0727">
        <w:rPr>
          <w:rFonts w:asciiTheme="majorHAnsi" w:hAnsiTheme="majorHAnsi"/>
          <w:color w:val="000000" w:themeColor="text1"/>
          <w:sz w:val="22"/>
          <w:szCs w:val="22"/>
        </w:rPr>
        <w:t>.</w:t>
      </w:r>
    </w:p>
    <w:p w14:paraId="16B9201A" w14:textId="77777777" w:rsidR="00C776B7" w:rsidRPr="00FD0727" w:rsidRDefault="00C776B7">
      <w:pPr>
        <w:rPr>
          <w:rFonts w:asciiTheme="majorHAnsi" w:hAnsiTheme="majorHAnsi"/>
          <w:color w:val="000000" w:themeColor="text1"/>
          <w:sz w:val="22"/>
          <w:szCs w:val="22"/>
        </w:rPr>
      </w:pPr>
    </w:p>
    <w:p w14:paraId="57113F4A"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MEASUREMENTS AND MAIN </w:t>
      </w:r>
      <w:proofErr w:type="gramStart"/>
      <w:r w:rsidRPr="00FD0727">
        <w:rPr>
          <w:rFonts w:asciiTheme="majorHAnsi" w:hAnsiTheme="majorHAnsi"/>
          <w:color w:val="000000" w:themeColor="text1"/>
          <w:sz w:val="22"/>
          <w:szCs w:val="22"/>
        </w:rPr>
        <w:t>RESULTS:Circulating</w:t>
      </w:r>
      <w:proofErr w:type="gramEnd"/>
      <w:r w:rsidRPr="00FD0727">
        <w:rPr>
          <w:rFonts w:asciiTheme="majorHAnsi" w:hAnsiTheme="majorHAnsi"/>
          <w:color w:val="000000" w:themeColor="text1"/>
          <w:sz w:val="22"/>
          <w:szCs w:val="22"/>
        </w:rPr>
        <w:t xml:space="preserve"> mature endothelial cells and circulating endothelial progenitor cells from septic shock and nonseptic shock patients showed evidence of endothelial fibrosis by changing the endothelial protein expression pattern. The endothelial proteins were downregulated, whereas fibroblast-specific markers were increased. The magnitude of the expression change in endothelial and fibrotic proteins was higher in the septic shock nonsurvivors patients but not in nonseptic shock. Interestingly, the decrease in the endothelial protein expression was correlated with the administered resuscitation fluid better than the Acute Physiology and Chronic Health Evaluation II and Sequential Organ Failure Assessment scores in the septic shock nonsurvivors patients but not in </w:t>
      </w:r>
      <w:r w:rsidRPr="00FD0727">
        <w:rPr>
          <w:rFonts w:asciiTheme="majorHAnsi" w:hAnsiTheme="majorHAnsi"/>
          <w:color w:val="000000" w:themeColor="text1"/>
          <w:sz w:val="22"/>
          <w:szCs w:val="22"/>
        </w:rPr>
        <w:lastRenderedPageBreak/>
        <w:t>nonseptic shock. Notably, the significant difference between endothelial and fibrotic protein expression indicated a nonsurvival outcome in septic shock but not in nonseptic shock patients. Remarkably, area under the receiver operating characteristic curve analysis showed that endothelial protein expression levels predicted the survival outcome better than the Acute Physiology and Chronic Health Evaluation II and Sequential Organ Failure Assessment scores in septic shock but not in nonseptic shock patients.</w:t>
      </w:r>
    </w:p>
    <w:p w14:paraId="4BB5DC6A" w14:textId="77777777" w:rsidR="00C776B7" w:rsidRPr="00FD0727" w:rsidRDefault="00C776B7">
      <w:pPr>
        <w:rPr>
          <w:rFonts w:asciiTheme="majorHAnsi" w:hAnsiTheme="majorHAnsi"/>
          <w:color w:val="000000" w:themeColor="text1"/>
          <w:sz w:val="22"/>
          <w:szCs w:val="22"/>
        </w:rPr>
      </w:pPr>
    </w:p>
    <w:p w14:paraId="1AD5A2E1"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CONCLUSIONS:Circulating</w:t>
      </w:r>
      <w:proofErr w:type="gramEnd"/>
      <w:r w:rsidRPr="00FD0727">
        <w:rPr>
          <w:rFonts w:asciiTheme="majorHAnsi" w:hAnsiTheme="majorHAnsi"/>
          <w:color w:val="000000" w:themeColor="text1"/>
          <w:sz w:val="22"/>
          <w:szCs w:val="22"/>
        </w:rPr>
        <w:t xml:space="preserve"> endothelial cells from septic shock patients are acutely converted into fibroblasts. Endothelial and fibrotic protein expression level are associated with resuscitation fluid administration magnitude and can be used as biomarkers for an early survival diagnosis of sepsis.</w:t>
      </w:r>
    </w:p>
    <w:p w14:paraId="10D65973" w14:textId="77777777" w:rsidR="00C776B7" w:rsidRPr="00FD0727" w:rsidRDefault="00C776B7">
      <w:pPr>
        <w:rPr>
          <w:rFonts w:asciiTheme="majorHAnsi" w:hAnsiTheme="majorHAnsi"/>
          <w:color w:val="000000" w:themeColor="text1"/>
          <w:sz w:val="22"/>
          <w:szCs w:val="22"/>
        </w:rPr>
      </w:pPr>
    </w:p>
    <w:p w14:paraId="0A323DBD"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Critical Care Medicine, 2019 vol. 47 (7) pp. 942-950.</w:t>
      </w:r>
    </w:p>
    <w:p w14:paraId="44772E89" w14:textId="77777777" w:rsidR="00C776B7" w:rsidRDefault="00FD0727">
      <w:pPr>
        <w:rPr>
          <w:rStyle w:val="Hyperlink"/>
          <w:rFonts w:asciiTheme="majorHAnsi" w:hAnsiTheme="majorHAnsi"/>
          <w:color w:val="000000" w:themeColor="text1"/>
          <w:sz w:val="22"/>
          <w:szCs w:val="22"/>
        </w:rPr>
      </w:pPr>
      <w:hyperlink r:id="rId43" w:history="1">
        <w:r w:rsidRPr="00FD0727">
          <w:rPr>
            <w:rStyle w:val="Hyperlink"/>
            <w:rFonts w:asciiTheme="majorHAnsi" w:hAnsiTheme="majorHAnsi"/>
            <w:color w:val="000000" w:themeColor="text1"/>
            <w:sz w:val="22"/>
            <w:szCs w:val="22"/>
          </w:rPr>
          <w:t>http://eutils.ncbi.nlm.nih.gov/entrez/eutils/elink.fcgi?dbfrom=pubmed&amp;id=30998606&amp;retmode=ref&amp;cmd=prlinks</w:t>
        </w:r>
      </w:hyperlink>
    </w:p>
    <w:p w14:paraId="6FE682A2" w14:textId="77777777" w:rsidR="00374455" w:rsidRPr="00FD0727" w:rsidRDefault="00374455">
      <w:pPr>
        <w:rPr>
          <w:rFonts w:asciiTheme="majorHAnsi" w:hAnsiTheme="majorHAnsi"/>
          <w:color w:val="000000" w:themeColor="text1"/>
          <w:sz w:val="22"/>
          <w:szCs w:val="22"/>
        </w:rPr>
      </w:pPr>
    </w:p>
    <w:p w14:paraId="2B41246C"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7D1F173A" w14:textId="77777777" w:rsidR="00C776B7" w:rsidRPr="00374455" w:rsidRDefault="00FD0727">
      <w:pPr>
        <w:pStyle w:val="Heading4"/>
        <w:rPr>
          <w:rFonts w:asciiTheme="majorHAnsi" w:hAnsiTheme="majorHAnsi"/>
          <w:b/>
          <w:color w:val="000000" w:themeColor="text1"/>
          <w:sz w:val="22"/>
          <w:szCs w:val="22"/>
        </w:rPr>
      </w:pPr>
      <w:r w:rsidRPr="00374455">
        <w:rPr>
          <w:rFonts w:asciiTheme="majorHAnsi" w:hAnsiTheme="majorHAnsi"/>
          <w:b/>
          <w:color w:val="000000" w:themeColor="text1"/>
          <w:sz w:val="22"/>
          <w:szCs w:val="22"/>
        </w:rPr>
        <w:t>Fresh Red Cells for Transfusion in Critically Ill Adults: An Economic Evaluation of the Standard Issue Transfusion Versus Fresher Red-Cell Use in Intensive Care (TRANSFUSE) Clinical Trial.</w:t>
      </w:r>
    </w:p>
    <w:p w14:paraId="2CCAFDAA" w14:textId="77777777" w:rsidR="00C776B7" w:rsidRPr="00FD0727" w:rsidRDefault="00C776B7">
      <w:pPr>
        <w:rPr>
          <w:rFonts w:asciiTheme="majorHAnsi" w:hAnsiTheme="majorHAnsi"/>
          <w:color w:val="000000" w:themeColor="text1"/>
          <w:sz w:val="22"/>
          <w:szCs w:val="22"/>
        </w:rPr>
      </w:pPr>
    </w:p>
    <w:p w14:paraId="02722453"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Adam Irving, Alisa Higgins, Bridget Ady, Rinaldo Bellomo, D James Cooper, Craig French, Dashiell Gantner, Anthony Harris, David O Irving, Lynne Murray, Alistair Nichol, Dennis Petrie, Zoe K McQuilten, and Standard Issue Transfusion versus Fresher Red-Cell Use in Intensive Care (TRANSFUSE) Investigators and Australian and New Zealand Intensive Care Society Clinical Trials Group.</w:t>
      </w:r>
    </w:p>
    <w:p w14:paraId="6FE83527" w14:textId="77777777" w:rsidR="00C776B7" w:rsidRPr="00FD0727" w:rsidRDefault="00C776B7">
      <w:pPr>
        <w:rPr>
          <w:rFonts w:asciiTheme="majorHAnsi" w:hAnsiTheme="majorHAnsi"/>
          <w:color w:val="000000" w:themeColor="text1"/>
          <w:sz w:val="22"/>
          <w:szCs w:val="22"/>
        </w:rPr>
      </w:pPr>
    </w:p>
    <w:p w14:paraId="3A4C116E"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OBJECTIVES:Trials</w:t>
      </w:r>
      <w:proofErr w:type="gramEnd"/>
      <w:r w:rsidRPr="00FD0727">
        <w:rPr>
          <w:rFonts w:asciiTheme="majorHAnsi" w:hAnsiTheme="majorHAnsi"/>
          <w:color w:val="000000" w:themeColor="text1"/>
          <w:sz w:val="22"/>
          <w:szCs w:val="22"/>
        </w:rPr>
        <w:t xml:space="preserve"> comparing the effects of transfusing RBC units of different storage durations have considered mortality or morbidity as outcomes. We perform the first economic evaluation alongside a full age of blood clinical trial with a large population assessing the impact of RBC storage duration on quality-of-life and costs in critically ill adults.</w:t>
      </w:r>
    </w:p>
    <w:p w14:paraId="134587E6" w14:textId="77777777" w:rsidR="00C776B7" w:rsidRPr="00FD0727" w:rsidRDefault="00C776B7">
      <w:pPr>
        <w:rPr>
          <w:rFonts w:asciiTheme="majorHAnsi" w:hAnsiTheme="majorHAnsi"/>
          <w:color w:val="000000" w:themeColor="text1"/>
          <w:sz w:val="22"/>
          <w:szCs w:val="22"/>
        </w:rPr>
      </w:pPr>
    </w:p>
    <w:p w14:paraId="6D7B3B59"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DESIGN:Quality</w:t>
      </w:r>
      <w:proofErr w:type="gramEnd"/>
      <w:r w:rsidRPr="00FD0727">
        <w:rPr>
          <w:rFonts w:asciiTheme="majorHAnsi" w:hAnsiTheme="majorHAnsi"/>
          <w:color w:val="000000" w:themeColor="text1"/>
          <w:sz w:val="22"/>
          <w:szCs w:val="22"/>
        </w:rPr>
        <w:t>-of-life was measured at 6 months post randomization using the EuroQol 5-dimension 3-level instrument. The economic evaluation considers quality-adjusted life year and cost implications from randomization to 6 months. A generalized linear model was used to estimate incremental costs (2016 U.S. dollars) and quality-adjusted life years, respectively while adjusting for baseline characteristics.</w:t>
      </w:r>
    </w:p>
    <w:p w14:paraId="2BA0B966" w14:textId="77777777" w:rsidR="00C776B7" w:rsidRPr="00FD0727" w:rsidRDefault="00C776B7">
      <w:pPr>
        <w:rPr>
          <w:rFonts w:asciiTheme="majorHAnsi" w:hAnsiTheme="majorHAnsi"/>
          <w:color w:val="000000" w:themeColor="text1"/>
          <w:sz w:val="22"/>
          <w:szCs w:val="22"/>
        </w:rPr>
      </w:pPr>
    </w:p>
    <w:p w14:paraId="4FF53F77"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SETTING:Fifty</w:t>
      </w:r>
      <w:proofErr w:type="gramEnd"/>
      <w:r w:rsidRPr="00FD0727">
        <w:rPr>
          <w:rFonts w:asciiTheme="majorHAnsi" w:hAnsiTheme="majorHAnsi"/>
          <w:color w:val="000000" w:themeColor="text1"/>
          <w:sz w:val="22"/>
          <w:szCs w:val="22"/>
        </w:rPr>
        <w:t>-nine ICUs in five countries.</w:t>
      </w:r>
    </w:p>
    <w:p w14:paraId="0E90A807" w14:textId="77777777" w:rsidR="00C776B7" w:rsidRPr="00FD0727" w:rsidRDefault="00C776B7">
      <w:pPr>
        <w:rPr>
          <w:rFonts w:asciiTheme="majorHAnsi" w:hAnsiTheme="majorHAnsi"/>
          <w:color w:val="000000" w:themeColor="text1"/>
          <w:sz w:val="22"/>
          <w:szCs w:val="22"/>
        </w:rPr>
      </w:pPr>
    </w:p>
    <w:p w14:paraId="5E8AC851"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PATIENTS:Adults</w:t>
      </w:r>
      <w:proofErr w:type="gramEnd"/>
      <w:r w:rsidRPr="00FD0727">
        <w:rPr>
          <w:rFonts w:asciiTheme="majorHAnsi" w:hAnsiTheme="majorHAnsi"/>
          <w:color w:val="000000" w:themeColor="text1"/>
          <w:sz w:val="22"/>
          <w:szCs w:val="22"/>
        </w:rPr>
        <w:t xml:space="preserve"> with an anticipated ICU stay of at least 24 hours when the decision had been made to transfuse at least one RBC unit.</w:t>
      </w:r>
    </w:p>
    <w:p w14:paraId="0D33B8F9" w14:textId="77777777" w:rsidR="00C776B7" w:rsidRPr="00FD0727" w:rsidRDefault="00C776B7">
      <w:pPr>
        <w:rPr>
          <w:rFonts w:asciiTheme="majorHAnsi" w:hAnsiTheme="majorHAnsi"/>
          <w:color w:val="000000" w:themeColor="text1"/>
          <w:sz w:val="22"/>
          <w:szCs w:val="22"/>
        </w:rPr>
      </w:pPr>
    </w:p>
    <w:p w14:paraId="144BF15E"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INTERVENTIONS:Patients</w:t>
      </w:r>
      <w:proofErr w:type="gramEnd"/>
      <w:r w:rsidRPr="00FD0727">
        <w:rPr>
          <w:rFonts w:asciiTheme="majorHAnsi" w:hAnsiTheme="majorHAnsi"/>
          <w:color w:val="000000" w:themeColor="text1"/>
          <w:sz w:val="22"/>
          <w:szCs w:val="22"/>
        </w:rPr>
        <w:t xml:space="preserve"> were randomized to receive either the freshest or oldest available compatible RBC units (standard practice) in the hospital transfusion service.</w:t>
      </w:r>
    </w:p>
    <w:p w14:paraId="40774C82" w14:textId="77777777" w:rsidR="00C776B7" w:rsidRPr="00FD0727" w:rsidRDefault="00C776B7">
      <w:pPr>
        <w:rPr>
          <w:rFonts w:asciiTheme="majorHAnsi" w:hAnsiTheme="majorHAnsi"/>
          <w:color w:val="000000" w:themeColor="text1"/>
          <w:sz w:val="22"/>
          <w:szCs w:val="22"/>
        </w:rPr>
      </w:pPr>
    </w:p>
    <w:p w14:paraId="3BBEFB42"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MEASUREMENTS AND MAIN </w:t>
      </w:r>
      <w:proofErr w:type="gramStart"/>
      <w:r w:rsidRPr="00FD0727">
        <w:rPr>
          <w:rFonts w:asciiTheme="majorHAnsi" w:hAnsiTheme="majorHAnsi"/>
          <w:color w:val="000000" w:themeColor="text1"/>
          <w:sz w:val="22"/>
          <w:szCs w:val="22"/>
        </w:rPr>
        <w:t>RESULTS:EuroQol</w:t>
      </w:r>
      <w:proofErr w:type="gramEnd"/>
      <w:r w:rsidRPr="00FD0727">
        <w:rPr>
          <w:rFonts w:asciiTheme="majorHAnsi" w:hAnsiTheme="majorHAnsi"/>
          <w:color w:val="000000" w:themeColor="text1"/>
          <w:sz w:val="22"/>
          <w:szCs w:val="22"/>
        </w:rPr>
        <w:t xml:space="preserve"> 5-dimension 3-level utility scores were similar at 6 months-0.65 in the short-term and 0.63 in the long-term storage group (difference, 0.02; 95% CI,  0.00 to 0.04; p = 0.10). There were no significant differences in resource use between the two groups apart from 3.0 fewer hospital readmission days (95% </w:t>
      </w:r>
      <w:proofErr w:type="gramStart"/>
      <w:r w:rsidRPr="00FD0727">
        <w:rPr>
          <w:rFonts w:asciiTheme="majorHAnsi" w:hAnsiTheme="majorHAnsi"/>
          <w:color w:val="000000" w:themeColor="text1"/>
          <w:sz w:val="22"/>
          <w:szCs w:val="22"/>
        </w:rPr>
        <w:t>CI,  5.3</w:t>
      </w:r>
      <w:proofErr w:type="gramEnd"/>
      <w:r w:rsidRPr="00FD0727">
        <w:rPr>
          <w:rFonts w:asciiTheme="majorHAnsi" w:hAnsiTheme="majorHAnsi"/>
          <w:color w:val="000000" w:themeColor="text1"/>
          <w:sz w:val="22"/>
          <w:szCs w:val="22"/>
        </w:rPr>
        <w:t xml:space="preserve"> to 0.8; p = 0.01) during follow-up in the short-term storage group. There were no significant differences in adjusted total costs or quality-adjusted life years between the short- and long-term storage groups (incremental costs, -$2,358; 95% CI, -$5,586 to </w:t>
      </w:r>
      <w:r w:rsidRPr="00FD0727">
        <w:rPr>
          <w:rFonts w:asciiTheme="majorHAnsi" w:hAnsiTheme="majorHAnsi"/>
          <w:color w:val="000000" w:themeColor="text1"/>
          <w:sz w:val="22"/>
          <w:szCs w:val="22"/>
        </w:rPr>
        <w:lastRenderedPageBreak/>
        <w:t>$711) and incremental quality-adjusted life years: 0.003 quality-adjusted life years (95% CI, -0.003 to 0.008).</w:t>
      </w:r>
    </w:p>
    <w:p w14:paraId="28B9D943" w14:textId="77777777" w:rsidR="00C776B7" w:rsidRPr="00FD0727" w:rsidRDefault="00C776B7">
      <w:pPr>
        <w:rPr>
          <w:rFonts w:asciiTheme="majorHAnsi" w:hAnsiTheme="majorHAnsi"/>
          <w:color w:val="000000" w:themeColor="text1"/>
          <w:sz w:val="22"/>
          <w:szCs w:val="22"/>
        </w:rPr>
      </w:pPr>
    </w:p>
    <w:p w14:paraId="7CD0A159"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CONCLUSIONS:Without</w:t>
      </w:r>
      <w:proofErr w:type="gramEnd"/>
      <w:r w:rsidRPr="00FD0727">
        <w:rPr>
          <w:rFonts w:asciiTheme="majorHAnsi" w:hAnsiTheme="majorHAnsi"/>
          <w:color w:val="000000" w:themeColor="text1"/>
          <w:sz w:val="22"/>
          <w:szCs w:val="22"/>
        </w:rPr>
        <w:t xml:space="preserve"> considering the additional supply cost of implementing a freshest available RBC strategy for critical care patients, there is no evidence to suggest that the policy improves quality-of-life or reduces other costs compared with standard transfusion practice.</w:t>
      </w:r>
    </w:p>
    <w:p w14:paraId="6ACAD482" w14:textId="77777777" w:rsidR="00C776B7" w:rsidRPr="00FD0727" w:rsidRDefault="00C776B7">
      <w:pPr>
        <w:rPr>
          <w:rFonts w:asciiTheme="majorHAnsi" w:hAnsiTheme="majorHAnsi"/>
          <w:color w:val="000000" w:themeColor="text1"/>
          <w:sz w:val="22"/>
          <w:szCs w:val="22"/>
        </w:rPr>
      </w:pPr>
    </w:p>
    <w:p w14:paraId="02475EC4"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Critical Care Medicine, 2019 vol. 47 (7) pp. e572-e579.</w:t>
      </w:r>
    </w:p>
    <w:p w14:paraId="070B2919" w14:textId="77777777" w:rsidR="00C776B7" w:rsidRDefault="00FD0727">
      <w:pPr>
        <w:rPr>
          <w:rStyle w:val="Hyperlink"/>
          <w:rFonts w:asciiTheme="majorHAnsi" w:hAnsiTheme="majorHAnsi"/>
          <w:color w:val="000000" w:themeColor="text1"/>
          <w:sz w:val="22"/>
          <w:szCs w:val="22"/>
        </w:rPr>
      </w:pPr>
      <w:hyperlink r:id="rId44" w:history="1">
        <w:r w:rsidRPr="00FD0727">
          <w:rPr>
            <w:rStyle w:val="Hyperlink"/>
            <w:rFonts w:asciiTheme="majorHAnsi" w:hAnsiTheme="majorHAnsi"/>
            <w:color w:val="000000" w:themeColor="text1"/>
            <w:sz w:val="22"/>
            <w:szCs w:val="22"/>
          </w:rPr>
          <w:t>http://eutils.ncbi.nlm.nih.gov/entrez/eutils/elink.fcgi?dbfrom=pubmed&amp;id=31008734&amp;retmode=ref&amp;cmd=prlinks</w:t>
        </w:r>
      </w:hyperlink>
    </w:p>
    <w:p w14:paraId="792E6FAB" w14:textId="77777777" w:rsidR="00374455" w:rsidRPr="00FD0727" w:rsidRDefault="00374455">
      <w:pPr>
        <w:rPr>
          <w:rFonts w:asciiTheme="majorHAnsi" w:hAnsiTheme="majorHAnsi"/>
          <w:color w:val="000000" w:themeColor="text1"/>
          <w:sz w:val="22"/>
          <w:szCs w:val="22"/>
        </w:rPr>
      </w:pPr>
    </w:p>
    <w:p w14:paraId="523457C9"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3D18913A" w14:textId="77777777" w:rsidR="00C776B7" w:rsidRPr="00374455" w:rsidRDefault="00FD0727">
      <w:pPr>
        <w:pStyle w:val="Heading4"/>
        <w:rPr>
          <w:rFonts w:asciiTheme="majorHAnsi" w:hAnsiTheme="majorHAnsi"/>
          <w:b/>
          <w:color w:val="000000" w:themeColor="text1"/>
          <w:sz w:val="22"/>
          <w:szCs w:val="22"/>
        </w:rPr>
      </w:pPr>
      <w:r w:rsidRPr="00374455">
        <w:rPr>
          <w:rFonts w:asciiTheme="majorHAnsi" w:hAnsiTheme="majorHAnsi"/>
          <w:b/>
          <w:color w:val="000000" w:themeColor="text1"/>
          <w:sz w:val="22"/>
          <w:szCs w:val="22"/>
        </w:rPr>
        <w:t>Reducing Iatrogenic Pneumothoraces: Using Real-Time Ultrasound Guidance for Pleural Procedures.</w:t>
      </w:r>
    </w:p>
    <w:p w14:paraId="7288391B" w14:textId="77777777" w:rsidR="00C776B7" w:rsidRPr="00FD0727" w:rsidRDefault="00C776B7">
      <w:pPr>
        <w:rPr>
          <w:rFonts w:asciiTheme="majorHAnsi" w:hAnsiTheme="majorHAnsi"/>
          <w:color w:val="000000" w:themeColor="text1"/>
          <w:sz w:val="22"/>
          <w:szCs w:val="22"/>
        </w:rPr>
      </w:pPr>
    </w:p>
    <w:p w14:paraId="6F03B53F"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Scott A Helgeson, Ashley V Fritz, Mehmet M Tatari, Craig E Daniels, and Jose L Diaz-Gomez.</w:t>
      </w:r>
    </w:p>
    <w:p w14:paraId="7C4D1636" w14:textId="77777777" w:rsidR="00C776B7" w:rsidRPr="00FD0727" w:rsidRDefault="00C776B7">
      <w:pPr>
        <w:rPr>
          <w:rFonts w:asciiTheme="majorHAnsi" w:hAnsiTheme="majorHAnsi"/>
          <w:color w:val="000000" w:themeColor="text1"/>
          <w:sz w:val="22"/>
          <w:szCs w:val="22"/>
        </w:rPr>
      </w:pPr>
    </w:p>
    <w:p w14:paraId="345A1E36"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OBJECTIVES:Awareness</w:t>
      </w:r>
      <w:proofErr w:type="gramEnd"/>
      <w:r w:rsidRPr="00FD0727">
        <w:rPr>
          <w:rFonts w:asciiTheme="majorHAnsi" w:hAnsiTheme="majorHAnsi"/>
          <w:color w:val="000000" w:themeColor="text1"/>
          <w:sz w:val="22"/>
          <w:szCs w:val="22"/>
        </w:rPr>
        <w:t xml:space="preserve"> of the impact of bedside ultrasound to reduce iatrogenic pneumothoraces while performing bedside pleural procedures has increased but with little understanding in how ultrasound is used for these procedures.</w:t>
      </w:r>
    </w:p>
    <w:p w14:paraId="0045DC8E" w14:textId="77777777" w:rsidR="00C776B7" w:rsidRPr="00FD0727" w:rsidRDefault="00C776B7">
      <w:pPr>
        <w:rPr>
          <w:rFonts w:asciiTheme="majorHAnsi" w:hAnsiTheme="majorHAnsi"/>
          <w:color w:val="000000" w:themeColor="text1"/>
          <w:sz w:val="22"/>
          <w:szCs w:val="22"/>
        </w:rPr>
      </w:pPr>
    </w:p>
    <w:p w14:paraId="132AEC62"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DESIGN AND </w:t>
      </w:r>
      <w:proofErr w:type="gramStart"/>
      <w:r w:rsidRPr="00FD0727">
        <w:rPr>
          <w:rFonts w:asciiTheme="majorHAnsi" w:hAnsiTheme="majorHAnsi"/>
          <w:color w:val="000000" w:themeColor="text1"/>
          <w:sz w:val="22"/>
          <w:szCs w:val="22"/>
        </w:rPr>
        <w:t>SETTING:We</w:t>
      </w:r>
      <w:proofErr w:type="gramEnd"/>
      <w:r w:rsidRPr="00FD0727">
        <w:rPr>
          <w:rFonts w:asciiTheme="majorHAnsi" w:hAnsiTheme="majorHAnsi"/>
          <w:color w:val="000000" w:themeColor="text1"/>
          <w:sz w:val="22"/>
          <w:szCs w:val="22"/>
        </w:rPr>
        <w:t xml:space="preserve"> conducted a retrospective chart review at a tertiary referral center in the United States from January 1, 2014, to March 31, 2017. Our study assessed adverse effect rates between real-time ultrasound-guided and ultrasound-marked thoracenteses and thoracostomy tube placements.</w:t>
      </w:r>
    </w:p>
    <w:p w14:paraId="70BB394D" w14:textId="77777777" w:rsidR="00C776B7" w:rsidRPr="00FD0727" w:rsidRDefault="00C776B7">
      <w:pPr>
        <w:rPr>
          <w:rFonts w:asciiTheme="majorHAnsi" w:hAnsiTheme="majorHAnsi"/>
          <w:color w:val="000000" w:themeColor="text1"/>
          <w:sz w:val="22"/>
          <w:szCs w:val="22"/>
        </w:rPr>
      </w:pPr>
    </w:p>
    <w:p w14:paraId="5992350A"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PATIENTS:Three</w:t>
      </w:r>
      <w:proofErr w:type="gramEnd"/>
      <w:r w:rsidRPr="00FD0727">
        <w:rPr>
          <w:rFonts w:asciiTheme="majorHAnsi" w:hAnsiTheme="majorHAnsi"/>
          <w:color w:val="000000" w:themeColor="text1"/>
          <w:sz w:val="22"/>
          <w:szCs w:val="22"/>
        </w:rPr>
        <w:t>-hundred ninety-four ICU patients were included in this study.</w:t>
      </w:r>
    </w:p>
    <w:p w14:paraId="5909AC9A" w14:textId="77777777" w:rsidR="00C776B7" w:rsidRPr="00FD0727" w:rsidRDefault="00C776B7">
      <w:pPr>
        <w:rPr>
          <w:rFonts w:asciiTheme="majorHAnsi" w:hAnsiTheme="majorHAnsi"/>
          <w:color w:val="000000" w:themeColor="text1"/>
          <w:sz w:val="22"/>
          <w:szCs w:val="22"/>
        </w:rPr>
      </w:pPr>
    </w:p>
    <w:p w14:paraId="632F8655"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MEASUREMENTS AND MAIN </w:t>
      </w:r>
      <w:proofErr w:type="gramStart"/>
      <w:r w:rsidRPr="00FD0727">
        <w:rPr>
          <w:rFonts w:asciiTheme="majorHAnsi" w:hAnsiTheme="majorHAnsi"/>
          <w:color w:val="000000" w:themeColor="text1"/>
          <w:sz w:val="22"/>
          <w:szCs w:val="22"/>
        </w:rPr>
        <w:t>RESULTS:There</w:t>
      </w:r>
      <w:proofErr w:type="gramEnd"/>
      <w:r w:rsidRPr="00FD0727">
        <w:rPr>
          <w:rFonts w:asciiTheme="majorHAnsi" w:hAnsiTheme="majorHAnsi"/>
          <w:color w:val="000000" w:themeColor="text1"/>
          <w:sz w:val="22"/>
          <w:szCs w:val="22"/>
        </w:rPr>
        <w:t xml:space="preserve"> was a significant difference in the rate of adverse effects between real-time ultrasound-guided (0.63% [95% CI, 0.11-3.4%]) and ultrasound-marked (6.89% [95% CI, 4.15-11.24%]; p ≤ 0.01) procedures. More specifically, the rate of pneumothoraces was different between the two procedures (0.63% [95% CI, 0.11-3.4%] vs 4.43% [95% CI, 2.35-8.21%]; p = 0.02). In patients mechanically ventilated, there was a significant difference in overall adverse effect rates between groups of ultrasound use (p = 0.01).</w:t>
      </w:r>
    </w:p>
    <w:p w14:paraId="3141446B" w14:textId="77777777" w:rsidR="00C776B7" w:rsidRPr="00FD0727" w:rsidRDefault="00C776B7">
      <w:pPr>
        <w:rPr>
          <w:rFonts w:asciiTheme="majorHAnsi" w:hAnsiTheme="majorHAnsi"/>
          <w:color w:val="000000" w:themeColor="text1"/>
          <w:sz w:val="22"/>
          <w:szCs w:val="22"/>
        </w:rPr>
      </w:pPr>
    </w:p>
    <w:p w14:paraId="2FEA9909"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CONCLUSIONS:The</w:t>
      </w:r>
      <w:proofErr w:type="gramEnd"/>
      <w:r w:rsidRPr="00FD0727">
        <w:rPr>
          <w:rFonts w:asciiTheme="majorHAnsi" w:hAnsiTheme="majorHAnsi"/>
          <w:color w:val="000000" w:themeColor="text1"/>
          <w:sz w:val="22"/>
          <w:szCs w:val="22"/>
        </w:rPr>
        <w:t xml:space="preserve"> use of real-time ultrasound guidance was associated with a lower rate of iatrogenic pneumothoraces.</w:t>
      </w:r>
    </w:p>
    <w:p w14:paraId="55FDB1C7" w14:textId="77777777" w:rsidR="00C776B7" w:rsidRPr="00FD0727" w:rsidRDefault="00C776B7">
      <w:pPr>
        <w:rPr>
          <w:rFonts w:asciiTheme="majorHAnsi" w:hAnsiTheme="majorHAnsi"/>
          <w:color w:val="000000" w:themeColor="text1"/>
          <w:sz w:val="22"/>
          <w:szCs w:val="22"/>
        </w:rPr>
      </w:pPr>
    </w:p>
    <w:p w14:paraId="009A1263"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Critical Care Medicine, 2019 vol. 47 (7) pp. 903-909.</w:t>
      </w:r>
    </w:p>
    <w:p w14:paraId="31C01371" w14:textId="77777777" w:rsidR="00C776B7" w:rsidRDefault="00FD0727">
      <w:pPr>
        <w:rPr>
          <w:rStyle w:val="Hyperlink"/>
          <w:rFonts w:asciiTheme="majorHAnsi" w:hAnsiTheme="majorHAnsi"/>
          <w:color w:val="000000" w:themeColor="text1"/>
          <w:sz w:val="22"/>
          <w:szCs w:val="22"/>
        </w:rPr>
      </w:pPr>
      <w:hyperlink r:id="rId45" w:history="1">
        <w:r w:rsidRPr="00FD0727">
          <w:rPr>
            <w:rStyle w:val="Hyperlink"/>
            <w:rFonts w:asciiTheme="majorHAnsi" w:hAnsiTheme="majorHAnsi"/>
            <w:color w:val="000000" w:themeColor="text1"/>
            <w:sz w:val="22"/>
            <w:szCs w:val="22"/>
          </w:rPr>
          <w:t>http://eutils.ncbi.nlm.nih.gov/entrez/eutils/elink.fcgi?dbfrom=pubmed&amp;id=30985389&amp;retmode=ref&amp;cmd=prlinks</w:t>
        </w:r>
      </w:hyperlink>
    </w:p>
    <w:p w14:paraId="057EE5D7" w14:textId="77777777" w:rsidR="00374455" w:rsidRPr="00FD0727" w:rsidRDefault="00374455">
      <w:pPr>
        <w:rPr>
          <w:rFonts w:asciiTheme="majorHAnsi" w:hAnsiTheme="majorHAnsi"/>
          <w:color w:val="000000" w:themeColor="text1"/>
          <w:sz w:val="22"/>
          <w:szCs w:val="22"/>
        </w:rPr>
      </w:pPr>
    </w:p>
    <w:p w14:paraId="201AB5B1" w14:textId="04CC335C"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3BB9009F" w14:textId="77777777" w:rsidR="00C776B7" w:rsidRPr="00374455" w:rsidRDefault="00FD0727">
      <w:pPr>
        <w:pStyle w:val="Heading4"/>
        <w:rPr>
          <w:rFonts w:asciiTheme="majorHAnsi" w:hAnsiTheme="majorHAnsi"/>
          <w:b/>
          <w:color w:val="000000" w:themeColor="text1"/>
          <w:sz w:val="22"/>
          <w:szCs w:val="22"/>
        </w:rPr>
      </w:pPr>
      <w:r w:rsidRPr="00374455">
        <w:rPr>
          <w:rFonts w:asciiTheme="majorHAnsi" w:hAnsiTheme="majorHAnsi"/>
          <w:b/>
          <w:color w:val="000000" w:themeColor="text1"/>
          <w:sz w:val="22"/>
          <w:szCs w:val="22"/>
        </w:rPr>
        <w:t xml:space="preserve">The Burden of Brain Hypoxia and Optimal Mean Arterial Pressure in Patients </w:t>
      </w:r>
      <w:proofErr w:type="gramStart"/>
      <w:r w:rsidRPr="00374455">
        <w:rPr>
          <w:rFonts w:asciiTheme="majorHAnsi" w:hAnsiTheme="majorHAnsi"/>
          <w:b/>
          <w:color w:val="000000" w:themeColor="text1"/>
          <w:sz w:val="22"/>
          <w:szCs w:val="22"/>
        </w:rPr>
        <w:t>With</w:t>
      </w:r>
      <w:proofErr w:type="gramEnd"/>
      <w:r w:rsidRPr="00374455">
        <w:rPr>
          <w:rFonts w:asciiTheme="majorHAnsi" w:hAnsiTheme="majorHAnsi"/>
          <w:b/>
          <w:color w:val="000000" w:themeColor="text1"/>
          <w:sz w:val="22"/>
          <w:szCs w:val="22"/>
        </w:rPr>
        <w:t xml:space="preserve"> Hypoxic Ischemic Brain Injury After Cardiac Arrest.</w:t>
      </w:r>
    </w:p>
    <w:p w14:paraId="4359ABE1" w14:textId="77777777" w:rsidR="00C776B7" w:rsidRPr="00FD0727" w:rsidRDefault="00C776B7">
      <w:pPr>
        <w:rPr>
          <w:rFonts w:asciiTheme="majorHAnsi" w:hAnsiTheme="majorHAnsi"/>
          <w:color w:val="000000" w:themeColor="text1"/>
          <w:sz w:val="22"/>
          <w:szCs w:val="22"/>
        </w:rPr>
      </w:pPr>
    </w:p>
    <w:p w14:paraId="6223A197"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Mypinder S Sekhon, Peter Gooderham, David K Menon, Penelope M </w:t>
      </w:r>
      <w:proofErr w:type="gramStart"/>
      <w:r w:rsidRPr="00FD0727">
        <w:rPr>
          <w:rFonts w:asciiTheme="majorHAnsi" w:hAnsiTheme="majorHAnsi"/>
          <w:color w:val="000000" w:themeColor="text1"/>
          <w:sz w:val="22"/>
          <w:szCs w:val="22"/>
        </w:rPr>
        <w:t>A</w:t>
      </w:r>
      <w:proofErr w:type="gramEnd"/>
      <w:r w:rsidRPr="00FD0727">
        <w:rPr>
          <w:rFonts w:asciiTheme="majorHAnsi" w:hAnsiTheme="majorHAnsi"/>
          <w:color w:val="000000" w:themeColor="text1"/>
          <w:sz w:val="22"/>
          <w:szCs w:val="22"/>
        </w:rPr>
        <w:t xml:space="preserve"> Brasher, Denise Foster, Danilo Cardim, Marek Czosnyka, Peter Smielewski, Arun K Gupta, Philip N Ainslie, and Donald E G Griesdale.</w:t>
      </w:r>
    </w:p>
    <w:p w14:paraId="0BFB094E" w14:textId="77777777" w:rsidR="00C776B7" w:rsidRPr="00FD0727" w:rsidRDefault="00C776B7">
      <w:pPr>
        <w:rPr>
          <w:rFonts w:asciiTheme="majorHAnsi" w:hAnsiTheme="majorHAnsi"/>
          <w:color w:val="000000" w:themeColor="text1"/>
          <w:sz w:val="22"/>
          <w:szCs w:val="22"/>
        </w:rPr>
      </w:pPr>
    </w:p>
    <w:p w14:paraId="38A0BAF2"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OBJECTIVES:In</w:t>
      </w:r>
      <w:proofErr w:type="gramEnd"/>
      <w:r w:rsidRPr="00FD0727">
        <w:rPr>
          <w:rFonts w:asciiTheme="majorHAnsi" w:hAnsiTheme="majorHAnsi"/>
          <w:color w:val="000000" w:themeColor="text1"/>
          <w:sz w:val="22"/>
          <w:szCs w:val="22"/>
        </w:rPr>
        <w:t xml:space="preserve"> patients at risk of hypoxic ischemic brain injury following cardiac arrest, we sought to: 1) characterize brain oxygenation and determine the prevalence of brain hypoxia, 2) characterize autoregulation using the pressure reactivity index and identify the optimal mean arterial pressure, and 3) assess the relationship between optimal mean arterial pressure and brain tissue oxygenation.</w:t>
      </w:r>
    </w:p>
    <w:p w14:paraId="0930A5F1" w14:textId="77777777" w:rsidR="00C776B7" w:rsidRPr="00FD0727" w:rsidRDefault="00C776B7">
      <w:pPr>
        <w:rPr>
          <w:rFonts w:asciiTheme="majorHAnsi" w:hAnsiTheme="majorHAnsi"/>
          <w:color w:val="000000" w:themeColor="text1"/>
          <w:sz w:val="22"/>
          <w:szCs w:val="22"/>
        </w:rPr>
      </w:pPr>
    </w:p>
    <w:p w14:paraId="2A5AC1BA"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DESIGN:Prospective</w:t>
      </w:r>
      <w:proofErr w:type="gramEnd"/>
      <w:r w:rsidRPr="00FD0727">
        <w:rPr>
          <w:rFonts w:asciiTheme="majorHAnsi" w:hAnsiTheme="majorHAnsi"/>
          <w:color w:val="000000" w:themeColor="text1"/>
          <w:sz w:val="22"/>
          <w:szCs w:val="22"/>
        </w:rPr>
        <w:t xml:space="preserve"> interventional study.</w:t>
      </w:r>
    </w:p>
    <w:p w14:paraId="76C6D8BB" w14:textId="77777777" w:rsidR="00C776B7" w:rsidRPr="00FD0727" w:rsidRDefault="00C776B7">
      <w:pPr>
        <w:rPr>
          <w:rFonts w:asciiTheme="majorHAnsi" w:hAnsiTheme="majorHAnsi"/>
          <w:color w:val="000000" w:themeColor="text1"/>
          <w:sz w:val="22"/>
          <w:szCs w:val="22"/>
        </w:rPr>
      </w:pPr>
    </w:p>
    <w:p w14:paraId="457567CF"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SETTING:Quaternary</w:t>
      </w:r>
      <w:proofErr w:type="gramEnd"/>
      <w:r w:rsidRPr="00FD0727">
        <w:rPr>
          <w:rFonts w:asciiTheme="majorHAnsi" w:hAnsiTheme="majorHAnsi"/>
          <w:color w:val="000000" w:themeColor="text1"/>
          <w:sz w:val="22"/>
          <w:szCs w:val="22"/>
        </w:rPr>
        <w:t xml:space="preserve"> ICU.</w:t>
      </w:r>
    </w:p>
    <w:p w14:paraId="441C3D00" w14:textId="77777777" w:rsidR="00C776B7" w:rsidRPr="00FD0727" w:rsidRDefault="00C776B7">
      <w:pPr>
        <w:rPr>
          <w:rFonts w:asciiTheme="majorHAnsi" w:hAnsiTheme="majorHAnsi"/>
          <w:color w:val="000000" w:themeColor="text1"/>
          <w:sz w:val="22"/>
          <w:szCs w:val="22"/>
        </w:rPr>
      </w:pPr>
    </w:p>
    <w:p w14:paraId="0A5D09D0"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PATIENTS:Adult</w:t>
      </w:r>
      <w:proofErr w:type="gramEnd"/>
      <w:r w:rsidRPr="00FD0727">
        <w:rPr>
          <w:rFonts w:asciiTheme="majorHAnsi" w:hAnsiTheme="majorHAnsi"/>
          <w:color w:val="000000" w:themeColor="text1"/>
          <w:sz w:val="22"/>
          <w:szCs w:val="22"/>
        </w:rPr>
        <w:t xml:space="preserve"> patients with return of spontaneous circulation greater than 10 minutes and a postresuscitation Glasgow Coma Scale score under 9 within 72 hours of cardiac arrest.</w:t>
      </w:r>
    </w:p>
    <w:p w14:paraId="2E4E17C0" w14:textId="77777777" w:rsidR="00C776B7" w:rsidRPr="00FD0727" w:rsidRDefault="00C776B7">
      <w:pPr>
        <w:rPr>
          <w:rFonts w:asciiTheme="majorHAnsi" w:hAnsiTheme="majorHAnsi"/>
          <w:color w:val="000000" w:themeColor="text1"/>
          <w:sz w:val="22"/>
          <w:szCs w:val="22"/>
        </w:rPr>
      </w:pPr>
    </w:p>
    <w:p w14:paraId="04F1FA85"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INTERVENTIONS:All</w:t>
      </w:r>
      <w:proofErr w:type="gramEnd"/>
      <w:r w:rsidRPr="00FD0727">
        <w:rPr>
          <w:rFonts w:asciiTheme="majorHAnsi" w:hAnsiTheme="majorHAnsi"/>
          <w:color w:val="000000" w:themeColor="text1"/>
          <w:sz w:val="22"/>
          <w:szCs w:val="22"/>
        </w:rPr>
        <w:t xml:space="preserve"> patients underwent multimodal neuromonitoring which included: 1) brain tissue oxygenation, 2) intracranial pressure, 3) jugular venous continuous oximetry, 4) regional saturation of oxygen using near-infrared spectroscopy, and 5) pressure reactivity index-based determination of optimal mean arterial pressure, lower and upper limit of autoregulation. We additionally collected mean arterial pressure, end-tidal CO2, and temperature. All data were captured at 300 Hz using ICM+ (Cambridge Enterprise, Cambridge, United Kingdom) brain monitoring software.</w:t>
      </w:r>
    </w:p>
    <w:p w14:paraId="522464A8" w14:textId="77777777" w:rsidR="00C776B7" w:rsidRPr="00FD0727" w:rsidRDefault="00C776B7">
      <w:pPr>
        <w:rPr>
          <w:rFonts w:asciiTheme="majorHAnsi" w:hAnsiTheme="majorHAnsi"/>
          <w:color w:val="000000" w:themeColor="text1"/>
          <w:sz w:val="22"/>
          <w:szCs w:val="22"/>
        </w:rPr>
      </w:pPr>
    </w:p>
    <w:p w14:paraId="59365E8A"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MEASUREMENTS AND MAIN </w:t>
      </w:r>
      <w:proofErr w:type="gramStart"/>
      <w:r w:rsidRPr="00FD0727">
        <w:rPr>
          <w:rFonts w:asciiTheme="majorHAnsi" w:hAnsiTheme="majorHAnsi"/>
          <w:color w:val="000000" w:themeColor="text1"/>
          <w:sz w:val="22"/>
          <w:szCs w:val="22"/>
        </w:rPr>
        <w:t>RESULTS:Ten</w:t>
      </w:r>
      <w:proofErr w:type="gramEnd"/>
      <w:r w:rsidRPr="00FD0727">
        <w:rPr>
          <w:rFonts w:asciiTheme="majorHAnsi" w:hAnsiTheme="majorHAnsi"/>
          <w:color w:val="000000" w:themeColor="text1"/>
          <w:sz w:val="22"/>
          <w:szCs w:val="22"/>
        </w:rPr>
        <w:t xml:space="preserve"> patients (7 males) were included with a median age 47 (range 20-71) and return to spontaneous circulation 22 minutes (12-36 min). The median duration of monitoring was 47 hours (15-88 hr), and median duration from cardiac arrest to inclusion was 15 hours (6-44 hr). The mean brain tissue oxygenation was 23 mm Hg (SD 8 mm Hg), and the mean percentage of time with a brain tissue oxygenation below 20 mm Hg was 38% (6-100%). The mean pressure reactivity index was 0.23 (0.27), and the percentage of time with a pressure reactivity index greater than 0.3 was 50% (12-91%). The mean optimal mean arterial pressure, lower and upper of autoregulation were 89 mm Hg (11), 82 mm Hg (8), and 96 mm Hg (9), respectively. There was marked between-patient variability in the relationship between mean arterial pressure and indices of brain oxygenation. As the patients' actual mean arterial pressure approached optimal mean arterial pressure, brain tissue oxygenation increased (p &lt; 0.001). This positive relationship did not persist when the actual mean arterial pressure was above optimal mean arterial pressure.</w:t>
      </w:r>
    </w:p>
    <w:p w14:paraId="15D5C859" w14:textId="77777777" w:rsidR="00C776B7" w:rsidRPr="00FD0727" w:rsidRDefault="00C776B7">
      <w:pPr>
        <w:rPr>
          <w:rFonts w:asciiTheme="majorHAnsi" w:hAnsiTheme="majorHAnsi"/>
          <w:color w:val="000000" w:themeColor="text1"/>
          <w:sz w:val="22"/>
          <w:szCs w:val="22"/>
        </w:rPr>
      </w:pPr>
    </w:p>
    <w:p w14:paraId="4573CD9B"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CONCLUSIONS:Episodes</w:t>
      </w:r>
      <w:proofErr w:type="gramEnd"/>
      <w:r w:rsidRPr="00FD0727">
        <w:rPr>
          <w:rFonts w:asciiTheme="majorHAnsi" w:hAnsiTheme="majorHAnsi"/>
          <w:color w:val="000000" w:themeColor="text1"/>
          <w:sz w:val="22"/>
          <w:szCs w:val="22"/>
        </w:rPr>
        <w:t xml:space="preserve"> of brain hypoxia in hypoxic ischemic brain injury are frequent, and perfusion within proximity of optimal mean arterial pressure is associated with increased brain tissue oxygenation. Pressure reactivity index can yield optimal mean arterial pressure, lower and upper limit of autoregulation in patients following cardiac arrest.</w:t>
      </w:r>
    </w:p>
    <w:p w14:paraId="06A393E5" w14:textId="77777777" w:rsidR="00C776B7" w:rsidRPr="00FD0727" w:rsidRDefault="00C776B7">
      <w:pPr>
        <w:rPr>
          <w:rFonts w:asciiTheme="majorHAnsi" w:hAnsiTheme="majorHAnsi"/>
          <w:color w:val="000000" w:themeColor="text1"/>
          <w:sz w:val="22"/>
          <w:szCs w:val="22"/>
        </w:rPr>
      </w:pPr>
    </w:p>
    <w:p w14:paraId="4C6D70D6"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Critical Care Medicine, 2019 vol. 47 (7) pp. 960-969.</w:t>
      </w:r>
    </w:p>
    <w:p w14:paraId="1D8EA7DF" w14:textId="77777777" w:rsidR="00C776B7" w:rsidRDefault="00FD0727">
      <w:pPr>
        <w:rPr>
          <w:rStyle w:val="Hyperlink"/>
          <w:rFonts w:asciiTheme="majorHAnsi" w:hAnsiTheme="majorHAnsi"/>
          <w:color w:val="000000" w:themeColor="text1"/>
          <w:sz w:val="22"/>
          <w:szCs w:val="22"/>
        </w:rPr>
      </w:pPr>
      <w:hyperlink r:id="rId46" w:history="1">
        <w:r w:rsidRPr="00FD0727">
          <w:rPr>
            <w:rStyle w:val="Hyperlink"/>
            <w:rFonts w:asciiTheme="majorHAnsi" w:hAnsiTheme="majorHAnsi"/>
            <w:color w:val="000000" w:themeColor="text1"/>
            <w:sz w:val="22"/>
            <w:szCs w:val="22"/>
          </w:rPr>
          <w:t>http://eutils.ncbi.nlm.nih.gov/entrez/eutils/elink.fcgi?dbfrom=pubmed&amp;id=30889022&amp;retmode=ref&amp;cmd=prlinks</w:t>
        </w:r>
      </w:hyperlink>
    </w:p>
    <w:p w14:paraId="28DB1402" w14:textId="77777777" w:rsidR="00374455" w:rsidRPr="00FD0727" w:rsidRDefault="00374455">
      <w:pPr>
        <w:rPr>
          <w:rFonts w:asciiTheme="majorHAnsi" w:hAnsiTheme="majorHAnsi"/>
          <w:color w:val="000000" w:themeColor="text1"/>
          <w:sz w:val="22"/>
          <w:szCs w:val="22"/>
        </w:rPr>
      </w:pPr>
    </w:p>
    <w:p w14:paraId="04CADF98"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75F08BEE" w14:textId="77777777" w:rsidR="00C776B7" w:rsidRPr="00374455" w:rsidRDefault="00FD0727">
      <w:pPr>
        <w:pStyle w:val="Heading4"/>
        <w:rPr>
          <w:rFonts w:asciiTheme="majorHAnsi" w:hAnsiTheme="majorHAnsi"/>
          <w:b/>
          <w:color w:val="000000" w:themeColor="text1"/>
          <w:sz w:val="22"/>
          <w:szCs w:val="22"/>
        </w:rPr>
      </w:pPr>
      <w:r w:rsidRPr="00374455">
        <w:rPr>
          <w:rFonts w:asciiTheme="majorHAnsi" w:hAnsiTheme="majorHAnsi"/>
          <w:b/>
          <w:color w:val="000000" w:themeColor="text1"/>
          <w:sz w:val="22"/>
          <w:szCs w:val="22"/>
        </w:rPr>
        <w:t xml:space="preserve">The Effectiveness of α2 Agonists </w:t>
      </w:r>
      <w:proofErr w:type="gramStart"/>
      <w:r w:rsidRPr="00374455">
        <w:rPr>
          <w:rFonts w:asciiTheme="majorHAnsi" w:hAnsiTheme="majorHAnsi"/>
          <w:b/>
          <w:color w:val="000000" w:themeColor="text1"/>
          <w:sz w:val="22"/>
          <w:szCs w:val="22"/>
        </w:rPr>
        <w:t>As</w:t>
      </w:r>
      <w:proofErr w:type="gramEnd"/>
      <w:r w:rsidRPr="00374455">
        <w:rPr>
          <w:rFonts w:asciiTheme="majorHAnsi" w:hAnsiTheme="majorHAnsi"/>
          <w:b/>
          <w:color w:val="000000" w:themeColor="text1"/>
          <w:sz w:val="22"/>
          <w:szCs w:val="22"/>
        </w:rPr>
        <w:t xml:space="preserve"> Sedatives in Pediatric Critical Care: A Propensity Score-Matched Cohort Study.</w:t>
      </w:r>
    </w:p>
    <w:p w14:paraId="28350EC4" w14:textId="77777777" w:rsidR="00C776B7" w:rsidRPr="00FD0727" w:rsidRDefault="00C776B7">
      <w:pPr>
        <w:rPr>
          <w:rFonts w:asciiTheme="majorHAnsi" w:hAnsiTheme="majorHAnsi"/>
          <w:color w:val="000000" w:themeColor="text1"/>
          <w:sz w:val="22"/>
          <w:szCs w:val="22"/>
        </w:rPr>
      </w:pPr>
    </w:p>
    <w:p w14:paraId="16843EDC"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John C Hayden, Dermot R Doherty, Ian Dawkins, Finbarr P Leacy, Martina Healy, Cormac V Breatnach, Gráinne Cousins, and Paul J Gallagher.</w:t>
      </w:r>
    </w:p>
    <w:p w14:paraId="6A6C469A" w14:textId="77777777" w:rsidR="00C776B7" w:rsidRPr="00FD0727" w:rsidRDefault="00C776B7">
      <w:pPr>
        <w:rPr>
          <w:rFonts w:asciiTheme="majorHAnsi" w:hAnsiTheme="majorHAnsi"/>
          <w:color w:val="000000" w:themeColor="text1"/>
          <w:sz w:val="22"/>
          <w:szCs w:val="22"/>
        </w:rPr>
      </w:pPr>
    </w:p>
    <w:p w14:paraId="56DD6320"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OBJECTIVES:There</w:t>
      </w:r>
      <w:proofErr w:type="gramEnd"/>
      <w:r w:rsidRPr="00FD0727">
        <w:rPr>
          <w:rFonts w:asciiTheme="majorHAnsi" w:hAnsiTheme="majorHAnsi"/>
          <w:color w:val="000000" w:themeColor="text1"/>
          <w:sz w:val="22"/>
          <w:szCs w:val="22"/>
        </w:rPr>
        <w:t xml:space="preserve"> is limited evidence supporting the widespread use of α2 agonists (clonidine and dexmedetomidine) in pediatric critical care sedation. This study sought to test the association between the use of α2 agonists and enhanced sedation.</w:t>
      </w:r>
    </w:p>
    <w:p w14:paraId="0630B305" w14:textId="77777777" w:rsidR="00C776B7" w:rsidRPr="00FD0727" w:rsidRDefault="00C776B7">
      <w:pPr>
        <w:rPr>
          <w:rFonts w:asciiTheme="majorHAnsi" w:hAnsiTheme="majorHAnsi"/>
          <w:color w:val="000000" w:themeColor="text1"/>
          <w:sz w:val="22"/>
          <w:szCs w:val="22"/>
        </w:rPr>
      </w:pPr>
    </w:p>
    <w:p w14:paraId="15508BFA"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DESIGN:A</w:t>
      </w:r>
      <w:proofErr w:type="gramEnd"/>
      <w:r w:rsidRPr="00FD0727">
        <w:rPr>
          <w:rFonts w:asciiTheme="majorHAnsi" w:hAnsiTheme="majorHAnsi"/>
          <w:color w:val="000000" w:themeColor="text1"/>
          <w:sz w:val="22"/>
          <w:szCs w:val="22"/>
        </w:rPr>
        <w:t xml:space="preserve"> retrospective observational cohort study was conducted. Noninferiority of time adequately sedated (COMFORT Behavior Score 11-16) while mechanically ventilated was assessed. Secondarily, dosing of opioids and benzodiazepines was examined.</w:t>
      </w:r>
    </w:p>
    <w:p w14:paraId="4E16C266" w14:textId="77777777" w:rsidR="00C776B7" w:rsidRPr="00FD0727" w:rsidRDefault="00C776B7">
      <w:pPr>
        <w:rPr>
          <w:rFonts w:asciiTheme="majorHAnsi" w:hAnsiTheme="majorHAnsi"/>
          <w:color w:val="000000" w:themeColor="text1"/>
          <w:sz w:val="22"/>
          <w:szCs w:val="22"/>
        </w:rPr>
      </w:pPr>
    </w:p>
    <w:p w14:paraId="5A2C8EF5"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SETTING:Two</w:t>
      </w:r>
      <w:proofErr w:type="gramEnd"/>
      <w:r w:rsidRPr="00FD0727">
        <w:rPr>
          <w:rFonts w:asciiTheme="majorHAnsi" w:hAnsiTheme="majorHAnsi"/>
          <w:color w:val="000000" w:themeColor="text1"/>
          <w:sz w:val="22"/>
          <w:szCs w:val="22"/>
        </w:rPr>
        <w:t xml:space="preserve"> tertiary PICUs.</w:t>
      </w:r>
    </w:p>
    <w:p w14:paraId="7A7526EA" w14:textId="77777777" w:rsidR="00C776B7" w:rsidRPr="00FD0727" w:rsidRDefault="00C776B7">
      <w:pPr>
        <w:rPr>
          <w:rFonts w:asciiTheme="majorHAnsi" w:hAnsiTheme="majorHAnsi"/>
          <w:color w:val="000000" w:themeColor="text1"/>
          <w:sz w:val="22"/>
          <w:szCs w:val="22"/>
        </w:rPr>
      </w:pPr>
    </w:p>
    <w:p w14:paraId="7B62DE02"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PATIENTS:Children</w:t>
      </w:r>
      <w:proofErr w:type="gramEnd"/>
      <w:r w:rsidRPr="00FD0727">
        <w:rPr>
          <w:rFonts w:asciiTheme="majorHAnsi" w:hAnsiTheme="majorHAnsi"/>
          <w:color w:val="000000" w:themeColor="text1"/>
          <w:sz w:val="22"/>
          <w:szCs w:val="22"/>
        </w:rPr>
        <w:t xml:space="preserve"> were classified into an exposed group, who received an α2 agonist as part of their sedation regimen, and an unexposed group. Groups were matched using propensity score analysis.</w:t>
      </w:r>
    </w:p>
    <w:p w14:paraId="1AEBEE70" w14:textId="77777777" w:rsidR="00C776B7" w:rsidRPr="00FD0727" w:rsidRDefault="00C776B7">
      <w:pPr>
        <w:rPr>
          <w:rFonts w:asciiTheme="majorHAnsi" w:hAnsiTheme="majorHAnsi"/>
          <w:color w:val="000000" w:themeColor="text1"/>
          <w:sz w:val="22"/>
          <w:szCs w:val="22"/>
        </w:rPr>
      </w:pPr>
    </w:p>
    <w:p w14:paraId="6826EDF7"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INTERVENTIONS:None</w:t>
      </w:r>
      <w:proofErr w:type="gramEnd"/>
      <w:r w:rsidRPr="00FD0727">
        <w:rPr>
          <w:rFonts w:asciiTheme="majorHAnsi" w:hAnsiTheme="majorHAnsi"/>
          <w:color w:val="000000" w:themeColor="text1"/>
          <w:sz w:val="22"/>
          <w:szCs w:val="22"/>
        </w:rPr>
        <w:t>.</w:t>
      </w:r>
    </w:p>
    <w:p w14:paraId="38840E2C" w14:textId="77777777" w:rsidR="00C776B7" w:rsidRPr="00FD0727" w:rsidRDefault="00C776B7">
      <w:pPr>
        <w:rPr>
          <w:rFonts w:asciiTheme="majorHAnsi" w:hAnsiTheme="majorHAnsi"/>
          <w:color w:val="000000" w:themeColor="text1"/>
          <w:sz w:val="22"/>
          <w:szCs w:val="22"/>
        </w:rPr>
      </w:pPr>
    </w:p>
    <w:p w14:paraId="3D2087F9"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MEASUREMENTS AND MAIN </w:t>
      </w:r>
      <w:proofErr w:type="gramStart"/>
      <w:r w:rsidRPr="00FD0727">
        <w:rPr>
          <w:rFonts w:asciiTheme="majorHAnsi" w:hAnsiTheme="majorHAnsi"/>
          <w:color w:val="000000" w:themeColor="text1"/>
          <w:sz w:val="22"/>
          <w:szCs w:val="22"/>
        </w:rPr>
        <w:t>RESULTS:One</w:t>
      </w:r>
      <w:proofErr w:type="gramEnd"/>
      <w:r w:rsidRPr="00FD0727">
        <w:rPr>
          <w:rFonts w:asciiTheme="majorHAnsi" w:hAnsiTheme="majorHAnsi"/>
          <w:color w:val="000000" w:themeColor="text1"/>
          <w:sz w:val="22"/>
          <w:szCs w:val="22"/>
        </w:rPr>
        <w:t>-thousand eighty-five patients were included. The exposed group were adequately sedated 74% (95% CI, 72-75%) of the study time compared with the unexposed group at 70% (95% CI, 67-72%) giving a ratio of 1.06 (95% CI, 1.02-1.10) and a noninferior time adequately sedated. A decrease in time oversedated was observed with 8.1% (95% CI, 4.3-11.9%) less time classified as oversedated in the exposed group. Reduction in morphine use of 0.25 μg</w:t>
      </w:r>
      <w:r w:rsidRPr="00FD0727">
        <w:rPr>
          <w:rFonts w:asciiTheme="majorHAnsi" w:hAnsiTheme="majorHAnsi"/>
          <w:i/>
          <w:color w:val="000000" w:themeColor="text1"/>
          <w:sz w:val="22"/>
          <w:szCs w:val="22"/>
        </w:rPr>
        <w:t>kg</w:t>
      </w:r>
      <w:r w:rsidRPr="00FD0727">
        <w:rPr>
          <w:rFonts w:asciiTheme="majorHAnsi" w:hAnsiTheme="majorHAnsi"/>
          <w:color w:val="000000" w:themeColor="text1"/>
          <w:sz w:val="22"/>
          <w:szCs w:val="22"/>
        </w:rPr>
        <w:t>hr (95% CI, -0.68 to 1.18 μg</w:t>
      </w:r>
      <w:r w:rsidRPr="00FD0727">
        <w:rPr>
          <w:rFonts w:asciiTheme="majorHAnsi" w:hAnsiTheme="majorHAnsi"/>
          <w:i/>
          <w:color w:val="000000" w:themeColor="text1"/>
          <w:sz w:val="22"/>
          <w:szCs w:val="22"/>
        </w:rPr>
        <w:t>kg</w:t>
      </w:r>
      <w:r w:rsidRPr="00FD0727">
        <w:rPr>
          <w:rFonts w:asciiTheme="majorHAnsi" w:hAnsiTheme="majorHAnsi"/>
          <w:color w:val="000000" w:themeColor="text1"/>
          <w:sz w:val="22"/>
          <w:szCs w:val="22"/>
        </w:rPr>
        <w:t>hr) was not statistically significant. Midazolam use did not decrease and was statistically higher.</w:t>
      </w:r>
    </w:p>
    <w:p w14:paraId="240D3B11" w14:textId="77777777" w:rsidR="00C776B7" w:rsidRPr="00FD0727" w:rsidRDefault="00C776B7">
      <w:pPr>
        <w:rPr>
          <w:rFonts w:asciiTheme="majorHAnsi" w:hAnsiTheme="majorHAnsi"/>
          <w:color w:val="000000" w:themeColor="text1"/>
          <w:sz w:val="22"/>
          <w:szCs w:val="22"/>
        </w:rPr>
      </w:pPr>
    </w:p>
    <w:p w14:paraId="2A9FCC53"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CONCLUSIONS:Use</w:t>
      </w:r>
      <w:proofErr w:type="gramEnd"/>
      <w:r w:rsidRPr="00FD0727">
        <w:rPr>
          <w:rFonts w:asciiTheme="majorHAnsi" w:hAnsiTheme="majorHAnsi"/>
          <w:color w:val="000000" w:themeColor="text1"/>
          <w:sz w:val="22"/>
          <w:szCs w:val="22"/>
        </w:rPr>
        <w:t xml:space="preserve"> of α2 agonists was associated with similar time adequately sedated as a matched unexposed group although no reduction in morphine or benzodiazepine coadministration was observed. There was a shift toward lighter sedation with α2 agonist use.</w:t>
      </w:r>
    </w:p>
    <w:p w14:paraId="4F6E5B20" w14:textId="77777777" w:rsidR="00C776B7" w:rsidRPr="00FD0727" w:rsidRDefault="00C776B7">
      <w:pPr>
        <w:rPr>
          <w:rFonts w:asciiTheme="majorHAnsi" w:hAnsiTheme="majorHAnsi"/>
          <w:color w:val="000000" w:themeColor="text1"/>
          <w:sz w:val="22"/>
          <w:szCs w:val="22"/>
        </w:rPr>
      </w:pPr>
    </w:p>
    <w:p w14:paraId="57AAC5B2"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Critical Care Medicine, 2019 vol. 47 (7) pp. e580-e586.</w:t>
      </w:r>
    </w:p>
    <w:p w14:paraId="4D6F2D28" w14:textId="77777777" w:rsidR="00C776B7" w:rsidRDefault="00FD0727">
      <w:pPr>
        <w:rPr>
          <w:rStyle w:val="Hyperlink"/>
          <w:rFonts w:asciiTheme="majorHAnsi" w:hAnsiTheme="majorHAnsi"/>
          <w:color w:val="000000" w:themeColor="text1"/>
          <w:sz w:val="22"/>
          <w:szCs w:val="22"/>
        </w:rPr>
      </w:pPr>
      <w:hyperlink r:id="rId47" w:history="1">
        <w:r w:rsidRPr="00FD0727">
          <w:rPr>
            <w:rStyle w:val="Hyperlink"/>
            <w:rFonts w:asciiTheme="majorHAnsi" w:hAnsiTheme="majorHAnsi"/>
            <w:color w:val="000000" w:themeColor="text1"/>
            <w:sz w:val="22"/>
            <w:szCs w:val="22"/>
          </w:rPr>
          <w:t>http://eutils.ncbi.nlm.nih.gov/entrez/eutils/elink.fcgi?dbfrom=pubmed&amp;id=31033500&amp;retmode=ref&amp;cmd=prlinks</w:t>
        </w:r>
      </w:hyperlink>
    </w:p>
    <w:p w14:paraId="779B646B" w14:textId="77777777" w:rsidR="00374455" w:rsidRPr="00FD0727" w:rsidRDefault="00374455">
      <w:pPr>
        <w:rPr>
          <w:rFonts w:asciiTheme="majorHAnsi" w:hAnsiTheme="majorHAnsi"/>
          <w:color w:val="000000" w:themeColor="text1"/>
          <w:sz w:val="22"/>
          <w:szCs w:val="22"/>
        </w:rPr>
      </w:pPr>
    </w:p>
    <w:p w14:paraId="3D243C29"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3224C890" w14:textId="77777777" w:rsidR="00C776B7" w:rsidRPr="00374455" w:rsidRDefault="00FD0727">
      <w:pPr>
        <w:pStyle w:val="Heading4"/>
        <w:rPr>
          <w:rFonts w:asciiTheme="majorHAnsi" w:hAnsiTheme="majorHAnsi"/>
          <w:b/>
          <w:color w:val="000000" w:themeColor="text1"/>
          <w:sz w:val="22"/>
          <w:szCs w:val="22"/>
        </w:rPr>
      </w:pPr>
      <w:r w:rsidRPr="00374455">
        <w:rPr>
          <w:rFonts w:asciiTheme="majorHAnsi" w:hAnsiTheme="majorHAnsi"/>
          <w:b/>
          <w:color w:val="000000" w:themeColor="text1"/>
          <w:sz w:val="22"/>
          <w:szCs w:val="22"/>
        </w:rPr>
        <w:t>The Restrictive IV Fluid Trial in Severe Sepsis and Septic Shock (RIFTS): A Randomized Pilot Study.</w:t>
      </w:r>
    </w:p>
    <w:p w14:paraId="482F03B8" w14:textId="77777777" w:rsidR="00C776B7" w:rsidRPr="00FD0727" w:rsidRDefault="00C776B7">
      <w:pPr>
        <w:rPr>
          <w:rFonts w:asciiTheme="majorHAnsi" w:hAnsiTheme="majorHAnsi"/>
          <w:color w:val="000000" w:themeColor="text1"/>
          <w:sz w:val="22"/>
          <w:szCs w:val="22"/>
        </w:rPr>
      </w:pPr>
    </w:p>
    <w:p w14:paraId="4EAE87A7"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Keith A Corl, Michael Prodromou, Roland C Merchant, Ilana Gareen, Sarah Marks, Debasree Banerjee, Timothy Amass, Adeel Abbasi, Cesar Delcompare, Amy Palmisciano, Jason Aliotta, Gregory Jay, and Mitchell M Levy.</w:t>
      </w:r>
    </w:p>
    <w:p w14:paraId="1896FB65" w14:textId="77777777" w:rsidR="00C776B7" w:rsidRPr="00FD0727" w:rsidRDefault="00C776B7">
      <w:pPr>
        <w:rPr>
          <w:rFonts w:asciiTheme="majorHAnsi" w:hAnsiTheme="majorHAnsi"/>
          <w:color w:val="000000" w:themeColor="text1"/>
          <w:sz w:val="22"/>
          <w:szCs w:val="22"/>
        </w:rPr>
      </w:pPr>
    </w:p>
    <w:p w14:paraId="7337107B"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OBJECTIVES:It</w:t>
      </w:r>
      <w:proofErr w:type="gramEnd"/>
      <w:r w:rsidRPr="00FD0727">
        <w:rPr>
          <w:rFonts w:asciiTheme="majorHAnsi" w:hAnsiTheme="majorHAnsi"/>
          <w:color w:val="000000" w:themeColor="text1"/>
          <w:sz w:val="22"/>
          <w:szCs w:val="22"/>
        </w:rPr>
        <w:t xml:space="preserve"> is unclear if a low- or high-volume IV fluid resuscitation strategy is better for patients with severe sepsis and septic shock.</w:t>
      </w:r>
    </w:p>
    <w:p w14:paraId="228020C4" w14:textId="77777777" w:rsidR="00C776B7" w:rsidRPr="00FD0727" w:rsidRDefault="00C776B7">
      <w:pPr>
        <w:rPr>
          <w:rFonts w:asciiTheme="majorHAnsi" w:hAnsiTheme="majorHAnsi"/>
          <w:color w:val="000000" w:themeColor="text1"/>
          <w:sz w:val="22"/>
          <w:szCs w:val="22"/>
        </w:rPr>
      </w:pPr>
    </w:p>
    <w:p w14:paraId="2875D034"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DESIGN:Prospective</w:t>
      </w:r>
      <w:proofErr w:type="gramEnd"/>
      <w:r w:rsidRPr="00FD0727">
        <w:rPr>
          <w:rFonts w:asciiTheme="majorHAnsi" w:hAnsiTheme="majorHAnsi"/>
          <w:color w:val="000000" w:themeColor="text1"/>
          <w:sz w:val="22"/>
          <w:szCs w:val="22"/>
        </w:rPr>
        <w:t xml:space="preserve"> randomized controlled trial.</w:t>
      </w:r>
    </w:p>
    <w:p w14:paraId="4AC11BEE" w14:textId="77777777" w:rsidR="00C776B7" w:rsidRPr="00FD0727" w:rsidRDefault="00C776B7">
      <w:pPr>
        <w:rPr>
          <w:rFonts w:asciiTheme="majorHAnsi" w:hAnsiTheme="majorHAnsi"/>
          <w:color w:val="000000" w:themeColor="text1"/>
          <w:sz w:val="22"/>
          <w:szCs w:val="22"/>
        </w:rPr>
      </w:pPr>
    </w:p>
    <w:p w14:paraId="6D594669"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SETTING:Two</w:t>
      </w:r>
      <w:proofErr w:type="gramEnd"/>
      <w:r w:rsidRPr="00FD0727">
        <w:rPr>
          <w:rFonts w:asciiTheme="majorHAnsi" w:hAnsiTheme="majorHAnsi"/>
          <w:color w:val="000000" w:themeColor="text1"/>
          <w:sz w:val="22"/>
          <w:szCs w:val="22"/>
        </w:rPr>
        <w:t xml:space="preserve"> adult acute care hospitals within a single academic system.</w:t>
      </w:r>
    </w:p>
    <w:p w14:paraId="14EF18E4" w14:textId="77777777" w:rsidR="00C776B7" w:rsidRPr="00FD0727" w:rsidRDefault="00C776B7">
      <w:pPr>
        <w:rPr>
          <w:rFonts w:asciiTheme="majorHAnsi" w:hAnsiTheme="majorHAnsi"/>
          <w:color w:val="000000" w:themeColor="text1"/>
          <w:sz w:val="22"/>
          <w:szCs w:val="22"/>
        </w:rPr>
      </w:pPr>
    </w:p>
    <w:p w14:paraId="339AA84A"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PATIENTS:Patients</w:t>
      </w:r>
      <w:proofErr w:type="gramEnd"/>
      <w:r w:rsidRPr="00FD0727">
        <w:rPr>
          <w:rFonts w:asciiTheme="majorHAnsi" w:hAnsiTheme="majorHAnsi"/>
          <w:color w:val="000000" w:themeColor="text1"/>
          <w:sz w:val="22"/>
          <w:szCs w:val="22"/>
        </w:rPr>
        <w:t xml:space="preserve"> with severe sepsis and septic shock admitted from the emergency department to the ICU from November 2016 to February 2018.</w:t>
      </w:r>
    </w:p>
    <w:p w14:paraId="4F36E0F8" w14:textId="77777777" w:rsidR="00C776B7" w:rsidRPr="00FD0727" w:rsidRDefault="00C776B7">
      <w:pPr>
        <w:rPr>
          <w:rFonts w:asciiTheme="majorHAnsi" w:hAnsiTheme="majorHAnsi"/>
          <w:color w:val="000000" w:themeColor="text1"/>
          <w:sz w:val="22"/>
          <w:szCs w:val="22"/>
        </w:rPr>
      </w:pPr>
    </w:p>
    <w:p w14:paraId="07616BE1"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INTERVENTIONS:Patients</w:t>
      </w:r>
      <w:proofErr w:type="gramEnd"/>
      <w:r w:rsidRPr="00FD0727">
        <w:rPr>
          <w:rFonts w:asciiTheme="majorHAnsi" w:hAnsiTheme="majorHAnsi"/>
          <w:color w:val="000000" w:themeColor="text1"/>
          <w:sz w:val="22"/>
          <w:szCs w:val="22"/>
        </w:rPr>
        <w:t xml:space="preserve"> were randomly assigned to a restrictive IV fluid resuscitation strategy (≤ 60 mL/kg of IV fluid) or usual care for the first 72 hours of care.</w:t>
      </w:r>
    </w:p>
    <w:p w14:paraId="3F744BCA" w14:textId="77777777" w:rsidR="00C776B7" w:rsidRPr="00FD0727" w:rsidRDefault="00C776B7">
      <w:pPr>
        <w:rPr>
          <w:rFonts w:asciiTheme="majorHAnsi" w:hAnsiTheme="majorHAnsi"/>
          <w:color w:val="000000" w:themeColor="text1"/>
          <w:sz w:val="22"/>
          <w:szCs w:val="22"/>
        </w:rPr>
      </w:pPr>
    </w:p>
    <w:p w14:paraId="6B8C4EEF"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MEASUREMENTS AND MAIN </w:t>
      </w:r>
      <w:proofErr w:type="gramStart"/>
      <w:r w:rsidRPr="00FD0727">
        <w:rPr>
          <w:rFonts w:asciiTheme="majorHAnsi" w:hAnsiTheme="majorHAnsi"/>
          <w:color w:val="000000" w:themeColor="text1"/>
          <w:sz w:val="22"/>
          <w:szCs w:val="22"/>
        </w:rPr>
        <w:t>RESULTS:We</w:t>
      </w:r>
      <w:proofErr w:type="gramEnd"/>
      <w:r w:rsidRPr="00FD0727">
        <w:rPr>
          <w:rFonts w:asciiTheme="majorHAnsi" w:hAnsiTheme="majorHAnsi"/>
          <w:color w:val="000000" w:themeColor="text1"/>
          <w:sz w:val="22"/>
          <w:szCs w:val="22"/>
        </w:rPr>
        <w:t xml:space="preserve"> enrolled 109 patients, of whom 55 were assigned to the restrictive resuscitation group and 54 to the usual care group. The restrictive group received significantly less resuscitative IV fluid than the usual care group (47.1 vs 61.1 mL/kg; p = 0.01) over 72 hours. By 30 days, there were 12 deaths (21.8%) in the restrictive group and 12 deaths (22.2%) in the usual care group (odds ratio, 1.02; 95% CI, 0.41-2.53). There were no differences between groups in the rate of new organ failure, hospital or ICU length of stay, or serious adverse events.</w:t>
      </w:r>
    </w:p>
    <w:p w14:paraId="00BD1CC4" w14:textId="77777777" w:rsidR="00C776B7" w:rsidRPr="00FD0727" w:rsidRDefault="00C776B7">
      <w:pPr>
        <w:rPr>
          <w:rFonts w:asciiTheme="majorHAnsi" w:hAnsiTheme="majorHAnsi"/>
          <w:color w:val="000000" w:themeColor="text1"/>
          <w:sz w:val="22"/>
          <w:szCs w:val="22"/>
        </w:rPr>
      </w:pPr>
    </w:p>
    <w:p w14:paraId="72053B14"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CONCLUSIONS:This</w:t>
      </w:r>
      <w:proofErr w:type="gramEnd"/>
      <w:r w:rsidRPr="00FD0727">
        <w:rPr>
          <w:rFonts w:asciiTheme="majorHAnsi" w:hAnsiTheme="majorHAnsi"/>
          <w:color w:val="000000" w:themeColor="text1"/>
          <w:sz w:val="22"/>
          <w:szCs w:val="22"/>
        </w:rPr>
        <w:t xml:space="preserve"> pilot study demonstrates that a restrictive resuscitation strategy can successfully reduce the amount of IV fluid administered to patients with severe sepsis and septic shock compared with usual care. Although limited by the sample size, we observed no increase in mortality, organ failure, or adverse events. These findings further support that a restrictive IV fluid strategy should be explored in a larger multicenter trial.</w:t>
      </w:r>
    </w:p>
    <w:p w14:paraId="4DB87117" w14:textId="77777777" w:rsidR="00C776B7" w:rsidRPr="00FD0727" w:rsidRDefault="00C776B7">
      <w:pPr>
        <w:rPr>
          <w:rFonts w:asciiTheme="majorHAnsi" w:hAnsiTheme="majorHAnsi"/>
          <w:color w:val="000000" w:themeColor="text1"/>
          <w:sz w:val="22"/>
          <w:szCs w:val="22"/>
        </w:rPr>
      </w:pPr>
    </w:p>
    <w:p w14:paraId="37D76A47"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Critical Care Medicine, 2019 vol. 47 (7) pp. 951-959.</w:t>
      </w:r>
    </w:p>
    <w:p w14:paraId="5E150759" w14:textId="77777777" w:rsidR="00C776B7" w:rsidRDefault="00FD0727">
      <w:pPr>
        <w:rPr>
          <w:rStyle w:val="Hyperlink"/>
          <w:rFonts w:asciiTheme="majorHAnsi" w:hAnsiTheme="majorHAnsi"/>
          <w:color w:val="000000" w:themeColor="text1"/>
          <w:sz w:val="22"/>
          <w:szCs w:val="22"/>
        </w:rPr>
      </w:pPr>
      <w:hyperlink r:id="rId48" w:history="1">
        <w:r w:rsidRPr="00FD0727">
          <w:rPr>
            <w:rStyle w:val="Hyperlink"/>
            <w:rFonts w:asciiTheme="majorHAnsi" w:hAnsiTheme="majorHAnsi"/>
            <w:color w:val="000000" w:themeColor="text1"/>
            <w:sz w:val="22"/>
            <w:szCs w:val="22"/>
          </w:rPr>
          <w:t>http://eutils.ncbi.nlm.nih.gov/entrez/eutils/elink.fcgi?dbfrom=pubmed&amp;id=30985449&amp;retmode=ref&amp;cmd=prlinks</w:t>
        </w:r>
      </w:hyperlink>
    </w:p>
    <w:p w14:paraId="494CB66B" w14:textId="77777777" w:rsidR="00886130" w:rsidRPr="00FD0727" w:rsidRDefault="00886130">
      <w:pPr>
        <w:rPr>
          <w:rFonts w:asciiTheme="majorHAnsi" w:hAnsiTheme="majorHAnsi"/>
          <w:color w:val="000000" w:themeColor="text1"/>
          <w:sz w:val="22"/>
          <w:szCs w:val="22"/>
        </w:rPr>
      </w:pPr>
    </w:p>
    <w:p w14:paraId="67C7CE33"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773E77CE" w14:textId="77777777" w:rsidR="00C776B7" w:rsidRPr="00886130" w:rsidRDefault="00FD0727">
      <w:pPr>
        <w:pStyle w:val="Heading4"/>
        <w:rPr>
          <w:rFonts w:asciiTheme="majorHAnsi" w:hAnsiTheme="majorHAnsi"/>
          <w:b/>
          <w:color w:val="000000" w:themeColor="text1"/>
          <w:sz w:val="22"/>
          <w:szCs w:val="22"/>
        </w:rPr>
      </w:pPr>
      <w:r w:rsidRPr="00886130">
        <w:rPr>
          <w:rFonts w:asciiTheme="majorHAnsi" w:hAnsiTheme="majorHAnsi"/>
          <w:b/>
          <w:color w:val="000000" w:themeColor="text1"/>
          <w:sz w:val="22"/>
          <w:szCs w:val="22"/>
        </w:rPr>
        <w:t>Circulating Histones Are Major Mediators of Multiple Organ Dysfunction Syndrome in Acute Critical Illnesses.</w:t>
      </w:r>
    </w:p>
    <w:p w14:paraId="32870EA6" w14:textId="77777777" w:rsidR="00C776B7" w:rsidRPr="00FD0727" w:rsidRDefault="00C776B7">
      <w:pPr>
        <w:rPr>
          <w:rFonts w:asciiTheme="majorHAnsi" w:hAnsiTheme="majorHAnsi"/>
          <w:color w:val="000000" w:themeColor="text1"/>
          <w:sz w:val="22"/>
          <w:szCs w:val="22"/>
        </w:rPr>
      </w:pPr>
    </w:p>
    <w:p w14:paraId="0249D70B"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Zhenxing Cheng, Simon T Abrams, Yasir Alhamdi, Julien Toh, Weiping Yu, Guozheng Wang, and Cheng-Hock Toh.</w:t>
      </w:r>
    </w:p>
    <w:p w14:paraId="65CB6137" w14:textId="77777777" w:rsidR="00C776B7" w:rsidRPr="00FD0727" w:rsidRDefault="00C776B7">
      <w:pPr>
        <w:rPr>
          <w:rFonts w:asciiTheme="majorHAnsi" w:hAnsiTheme="majorHAnsi"/>
          <w:color w:val="000000" w:themeColor="text1"/>
          <w:sz w:val="22"/>
          <w:szCs w:val="22"/>
        </w:rPr>
      </w:pPr>
    </w:p>
    <w:p w14:paraId="465D58DE"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OBJECTIVES:Multiple</w:t>
      </w:r>
      <w:proofErr w:type="gramEnd"/>
      <w:r w:rsidRPr="00FD0727">
        <w:rPr>
          <w:rFonts w:asciiTheme="majorHAnsi" w:hAnsiTheme="majorHAnsi"/>
          <w:color w:val="000000" w:themeColor="text1"/>
          <w:sz w:val="22"/>
          <w:szCs w:val="22"/>
        </w:rPr>
        <w:t xml:space="preserve"> organ dysfunction syndrome is characterized by simultaneous multiple organ failure, which is the leading cause of death in acute critically ill patients. However, what mediates multiple organ dysfunction syndrome is not fully understood. The discovery of toxic effects by extracellular histones on different individual organs strongly suggests their involvement in multiple organ dysfunction syndrome. In this study, we investigate whether circulating histones are major mediators of multiple organ dysfunction syndrome in acute critical illnesses.</w:t>
      </w:r>
    </w:p>
    <w:p w14:paraId="06271DFC" w14:textId="77777777" w:rsidR="00C776B7" w:rsidRPr="00FD0727" w:rsidRDefault="00C776B7">
      <w:pPr>
        <w:rPr>
          <w:rFonts w:asciiTheme="majorHAnsi" w:hAnsiTheme="majorHAnsi"/>
          <w:color w:val="000000" w:themeColor="text1"/>
          <w:sz w:val="22"/>
          <w:szCs w:val="22"/>
        </w:rPr>
      </w:pPr>
    </w:p>
    <w:p w14:paraId="25B5FE27"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DESIGN:Combination</w:t>
      </w:r>
      <w:proofErr w:type="gramEnd"/>
      <w:r w:rsidRPr="00FD0727">
        <w:rPr>
          <w:rFonts w:asciiTheme="majorHAnsi" w:hAnsiTheme="majorHAnsi"/>
          <w:color w:val="000000" w:themeColor="text1"/>
          <w:sz w:val="22"/>
          <w:szCs w:val="22"/>
        </w:rPr>
        <w:t xml:space="preserve"> of retrospective clinical studies and animal models with intervention.</w:t>
      </w:r>
    </w:p>
    <w:p w14:paraId="51E3DB15" w14:textId="77777777" w:rsidR="00C776B7" w:rsidRPr="00FD0727" w:rsidRDefault="00C776B7">
      <w:pPr>
        <w:rPr>
          <w:rFonts w:asciiTheme="majorHAnsi" w:hAnsiTheme="majorHAnsi"/>
          <w:color w:val="000000" w:themeColor="text1"/>
          <w:sz w:val="22"/>
          <w:szCs w:val="22"/>
        </w:rPr>
      </w:pPr>
    </w:p>
    <w:p w14:paraId="2D58A852"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SETTING:ICU</w:t>
      </w:r>
      <w:proofErr w:type="gramEnd"/>
      <w:r w:rsidRPr="00FD0727">
        <w:rPr>
          <w:rFonts w:asciiTheme="majorHAnsi" w:hAnsiTheme="majorHAnsi"/>
          <w:color w:val="000000" w:themeColor="text1"/>
          <w:sz w:val="22"/>
          <w:szCs w:val="22"/>
        </w:rPr>
        <w:t xml:space="preserve"> in a tertiary hospital and research laboratories.</w:t>
      </w:r>
    </w:p>
    <w:p w14:paraId="3D3E16A6" w14:textId="77777777" w:rsidR="00C776B7" w:rsidRPr="00FD0727" w:rsidRDefault="00C776B7">
      <w:pPr>
        <w:rPr>
          <w:rFonts w:asciiTheme="majorHAnsi" w:hAnsiTheme="majorHAnsi"/>
          <w:color w:val="000000" w:themeColor="text1"/>
          <w:sz w:val="22"/>
          <w:szCs w:val="22"/>
        </w:rPr>
      </w:pPr>
    </w:p>
    <w:p w14:paraId="11F7B560"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PATIENTS:Four</w:t>
      </w:r>
      <w:proofErr w:type="gramEnd"/>
      <w:r w:rsidRPr="00FD0727">
        <w:rPr>
          <w:rFonts w:asciiTheme="majorHAnsi" w:hAnsiTheme="majorHAnsi"/>
          <w:color w:val="000000" w:themeColor="text1"/>
          <w:sz w:val="22"/>
          <w:szCs w:val="22"/>
        </w:rPr>
        <w:t xml:space="preserve"> hundred and twenty ICU patients, including sepsis (140), severe trauma (63), severe pancreatitis (89), and other admission diagnoses (128).</w:t>
      </w:r>
    </w:p>
    <w:p w14:paraId="66F5D9E5" w14:textId="77777777" w:rsidR="00C776B7" w:rsidRPr="00FD0727" w:rsidRDefault="00C776B7">
      <w:pPr>
        <w:rPr>
          <w:rFonts w:asciiTheme="majorHAnsi" w:hAnsiTheme="majorHAnsi"/>
          <w:color w:val="000000" w:themeColor="text1"/>
          <w:sz w:val="22"/>
          <w:szCs w:val="22"/>
        </w:rPr>
      </w:pPr>
    </w:p>
    <w:p w14:paraId="00B524F9"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LABORATORY </w:t>
      </w:r>
      <w:proofErr w:type="gramStart"/>
      <w:r w:rsidRPr="00FD0727">
        <w:rPr>
          <w:rFonts w:asciiTheme="majorHAnsi" w:hAnsiTheme="majorHAnsi"/>
          <w:color w:val="000000" w:themeColor="text1"/>
          <w:sz w:val="22"/>
          <w:szCs w:val="22"/>
        </w:rPr>
        <w:t>INVESTIGATION:Cells</w:t>
      </w:r>
      <w:proofErr w:type="gramEnd"/>
      <w:r w:rsidRPr="00FD0727">
        <w:rPr>
          <w:rFonts w:asciiTheme="majorHAnsi" w:hAnsiTheme="majorHAnsi"/>
          <w:color w:val="000000" w:themeColor="text1"/>
          <w:sz w:val="22"/>
          <w:szCs w:val="22"/>
        </w:rPr>
        <w:t xml:space="preserve"> from major organs are treated with calf thymus histones or histone-containing sera. Animal models for sepsis, trauma, and acute pancreatitis are treated with antihistone reagents.</w:t>
      </w:r>
    </w:p>
    <w:p w14:paraId="405824D2" w14:textId="77777777" w:rsidR="00C776B7" w:rsidRPr="00FD0727" w:rsidRDefault="00C776B7">
      <w:pPr>
        <w:rPr>
          <w:rFonts w:asciiTheme="majorHAnsi" w:hAnsiTheme="majorHAnsi"/>
          <w:color w:val="000000" w:themeColor="text1"/>
          <w:sz w:val="22"/>
          <w:szCs w:val="22"/>
        </w:rPr>
      </w:pPr>
    </w:p>
    <w:p w14:paraId="10896742"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INTERVENTION:Antihistone</w:t>
      </w:r>
      <w:proofErr w:type="gramEnd"/>
      <w:r w:rsidRPr="00FD0727">
        <w:rPr>
          <w:rFonts w:asciiTheme="majorHAnsi" w:hAnsiTheme="majorHAnsi"/>
          <w:color w:val="000000" w:themeColor="text1"/>
          <w:sz w:val="22"/>
          <w:szCs w:val="22"/>
        </w:rPr>
        <w:t xml:space="preserve"> reagents in in vitro, ex vivo, and animal models.</w:t>
      </w:r>
    </w:p>
    <w:p w14:paraId="024AFB30" w14:textId="77777777" w:rsidR="00C776B7" w:rsidRPr="00FD0727" w:rsidRDefault="00C776B7">
      <w:pPr>
        <w:rPr>
          <w:rFonts w:asciiTheme="majorHAnsi" w:hAnsiTheme="majorHAnsi"/>
          <w:color w:val="000000" w:themeColor="text1"/>
          <w:sz w:val="22"/>
          <w:szCs w:val="22"/>
        </w:rPr>
      </w:pPr>
    </w:p>
    <w:p w14:paraId="11931A5C"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lastRenderedPageBreak/>
        <w:t xml:space="preserve">MEASUREMENT AND MAIN </w:t>
      </w:r>
      <w:proofErr w:type="gramStart"/>
      <w:r w:rsidRPr="00FD0727">
        <w:rPr>
          <w:rFonts w:asciiTheme="majorHAnsi" w:hAnsiTheme="majorHAnsi"/>
          <w:color w:val="000000" w:themeColor="text1"/>
          <w:sz w:val="22"/>
          <w:szCs w:val="22"/>
        </w:rPr>
        <w:t>RESULTS:Retrospective</w:t>
      </w:r>
      <w:proofErr w:type="gramEnd"/>
      <w:r w:rsidRPr="00FD0727">
        <w:rPr>
          <w:rFonts w:asciiTheme="majorHAnsi" w:hAnsiTheme="majorHAnsi"/>
          <w:color w:val="000000" w:themeColor="text1"/>
          <w:sz w:val="22"/>
          <w:szCs w:val="22"/>
        </w:rPr>
        <w:t xml:space="preserve"> analysis of a prospectively recruited ICU cohort demonstrated a strong correlation between circulating histones and organ injury markers and Sequential Organ Failure Assessment scores. Ex vivo experiments showed that patient sera containing high histone levels were toxic to cultured cells from different origins, suggesting their universal toxicity to multiple organs. Animal models of sepsis, trauma, and pancreatitis further demonstrated a temporal correlation between histone levels and disease severity and multiple organ injury. Importantly, antihistone reagents, that is, antihistone single-chain variable fragment and nonanticoagulant heparin, could dramatically reduce multiple organ injury, particularly of the heart and lungs, and improve survival in mouse models.</w:t>
      </w:r>
    </w:p>
    <w:p w14:paraId="5366FE8F" w14:textId="77777777" w:rsidR="00C776B7" w:rsidRPr="00FD0727" w:rsidRDefault="00C776B7">
      <w:pPr>
        <w:rPr>
          <w:rFonts w:asciiTheme="majorHAnsi" w:hAnsiTheme="majorHAnsi"/>
          <w:color w:val="000000" w:themeColor="text1"/>
          <w:sz w:val="22"/>
          <w:szCs w:val="22"/>
        </w:rPr>
      </w:pPr>
    </w:p>
    <w:p w14:paraId="31409B34"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CONCLUSIONS:High</w:t>
      </w:r>
      <w:proofErr w:type="gramEnd"/>
      <w:r w:rsidRPr="00FD0727">
        <w:rPr>
          <w:rFonts w:asciiTheme="majorHAnsi" w:hAnsiTheme="majorHAnsi"/>
          <w:color w:val="000000" w:themeColor="text1"/>
          <w:sz w:val="22"/>
          <w:szCs w:val="22"/>
        </w:rPr>
        <w:t xml:space="preserve"> levels of circulating histones are major mediators of multiple organ dysfunction syndrome. Our results indicate that monitoring upon ICU admission could inform on disease severity and developing antihistone therapy holds great potential of reducing multiple organ dysfunction syndrome and improving survival of critically ill patients.</w:t>
      </w:r>
    </w:p>
    <w:p w14:paraId="168ED8E8" w14:textId="77777777" w:rsidR="00C776B7" w:rsidRPr="00FD0727" w:rsidRDefault="00C776B7">
      <w:pPr>
        <w:rPr>
          <w:rFonts w:asciiTheme="majorHAnsi" w:hAnsiTheme="majorHAnsi"/>
          <w:color w:val="000000" w:themeColor="text1"/>
          <w:sz w:val="22"/>
          <w:szCs w:val="22"/>
        </w:rPr>
      </w:pPr>
    </w:p>
    <w:p w14:paraId="01240CE9"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Critical Care Medicine, 2019 vol. 47 (8) pp. e677-e684.</w:t>
      </w:r>
    </w:p>
    <w:p w14:paraId="5F0FE4D7" w14:textId="77777777" w:rsidR="00C776B7" w:rsidRDefault="00FD0727">
      <w:pPr>
        <w:rPr>
          <w:rStyle w:val="Hyperlink"/>
          <w:rFonts w:asciiTheme="majorHAnsi" w:hAnsiTheme="majorHAnsi"/>
          <w:color w:val="000000" w:themeColor="text1"/>
          <w:sz w:val="22"/>
          <w:szCs w:val="22"/>
        </w:rPr>
      </w:pPr>
      <w:hyperlink r:id="rId49" w:history="1">
        <w:r w:rsidRPr="00FD0727">
          <w:rPr>
            <w:rStyle w:val="Hyperlink"/>
            <w:rFonts w:asciiTheme="majorHAnsi" w:hAnsiTheme="majorHAnsi"/>
            <w:color w:val="000000" w:themeColor="text1"/>
            <w:sz w:val="22"/>
            <w:szCs w:val="22"/>
          </w:rPr>
          <w:t>http://eutils.ncbi.nlm.nih.gov/entrez/eutils/elink.fcgi?dbfrom=pubmed&amp;id=31162199&amp;retmode=ref&amp;cmd=prlinks</w:t>
        </w:r>
      </w:hyperlink>
    </w:p>
    <w:p w14:paraId="1EFEEFDB" w14:textId="77777777" w:rsidR="00886130" w:rsidRPr="00FD0727" w:rsidRDefault="00886130">
      <w:pPr>
        <w:rPr>
          <w:rFonts w:asciiTheme="majorHAnsi" w:hAnsiTheme="majorHAnsi"/>
          <w:color w:val="000000" w:themeColor="text1"/>
          <w:sz w:val="22"/>
          <w:szCs w:val="22"/>
        </w:rPr>
      </w:pPr>
    </w:p>
    <w:p w14:paraId="7FCAEDA9"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270C64BB" w14:textId="77777777" w:rsidR="00C776B7" w:rsidRPr="00886130" w:rsidRDefault="00FD0727">
      <w:pPr>
        <w:pStyle w:val="Heading4"/>
        <w:rPr>
          <w:rFonts w:asciiTheme="majorHAnsi" w:hAnsiTheme="majorHAnsi"/>
          <w:b/>
          <w:color w:val="000000" w:themeColor="text1"/>
          <w:sz w:val="22"/>
          <w:szCs w:val="22"/>
        </w:rPr>
      </w:pPr>
      <w:r w:rsidRPr="00886130">
        <w:rPr>
          <w:rFonts w:asciiTheme="majorHAnsi" w:hAnsiTheme="majorHAnsi"/>
          <w:b/>
          <w:color w:val="000000" w:themeColor="text1"/>
          <w:sz w:val="22"/>
          <w:szCs w:val="22"/>
        </w:rPr>
        <w:t>Early Enteral Nutrition in Patients Undergoing Sustained Neuromuscular Blockade: A Propensity-Matched Analysis Using a Nationwide Inpatient Database.</w:t>
      </w:r>
    </w:p>
    <w:p w14:paraId="218128FC" w14:textId="77777777" w:rsidR="00C776B7" w:rsidRPr="00FD0727" w:rsidRDefault="00C776B7">
      <w:pPr>
        <w:rPr>
          <w:rFonts w:asciiTheme="majorHAnsi" w:hAnsiTheme="majorHAnsi"/>
          <w:color w:val="000000" w:themeColor="text1"/>
          <w:sz w:val="22"/>
          <w:szCs w:val="22"/>
        </w:rPr>
      </w:pPr>
    </w:p>
    <w:p w14:paraId="730E1739"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Hiroyuki Ohbe, Taisuke Jo, Hiroki Matsui, Kiyohide Fushimi, and Hideo Yasunaga.</w:t>
      </w:r>
    </w:p>
    <w:p w14:paraId="7E9DD113" w14:textId="77777777" w:rsidR="00C776B7" w:rsidRPr="00FD0727" w:rsidRDefault="00C776B7">
      <w:pPr>
        <w:rPr>
          <w:rFonts w:asciiTheme="majorHAnsi" w:hAnsiTheme="majorHAnsi"/>
          <w:color w:val="000000" w:themeColor="text1"/>
          <w:sz w:val="22"/>
          <w:szCs w:val="22"/>
        </w:rPr>
      </w:pPr>
    </w:p>
    <w:p w14:paraId="076AD159"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OBJECTIVES:Whether</w:t>
      </w:r>
      <w:proofErr w:type="gramEnd"/>
      <w:r w:rsidRPr="00FD0727">
        <w:rPr>
          <w:rFonts w:asciiTheme="majorHAnsi" w:hAnsiTheme="majorHAnsi"/>
          <w:color w:val="000000" w:themeColor="text1"/>
          <w:sz w:val="22"/>
          <w:szCs w:val="22"/>
        </w:rPr>
        <w:t xml:space="preserve"> enteral nutrition should be postponed in patients undergoing sustained treatment with neuromuscular blocking agents remains unclear. We evaluated the association between enteral nutrition initiated within 2 days of sustained neuromuscular blocking agent treatment and in-hospital mortality.</w:t>
      </w:r>
    </w:p>
    <w:p w14:paraId="27EDF829" w14:textId="77777777" w:rsidR="00C776B7" w:rsidRPr="00FD0727" w:rsidRDefault="00C776B7">
      <w:pPr>
        <w:rPr>
          <w:rFonts w:asciiTheme="majorHAnsi" w:hAnsiTheme="majorHAnsi"/>
          <w:color w:val="000000" w:themeColor="text1"/>
          <w:sz w:val="22"/>
          <w:szCs w:val="22"/>
        </w:rPr>
      </w:pPr>
    </w:p>
    <w:p w14:paraId="6F55F28A"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DESIGN:Retrospective</w:t>
      </w:r>
      <w:proofErr w:type="gramEnd"/>
      <w:r w:rsidRPr="00FD0727">
        <w:rPr>
          <w:rFonts w:asciiTheme="majorHAnsi" w:hAnsiTheme="majorHAnsi"/>
          <w:color w:val="000000" w:themeColor="text1"/>
          <w:sz w:val="22"/>
          <w:szCs w:val="22"/>
        </w:rPr>
        <w:t xml:space="preserve"> administrative database study from July 2010 to March 2016.</w:t>
      </w:r>
    </w:p>
    <w:p w14:paraId="4F469A6F" w14:textId="77777777" w:rsidR="00C776B7" w:rsidRPr="00FD0727" w:rsidRDefault="00C776B7">
      <w:pPr>
        <w:rPr>
          <w:rFonts w:asciiTheme="majorHAnsi" w:hAnsiTheme="majorHAnsi"/>
          <w:color w:val="000000" w:themeColor="text1"/>
          <w:sz w:val="22"/>
          <w:szCs w:val="22"/>
        </w:rPr>
      </w:pPr>
    </w:p>
    <w:p w14:paraId="629F695E"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SETTING:More</w:t>
      </w:r>
      <w:proofErr w:type="gramEnd"/>
      <w:r w:rsidRPr="00FD0727">
        <w:rPr>
          <w:rFonts w:asciiTheme="majorHAnsi" w:hAnsiTheme="majorHAnsi"/>
          <w:color w:val="000000" w:themeColor="text1"/>
          <w:sz w:val="22"/>
          <w:szCs w:val="22"/>
        </w:rPr>
        <w:t xml:space="preserve"> than 1,200 acute care hospitals covering approximately 90% of all tertiary-care emergency hospitals in Japan.</w:t>
      </w:r>
    </w:p>
    <w:p w14:paraId="189A1B36" w14:textId="77777777" w:rsidR="00C776B7" w:rsidRPr="00FD0727" w:rsidRDefault="00C776B7">
      <w:pPr>
        <w:rPr>
          <w:rFonts w:asciiTheme="majorHAnsi" w:hAnsiTheme="majorHAnsi"/>
          <w:color w:val="000000" w:themeColor="text1"/>
          <w:sz w:val="22"/>
          <w:szCs w:val="22"/>
        </w:rPr>
      </w:pPr>
    </w:p>
    <w:p w14:paraId="6B1294D8"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PATIENTS:Mechanically</w:t>
      </w:r>
      <w:proofErr w:type="gramEnd"/>
      <w:r w:rsidRPr="00FD0727">
        <w:rPr>
          <w:rFonts w:asciiTheme="majorHAnsi" w:hAnsiTheme="majorHAnsi"/>
          <w:color w:val="000000" w:themeColor="text1"/>
          <w:sz w:val="22"/>
          <w:szCs w:val="22"/>
        </w:rPr>
        <w:t xml:space="preserve"> ventilated patients, who had undergone sustained treatment with neuromuscular blocking agents in an ICU, were retrospectively reviewed. We defined patients who received sustained treatment with neuromuscular blocking agents as those who received either rocuronium at greater than or equal to 250 mg/ d or vecuronium at greater than or equal to 50 mg/ d for at least 2 consecutive days.</w:t>
      </w:r>
    </w:p>
    <w:p w14:paraId="42E52572" w14:textId="77777777" w:rsidR="00C776B7" w:rsidRPr="00FD0727" w:rsidRDefault="00C776B7">
      <w:pPr>
        <w:rPr>
          <w:rFonts w:asciiTheme="majorHAnsi" w:hAnsiTheme="majorHAnsi"/>
          <w:color w:val="000000" w:themeColor="text1"/>
          <w:sz w:val="22"/>
          <w:szCs w:val="22"/>
        </w:rPr>
      </w:pPr>
    </w:p>
    <w:p w14:paraId="6BDA4D5E"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INTERVENTIONS:Enteral</w:t>
      </w:r>
      <w:proofErr w:type="gramEnd"/>
      <w:r w:rsidRPr="00FD0727">
        <w:rPr>
          <w:rFonts w:asciiTheme="majorHAnsi" w:hAnsiTheme="majorHAnsi"/>
          <w:color w:val="000000" w:themeColor="text1"/>
          <w:sz w:val="22"/>
          <w:szCs w:val="22"/>
        </w:rPr>
        <w:t xml:space="preserve"> nutrition started within 2 days from the initiation of neuromuscular blocking agents (defined as early enteral nutrition).</w:t>
      </w:r>
    </w:p>
    <w:p w14:paraId="30D70FE0" w14:textId="77777777" w:rsidR="00C776B7" w:rsidRPr="00FD0727" w:rsidRDefault="00C776B7">
      <w:pPr>
        <w:rPr>
          <w:rFonts w:asciiTheme="majorHAnsi" w:hAnsiTheme="majorHAnsi"/>
          <w:color w:val="000000" w:themeColor="text1"/>
          <w:sz w:val="22"/>
          <w:szCs w:val="22"/>
        </w:rPr>
      </w:pPr>
    </w:p>
    <w:p w14:paraId="4588E09D"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MEASUREMENTS AND MAIN </w:t>
      </w:r>
      <w:proofErr w:type="gramStart"/>
      <w:r w:rsidRPr="00FD0727">
        <w:rPr>
          <w:rFonts w:asciiTheme="majorHAnsi" w:hAnsiTheme="majorHAnsi"/>
          <w:color w:val="000000" w:themeColor="text1"/>
          <w:sz w:val="22"/>
          <w:szCs w:val="22"/>
        </w:rPr>
        <w:t>RESULTS:We</w:t>
      </w:r>
      <w:proofErr w:type="gramEnd"/>
      <w:r w:rsidRPr="00FD0727">
        <w:rPr>
          <w:rFonts w:asciiTheme="majorHAnsi" w:hAnsiTheme="majorHAnsi"/>
          <w:color w:val="000000" w:themeColor="text1"/>
          <w:sz w:val="22"/>
          <w:szCs w:val="22"/>
        </w:rPr>
        <w:t xml:space="preserve"> identified 2,340 eligible patients during the 69-month study period. Of these, 378 patients (16%) had received early enteral nutrition. One-to-three propensity score matching created 374-1,122 pairs. The in-hospital mortality rate was significantly lower in the early than late enteral nutrition group (risk difference, -6.3%; 95% CI, -11.7% to -0.9%). There was no significant </w:t>
      </w:r>
      <w:r w:rsidRPr="00FD0727">
        <w:rPr>
          <w:rFonts w:asciiTheme="majorHAnsi" w:hAnsiTheme="majorHAnsi"/>
          <w:color w:val="000000" w:themeColor="text1"/>
          <w:sz w:val="22"/>
          <w:szCs w:val="22"/>
        </w:rPr>
        <w:lastRenderedPageBreak/>
        <w:t>difference in the rate of hospital pneumonia between the two groups (risk difference, 2.8%; 95% CI, -2.7% to 8.3%). Length of hospital stay among survivors was significantly shorter in the early compared with the late enteral nutrition group (risk difference, -11.4 d; 95% CI, -19.1 to -3.7 d). There was no significant difference between the two groups in length of ICU stay or length of mechanical ventilation among survivors.</w:t>
      </w:r>
    </w:p>
    <w:p w14:paraId="2F1DB184" w14:textId="77777777" w:rsidR="00C776B7" w:rsidRPr="00FD0727" w:rsidRDefault="00C776B7">
      <w:pPr>
        <w:rPr>
          <w:rFonts w:asciiTheme="majorHAnsi" w:hAnsiTheme="majorHAnsi"/>
          <w:color w:val="000000" w:themeColor="text1"/>
          <w:sz w:val="22"/>
          <w:szCs w:val="22"/>
        </w:rPr>
      </w:pPr>
    </w:p>
    <w:p w14:paraId="212FDD90"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CONCLUSIONS:According</w:t>
      </w:r>
      <w:proofErr w:type="gramEnd"/>
      <w:r w:rsidRPr="00FD0727">
        <w:rPr>
          <w:rFonts w:asciiTheme="majorHAnsi" w:hAnsiTheme="majorHAnsi"/>
          <w:color w:val="000000" w:themeColor="text1"/>
          <w:sz w:val="22"/>
          <w:szCs w:val="22"/>
        </w:rPr>
        <w:t xml:space="preserve"> to this retrospective database study, early enteral nutrition may be associated with lower in-hospital mortality with no increase in-hospital pneumonia in patients undergoing sustained treatment with neuromuscular blocking agents.</w:t>
      </w:r>
    </w:p>
    <w:p w14:paraId="4453912A" w14:textId="77777777" w:rsidR="00C776B7" w:rsidRPr="00FD0727" w:rsidRDefault="00C776B7">
      <w:pPr>
        <w:rPr>
          <w:rFonts w:asciiTheme="majorHAnsi" w:hAnsiTheme="majorHAnsi"/>
          <w:color w:val="000000" w:themeColor="text1"/>
          <w:sz w:val="22"/>
          <w:szCs w:val="22"/>
        </w:rPr>
      </w:pPr>
    </w:p>
    <w:p w14:paraId="54F4C668"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Critical Care Medicine, 2019 vol. 47 (8) pp. 1072-1080.</w:t>
      </w:r>
    </w:p>
    <w:p w14:paraId="4D6C6EEE" w14:textId="77777777" w:rsidR="00C776B7" w:rsidRDefault="00FD0727">
      <w:pPr>
        <w:rPr>
          <w:rStyle w:val="Hyperlink"/>
          <w:rFonts w:asciiTheme="majorHAnsi" w:hAnsiTheme="majorHAnsi"/>
          <w:color w:val="000000" w:themeColor="text1"/>
          <w:sz w:val="22"/>
          <w:szCs w:val="22"/>
        </w:rPr>
      </w:pPr>
      <w:hyperlink r:id="rId50" w:history="1">
        <w:r w:rsidRPr="00FD0727">
          <w:rPr>
            <w:rStyle w:val="Hyperlink"/>
            <w:rFonts w:asciiTheme="majorHAnsi" w:hAnsiTheme="majorHAnsi"/>
            <w:color w:val="000000" w:themeColor="text1"/>
            <w:sz w:val="22"/>
            <w:szCs w:val="22"/>
          </w:rPr>
          <w:t>http://eutils.ncbi.nlm.nih.gov/entrez/eutils/elink.fcgi?dbfrom=pubmed&amp;id=31306255&amp;retmode=ref&amp;cmd=prlinks</w:t>
        </w:r>
      </w:hyperlink>
    </w:p>
    <w:p w14:paraId="354454E3" w14:textId="77777777" w:rsidR="00886130" w:rsidRPr="00FD0727" w:rsidRDefault="00886130">
      <w:pPr>
        <w:rPr>
          <w:rFonts w:asciiTheme="majorHAnsi" w:hAnsiTheme="majorHAnsi"/>
          <w:color w:val="000000" w:themeColor="text1"/>
          <w:sz w:val="22"/>
          <w:szCs w:val="22"/>
        </w:rPr>
      </w:pPr>
    </w:p>
    <w:p w14:paraId="53E8708F"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1732FE76" w14:textId="77777777" w:rsidR="00C776B7" w:rsidRPr="00886130" w:rsidRDefault="00FD0727">
      <w:pPr>
        <w:pStyle w:val="Heading4"/>
        <w:rPr>
          <w:rFonts w:asciiTheme="majorHAnsi" w:hAnsiTheme="majorHAnsi"/>
          <w:b/>
          <w:color w:val="000000" w:themeColor="text1"/>
          <w:sz w:val="22"/>
          <w:szCs w:val="22"/>
        </w:rPr>
      </w:pPr>
      <w:r w:rsidRPr="00886130">
        <w:rPr>
          <w:rFonts w:asciiTheme="majorHAnsi" w:hAnsiTheme="majorHAnsi"/>
          <w:b/>
          <w:color w:val="000000" w:themeColor="text1"/>
          <w:sz w:val="22"/>
          <w:szCs w:val="22"/>
        </w:rPr>
        <w:t xml:space="preserve">Effect of Increasing Blood Pressure </w:t>
      </w:r>
      <w:proofErr w:type="gramStart"/>
      <w:r w:rsidRPr="00886130">
        <w:rPr>
          <w:rFonts w:asciiTheme="majorHAnsi" w:hAnsiTheme="majorHAnsi"/>
          <w:b/>
          <w:color w:val="000000" w:themeColor="text1"/>
          <w:sz w:val="22"/>
          <w:szCs w:val="22"/>
        </w:rPr>
        <w:t>With</w:t>
      </w:r>
      <w:proofErr w:type="gramEnd"/>
      <w:r w:rsidRPr="00886130">
        <w:rPr>
          <w:rFonts w:asciiTheme="majorHAnsi" w:hAnsiTheme="majorHAnsi"/>
          <w:b/>
          <w:color w:val="000000" w:themeColor="text1"/>
          <w:sz w:val="22"/>
          <w:szCs w:val="22"/>
        </w:rPr>
        <w:t xml:space="preserve"> Noradrenaline on the Microcirculation of Patients With Septic Shock and Previous Arterial Hypertension.</w:t>
      </w:r>
    </w:p>
    <w:p w14:paraId="1A58A68C" w14:textId="77777777" w:rsidR="00C776B7" w:rsidRPr="00FD0727" w:rsidRDefault="00C776B7">
      <w:pPr>
        <w:rPr>
          <w:rFonts w:asciiTheme="majorHAnsi" w:hAnsiTheme="majorHAnsi"/>
          <w:color w:val="000000" w:themeColor="text1"/>
          <w:sz w:val="22"/>
          <w:szCs w:val="22"/>
        </w:rPr>
      </w:pPr>
    </w:p>
    <w:p w14:paraId="55FA0CBE"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Karla Tuanny Fiorese Coimbra, Flávio Geraldo Rezende de Freitas, Antônio Tonete Bafi, Tuanny Teixeira Pinheiro, Nathaly Fonseca Nunes, Luciano César Pontes de Azevedo, and Flavia Ribeiro Machado.</w:t>
      </w:r>
    </w:p>
    <w:p w14:paraId="74C7C497" w14:textId="77777777" w:rsidR="00C776B7" w:rsidRPr="00FD0727" w:rsidRDefault="00C776B7">
      <w:pPr>
        <w:rPr>
          <w:rFonts w:asciiTheme="majorHAnsi" w:hAnsiTheme="majorHAnsi"/>
          <w:color w:val="000000" w:themeColor="text1"/>
          <w:sz w:val="22"/>
          <w:szCs w:val="22"/>
        </w:rPr>
      </w:pPr>
    </w:p>
    <w:p w14:paraId="2ECDC074"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OBJECTIVES:To</w:t>
      </w:r>
      <w:proofErr w:type="gramEnd"/>
      <w:r w:rsidRPr="00FD0727">
        <w:rPr>
          <w:rFonts w:asciiTheme="majorHAnsi" w:hAnsiTheme="majorHAnsi"/>
          <w:color w:val="000000" w:themeColor="text1"/>
          <w:sz w:val="22"/>
          <w:szCs w:val="22"/>
        </w:rPr>
        <w:t xml:space="preserve"> assess whether an increase in mean arterial pressure in patients with septic shock and previous systemic arterial hypertension changes microcirculatory and systemic hemodynamic variables compared with patients without arterial hypertension (control).</w:t>
      </w:r>
    </w:p>
    <w:p w14:paraId="265CF5B0" w14:textId="77777777" w:rsidR="00C776B7" w:rsidRPr="00FD0727" w:rsidRDefault="00C776B7">
      <w:pPr>
        <w:rPr>
          <w:rFonts w:asciiTheme="majorHAnsi" w:hAnsiTheme="majorHAnsi"/>
          <w:color w:val="000000" w:themeColor="text1"/>
          <w:sz w:val="22"/>
          <w:szCs w:val="22"/>
        </w:rPr>
      </w:pPr>
    </w:p>
    <w:p w14:paraId="574A28B8"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DESIGN:Prospective</w:t>
      </w:r>
      <w:proofErr w:type="gramEnd"/>
      <w:r w:rsidRPr="00FD0727">
        <w:rPr>
          <w:rFonts w:asciiTheme="majorHAnsi" w:hAnsiTheme="majorHAnsi"/>
          <w:color w:val="000000" w:themeColor="text1"/>
          <w:sz w:val="22"/>
          <w:szCs w:val="22"/>
        </w:rPr>
        <w:t>, nonblinded, interventional study.</w:t>
      </w:r>
    </w:p>
    <w:p w14:paraId="5308F522" w14:textId="77777777" w:rsidR="00C776B7" w:rsidRPr="00FD0727" w:rsidRDefault="00C776B7">
      <w:pPr>
        <w:rPr>
          <w:rFonts w:asciiTheme="majorHAnsi" w:hAnsiTheme="majorHAnsi"/>
          <w:color w:val="000000" w:themeColor="text1"/>
          <w:sz w:val="22"/>
          <w:szCs w:val="22"/>
        </w:rPr>
      </w:pPr>
    </w:p>
    <w:p w14:paraId="19B0EE79"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SETTING:Three</w:t>
      </w:r>
      <w:proofErr w:type="gramEnd"/>
      <w:r w:rsidRPr="00FD0727">
        <w:rPr>
          <w:rFonts w:asciiTheme="majorHAnsi" w:hAnsiTheme="majorHAnsi"/>
          <w:color w:val="000000" w:themeColor="text1"/>
          <w:sz w:val="22"/>
          <w:szCs w:val="22"/>
        </w:rPr>
        <w:t xml:space="preserve"> ICUs in two teaching hospitals.</w:t>
      </w:r>
    </w:p>
    <w:p w14:paraId="33B9589F" w14:textId="77777777" w:rsidR="00C776B7" w:rsidRPr="00FD0727" w:rsidRDefault="00C776B7">
      <w:pPr>
        <w:rPr>
          <w:rFonts w:asciiTheme="majorHAnsi" w:hAnsiTheme="majorHAnsi"/>
          <w:color w:val="000000" w:themeColor="text1"/>
          <w:sz w:val="22"/>
          <w:szCs w:val="22"/>
        </w:rPr>
      </w:pPr>
    </w:p>
    <w:p w14:paraId="68899C3C"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PATIENTS:After</w:t>
      </w:r>
      <w:proofErr w:type="gramEnd"/>
      <w:r w:rsidRPr="00FD0727">
        <w:rPr>
          <w:rFonts w:asciiTheme="majorHAnsi" w:hAnsiTheme="majorHAnsi"/>
          <w:color w:val="000000" w:themeColor="text1"/>
          <w:sz w:val="22"/>
          <w:szCs w:val="22"/>
        </w:rPr>
        <w:t xml:space="preserve"> informed consent, we included patients older than 18 years with septic shock for at least 6 hours, sedated, and under mechanical ventilation. We paired patients with and without arterial hypertension by age.</w:t>
      </w:r>
    </w:p>
    <w:p w14:paraId="023B86C9" w14:textId="77777777" w:rsidR="00C776B7" w:rsidRPr="00FD0727" w:rsidRDefault="00C776B7">
      <w:pPr>
        <w:rPr>
          <w:rFonts w:asciiTheme="majorHAnsi" w:hAnsiTheme="majorHAnsi"/>
          <w:color w:val="000000" w:themeColor="text1"/>
          <w:sz w:val="22"/>
          <w:szCs w:val="22"/>
        </w:rPr>
      </w:pPr>
    </w:p>
    <w:p w14:paraId="40AE9075"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INTERVENTIONS:After</w:t>
      </w:r>
      <w:proofErr w:type="gramEnd"/>
      <w:r w:rsidRPr="00FD0727">
        <w:rPr>
          <w:rFonts w:asciiTheme="majorHAnsi" w:hAnsiTheme="majorHAnsi"/>
          <w:color w:val="000000" w:themeColor="text1"/>
          <w:sz w:val="22"/>
          <w:szCs w:val="22"/>
        </w:rPr>
        <w:t xml:space="preserve"> obtaining systemic and microcirculation baseline hemodynamic variables (time 0), we increased noradrenaline dose to elevate mean arterial pressure up to 85-90 mm Hg before collecting a new set of measurements (time 1).</w:t>
      </w:r>
    </w:p>
    <w:p w14:paraId="03E89E45" w14:textId="77777777" w:rsidR="00C776B7" w:rsidRPr="00FD0727" w:rsidRDefault="00C776B7">
      <w:pPr>
        <w:rPr>
          <w:rFonts w:asciiTheme="majorHAnsi" w:hAnsiTheme="majorHAnsi"/>
          <w:color w:val="000000" w:themeColor="text1"/>
          <w:sz w:val="22"/>
          <w:szCs w:val="22"/>
        </w:rPr>
      </w:pPr>
    </w:p>
    <w:p w14:paraId="0E0C654E"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MEASUREMENTS AND MAIN </w:t>
      </w:r>
      <w:proofErr w:type="gramStart"/>
      <w:r w:rsidRPr="00FD0727">
        <w:rPr>
          <w:rFonts w:asciiTheme="majorHAnsi" w:hAnsiTheme="majorHAnsi"/>
          <w:color w:val="000000" w:themeColor="text1"/>
          <w:sz w:val="22"/>
          <w:szCs w:val="22"/>
        </w:rPr>
        <w:t>RESULTS:We</w:t>
      </w:r>
      <w:proofErr w:type="gramEnd"/>
      <w:r w:rsidRPr="00FD0727">
        <w:rPr>
          <w:rFonts w:asciiTheme="majorHAnsi" w:hAnsiTheme="majorHAnsi"/>
          <w:color w:val="000000" w:themeColor="text1"/>
          <w:sz w:val="22"/>
          <w:szCs w:val="22"/>
        </w:rPr>
        <w:t xml:space="preserve"> included 40 patients (20 in each group). There was no significant difference in age between the groups. After the rise in mean arterial pressure, there was a significant increase in cardiac index and a slight but significant reduction in lactate in both groups. We observed a significant improvement in the proportion of perfused vessels (control: 57.2 ± 14% to 66 ± 14.8%; arterial hypertension: 61.4 ± 12.3% to 70.8 ± 7.1%; groups: p = 0.29; T0 and T1: p &lt; 0.001; group and time interaction: p = 0.85); perfused vessels density (control: 15.6 ± 4 mm/ mm to 18.6 ± 4.5 mm/ mm; arterial hypertension: 16.4 ± 3.5 mm/ mm to 19.1 ± 3 mm/ mm; groups: p = 0.51; T0 and T1: p &lt; 0.001; group and time interaction: p = 0.70), and microcirculatory flow index (control: 2.1 ± 0.6 to 2.4 ± 0.6; arterial hypertension: 2.1 ± 0.5 to 2.6 ± 0.2; groups: p = 0.71; T0 and T1: p = 0.002; group and time interaction: p = 0.45) in both groups.</w:t>
      </w:r>
    </w:p>
    <w:p w14:paraId="0C972992" w14:textId="77777777" w:rsidR="00C776B7" w:rsidRPr="00FD0727" w:rsidRDefault="00C776B7">
      <w:pPr>
        <w:rPr>
          <w:rFonts w:asciiTheme="majorHAnsi" w:hAnsiTheme="majorHAnsi"/>
          <w:color w:val="000000" w:themeColor="text1"/>
          <w:sz w:val="22"/>
          <w:szCs w:val="22"/>
        </w:rPr>
      </w:pPr>
    </w:p>
    <w:p w14:paraId="1E227D6A"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lastRenderedPageBreak/>
        <w:t>CONCLUSIONS:Increasing</w:t>
      </w:r>
      <w:proofErr w:type="gramEnd"/>
      <w:r w:rsidRPr="00FD0727">
        <w:rPr>
          <w:rFonts w:asciiTheme="majorHAnsi" w:hAnsiTheme="majorHAnsi"/>
          <w:color w:val="000000" w:themeColor="text1"/>
          <w:sz w:val="22"/>
          <w:szCs w:val="22"/>
        </w:rPr>
        <w:t xml:space="preserve"> mean arterial pressure with noradrenaline in septic shock patients improves density and flow in small vessels of sublingual microcirculation. However, this improvement occurs both in patients with previous arterial hypertension and in those without arterial hypertension.</w:t>
      </w:r>
    </w:p>
    <w:p w14:paraId="2C3207E7" w14:textId="77777777" w:rsidR="00C776B7" w:rsidRPr="00FD0727" w:rsidRDefault="00C776B7">
      <w:pPr>
        <w:rPr>
          <w:rFonts w:asciiTheme="majorHAnsi" w:hAnsiTheme="majorHAnsi"/>
          <w:color w:val="000000" w:themeColor="text1"/>
          <w:sz w:val="22"/>
          <w:szCs w:val="22"/>
        </w:rPr>
      </w:pPr>
    </w:p>
    <w:p w14:paraId="1665EBD5"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Critical Care Medicine, 2019 vol. 47 (8) pp. 1033-1040.</w:t>
      </w:r>
    </w:p>
    <w:p w14:paraId="5F1505B8" w14:textId="77777777" w:rsidR="00C776B7" w:rsidRDefault="00FD0727">
      <w:pPr>
        <w:rPr>
          <w:rStyle w:val="Hyperlink"/>
          <w:rFonts w:asciiTheme="majorHAnsi" w:hAnsiTheme="majorHAnsi"/>
          <w:color w:val="000000" w:themeColor="text1"/>
          <w:sz w:val="22"/>
          <w:szCs w:val="22"/>
        </w:rPr>
      </w:pPr>
      <w:hyperlink r:id="rId51" w:history="1">
        <w:r w:rsidRPr="00FD0727">
          <w:rPr>
            <w:rStyle w:val="Hyperlink"/>
            <w:rFonts w:asciiTheme="majorHAnsi" w:hAnsiTheme="majorHAnsi"/>
            <w:color w:val="000000" w:themeColor="text1"/>
            <w:sz w:val="22"/>
            <w:szCs w:val="22"/>
          </w:rPr>
          <w:t>http://eutils.ncbi.nlm.nih.gov/entrez/eutils/elink.fcgi?dbfrom=pubmed&amp;id=31094744&amp;retmode=ref&amp;cmd=prlinks</w:t>
        </w:r>
      </w:hyperlink>
    </w:p>
    <w:p w14:paraId="19796860" w14:textId="77777777" w:rsidR="00886130" w:rsidRPr="00FD0727" w:rsidRDefault="00886130">
      <w:pPr>
        <w:rPr>
          <w:rFonts w:asciiTheme="majorHAnsi" w:hAnsiTheme="majorHAnsi"/>
          <w:color w:val="000000" w:themeColor="text1"/>
          <w:sz w:val="22"/>
          <w:szCs w:val="22"/>
        </w:rPr>
      </w:pPr>
    </w:p>
    <w:p w14:paraId="44895EA7"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6500FB57" w14:textId="77777777" w:rsidR="00C776B7" w:rsidRPr="00886130" w:rsidRDefault="00FD0727">
      <w:pPr>
        <w:pStyle w:val="Heading4"/>
        <w:rPr>
          <w:rFonts w:asciiTheme="majorHAnsi" w:hAnsiTheme="majorHAnsi"/>
          <w:b/>
          <w:color w:val="000000" w:themeColor="text1"/>
          <w:sz w:val="22"/>
          <w:szCs w:val="22"/>
        </w:rPr>
      </w:pPr>
      <w:r w:rsidRPr="00886130">
        <w:rPr>
          <w:rFonts w:asciiTheme="majorHAnsi" w:hAnsiTheme="majorHAnsi"/>
          <w:b/>
          <w:color w:val="000000" w:themeColor="text1"/>
          <w:sz w:val="22"/>
          <w:szCs w:val="22"/>
        </w:rPr>
        <w:t>Extracorporeal Membrane Oxygenation for Septic Shock.</w:t>
      </w:r>
    </w:p>
    <w:p w14:paraId="71B72E2A" w14:textId="77777777" w:rsidR="00C776B7" w:rsidRPr="00FD0727" w:rsidRDefault="00C776B7">
      <w:pPr>
        <w:rPr>
          <w:rFonts w:asciiTheme="majorHAnsi" w:hAnsiTheme="majorHAnsi"/>
          <w:color w:val="000000" w:themeColor="text1"/>
          <w:sz w:val="22"/>
          <w:szCs w:val="22"/>
        </w:rPr>
      </w:pPr>
    </w:p>
    <w:p w14:paraId="1B73013D"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Lars Falk, Jan Hultman, and Lars Mikael Broman.</w:t>
      </w:r>
    </w:p>
    <w:p w14:paraId="26033DEE" w14:textId="77777777" w:rsidR="00C776B7" w:rsidRPr="00FD0727" w:rsidRDefault="00C776B7">
      <w:pPr>
        <w:rPr>
          <w:rFonts w:asciiTheme="majorHAnsi" w:hAnsiTheme="majorHAnsi"/>
          <w:color w:val="000000" w:themeColor="text1"/>
          <w:sz w:val="22"/>
          <w:szCs w:val="22"/>
        </w:rPr>
      </w:pPr>
    </w:p>
    <w:p w14:paraId="656B92D9"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OBJECTIVES:Septic</w:t>
      </w:r>
      <w:proofErr w:type="gramEnd"/>
      <w:r w:rsidRPr="00FD0727">
        <w:rPr>
          <w:rFonts w:asciiTheme="majorHAnsi" w:hAnsiTheme="majorHAnsi"/>
          <w:color w:val="000000" w:themeColor="text1"/>
          <w:sz w:val="22"/>
          <w:szCs w:val="22"/>
        </w:rPr>
        <w:t xml:space="preserve"> shock carries a high mortality risk. Studies have indicated that patients with septic shock may benefit from extracorporeal membrane oxygenation. In most studies, patients exhibited shock due to myocardial dysfunction rather than distributive/vasoplegic shock. One proposed theory is that venoarterial extracorporeal membrane oxygenation alleviates a failing myocardial function.</w:t>
      </w:r>
    </w:p>
    <w:p w14:paraId="6AED824B" w14:textId="77777777" w:rsidR="00C776B7" w:rsidRPr="00FD0727" w:rsidRDefault="00C776B7">
      <w:pPr>
        <w:rPr>
          <w:rFonts w:asciiTheme="majorHAnsi" w:hAnsiTheme="majorHAnsi"/>
          <w:color w:val="000000" w:themeColor="text1"/>
          <w:sz w:val="22"/>
          <w:szCs w:val="22"/>
        </w:rPr>
      </w:pPr>
    </w:p>
    <w:p w14:paraId="34AC73EE"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DESIGN:Retrospective</w:t>
      </w:r>
      <w:proofErr w:type="gramEnd"/>
      <w:r w:rsidRPr="00FD0727">
        <w:rPr>
          <w:rFonts w:asciiTheme="majorHAnsi" w:hAnsiTheme="majorHAnsi"/>
          <w:color w:val="000000" w:themeColor="text1"/>
          <w:sz w:val="22"/>
          <w:szCs w:val="22"/>
        </w:rPr>
        <w:t xml:space="preserve"> observational study.</w:t>
      </w:r>
    </w:p>
    <w:p w14:paraId="56E82E87" w14:textId="77777777" w:rsidR="00C776B7" w:rsidRPr="00FD0727" w:rsidRDefault="00C776B7">
      <w:pPr>
        <w:rPr>
          <w:rFonts w:asciiTheme="majorHAnsi" w:hAnsiTheme="majorHAnsi"/>
          <w:color w:val="000000" w:themeColor="text1"/>
          <w:sz w:val="22"/>
          <w:szCs w:val="22"/>
        </w:rPr>
      </w:pPr>
    </w:p>
    <w:p w14:paraId="244DCC4F"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SETTING:Single</w:t>
      </w:r>
      <w:proofErr w:type="gramEnd"/>
      <w:r w:rsidRPr="00FD0727">
        <w:rPr>
          <w:rFonts w:asciiTheme="majorHAnsi" w:hAnsiTheme="majorHAnsi"/>
          <w:color w:val="000000" w:themeColor="text1"/>
          <w:sz w:val="22"/>
          <w:szCs w:val="22"/>
        </w:rPr>
        <w:t>-center, high-volume extracorporeal membrane oxygenation unit.</w:t>
      </w:r>
    </w:p>
    <w:p w14:paraId="57A3AF51" w14:textId="77777777" w:rsidR="00C776B7" w:rsidRPr="00FD0727" w:rsidRDefault="00C776B7">
      <w:pPr>
        <w:rPr>
          <w:rFonts w:asciiTheme="majorHAnsi" w:hAnsiTheme="majorHAnsi"/>
          <w:color w:val="000000" w:themeColor="text1"/>
          <w:sz w:val="22"/>
          <w:szCs w:val="22"/>
        </w:rPr>
      </w:pPr>
    </w:p>
    <w:p w14:paraId="3D898E3E"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PATIENTS:All</w:t>
      </w:r>
      <w:proofErr w:type="gramEnd"/>
      <w:r w:rsidRPr="00FD0727">
        <w:rPr>
          <w:rFonts w:asciiTheme="majorHAnsi" w:hAnsiTheme="majorHAnsi"/>
          <w:color w:val="000000" w:themeColor="text1"/>
          <w:sz w:val="22"/>
          <w:szCs w:val="22"/>
        </w:rPr>
        <w:t xml:space="preserve"> patients treated for septic shock between 2012 and 2017 with an age greater than 18 years old, fulfilling septic shock criteria according to "Sepsis-3" at acceptance for extracorporeal membrane oxygenation, presence of cardiocirculatory failure requiring a support equivalent to a Vasoactive Inotropic Score greater than 50 to reach a mean arterial pressure greater than 65 mm Hg despite adequate fluid resuscitation, were included.</w:t>
      </w:r>
    </w:p>
    <w:p w14:paraId="6122B5DD" w14:textId="77777777" w:rsidR="00C776B7" w:rsidRPr="00FD0727" w:rsidRDefault="00C776B7">
      <w:pPr>
        <w:rPr>
          <w:rFonts w:asciiTheme="majorHAnsi" w:hAnsiTheme="majorHAnsi"/>
          <w:color w:val="000000" w:themeColor="text1"/>
          <w:sz w:val="22"/>
          <w:szCs w:val="22"/>
        </w:rPr>
      </w:pPr>
    </w:p>
    <w:p w14:paraId="0BA7DB38"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INTERVENTIONS:None</w:t>
      </w:r>
      <w:proofErr w:type="gramEnd"/>
      <w:r w:rsidRPr="00FD0727">
        <w:rPr>
          <w:rFonts w:asciiTheme="majorHAnsi" w:hAnsiTheme="majorHAnsi"/>
          <w:color w:val="000000" w:themeColor="text1"/>
          <w:sz w:val="22"/>
          <w:szCs w:val="22"/>
        </w:rPr>
        <w:t>.</w:t>
      </w:r>
    </w:p>
    <w:p w14:paraId="4191B774" w14:textId="77777777" w:rsidR="00C776B7" w:rsidRPr="00FD0727" w:rsidRDefault="00C776B7">
      <w:pPr>
        <w:rPr>
          <w:rFonts w:asciiTheme="majorHAnsi" w:hAnsiTheme="majorHAnsi"/>
          <w:color w:val="000000" w:themeColor="text1"/>
          <w:sz w:val="22"/>
          <w:szCs w:val="22"/>
        </w:rPr>
      </w:pPr>
    </w:p>
    <w:p w14:paraId="0E37BB41"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MEASUREMENTS AND MAIN </w:t>
      </w:r>
      <w:proofErr w:type="gramStart"/>
      <w:r w:rsidRPr="00FD0727">
        <w:rPr>
          <w:rFonts w:asciiTheme="majorHAnsi" w:hAnsiTheme="majorHAnsi"/>
          <w:color w:val="000000" w:themeColor="text1"/>
          <w:sz w:val="22"/>
          <w:szCs w:val="22"/>
        </w:rPr>
        <w:t>RESULTS:Thirty</w:t>
      </w:r>
      <w:proofErr w:type="gramEnd"/>
      <w:r w:rsidRPr="00FD0727">
        <w:rPr>
          <w:rFonts w:asciiTheme="majorHAnsi" w:hAnsiTheme="majorHAnsi"/>
          <w:color w:val="000000" w:themeColor="text1"/>
          <w:sz w:val="22"/>
          <w:szCs w:val="22"/>
        </w:rPr>
        <w:t>-seven patients, mean age 54.7 years old, were included. Median Simplified Acute Physiology Score-3 score was 86 and Sequential Organ Failure Assessment 16. Twenty-seven patients were submitted to venoarterial and 10 patients to venovenous extracorporeal membrane oxygenation. Hospital survival was 90% for septic shock with left ventricular failure and 64.7% in patients with distributive shock. At long-term follow-up at 46.1 months, total survival was 59.5%. Commencement of venovenous extracorporeal membrane oxygenation and more organ failures at admission showed a less favorable outcome in terms of hospital and long-term survival.</w:t>
      </w:r>
    </w:p>
    <w:p w14:paraId="0B17657D" w14:textId="77777777" w:rsidR="00C776B7" w:rsidRPr="00FD0727" w:rsidRDefault="00C776B7">
      <w:pPr>
        <w:rPr>
          <w:rFonts w:asciiTheme="majorHAnsi" w:hAnsiTheme="majorHAnsi"/>
          <w:color w:val="000000" w:themeColor="text1"/>
          <w:sz w:val="22"/>
          <w:szCs w:val="22"/>
        </w:rPr>
      </w:pPr>
    </w:p>
    <w:p w14:paraId="1B9D1AB8"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CONCLUSIONS:The</w:t>
      </w:r>
      <w:proofErr w:type="gramEnd"/>
      <w:r w:rsidRPr="00FD0727">
        <w:rPr>
          <w:rFonts w:asciiTheme="majorHAnsi" w:hAnsiTheme="majorHAnsi"/>
          <w:color w:val="000000" w:themeColor="text1"/>
          <w:sz w:val="22"/>
          <w:szCs w:val="22"/>
        </w:rPr>
        <w:t xml:space="preserve"> current results add not only to the growing evidence of the benefit of venoarterial extracorporeal membrane oxygenation for septic cardiomyopathy but also indicate improved hospital survival in distributive septic shock.</w:t>
      </w:r>
    </w:p>
    <w:p w14:paraId="7516C20F" w14:textId="77777777" w:rsidR="00C776B7" w:rsidRPr="00FD0727" w:rsidRDefault="00C776B7">
      <w:pPr>
        <w:rPr>
          <w:rFonts w:asciiTheme="majorHAnsi" w:hAnsiTheme="majorHAnsi"/>
          <w:color w:val="000000" w:themeColor="text1"/>
          <w:sz w:val="22"/>
          <w:szCs w:val="22"/>
        </w:rPr>
      </w:pPr>
    </w:p>
    <w:p w14:paraId="051FA2A7"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Critical Care Medicine, 2019 vol. 47 (8) pp. 1097-1105.</w:t>
      </w:r>
    </w:p>
    <w:p w14:paraId="29AF950B" w14:textId="77777777" w:rsidR="00C776B7" w:rsidRDefault="00FD0727">
      <w:pPr>
        <w:rPr>
          <w:rStyle w:val="Hyperlink"/>
          <w:rFonts w:asciiTheme="majorHAnsi" w:hAnsiTheme="majorHAnsi"/>
          <w:color w:val="000000" w:themeColor="text1"/>
          <w:sz w:val="22"/>
          <w:szCs w:val="22"/>
        </w:rPr>
      </w:pPr>
      <w:hyperlink r:id="rId52" w:history="1">
        <w:r w:rsidRPr="00FD0727">
          <w:rPr>
            <w:rStyle w:val="Hyperlink"/>
            <w:rFonts w:asciiTheme="majorHAnsi" w:hAnsiTheme="majorHAnsi"/>
            <w:color w:val="000000" w:themeColor="text1"/>
            <w:sz w:val="22"/>
            <w:szCs w:val="22"/>
          </w:rPr>
          <w:t>http://eutils.ncbi.nlm.nih.gov/entrez/eutils/elink.fcgi?dbfrom=pubmed&amp;id=31162206&amp;retmode=ref&amp;cmd=prlinks</w:t>
        </w:r>
      </w:hyperlink>
    </w:p>
    <w:p w14:paraId="61A5F188" w14:textId="77777777" w:rsidR="00886130" w:rsidRPr="00FD0727" w:rsidRDefault="00886130">
      <w:pPr>
        <w:rPr>
          <w:rFonts w:asciiTheme="majorHAnsi" w:hAnsiTheme="majorHAnsi"/>
          <w:color w:val="000000" w:themeColor="text1"/>
          <w:sz w:val="22"/>
          <w:szCs w:val="22"/>
        </w:rPr>
      </w:pPr>
    </w:p>
    <w:p w14:paraId="4FF59F90"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1CF7259D" w14:textId="77777777" w:rsidR="00C776B7" w:rsidRPr="00886130" w:rsidRDefault="00FD0727">
      <w:pPr>
        <w:pStyle w:val="Heading4"/>
        <w:rPr>
          <w:rFonts w:asciiTheme="majorHAnsi" w:hAnsiTheme="majorHAnsi"/>
          <w:b/>
          <w:color w:val="000000" w:themeColor="text1"/>
          <w:sz w:val="22"/>
          <w:szCs w:val="22"/>
        </w:rPr>
      </w:pPr>
      <w:r w:rsidRPr="00886130">
        <w:rPr>
          <w:rFonts w:asciiTheme="majorHAnsi" w:hAnsiTheme="majorHAnsi"/>
          <w:b/>
          <w:color w:val="000000" w:themeColor="text1"/>
          <w:sz w:val="22"/>
          <w:szCs w:val="22"/>
        </w:rPr>
        <w:lastRenderedPageBreak/>
        <w:t>Monocyte Distribution Width: A Novel Indicator of Sepsis-2 and Sepsis-3 in High-Risk Emergency Department Patients.</w:t>
      </w:r>
    </w:p>
    <w:p w14:paraId="506ACAC1" w14:textId="77777777" w:rsidR="00C776B7" w:rsidRPr="00FD0727" w:rsidRDefault="00C776B7">
      <w:pPr>
        <w:rPr>
          <w:rFonts w:asciiTheme="majorHAnsi" w:hAnsiTheme="majorHAnsi"/>
          <w:color w:val="000000" w:themeColor="text1"/>
          <w:sz w:val="22"/>
          <w:szCs w:val="22"/>
        </w:rPr>
      </w:pPr>
    </w:p>
    <w:p w14:paraId="2BF13C56"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Elliott D Crouser, Joseph E Parrillo, Christopher W Seymour, Derek C Angus, Keri Bicking, Vincent G Esguerra, Octavia M Peck-Palmer, Robert T Magari, Mark W Julian, Jennifer M Kleven, Paarth J Raj, Gabrielle Procopio, Diana Careaga, and Liliana Tejidor.</w:t>
      </w:r>
    </w:p>
    <w:p w14:paraId="60A46A22" w14:textId="77777777" w:rsidR="00C776B7" w:rsidRPr="00FD0727" w:rsidRDefault="00C776B7">
      <w:pPr>
        <w:rPr>
          <w:rFonts w:asciiTheme="majorHAnsi" w:hAnsiTheme="majorHAnsi"/>
          <w:color w:val="000000" w:themeColor="text1"/>
          <w:sz w:val="22"/>
          <w:szCs w:val="22"/>
        </w:rPr>
      </w:pPr>
    </w:p>
    <w:p w14:paraId="1E8891B7"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OBJECTIVES:Most</w:t>
      </w:r>
      <w:proofErr w:type="gramEnd"/>
      <w:r w:rsidRPr="00FD0727">
        <w:rPr>
          <w:rFonts w:asciiTheme="majorHAnsi" w:hAnsiTheme="majorHAnsi"/>
          <w:color w:val="000000" w:themeColor="text1"/>
          <w:sz w:val="22"/>
          <w:szCs w:val="22"/>
        </w:rPr>
        <w:t xml:space="preserve"> septic patients are initially encountered in the emergency department where sepsis recognition is often delayed, in part due to the lack of effective biomarkers. This study evaluated the diagnostic accuracy of peripheral blood monocyte distribution width alone and in combination with WBC count for early sepsis detection in the emergency department.</w:t>
      </w:r>
    </w:p>
    <w:p w14:paraId="784ADA84" w14:textId="77777777" w:rsidR="00C776B7" w:rsidRPr="00FD0727" w:rsidRDefault="00C776B7">
      <w:pPr>
        <w:rPr>
          <w:rFonts w:asciiTheme="majorHAnsi" w:hAnsiTheme="majorHAnsi"/>
          <w:color w:val="000000" w:themeColor="text1"/>
          <w:sz w:val="22"/>
          <w:szCs w:val="22"/>
        </w:rPr>
      </w:pPr>
    </w:p>
    <w:p w14:paraId="6AADED44"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DESIGN:An</w:t>
      </w:r>
      <w:proofErr w:type="gramEnd"/>
      <w:r w:rsidRPr="00FD0727">
        <w:rPr>
          <w:rFonts w:asciiTheme="majorHAnsi" w:hAnsiTheme="majorHAnsi"/>
          <w:color w:val="000000" w:themeColor="text1"/>
          <w:sz w:val="22"/>
          <w:szCs w:val="22"/>
        </w:rPr>
        <w:t xml:space="preserve"> Institutional Review Board approved, blinded, observational, prospective cohort study conducted between April 2017 and January 2018.</w:t>
      </w:r>
    </w:p>
    <w:p w14:paraId="2D743886" w14:textId="77777777" w:rsidR="00C776B7" w:rsidRPr="00FD0727" w:rsidRDefault="00C776B7">
      <w:pPr>
        <w:rPr>
          <w:rFonts w:asciiTheme="majorHAnsi" w:hAnsiTheme="majorHAnsi"/>
          <w:color w:val="000000" w:themeColor="text1"/>
          <w:sz w:val="22"/>
          <w:szCs w:val="22"/>
        </w:rPr>
      </w:pPr>
    </w:p>
    <w:p w14:paraId="5EA938F5"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SETTING:Subjects</w:t>
      </w:r>
      <w:proofErr w:type="gramEnd"/>
      <w:r w:rsidRPr="00FD0727">
        <w:rPr>
          <w:rFonts w:asciiTheme="majorHAnsi" w:hAnsiTheme="majorHAnsi"/>
          <w:color w:val="000000" w:themeColor="text1"/>
          <w:sz w:val="22"/>
          <w:szCs w:val="22"/>
        </w:rPr>
        <w:t xml:space="preserve"> were enrolled from emergency departments at three U.S. academic centers.</w:t>
      </w:r>
    </w:p>
    <w:p w14:paraId="1CFAE566" w14:textId="77777777" w:rsidR="00C776B7" w:rsidRPr="00FD0727" w:rsidRDefault="00C776B7">
      <w:pPr>
        <w:rPr>
          <w:rFonts w:asciiTheme="majorHAnsi" w:hAnsiTheme="majorHAnsi"/>
          <w:color w:val="000000" w:themeColor="text1"/>
          <w:sz w:val="22"/>
          <w:szCs w:val="22"/>
        </w:rPr>
      </w:pPr>
    </w:p>
    <w:p w14:paraId="603F3E17"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PATIENTS:Adult</w:t>
      </w:r>
      <w:proofErr w:type="gramEnd"/>
      <w:r w:rsidRPr="00FD0727">
        <w:rPr>
          <w:rFonts w:asciiTheme="majorHAnsi" w:hAnsiTheme="majorHAnsi"/>
          <w:color w:val="000000" w:themeColor="text1"/>
          <w:sz w:val="22"/>
          <w:szCs w:val="22"/>
        </w:rPr>
        <w:t xml:space="preserve"> patients, 18-89 years, with complete blood count performed upon presentation to the emergency department, and who remained hospitalized for at least 12 hours. A total of 2,212 patients were screened, of whom 2,158 subjects were enrolled and categorized per Sepsis-2 criteria, such as controls (n = 1,088), systemic inflammatory response syndrome (n = 441), infection (n = 244), and sepsis (n = 385), and Sepsis-3 criteria, such as control (n = 1,529), infection (n = 386), and sepsis (n = 243).</w:t>
      </w:r>
    </w:p>
    <w:p w14:paraId="753DCF7F" w14:textId="77777777" w:rsidR="00C776B7" w:rsidRPr="00FD0727" w:rsidRDefault="00C776B7">
      <w:pPr>
        <w:rPr>
          <w:rFonts w:asciiTheme="majorHAnsi" w:hAnsiTheme="majorHAnsi"/>
          <w:color w:val="000000" w:themeColor="text1"/>
          <w:sz w:val="22"/>
          <w:szCs w:val="22"/>
        </w:rPr>
      </w:pPr>
    </w:p>
    <w:p w14:paraId="5F4E1E7D"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INTERVENTIONS:The</w:t>
      </w:r>
      <w:proofErr w:type="gramEnd"/>
      <w:r w:rsidRPr="00FD0727">
        <w:rPr>
          <w:rFonts w:asciiTheme="majorHAnsi" w:hAnsiTheme="majorHAnsi"/>
          <w:color w:val="000000" w:themeColor="text1"/>
          <w:sz w:val="22"/>
          <w:szCs w:val="22"/>
        </w:rPr>
        <w:t xml:space="preserve"> primary outcome determined whether an monocyte distribution width of greater than 20.0 U, alone or in combination with WBC, improves early sepsis detection by Sepsis-2 criteria. Secondary endpoints determined monocyte distribution width performance for Sepsis-3 detection.</w:t>
      </w:r>
    </w:p>
    <w:p w14:paraId="52F49C37" w14:textId="77777777" w:rsidR="00C776B7" w:rsidRPr="00FD0727" w:rsidRDefault="00C776B7">
      <w:pPr>
        <w:rPr>
          <w:rFonts w:asciiTheme="majorHAnsi" w:hAnsiTheme="majorHAnsi"/>
          <w:color w:val="000000" w:themeColor="text1"/>
          <w:sz w:val="22"/>
          <w:szCs w:val="22"/>
        </w:rPr>
      </w:pPr>
    </w:p>
    <w:p w14:paraId="0D19DF06"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MEASUREMENTS AND MAIN </w:t>
      </w:r>
      <w:proofErr w:type="gramStart"/>
      <w:r w:rsidRPr="00FD0727">
        <w:rPr>
          <w:rFonts w:asciiTheme="majorHAnsi" w:hAnsiTheme="majorHAnsi"/>
          <w:color w:val="000000" w:themeColor="text1"/>
          <w:sz w:val="22"/>
          <w:szCs w:val="22"/>
        </w:rPr>
        <w:t>RESULTS:Monocyte</w:t>
      </w:r>
      <w:proofErr w:type="gramEnd"/>
      <w:r w:rsidRPr="00FD0727">
        <w:rPr>
          <w:rFonts w:asciiTheme="majorHAnsi" w:hAnsiTheme="majorHAnsi"/>
          <w:color w:val="000000" w:themeColor="text1"/>
          <w:sz w:val="22"/>
          <w:szCs w:val="22"/>
        </w:rPr>
        <w:t xml:space="preserve"> distribution width greater than 20.0 U distinguished sepsis from all other conditions based on either Sepsis-2 criteria (area under the curve, 0.79; 95% CI, 0.76-0.82) or Sepsis-3 criteria (area under the curve, 0.73; 95% CI, 0.69-0.76). The negative predictive values for monocyte distribution width less than or equal to 20 U for Sepsis-2 and Sepsis-3 were 93% and 94%, respectively. Monocyte distribution width greater than 20.0 U combined with an abnormal WBC further improved Sepsis-2 detection (area under the curve, 0.85; 95% CI, 0.83-0.88) and as reflected by likelihood ratio and added value analyses. Normal WBC and monocyte distribution width inferred a six-fold lower sepsis probability.</w:t>
      </w:r>
    </w:p>
    <w:p w14:paraId="348D9204" w14:textId="77777777" w:rsidR="00C776B7" w:rsidRPr="00FD0727" w:rsidRDefault="00C776B7">
      <w:pPr>
        <w:rPr>
          <w:rFonts w:asciiTheme="majorHAnsi" w:hAnsiTheme="majorHAnsi"/>
          <w:color w:val="000000" w:themeColor="text1"/>
          <w:sz w:val="22"/>
          <w:szCs w:val="22"/>
        </w:rPr>
      </w:pPr>
    </w:p>
    <w:p w14:paraId="36277D11"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CONCLUSIONS:An</w:t>
      </w:r>
      <w:proofErr w:type="gramEnd"/>
      <w:r w:rsidRPr="00FD0727">
        <w:rPr>
          <w:rFonts w:asciiTheme="majorHAnsi" w:hAnsiTheme="majorHAnsi"/>
          <w:color w:val="000000" w:themeColor="text1"/>
          <w:sz w:val="22"/>
          <w:szCs w:val="22"/>
        </w:rPr>
        <w:t xml:space="preserve"> monocyte distribution width value of greater than 20.0 U is effective for sepsis detection, based on either Sepsis-2 criteria or Sepsis-3 criteria, during the initial emergency department encounter. In tandem with WBC, monocyte distribution width is further predicted to enhance medical decision making during early sepsis management in the emergency department.</w:t>
      </w:r>
    </w:p>
    <w:p w14:paraId="23F5D84F" w14:textId="77777777" w:rsidR="00C776B7" w:rsidRPr="00FD0727" w:rsidRDefault="00C776B7">
      <w:pPr>
        <w:rPr>
          <w:rFonts w:asciiTheme="majorHAnsi" w:hAnsiTheme="majorHAnsi"/>
          <w:color w:val="000000" w:themeColor="text1"/>
          <w:sz w:val="22"/>
          <w:szCs w:val="22"/>
        </w:rPr>
      </w:pPr>
    </w:p>
    <w:p w14:paraId="29780E17"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Critical Care Medicine, 2019 vol. 47 (8) pp. 1018-1025.</w:t>
      </w:r>
    </w:p>
    <w:p w14:paraId="7DC15574" w14:textId="77777777" w:rsidR="00C776B7" w:rsidRDefault="00FD0727">
      <w:pPr>
        <w:rPr>
          <w:rStyle w:val="Hyperlink"/>
          <w:rFonts w:asciiTheme="majorHAnsi" w:hAnsiTheme="majorHAnsi"/>
          <w:color w:val="000000" w:themeColor="text1"/>
          <w:sz w:val="22"/>
          <w:szCs w:val="22"/>
        </w:rPr>
      </w:pPr>
      <w:hyperlink r:id="rId53" w:history="1">
        <w:r w:rsidRPr="00FD0727">
          <w:rPr>
            <w:rStyle w:val="Hyperlink"/>
            <w:rFonts w:asciiTheme="majorHAnsi" w:hAnsiTheme="majorHAnsi"/>
            <w:color w:val="000000" w:themeColor="text1"/>
            <w:sz w:val="22"/>
            <w:szCs w:val="22"/>
          </w:rPr>
          <w:t>http://eutils.ncbi.nlm.nih.gov/entrez/eutils/elink.fcgi?dbfrom=pubmed&amp;id=31107278&amp;retmode=ref&amp;cmd=prlinks</w:t>
        </w:r>
      </w:hyperlink>
    </w:p>
    <w:p w14:paraId="362FD343" w14:textId="77777777" w:rsidR="00886130" w:rsidRPr="00FD0727" w:rsidRDefault="00886130">
      <w:pPr>
        <w:rPr>
          <w:rFonts w:asciiTheme="majorHAnsi" w:hAnsiTheme="majorHAnsi"/>
          <w:color w:val="000000" w:themeColor="text1"/>
          <w:sz w:val="22"/>
          <w:szCs w:val="22"/>
        </w:rPr>
      </w:pPr>
    </w:p>
    <w:p w14:paraId="7CF83FD1"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5AB53EB8" w14:textId="77777777" w:rsidR="00C776B7" w:rsidRPr="00886130" w:rsidRDefault="00FD0727">
      <w:pPr>
        <w:pStyle w:val="Heading4"/>
        <w:rPr>
          <w:rFonts w:asciiTheme="majorHAnsi" w:hAnsiTheme="majorHAnsi"/>
          <w:b/>
          <w:color w:val="000000" w:themeColor="text1"/>
          <w:sz w:val="22"/>
          <w:szCs w:val="22"/>
        </w:rPr>
      </w:pPr>
      <w:r w:rsidRPr="00886130">
        <w:rPr>
          <w:rFonts w:asciiTheme="majorHAnsi" w:hAnsiTheme="majorHAnsi"/>
          <w:b/>
          <w:color w:val="000000" w:themeColor="text1"/>
          <w:sz w:val="22"/>
          <w:szCs w:val="22"/>
        </w:rPr>
        <w:lastRenderedPageBreak/>
        <w:t xml:space="preserve">Predictive Accuracy of Quick Sequential Organ Failure Assessment for Hospital Mortality Decreases </w:t>
      </w:r>
      <w:proofErr w:type="gramStart"/>
      <w:r w:rsidRPr="00886130">
        <w:rPr>
          <w:rFonts w:asciiTheme="majorHAnsi" w:hAnsiTheme="majorHAnsi"/>
          <w:b/>
          <w:color w:val="000000" w:themeColor="text1"/>
          <w:sz w:val="22"/>
          <w:szCs w:val="22"/>
        </w:rPr>
        <w:t>With</w:t>
      </w:r>
      <w:proofErr w:type="gramEnd"/>
      <w:r w:rsidRPr="00886130">
        <w:rPr>
          <w:rFonts w:asciiTheme="majorHAnsi" w:hAnsiTheme="majorHAnsi"/>
          <w:b/>
          <w:color w:val="000000" w:themeColor="text1"/>
          <w:sz w:val="22"/>
          <w:szCs w:val="22"/>
        </w:rPr>
        <w:t xml:space="preserve"> Increasing Comorbidity Burden Among Patients Admitted for Suspected Infection.</w:t>
      </w:r>
    </w:p>
    <w:p w14:paraId="7633F42E" w14:textId="77777777" w:rsidR="00C776B7" w:rsidRPr="00FD0727" w:rsidRDefault="00C776B7">
      <w:pPr>
        <w:rPr>
          <w:rFonts w:asciiTheme="majorHAnsi" w:hAnsiTheme="majorHAnsi"/>
          <w:color w:val="000000" w:themeColor="text1"/>
          <w:sz w:val="22"/>
          <w:szCs w:val="22"/>
        </w:rPr>
      </w:pPr>
    </w:p>
    <w:p w14:paraId="422B72A9"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Stephanie Parks Taylor, Andrew McWilliams, Brice T Taylor, Alan C Heffner, Shih-Hsiung Chou, Michael Runyon, Kyle Cunningham, Susan L Evans, Michael Gibbs, Mark Russo, Whitney Rossman, Stephanie E Murphy, Marc A Kowalkowski, and Atrium Health Acute Care Outcomes Research Network Investigators.</w:t>
      </w:r>
    </w:p>
    <w:p w14:paraId="17DA913E" w14:textId="77777777" w:rsidR="00C776B7" w:rsidRPr="00FD0727" w:rsidRDefault="00C776B7">
      <w:pPr>
        <w:rPr>
          <w:rFonts w:asciiTheme="majorHAnsi" w:hAnsiTheme="majorHAnsi"/>
          <w:color w:val="000000" w:themeColor="text1"/>
          <w:sz w:val="22"/>
          <w:szCs w:val="22"/>
        </w:rPr>
      </w:pPr>
    </w:p>
    <w:p w14:paraId="3702B4D1"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OBJECTIVES:Evaluate</w:t>
      </w:r>
      <w:proofErr w:type="gramEnd"/>
      <w:r w:rsidRPr="00FD0727">
        <w:rPr>
          <w:rFonts w:asciiTheme="majorHAnsi" w:hAnsiTheme="majorHAnsi"/>
          <w:color w:val="000000" w:themeColor="text1"/>
          <w:sz w:val="22"/>
          <w:szCs w:val="22"/>
        </w:rPr>
        <w:t xml:space="preserve"> the accuracy of the quick Sequential Organ Failure Assessment tool to predict mortality across increasing levels of comorbidity burden.</w:t>
      </w:r>
    </w:p>
    <w:p w14:paraId="7DDF7FBA" w14:textId="77777777" w:rsidR="00C776B7" w:rsidRPr="00FD0727" w:rsidRDefault="00C776B7">
      <w:pPr>
        <w:rPr>
          <w:rFonts w:asciiTheme="majorHAnsi" w:hAnsiTheme="majorHAnsi"/>
          <w:color w:val="000000" w:themeColor="text1"/>
          <w:sz w:val="22"/>
          <w:szCs w:val="22"/>
        </w:rPr>
      </w:pPr>
    </w:p>
    <w:p w14:paraId="0233FF8E"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DESIGN:Retrospective</w:t>
      </w:r>
      <w:proofErr w:type="gramEnd"/>
      <w:r w:rsidRPr="00FD0727">
        <w:rPr>
          <w:rFonts w:asciiTheme="majorHAnsi" w:hAnsiTheme="majorHAnsi"/>
          <w:color w:val="000000" w:themeColor="text1"/>
          <w:sz w:val="22"/>
          <w:szCs w:val="22"/>
        </w:rPr>
        <w:t xml:space="preserve"> observational cohort study.</w:t>
      </w:r>
    </w:p>
    <w:p w14:paraId="1FDF9D2A" w14:textId="77777777" w:rsidR="00C776B7" w:rsidRPr="00FD0727" w:rsidRDefault="00C776B7">
      <w:pPr>
        <w:rPr>
          <w:rFonts w:asciiTheme="majorHAnsi" w:hAnsiTheme="majorHAnsi"/>
          <w:color w:val="000000" w:themeColor="text1"/>
          <w:sz w:val="22"/>
          <w:szCs w:val="22"/>
        </w:rPr>
      </w:pPr>
    </w:p>
    <w:p w14:paraId="609D1F09"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SETTING:Twelve</w:t>
      </w:r>
      <w:proofErr w:type="gramEnd"/>
      <w:r w:rsidRPr="00FD0727">
        <w:rPr>
          <w:rFonts w:asciiTheme="majorHAnsi" w:hAnsiTheme="majorHAnsi"/>
          <w:color w:val="000000" w:themeColor="text1"/>
          <w:sz w:val="22"/>
          <w:szCs w:val="22"/>
        </w:rPr>
        <w:t xml:space="preserve"> acute care hospitals in the Southeastern United States.</w:t>
      </w:r>
    </w:p>
    <w:p w14:paraId="06BC97C1" w14:textId="77777777" w:rsidR="00C776B7" w:rsidRPr="00FD0727" w:rsidRDefault="00C776B7">
      <w:pPr>
        <w:rPr>
          <w:rFonts w:asciiTheme="majorHAnsi" w:hAnsiTheme="majorHAnsi"/>
          <w:color w:val="000000" w:themeColor="text1"/>
          <w:sz w:val="22"/>
          <w:szCs w:val="22"/>
        </w:rPr>
      </w:pPr>
    </w:p>
    <w:p w14:paraId="0C1687C8"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PATIENTS:A</w:t>
      </w:r>
      <w:proofErr w:type="gramEnd"/>
      <w:r w:rsidRPr="00FD0727">
        <w:rPr>
          <w:rFonts w:asciiTheme="majorHAnsi" w:hAnsiTheme="majorHAnsi"/>
          <w:color w:val="000000" w:themeColor="text1"/>
          <w:sz w:val="22"/>
          <w:szCs w:val="22"/>
        </w:rPr>
        <w:t xml:space="preserve"> total of 52,187 patients with suspected infection presenting to the Emergency Department between January 2014 and September 2017.</w:t>
      </w:r>
    </w:p>
    <w:p w14:paraId="5763ADC4" w14:textId="77777777" w:rsidR="00C776B7" w:rsidRPr="00FD0727" w:rsidRDefault="00C776B7">
      <w:pPr>
        <w:rPr>
          <w:rFonts w:asciiTheme="majorHAnsi" w:hAnsiTheme="majorHAnsi"/>
          <w:color w:val="000000" w:themeColor="text1"/>
          <w:sz w:val="22"/>
          <w:szCs w:val="22"/>
        </w:rPr>
      </w:pPr>
    </w:p>
    <w:p w14:paraId="260E1531"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INTERVENTIONS:None</w:t>
      </w:r>
      <w:proofErr w:type="gramEnd"/>
      <w:r w:rsidRPr="00FD0727">
        <w:rPr>
          <w:rFonts w:asciiTheme="majorHAnsi" w:hAnsiTheme="majorHAnsi"/>
          <w:color w:val="000000" w:themeColor="text1"/>
          <w:sz w:val="22"/>
          <w:szCs w:val="22"/>
        </w:rPr>
        <w:t>.</w:t>
      </w:r>
    </w:p>
    <w:p w14:paraId="054FBC3D" w14:textId="77777777" w:rsidR="00C776B7" w:rsidRPr="00FD0727" w:rsidRDefault="00C776B7">
      <w:pPr>
        <w:rPr>
          <w:rFonts w:asciiTheme="majorHAnsi" w:hAnsiTheme="majorHAnsi"/>
          <w:color w:val="000000" w:themeColor="text1"/>
          <w:sz w:val="22"/>
          <w:szCs w:val="22"/>
        </w:rPr>
      </w:pPr>
    </w:p>
    <w:p w14:paraId="5EF535EB"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MEASUREMENTS AND MAIN </w:t>
      </w:r>
      <w:proofErr w:type="gramStart"/>
      <w:r w:rsidRPr="00FD0727">
        <w:rPr>
          <w:rFonts w:asciiTheme="majorHAnsi" w:hAnsiTheme="majorHAnsi"/>
          <w:color w:val="000000" w:themeColor="text1"/>
          <w:sz w:val="22"/>
          <w:szCs w:val="22"/>
        </w:rPr>
        <w:t>RESULTS:The</w:t>
      </w:r>
      <w:proofErr w:type="gramEnd"/>
      <w:r w:rsidRPr="00FD0727">
        <w:rPr>
          <w:rFonts w:asciiTheme="majorHAnsi" w:hAnsiTheme="majorHAnsi"/>
          <w:color w:val="000000" w:themeColor="text1"/>
          <w:sz w:val="22"/>
          <w:szCs w:val="22"/>
        </w:rPr>
        <w:t xml:space="preserve"> primary outcome was hospital mortality. We used electronic health record data to calculate quick Sequential Organ Failure Assessment risk scores from vital signs and laboratory values documented during the first 24 hours. We calculated Charlson Comorbidity Index scores to quantify comorbidity burden. We constructed logistic regression models to evaluate differences in the performance of quick Sequential Organ Failure Assessment greater than or equal to 2 to predict hospital mortality in patients with no documented (Charlson Comorbidity Index = 0), low (Charlson Comorbidity Index = 1-2), moderate (Charlson Comorbidity Index = 3-4), or high (Charlson Comorbidity Index ≥ 5) comorbidity burden. Among the cohort, 2,030 patients died in the hospital (4%). No comorbidities were documented for 5,038 patients (10%), 9,235 patients (18%) had low comorbidity burden, 12,649 patients (24%) had moderate comorbidity burden, and 25,265 patients (48%) had high comorbidity burden. Overall model discrimination for quick Sequential Organ Failure Assessment greater than or equal to 2 was the area under the receiver operating characteristic curve of 0.71 (95% CI, 0.69-0.72). A model including both quick Sequential Organ Failure Assessment and Charlson Comorbidity Index had improved discrimination compared with Charlson Comorbidity Index alone (area under the receiver operating characteristic curve, 0.77; 95% CI, 0.76-0.78 vs area under the curve, 0.61; 95% CI, 0.59-0.62). Discrimination was highest among patients with no documented comorbidities (quick Sequential Organ Failure Assessment area under the receiver operating characteristic curve, 0.84; 95% CI; 0.79-0.89) and lowest among high comorbidity patients (quick Sequential Organ Failure Assessment area under the receiver operating characteristic curve, 0.67; 95% CI, 0.65-0.68). The strength of association between quick Sequential Organ Failure Assessment and mortality ranged from 30.5-fold increased likelihood in patients with no comorbidities to 4.7-fold increased likelihood in patients with high comorbidity.</w:t>
      </w:r>
    </w:p>
    <w:p w14:paraId="00225656" w14:textId="77777777" w:rsidR="00C776B7" w:rsidRPr="00FD0727" w:rsidRDefault="00C776B7">
      <w:pPr>
        <w:rPr>
          <w:rFonts w:asciiTheme="majorHAnsi" w:hAnsiTheme="majorHAnsi"/>
          <w:color w:val="000000" w:themeColor="text1"/>
          <w:sz w:val="22"/>
          <w:szCs w:val="22"/>
        </w:rPr>
      </w:pPr>
    </w:p>
    <w:p w14:paraId="4056CC2D"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CONCLUSIONS:The</w:t>
      </w:r>
      <w:proofErr w:type="gramEnd"/>
      <w:r w:rsidRPr="00FD0727">
        <w:rPr>
          <w:rFonts w:asciiTheme="majorHAnsi" w:hAnsiTheme="majorHAnsi"/>
          <w:color w:val="000000" w:themeColor="text1"/>
          <w:sz w:val="22"/>
          <w:szCs w:val="22"/>
        </w:rPr>
        <w:t xml:space="preserve"> accuracy of quick Sequential Organ Failure Assessment to predict hospital mortality diminishes with increasing comorbidity burden. Patients with comorbidities may have baseline abnormalities in quick Sequential Organ Failure Assessment variables that reduce predictive accuracy. Additional research is needed to better understand quick Sequential Organ Failure Assessment performance across different comorbid conditions with modification that incorporates the context of changes to baseline variables.</w:t>
      </w:r>
    </w:p>
    <w:p w14:paraId="5CE3B742" w14:textId="77777777" w:rsidR="00C776B7" w:rsidRPr="00FD0727" w:rsidRDefault="00C776B7">
      <w:pPr>
        <w:rPr>
          <w:rFonts w:asciiTheme="majorHAnsi" w:hAnsiTheme="majorHAnsi"/>
          <w:color w:val="000000" w:themeColor="text1"/>
          <w:sz w:val="22"/>
          <w:szCs w:val="22"/>
        </w:rPr>
      </w:pPr>
    </w:p>
    <w:p w14:paraId="26FA5032"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Critical Care Medicine, 2019 vol. 47 (8) pp. 1081-1088.</w:t>
      </w:r>
    </w:p>
    <w:p w14:paraId="6BE3533F" w14:textId="77777777" w:rsidR="00C776B7" w:rsidRDefault="00FD0727">
      <w:pPr>
        <w:rPr>
          <w:rStyle w:val="Hyperlink"/>
          <w:rFonts w:asciiTheme="majorHAnsi" w:hAnsiTheme="majorHAnsi"/>
          <w:color w:val="000000" w:themeColor="text1"/>
          <w:sz w:val="22"/>
          <w:szCs w:val="22"/>
        </w:rPr>
      </w:pPr>
      <w:hyperlink r:id="rId54" w:history="1">
        <w:r w:rsidRPr="00FD0727">
          <w:rPr>
            <w:rStyle w:val="Hyperlink"/>
            <w:rFonts w:asciiTheme="majorHAnsi" w:hAnsiTheme="majorHAnsi"/>
            <w:color w:val="000000" w:themeColor="text1"/>
            <w:sz w:val="22"/>
            <w:szCs w:val="22"/>
          </w:rPr>
          <w:t>http://eutils.ncbi.nlm.nih.gov/entrez/eutils/elink.fcgi?dbfrom=pubmed&amp;id=31306256&amp;retmode=ref&amp;cmd=prlinks</w:t>
        </w:r>
      </w:hyperlink>
    </w:p>
    <w:p w14:paraId="63C8778C" w14:textId="77777777" w:rsidR="00886130" w:rsidRPr="00FD0727" w:rsidRDefault="00886130">
      <w:pPr>
        <w:rPr>
          <w:rFonts w:asciiTheme="majorHAnsi" w:hAnsiTheme="majorHAnsi"/>
          <w:color w:val="000000" w:themeColor="text1"/>
          <w:sz w:val="22"/>
          <w:szCs w:val="22"/>
        </w:rPr>
      </w:pPr>
    </w:p>
    <w:p w14:paraId="6BFBE495" w14:textId="16219FC2"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397D100E" w14:textId="77777777" w:rsidR="00C776B7" w:rsidRPr="00A24B30" w:rsidRDefault="00FD0727">
      <w:pPr>
        <w:pStyle w:val="Heading4"/>
        <w:rPr>
          <w:rFonts w:asciiTheme="majorHAnsi" w:hAnsiTheme="majorHAnsi"/>
          <w:b/>
          <w:color w:val="000000" w:themeColor="text1"/>
          <w:sz w:val="22"/>
          <w:szCs w:val="22"/>
        </w:rPr>
      </w:pPr>
      <w:r w:rsidRPr="00A24B30">
        <w:rPr>
          <w:rFonts w:asciiTheme="majorHAnsi" w:hAnsiTheme="majorHAnsi"/>
          <w:b/>
          <w:color w:val="000000" w:themeColor="text1"/>
          <w:sz w:val="22"/>
          <w:szCs w:val="22"/>
        </w:rPr>
        <w:t>Association Between the Use of Sodium Bicarbonate and Mortality in Acute Kidney Injury Using Marginal Structural Cox Model.</w:t>
      </w:r>
    </w:p>
    <w:p w14:paraId="0DDDC088" w14:textId="77777777" w:rsidR="00C776B7" w:rsidRPr="00FD0727" w:rsidRDefault="00C776B7">
      <w:pPr>
        <w:rPr>
          <w:rFonts w:asciiTheme="majorHAnsi" w:hAnsiTheme="majorHAnsi"/>
          <w:color w:val="000000" w:themeColor="text1"/>
          <w:sz w:val="22"/>
          <w:szCs w:val="22"/>
        </w:rPr>
      </w:pPr>
    </w:p>
    <w:p w14:paraId="0F2FD3E9"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Zhongheng Zhang, Lei Mo, Kwok M Ho, and Yucai Hong.</w:t>
      </w:r>
    </w:p>
    <w:p w14:paraId="38E15575" w14:textId="77777777" w:rsidR="00C776B7" w:rsidRPr="00FD0727" w:rsidRDefault="00C776B7">
      <w:pPr>
        <w:rPr>
          <w:rFonts w:asciiTheme="majorHAnsi" w:hAnsiTheme="majorHAnsi"/>
          <w:color w:val="000000" w:themeColor="text1"/>
          <w:sz w:val="22"/>
          <w:szCs w:val="22"/>
        </w:rPr>
      </w:pPr>
    </w:p>
    <w:p w14:paraId="37982BBE"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OBJECTIVE:Acute</w:t>
      </w:r>
      <w:proofErr w:type="gramEnd"/>
      <w:r w:rsidRPr="00FD0727">
        <w:rPr>
          <w:rFonts w:asciiTheme="majorHAnsi" w:hAnsiTheme="majorHAnsi"/>
          <w:color w:val="000000" w:themeColor="text1"/>
          <w:sz w:val="22"/>
          <w:szCs w:val="22"/>
        </w:rPr>
        <w:t xml:space="preserve"> kidney injury with metabolic acidosis is common in critically ill patients. This study assessed the associations between the use of IV sodium bicarbonate and mortality of patients with acute kidney injury and acidosis.</w:t>
      </w:r>
    </w:p>
    <w:p w14:paraId="63D2E160" w14:textId="77777777" w:rsidR="00C776B7" w:rsidRPr="00FD0727" w:rsidRDefault="00C776B7">
      <w:pPr>
        <w:rPr>
          <w:rFonts w:asciiTheme="majorHAnsi" w:hAnsiTheme="majorHAnsi"/>
          <w:color w:val="000000" w:themeColor="text1"/>
          <w:sz w:val="22"/>
          <w:szCs w:val="22"/>
        </w:rPr>
      </w:pPr>
    </w:p>
    <w:p w14:paraId="2C1D1969"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DESIGN:The</w:t>
      </w:r>
      <w:proofErr w:type="gramEnd"/>
      <w:r w:rsidRPr="00FD0727">
        <w:rPr>
          <w:rFonts w:asciiTheme="majorHAnsi" w:hAnsiTheme="majorHAnsi"/>
          <w:color w:val="000000" w:themeColor="text1"/>
          <w:sz w:val="22"/>
          <w:szCs w:val="22"/>
        </w:rPr>
        <w:t xml:space="preserve"> study was conducted by using data from Beth Israel Deaconess Medical Center, which included several ICUs such as coronary care unit, cardiac surgery recovery unit, medical ICU, surgical ICU, and trauma-neuro ICU. Marginal structural Cox model was used to assess the relationship between receipt of sodium bicarbonate and hospital mortality, allowing pH, PaCO2, creatinine, and bicarbonate concentration as time-varying predictors of sodium bicarbonate exposure while adjusting for baseline characteristics of age, gender, Sequential Organ Failure Assessment score, acute kidney injury stage, Elixhauser score, quick Sequential Organ Failure Assessment, and Simplified Acute Physiology Score II.</w:t>
      </w:r>
    </w:p>
    <w:p w14:paraId="73649C72" w14:textId="77777777" w:rsidR="00C776B7" w:rsidRPr="00FD0727" w:rsidRDefault="00C776B7">
      <w:pPr>
        <w:rPr>
          <w:rFonts w:asciiTheme="majorHAnsi" w:hAnsiTheme="majorHAnsi"/>
          <w:color w:val="000000" w:themeColor="text1"/>
          <w:sz w:val="22"/>
          <w:szCs w:val="22"/>
        </w:rPr>
      </w:pPr>
    </w:p>
    <w:p w14:paraId="75D2B04E"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SETTING:A</w:t>
      </w:r>
      <w:proofErr w:type="gramEnd"/>
      <w:r w:rsidRPr="00FD0727">
        <w:rPr>
          <w:rFonts w:asciiTheme="majorHAnsi" w:hAnsiTheme="majorHAnsi"/>
          <w:color w:val="000000" w:themeColor="text1"/>
          <w:sz w:val="22"/>
          <w:szCs w:val="22"/>
        </w:rPr>
        <w:t xml:space="preserve"> large U.S.-based critical care database named Medical Information Mart for Intensive Care.</w:t>
      </w:r>
    </w:p>
    <w:p w14:paraId="2EC299F2" w14:textId="77777777" w:rsidR="00C776B7" w:rsidRPr="00FD0727" w:rsidRDefault="00C776B7">
      <w:pPr>
        <w:rPr>
          <w:rFonts w:asciiTheme="majorHAnsi" w:hAnsiTheme="majorHAnsi"/>
          <w:color w:val="000000" w:themeColor="text1"/>
          <w:sz w:val="22"/>
          <w:szCs w:val="22"/>
        </w:rPr>
      </w:pPr>
    </w:p>
    <w:p w14:paraId="7A98AB42"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PATIENTS:Patients</w:t>
      </w:r>
      <w:proofErr w:type="gramEnd"/>
      <w:r w:rsidRPr="00FD0727">
        <w:rPr>
          <w:rFonts w:asciiTheme="majorHAnsi" w:hAnsiTheme="majorHAnsi"/>
          <w:color w:val="000000" w:themeColor="text1"/>
          <w:sz w:val="22"/>
          <w:szCs w:val="22"/>
        </w:rPr>
        <w:t xml:space="preserve"> with Kidney Disease: Improving Global Outcomes acute kidney injury stage greater than or equal to 1 (&gt; 1.5 (Equation is included in full-text article.)baseline creatinine) and one measurement of acidosis (pH ≤ 7.2). Baseline creatinine was estimated using the Chronic Kidney Disease Epidemiology Collaboration equation.</w:t>
      </w:r>
    </w:p>
    <w:p w14:paraId="4DEEF4B8" w14:textId="77777777" w:rsidR="00C776B7" w:rsidRPr="00FD0727" w:rsidRDefault="00C776B7">
      <w:pPr>
        <w:rPr>
          <w:rFonts w:asciiTheme="majorHAnsi" w:hAnsiTheme="majorHAnsi"/>
          <w:color w:val="000000" w:themeColor="text1"/>
          <w:sz w:val="22"/>
          <w:szCs w:val="22"/>
        </w:rPr>
      </w:pPr>
    </w:p>
    <w:p w14:paraId="632F067E"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INTERVENTIONS:None</w:t>
      </w:r>
      <w:proofErr w:type="gramEnd"/>
      <w:r w:rsidRPr="00FD0727">
        <w:rPr>
          <w:rFonts w:asciiTheme="majorHAnsi" w:hAnsiTheme="majorHAnsi"/>
          <w:color w:val="000000" w:themeColor="text1"/>
          <w:sz w:val="22"/>
          <w:szCs w:val="22"/>
        </w:rPr>
        <w:t>.</w:t>
      </w:r>
    </w:p>
    <w:p w14:paraId="1E18ECD6" w14:textId="77777777" w:rsidR="00C776B7" w:rsidRPr="00FD0727" w:rsidRDefault="00C776B7">
      <w:pPr>
        <w:rPr>
          <w:rFonts w:asciiTheme="majorHAnsi" w:hAnsiTheme="majorHAnsi"/>
          <w:color w:val="000000" w:themeColor="text1"/>
          <w:sz w:val="22"/>
          <w:szCs w:val="22"/>
        </w:rPr>
      </w:pPr>
    </w:p>
    <w:p w14:paraId="3D429825"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MEASUREMENTS AND MAIN </w:t>
      </w:r>
      <w:proofErr w:type="gramStart"/>
      <w:r w:rsidRPr="00FD0727">
        <w:rPr>
          <w:rFonts w:asciiTheme="majorHAnsi" w:hAnsiTheme="majorHAnsi"/>
          <w:color w:val="000000" w:themeColor="text1"/>
          <w:sz w:val="22"/>
          <w:szCs w:val="22"/>
        </w:rPr>
        <w:t>RESULTS:Of</w:t>
      </w:r>
      <w:proofErr w:type="gramEnd"/>
      <w:r w:rsidRPr="00FD0727">
        <w:rPr>
          <w:rFonts w:asciiTheme="majorHAnsi" w:hAnsiTheme="majorHAnsi"/>
          <w:color w:val="000000" w:themeColor="text1"/>
          <w:sz w:val="22"/>
          <w:szCs w:val="22"/>
        </w:rPr>
        <w:t xml:space="preserve"> the 3,406 eligible patients, 836 (24.5%) had received sodium bicarbonate treatment. Patients who received sodium bicarbonate treatment had a higher Sequential Organ Failure Assessment (9 vs 7; p &lt; 0.001), lower pH (7.16 vs 7.18; p &lt; 0.001), and bicarbonate concentration (16.51 ± 7.04 vs 20.57 ± 6.29 mmol/ L; p &lt; 0.001) compared with those who did not receive sodium bicarbonate. In the marginal structural Cox model by weighing observations with inverse probability of receiving sodium bicarbonate, sodium bicarbonate treatment was not associated with mortality in the overall population (hazard ratio, 1.16; 95% CI, 0.98-1.42; p = 0.132), but it appeared to be beneficial in subgroups of pancreatitis (hazard ratio, 0.53; 95% CI, 0.28-0.98; p = 0.044) and severe acidosis (pH &lt; 7.15; hazard ratio, 0.75; 95% CI, 0.58-0.96; p = 0.024). Furthermore, sodium bicarbonate appeared to be beneficial in patients with severe bicarbonate deficit (&lt; -50 kg·mmol/ L).</w:t>
      </w:r>
    </w:p>
    <w:p w14:paraId="3ED3AB71" w14:textId="77777777" w:rsidR="00C776B7" w:rsidRPr="00FD0727" w:rsidRDefault="00C776B7">
      <w:pPr>
        <w:rPr>
          <w:rFonts w:asciiTheme="majorHAnsi" w:hAnsiTheme="majorHAnsi"/>
          <w:color w:val="000000" w:themeColor="text1"/>
          <w:sz w:val="22"/>
          <w:szCs w:val="22"/>
        </w:rPr>
      </w:pPr>
    </w:p>
    <w:p w14:paraId="5964EC62"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CONCLUSIONS:In</w:t>
      </w:r>
      <w:proofErr w:type="gramEnd"/>
      <w:r w:rsidRPr="00FD0727">
        <w:rPr>
          <w:rFonts w:asciiTheme="majorHAnsi" w:hAnsiTheme="majorHAnsi"/>
          <w:color w:val="000000" w:themeColor="text1"/>
          <w:sz w:val="22"/>
          <w:szCs w:val="22"/>
        </w:rPr>
        <w:t xml:space="preserve"> the analysis by adjusting for potential confounders, there is no evidence that IV sodium bicarbonate is beneficial for patients with acute kidney injury and acidosis. Although the study suggested potential beneficial effects in some </w:t>
      </w:r>
      <w:proofErr w:type="gramStart"/>
      <w:r w:rsidRPr="00FD0727">
        <w:rPr>
          <w:rFonts w:asciiTheme="majorHAnsi" w:hAnsiTheme="majorHAnsi"/>
          <w:color w:val="000000" w:themeColor="text1"/>
          <w:sz w:val="22"/>
          <w:szCs w:val="22"/>
        </w:rPr>
        <w:t>highly selected</w:t>
      </w:r>
      <w:proofErr w:type="gramEnd"/>
      <w:r w:rsidRPr="00FD0727">
        <w:rPr>
          <w:rFonts w:asciiTheme="majorHAnsi" w:hAnsiTheme="majorHAnsi"/>
          <w:color w:val="000000" w:themeColor="text1"/>
          <w:sz w:val="22"/>
          <w:szCs w:val="22"/>
        </w:rPr>
        <w:t xml:space="preserve"> subgroups, the results need to be validated in experimental trials.</w:t>
      </w:r>
    </w:p>
    <w:p w14:paraId="0FCD5FBE" w14:textId="77777777" w:rsidR="00C776B7" w:rsidRPr="00FD0727" w:rsidRDefault="00C776B7">
      <w:pPr>
        <w:rPr>
          <w:rFonts w:asciiTheme="majorHAnsi" w:hAnsiTheme="majorHAnsi"/>
          <w:color w:val="000000" w:themeColor="text1"/>
          <w:sz w:val="22"/>
          <w:szCs w:val="22"/>
        </w:rPr>
      </w:pPr>
    </w:p>
    <w:p w14:paraId="54DEC454"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lastRenderedPageBreak/>
        <w:t>Critical Care Medicine, 2019 vol. 47 (10) pp. 1402-1408.</w:t>
      </w:r>
    </w:p>
    <w:p w14:paraId="011EAF39" w14:textId="77777777" w:rsidR="00C776B7" w:rsidRDefault="00FD0727">
      <w:pPr>
        <w:rPr>
          <w:rStyle w:val="Hyperlink"/>
          <w:rFonts w:asciiTheme="majorHAnsi" w:hAnsiTheme="majorHAnsi"/>
          <w:color w:val="000000" w:themeColor="text1"/>
          <w:sz w:val="22"/>
          <w:szCs w:val="22"/>
        </w:rPr>
      </w:pPr>
      <w:hyperlink r:id="rId55" w:history="1">
        <w:r w:rsidRPr="00FD0727">
          <w:rPr>
            <w:rStyle w:val="Hyperlink"/>
            <w:rFonts w:asciiTheme="majorHAnsi" w:hAnsiTheme="majorHAnsi"/>
            <w:color w:val="000000" w:themeColor="text1"/>
            <w:sz w:val="22"/>
            <w:szCs w:val="22"/>
          </w:rPr>
          <w:t>http://eutils.ncbi.nlm.nih.gov/entrez/eutils/elink.fcgi?dbfrom=pubmed&amp;id=31356473&amp;retmode=ref&amp;cmd=prlinks</w:t>
        </w:r>
      </w:hyperlink>
    </w:p>
    <w:p w14:paraId="22FA838F" w14:textId="77777777" w:rsidR="00A24B30" w:rsidRPr="00FD0727" w:rsidRDefault="00A24B30">
      <w:pPr>
        <w:rPr>
          <w:rFonts w:asciiTheme="majorHAnsi" w:hAnsiTheme="majorHAnsi"/>
          <w:color w:val="000000" w:themeColor="text1"/>
          <w:sz w:val="22"/>
          <w:szCs w:val="22"/>
        </w:rPr>
      </w:pPr>
    </w:p>
    <w:p w14:paraId="26116411" w14:textId="568351BE"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04389B4C" w14:textId="77777777" w:rsidR="00C776B7" w:rsidRPr="00A24B30" w:rsidRDefault="00FD0727">
      <w:pPr>
        <w:pStyle w:val="Heading4"/>
        <w:rPr>
          <w:rFonts w:asciiTheme="majorHAnsi" w:hAnsiTheme="majorHAnsi"/>
          <w:b/>
          <w:color w:val="000000" w:themeColor="text1"/>
          <w:sz w:val="22"/>
          <w:szCs w:val="22"/>
        </w:rPr>
      </w:pPr>
      <w:r w:rsidRPr="00A24B30">
        <w:rPr>
          <w:rFonts w:asciiTheme="majorHAnsi" w:hAnsiTheme="majorHAnsi"/>
          <w:b/>
          <w:color w:val="000000" w:themeColor="text1"/>
          <w:sz w:val="22"/>
          <w:szCs w:val="22"/>
        </w:rPr>
        <w:t>Association Between Sepsis and Microvascular Brain Injury.</w:t>
      </w:r>
    </w:p>
    <w:p w14:paraId="0AAA7227" w14:textId="77777777" w:rsidR="00C776B7" w:rsidRPr="00FD0727" w:rsidRDefault="00C776B7">
      <w:pPr>
        <w:rPr>
          <w:rFonts w:asciiTheme="majorHAnsi" w:hAnsiTheme="majorHAnsi"/>
          <w:color w:val="000000" w:themeColor="text1"/>
          <w:sz w:val="22"/>
          <w:szCs w:val="22"/>
        </w:rPr>
      </w:pPr>
    </w:p>
    <w:p w14:paraId="47E9F6D8"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William J Ehlenbach, Joshua A Sonnen, Thomas J Montine, and Eric B Larson.</w:t>
      </w:r>
    </w:p>
    <w:p w14:paraId="75AF8A8B" w14:textId="77777777" w:rsidR="00C776B7" w:rsidRPr="00FD0727" w:rsidRDefault="00C776B7">
      <w:pPr>
        <w:rPr>
          <w:rFonts w:asciiTheme="majorHAnsi" w:hAnsiTheme="majorHAnsi"/>
          <w:color w:val="000000" w:themeColor="text1"/>
          <w:sz w:val="22"/>
          <w:szCs w:val="22"/>
        </w:rPr>
      </w:pPr>
    </w:p>
    <w:p w14:paraId="6A62DAAC"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OBJECTIVES:Many</w:t>
      </w:r>
      <w:proofErr w:type="gramEnd"/>
      <w:r w:rsidRPr="00FD0727">
        <w:rPr>
          <w:rFonts w:asciiTheme="majorHAnsi" w:hAnsiTheme="majorHAnsi"/>
          <w:color w:val="000000" w:themeColor="text1"/>
          <w:sz w:val="22"/>
          <w:szCs w:val="22"/>
        </w:rPr>
        <w:t xml:space="preserve"> survivors of sepsis suffer long-term cognitive impairment, but the mechanisms of this association remain unknown. The objective of this study was to determine whether sepsis is associated with cerebral microinfarcts on brain autopsy.</w:t>
      </w:r>
    </w:p>
    <w:p w14:paraId="6D6BF324" w14:textId="77777777" w:rsidR="00C776B7" w:rsidRPr="00FD0727" w:rsidRDefault="00C776B7">
      <w:pPr>
        <w:rPr>
          <w:rFonts w:asciiTheme="majorHAnsi" w:hAnsiTheme="majorHAnsi"/>
          <w:color w:val="000000" w:themeColor="text1"/>
          <w:sz w:val="22"/>
          <w:szCs w:val="22"/>
        </w:rPr>
      </w:pPr>
    </w:p>
    <w:p w14:paraId="615B932E"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DESIGN:Retrospective</w:t>
      </w:r>
      <w:proofErr w:type="gramEnd"/>
      <w:r w:rsidRPr="00FD0727">
        <w:rPr>
          <w:rFonts w:asciiTheme="majorHAnsi" w:hAnsiTheme="majorHAnsi"/>
          <w:color w:val="000000" w:themeColor="text1"/>
          <w:sz w:val="22"/>
          <w:szCs w:val="22"/>
        </w:rPr>
        <w:t xml:space="preserve"> cohort study.</w:t>
      </w:r>
    </w:p>
    <w:p w14:paraId="112A2328" w14:textId="77777777" w:rsidR="00C776B7" w:rsidRPr="00FD0727" w:rsidRDefault="00C776B7">
      <w:pPr>
        <w:rPr>
          <w:rFonts w:asciiTheme="majorHAnsi" w:hAnsiTheme="majorHAnsi"/>
          <w:color w:val="000000" w:themeColor="text1"/>
          <w:sz w:val="22"/>
          <w:szCs w:val="22"/>
        </w:rPr>
      </w:pPr>
    </w:p>
    <w:p w14:paraId="18936809"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SETTING AND </w:t>
      </w:r>
      <w:proofErr w:type="gramStart"/>
      <w:r w:rsidRPr="00FD0727">
        <w:rPr>
          <w:rFonts w:asciiTheme="majorHAnsi" w:hAnsiTheme="majorHAnsi"/>
          <w:color w:val="000000" w:themeColor="text1"/>
          <w:sz w:val="22"/>
          <w:szCs w:val="22"/>
        </w:rPr>
        <w:t>SUBJECTS:Five</w:t>
      </w:r>
      <w:proofErr w:type="gramEnd"/>
      <w:r w:rsidRPr="00FD0727">
        <w:rPr>
          <w:rFonts w:asciiTheme="majorHAnsi" w:hAnsiTheme="majorHAnsi"/>
          <w:color w:val="000000" w:themeColor="text1"/>
          <w:sz w:val="22"/>
          <w:szCs w:val="22"/>
        </w:rPr>
        <w:t>-hundred twenty-nine participants of the Adult Changes in Thought, a population-based prospective cohort study of older adults carried out in Kaiser Permanente Washington greater than or equal to 65 years old without dementia at study entry and who underwent brain autopsy.</w:t>
      </w:r>
    </w:p>
    <w:p w14:paraId="6A0AE514" w14:textId="77777777" w:rsidR="00C776B7" w:rsidRPr="00FD0727" w:rsidRDefault="00C776B7">
      <w:pPr>
        <w:rPr>
          <w:rFonts w:asciiTheme="majorHAnsi" w:hAnsiTheme="majorHAnsi"/>
          <w:color w:val="000000" w:themeColor="text1"/>
          <w:sz w:val="22"/>
          <w:szCs w:val="22"/>
        </w:rPr>
      </w:pPr>
    </w:p>
    <w:p w14:paraId="3F0318DE"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MEASUREMENTS AND MAIN </w:t>
      </w:r>
      <w:proofErr w:type="gramStart"/>
      <w:r w:rsidRPr="00FD0727">
        <w:rPr>
          <w:rFonts w:asciiTheme="majorHAnsi" w:hAnsiTheme="majorHAnsi"/>
          <w:color w:val="000000" w:themeColor="text1"/>
          <w:sz w:val="22"/>
          <w:szCs w:val="22"/>
        </w:rPr>
        <w:t>RESULTS:Late</w:t>
      </w:r>
      <w:proofErr w:type="gramEnd"/>
      <w:r w:rsidRPr="00FD0727">
        <w:rPr>
          <w:rFonts w:asciiTheme="majorHAnsi" w:hAnsiTheme="majorHAnsi"/>
          <w:color w:val="000000" w:themeColor="text1"/>
          <w:sz w:val="22"/>
          <w:szCs w:val="22"/>
        </w:rPr>
        <w:t>-life sepsis hospitalization was identified using administrative data. We identified 89 individuals with greater than or equal to 1 sepsis hospitalization during study participation, 80 of whom survived hospitalization and died a median of 169 days after discharge. Thirty percent of participants with one or more sepsis hospitalization had greater than two microinfarcts, compared with 19% participants without (χ p = 0.02); 20% of those with sepsis hospitalization had greater than two microinfarcts in the cerebral cortex, compared with 10% of those without (χ p = 0.01). The adjusted relative risk of greater than two microinfarcts was 1.61 (95% CI, 1.01-2.57; p = 0.04); the relative risk for having greater than two microinfarcts in the cerebral cortex was 2.12 (95% CI, 1.12-4.02; p = 0.02). There was no difference in Braak stage for neurofibrillary tangles or consortium to establish a registry for Alzheimer's disease score for neuritic plaques between, but Lewy bodies were less significantly common in those with sepsis.</w:t>
      </w:r>
    </w:p>
    <w:p w14:paraId="74DDC600" w14:textId="77777777" w:rsidR="00C776B7" w:rsidRPr="00FD0727" w:rsidRDefault="00C776B7">
      <w:pPr>
        <w:rPr>
          <w:rFonts w:asciiTheme="majorHAnsi" w:hAnsiTheme="majorHAnsi"/>
          <w:color w:val="000000" w:themeColor="text1"/>
          <w:sz w:val="22"/>
          <w:szCs w:val="22"/>
        </w:rPr>
      </w:pPr>
    </w:p>
    <w:p w14:paraId="7B01E788"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CONCLUSIONS:Sepsis</w:t>
      </w:r>
      <w:proofErr w:type="gramEnd"/>
      <w:r w:rsidRPr="00FD0727">
        <w:rPr>
          <w:rFonts w:asciiTheme="majorHAnsi" w:hAnsiTheme="majorHAnsi"/>
          <w:color w:val="000000" w:themeColor="text1"/>
          <w:sz w:val="22"/>
          <w:szCs w:val="22"/>
        </w:rPr>
        <w:t xml:space="preserve"> was specifically associated with moderate to severe vascular brain injury as assessed by microvascular infarcts. This association was stronger for microinfarcts within the cerebral cortex, with those who experienced severe sepsis hospitalization being more than twice as likely to have evidence of moderate to severe cerebral cortical injury in adjusted analyses. Further study to identify mechanisms for the association of sepsis and microinfarcts is needed.</w:t>
      </w:r>
    </w:p>
    <w:p w14:paraId="131C3E3A" w14:textId="77777777" w:rsidR="00C776B7" w:rsidRPr="00FD0727" w:rsidRDefault="00C776B7">
      <w:pPr>
        <w:rPr>
          <w:rFonts w:asciiTheme="majorHAnsi" w:hAnsiTheme="majorHAnsi"/>
          <w:color w:val="000000" w:themeColor="text1"/>
          <w:sz w:val="22"/>
          <w:szCs w:val="22"/>
        </w:rPr>
      </w:pPr>
    </w:p>
    <w:p w14:paraId="3D8BE740"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 Care Med, 2019 vol. 47 (11) pp. 1531-1538.</w:t>
      </w:r>
    </w:p>
    <w:p w14:paraId="3B335439" w14:textId="77777777" w:rsidR="00C776B7" w:rsidRDefault="00FD0727">
      <w:pPr>
        <w:rPr>
          <w:rStyle w:val="Hyperlink"/>
          <w:rFonts w:asciiTheme="majorHAnsi" w:hAnsiTheme="majorHAnsi"/>
          <w:color w:val="000000" w:themeColor="text1"/>
          <w:sz w:val="22"/>
          <w:szCs w:val="22"/>
        </w:rPr>
      </w:pPr>
      <w:hyperlink r:id="rId56" w:history="1">
        <w:r w:rsidRPr="00FD0727">
          <w:rPr>
            <w:rStyle w:val="Hyperlink"/>
            <w:rFonts w:asciiTheme="majorHAnsi" w:hAnsiTheme="majorHAnsi"/>
            <w:color w:val="000000" w:themeColor="text1"/>
            <w:sz w:val="22"/>
            <w:szCs w:val="22"/>
          </w:rPr>
          <w:t>http://eutils.ncbi.nlm.nih.gov/entrez/eutils/elink.fcgi?dbfrom=pubmed&amp;id=31389836&amp;retmode=ref&amp;cmd=prlinks</w:t>
        </w:r>
      </w:hyperlink>
    </w:p>
    <w:p w14:paraId="06E3C2DD" w14:textId="77777777" w:rsidR="00A24B30" w:rsidRPr="00FD0727" w:rsidRDefault="00A24B30">
      <w:pPr>
        <w:rPr>
          <w:rFonts w:asciiTheme="majorHAnsi" w:hAnsiTheme="majorHAnsi"/>
          <w:color w:val="000000" w:themeColor="text1"/>
          <w:sz w:val="22"/>
          <w:szCs w:val="22"/>
        </w:rPr>
      </w:pPr>
    </w:p>
    <w:p w14:paraId="3B32DD9B"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296C676A" w14:textId="77777777" w:rsidR="00C776B7" w:rsidRPr="00A24B30" w:rsidRDefault="00FD0727">
      <w:pPr>
        <w:pStyle w:val="Heading4"/>
        <w:rPr>
          <w:rFonts w:asciiTheme="majorHAnsi" w:hAnsiTheme="majorHAnsi"/>
          <w:b/>
          <w:color w:val="000000" w:themeColor="text1"/>
          <w:sz w:val="22"/>
          <w:szCs w:val="22"/>
        </w:rPr>
      </w:pPr>
      <w:r w:rsidRPr="00A24B30">
        <w:rPr>
          <w:rFonts w:asciiTheme="majorHAnsi" w:hAnsiTheme="majorHAnsi"/>
          <w:b/>
          <w:color w:val="000000" w:themeColor="text1"/>
          <w:sz w:val="22"/>
          <w:szCs w:val="22"/>
        </w:rPr>
        <w:t xml:space="preserve">Evaluation and Predictors of Fluid Resuscitation in Patients </w:t>
      </w:r>
      <w:proofErr w:type="gramStart"/>
      <w:r w:rsidRPr="00A24B30">
        <w:rPr>
          <w:rFonts w:asciiTheme="majorHAnsi" w:hAnsiTheme="majorHAnsi"/>
          <w:b/>
          <w:color w:val="000000" w:themeColor="text1"/>
          <w:sz w:val="22"/>
          <w:szCs w:val="22"/>
        </w:rPr>
        <w:t>With</w:t>
      </w:r>
      <w:proofErr w:type="gramEnd"/>
      <w:r w:rsidRPr="00A24B30">
        <w:rPr>
          <w:rFonts w:asciiTheme="majorHAnsi" w:hAnsiTheme="majorHAnsi"/>
          <w:b/>
          <w:color w:val="000000" w:themeColor="text1"/>
          <w:sz w:val="22"/>
          <w:szCs w:val="22"/>
        </w:rPr>
        <w:t xml:space="preserve"> Severe Sepsis and Septic Shock.</w:t>
      </w:r>
    </w:p>
    <w:p w14:paraId="3EC81AC2" w14:textId="77777777" w:rsidR="00C776B7" w:rsidRPr="00FD0727" w:rsidRDefault="00C776B7">
      <w:pPr>
        <w:rPr>
          <w:rFonts w:asciiTheme="majorHAnsi" w:hAnsiTheme="majorHAnsi"/>
          <w:color w:val="000000" w:themeColor="text1"/>
          <w:sz w:val="22"/>
          <w:szCs w:val="22"/>
        </w:rPr>
      </w:pPr>
    </w:p>
    <w:p w14:paraId="1DB768BC"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Hani I Kuttab, Joseph D Lykins, Michelle D Hughes, Kristen Wroblewski, Eric P Keast, Omobolawa Kukoyi, Jason A Kopec, Stephen Hall, and Michael </w:t>
      </w:r>
      <w:proofErr w:type="gramStart"/>
      <w:r w:rsidRPr="00FD0727">
        <w:rPr>
          <w:rFonts w:asciiTheme="majorHAnsi" w:hAnsiTheme="majorHAnsi"/>
          <w:color w:val="000000" w:themeColor="text1"/>
          <w:sz w:val="22"/>
          <w:szCs w:val="22"/>
        </w:rPr>
        <w:t>A</w:t>
      </w:r>
      <w:proofErr w:type="gramEnd"/>
      <w:r w:rsidRPr="00FD0727">
        <w:rPr>
          <w:rFonts w:asciiTheme="majorHAnsi" w:hAnsiTheme="majorHAnsi"/>
          <w:color w:val="000000" w:themeColor="text1"/>
          <w:sz w:val="22"/>
          <w:szCs w:val="22"/>
        </w:rPr>
        <w:t xml:space="preserve"> Ward.</w:t>
      </w:r>
    </w:p>
    <w:p w14:paraId="2039A920" w14:textId="77777777" w:rsidR="00C776B7" w:rsidRPr="00FD0727" w:rsidRDefault="00C776B7">
      <w:pPr>
        <w:rPr>
          <w:rFonts w:asciiTheme="majorHAnsi" w:hAnsiTheme="majorHAnsi"/>
          <w:color w:val="000000" w:themeColor="text1"/>
          <w:sz w:val="22"/>
          <w:szCs w:val="22"/>
        </w:rPr>
      </w:pPr>
    </w:p>
    <w:p w14:paraId="5F19E646"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OBJECTIVES:Rapid</w:t>
      </w:r>
      <w:proofErr w:type="gramEnd"/>
      <w:r w:rsidRPr="00FD0727">
        <w:rPr>
          <w:rFonts w:asciiTheme="majorHAnsi" w:hAnsiTheme="majorHAnsi"/>
          <w:color w:val="000000" w:themeColor="text1"/>
          <w:sz w:val="22"/>
          <w:szCs w:val="22"/>
        </w:rPr>
        <w:t xml:space="preserve"> fluid resuscitation has become standard in sepsis care, despite "low-quality" evidence and absence of guidelines for populations "at risk" for volume overload. Our objectives include as follows: 1) identify predictors of reaching a 30 mL/kg crystalloid bolus within 3 hours of sepsis onset (30by3); 2) assess the impact of 30by3 and fluid dosing on clinical outcomes; 3) examine differences in perceived "at-risk" volume-sensitive populations, including end-stage renal disease, heart failure, obesity, advanced age, or with documentation of volume "overload" by bedside examination.</w:t>
      </w:r>
    </w:p>
    <w:p w14:paraId="7FA3E75D" w14:textId="77777777" w:rsidR="00C776B7" w:rsidRPr="00FD0727" w:rsidRDefault="00C776B7">
      <w:pPr>
        <w:rPr>
          <w:rFonts w:asciiTheme="majorHAnsi" w:hAnsiTheme="majorHAnsi"/>
          <w:color w:val="000000" w:themeColor="text1"/>
          <w:sz w:val="22"/>
          <w:szCs w:val="22"/>
        </w:rPr>
      </w:pPr>
    </w:p>
    <w:p w14:paraId="4DEFD61E"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DESIGN:Retrospective</w:t>
      </w:r>
      <w:proofErr w:type="gramEnd"/>
      <w:r w:rsidRPr="00FD0727">
        <w:rPr>
          <w:rFonts w:asciiTheme="majorHAnsi" w:hAnsiTheme="majorHAnsi"/>
          <w:color w:val="000000" w:themeColor="text1"/>
          <w:sz w:val="22"/>
          <w:szCs w:val="22"/>
        </w:rPr>
        <w:t xml:space="preserve"> cohort study. All outcome analyses controlled for sex, end-stage renal disease, heart failure, sepsis severity (severe sepsis vs septic shock), obesity, Mortality in Emergency Department Sepsis score, and time to antibiotics.</w:t>
      </w:r>
    </w:p>
    <w:p w14:paraId="04F61624" w14:textId="77777777" w:rsidR="00C776B7" w:rsidRPr="00FD0727" w:rsidRDefault="00C776B7">
      <w:pPr>
        <w:rPr>
          <w:rFonts w:asciiTheme="majorHAnsi" w:hAnsiTheme="majorHAnsi"/>
          <w:color w:val="000000" w:themeColor="text1"/>
          <w:sz w:val="22"/>
          <w:szCs w:val="22"/>
        </w:rPr>
      </w:pPr>
    </w:p>
    <w:p w14:paraId="6FBC235D"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SETTING:Urban</w:t>
      </w:r>
      <w:proofErr w:type="gramEnd"/>
      <w:r w:rsidRPr="00FD0727">
        <w:rPr>
          <w:rFonts w:asciiTheme="majorHAnsi" w:hAnsiTheme="majorHAnsi"/>
          <w:color w:val="000000" w:themeColor="text1"/>
          <w:sz w:val="22"/>
          <w:szCs w:val="22"/>
        </w:rPr>
        <w:t>, tertiary care center between January 1, 2014, and May 31, 2017.</w:t>
      </w:r>
    </w:p>
    <w:p w14:paraId="1FA5A125" w14:textId="77777777" w:rsidR="00C776B7" w:rsidRPr="00FD0727" w:rsidRDefault="00C776B7">
      <w:pPr>
        <w:rPr>
          <w:rFonts w:asciiTheme="majorHAnsi" w:hAnsiTheme="majorHAnsi"/>
          <w:color w:val="000000" w:themeColor="text1"/>
          <w:sz w:val="22"/>
          <w:szCs w:val="22"/>
        </w:rPr>
      </w:pPr>
    </w:p>
    <w:p w14:paraId="3023D3BF"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PATIENTS:Emergency</w:t>
      </w:r>
      <w:proofErr w:type="gramEnd"/>
      <w:r w:rsidRPr="00FD0727">
        <w:rPr>
          <w:rFonts w:asciiTheme="majorHAnsi" w:hAnsiTheme="majorHAnsi"/>
          <w:color w:val="000000" w:themeColor="text1"/>
          <w:sz w:val="22"/>
          <w:szCs w:val="22"/>
        </w:rPr>
        <w:t xml:space="preserve"> Department treated adults (age ≥18 yr; n = 1,032) with severe sepsis or septic shock.</w:t>
      </w:r>
    </w:p>
    <w:p w14:paraId="697F0EEA" w14:textId="77777777" w:rsidR="00C776B7" w:rsidRPr="00FD0727" w:rsidRDefault="00C776B7">
      <w:pPr>
        <w:rPr>
          <w:rFonts w:asciiTheme="majorHAnsi" w:hAnsiTheme="majorHAnsi"/>
          <w:color w:val="000000" w:themeColor="text1"/>
          <w:sz w:val="22"/>
          <w:szCs w:val="22"/>
        </w:rPr>
      </w:pPr>
    </w:p>
    <w:p w14:paraId="4A6C209E"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INTERVENTIONS:Administration</w:t>
      </w:r>
      <w:proofErr w:type="gramEnd"/>
      <w:r w:rsidRPr="00FD0727">
        <w:rPr>
          <w:rFonts w:asciiTheme="majorHAnsi" w:hAnsiTheme="majorHAnsi"/>
          <w:color w:val="000000" w:themeColor="text1"/>
          <w:sz w:val="22"/>
          <w:szCs w:val="22"/>
        </w:rPr>
        <w:t xml:space="preserve"> of IV fluids by bolus.</w:t>
      </w:r>
    </w:p>
    <w:p w14:paraId="312C1FAC" w14:textId="77777777" w:rsidR="00C776B7" w:rsidRPr="00FD0727" w:rsidRDefault="00C776B7">
      <w:pPr>
        <w:rPr>
          <w:rFonts w:asciiTheme="majorHAnsi" w:hAnsiTheme="majorHAnsi"/>
          <w:color w:val="000000" w:themeColor="text1"/>
          <w:sz w:val="22"/>
          <w:szCs w:val="22"/>
        </w:rPr>
      </w:pPr>
    </w:p>
    <w:p w14:paraId="04C7CDE6"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MEASUREMENTS AND MAIN </w:t>
      </w:r>
      <w:proofErr w:type="gramStart"/>
      <w:r w:rsidRPr="00FD0727">
        <w:rPr>
          <w:rFonts w:asciiTheme="majorHAnsi" w:hAnsiTheme="majorHAnsi"/>
          <w:color w:val="000000" w:themeColor="text1"/>
          <w:sz w:val="22"/>
          <w:szCs w:val="22"/>
        </w:rPr>
        <w:t>RESULTS:In</w:t>
      </w:r>
      <w:proofErr w:type="gramEnd"/>
      <w:r w:rsidRPr="00FD0727">
        <w:rPr>
          <w:rFonts w:asciiTheme="majorHAnsi" w:hAnsiTheme="majorHAnsi"/>
          <w:color w:val="000000" w:themeColor="text1"/>
          <w:sz w:val="22"/>
          <w:szCs w:val="22"/>
        </w:rPr>
        <w:t xml:space="preserve"> total, 509 patients received 30by3 (49.3%). Overall mortality was 17.1% (n = 176), with 20.4% mortality in the shock group. Patients who were elderly (odds ratio, 0.62; 95% CI, 0.46-0.83), male (odds ratio, 0.66; CI, 0.49-0.87), obese (odds ratio, 0.18; CI, 0.13-0.25), or with end-stage renal disease (odds ratio, 0.23; CI, 0.13-0.40), heart failure (odds ratio, 0.42; CI, 0.29-0.60), or documented volume "overload" (odds ratio, 0.30; CI, 0.20-0.45) were less likely to achieve 30by3. Failure to meet 30by3 had increased odds of mortality (odds ratio, 1.52; CI, 1.03-2.24), delayed hypotension (odds ratio, 1.42; CI, 1.02-1.99), and increased ICU stay (~2 d) (β = 2.0; CI, 0.5-3.6), without differential effects for "at-risk" groups. Higher fluid volumes administered by 3 hours correlated with decreased mortality, with a plateau effect between 35 and 45 mL/kg (p &lt; 0.05).</w:t>
      </w:r>
    </w:p>
    <w:p w14:paraId="00329DD1" w14:textId="77777777" w:rsidR="00C776B7" w:rsidRPr="00FD0727" w:rsidRDefault="00C776B7">
      <w:pPr>
        <w:rPr>
          <w:rFonts w:asciiTheme="majorHAnsi" w:hAnsiTheme="majorHAnsi"/>
          <w:color w:val="000000" w:themeColor="text1"/>
          <w:sz w:val="22"/>
          <w:szCs w:val="22"/>
        </w:rPr>
      </w:pPr>
    </w:p>
    <w:p w14:paraId="30DD0350"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CONCLUSIONS:Failure</w:t>
      </w:r>
      <w:proofErr w:type="gramEnd"/>
      <w:r w:rsidRPr="00FD0727">
        <w:rPr>
          <w:rFonts w:asciiTheme="majorHAnsi" w:hAnsiTheme="majorHAnsi"/>
          <w:color w:val="000000" w:themeColor="text1"/>
          <w:sz w:val="22"/>
          <w:szCs w:val="22"/>
        </w:rPr>
        <w:t xml:space="preserve"> to reach 30by3 was associated with increased odds of in-hospital mortality, irrespective of comorbidities. Predictors of inadequate resuscitation can be identified, potentially leading to interventions to improve survival. These findings are retrospective and require future validation.</w:t>
      </w:r>
    </w:p>
    <w:p w14:paraId="29D4EA3C" w14:textId="77777777" w:rsidR="00C776B7" w:rsidRPr="00FD0727" w:rsidRDefault="00C776B7">
      <w:pPr>
        <w:rPr>
          <w:rFonts w:asciiTheme="majorHAnsi" w:hAnsiTheme="majorHAnsi"/>
          <w:color w:val="000000" w:themeColor="text1"/>
          <w:sz w:val="22"/>
          <w:szCs w:val="22"/>
        </w:rPr>
      </w:pPr>
    </w:p>
    <w:p w14:paraId="682ABD50"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 Care Med, 2019 vol. 47 (11) pp. 1582-1590.</w:t>
      </w:r>
    </w:p>
    <w:p w14:paraId="4AAD84C6" w14:textId="77777777" w:rsidR="00C776B7" w:rsidRDefault="00FD0727">
      <w:pPr>
        <w:rPr>
          <w:rStyle w:val="Hyperlink"/>
          <w:rFonts w:asciiTheme="majorHAnsi" w:hAnsiTheme="majorHAnsi"/>
          <w:color w:val="000000" w:themeColor="text1"/>
          <w:sz w:val="22"/>
          <w:szCs w:val="22"/>
        </w:rPr>
      </w:pPr>
      <w:hyperlink r:id="rId57" w:history="1">
        <w:r w:rsidRPr="00FD0727">
          <w:rPr>
            <w:rStyle w:val="Hyperlink"/>
            <w:rFonts w:asciiTheme="majorHAnsi" w:hAnsiTheme="majorHAnsi"/>
            <w:color w:val="000000" w:themeColor="text1"/>
            <w:sz w:val="22"/>
            <w:szCs w:val="22"/>
          </w:rPr>
          <w:t>http://eutils.ncbi.nlm.nih.gov/entrez/eutils/elink.fcgi?dbfrom=pubmed&amp;id=31393324&amp;retmode=ref&amp;cmd=prlinks</w:t>
        </w:r>
      </w:hyperlink>
    </w:p>
    <w:p w14:paraId="6AB74DC8" w14:textId="77777777" w:rsidR="00A24B30" w:rsidRPr="00FD0727" w:rsidRDefault="00A24B30">
      <w:pPr>
        <w:rPr>
          <w:rFonts w:asciiTheme="majorHAnsi" w:hAnsiTheme="majorHAnsi"/>
          <w:color w:val="000000" w:themeColor="text1"/>
          <w:sz w:val="22"/>
          <w:szCs w:val="22"/>
        </w:rPr>
      </w:pPr>
    </w:p>
    <w:p w14:paraId="7DCB6A2E"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7FB56722" w14:textId="77777777" w:rsidR="00C776B7" w:rsidRPr="00A24B30" w:rsidRDefault="00FD0727">
      <w:pPr>
        <w:pStyle w:val="Heading4"/>
        <w:rPr>
          <w:rFonts w:asciiTheme="majorHAnsi" w:hAnsiTheme="majorHAnsi"/>
          <w:b/>
          <w:color w:val="000000" w:themeColor="text1"/>
          <w:sz w:val="22"/>
          <w:szCs w:val="22"/>
        </w:rPr>
      </w:pPr>
      <w:r w:rsidRPr="00A24B30">
        <w:rPr>
          <w:rFonts w:asciiTheme="majorHAnsi" w:hAnsiTheme="majorHAnsi"/>
          <w:b/>
          <w:color w:val="000000" w:themeColor="text1"/>
          <w:sz w:val="22"/>
          <w:szCs w:val="22"/>
        </w:rPr>
        <w:t>Frequency, Risk Factors, Causes, and Consequences of Diagnostic Errors in Critically Ill Medical Patients: A Retrospective Cohort Study.</w:t>
      </w:r>
    </w:p>
    <w:p w14:paraId="6D429070" w14:textId="77777777" w:rsidR="00C776B7" w:rsidRPr="00FD0727" w:rsidRDefault="00C776B7">
      <w:pPr>
        <w:rPr>
          <w:rFonts w:asciiTheme="majorHAnsi" w:hAnsiTheme="majorHAnsi"/>
          <w:color w:val="000000" w:themeColor="text1"/>
          <w:sz w:val="22"/>
          <w:szCs w:val="22"/>
        </w:rPr>
      </w:pPr>
    </w:p>
    <w:p w14:paraId="2DAC1A17"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Paul A Bergl, Amit Taneja, Robert El-Kareh, Hardeep Singh, and Rahul S Nanchal.</w:t>
      </w:r>
    </w:p>
    <w:p w14:paraId="3E71B282" w14:textId="77777777" w:rsidR="00C776B7" w:rsidRPr="00FD0727" w:rsidRDefault="00C776B7">
      <w:pPr>
        <w:rPr>
          <w:rFonts w:asciiTheme="majorHAnsi" w:hAnsiTheme="majorHAnsi"/>
          <w:color w:val="000000" w:themeColor="text1"/>
          <w:sz w:val="22"/>
          <w:szCs w:val="22"/>
        </w:rPr>
      </w:pPr>
    </w:p>
    <w:p w14:paraId="2AD9EA03"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OBJECTIVE:Diagnostic</w:t>
      </w:r>
      <w:proofErr w:type="gramEnd"/>
      <w:r w:rsidRPr="00FD0727">
        <w:rPr>
          <w:rFonts w:asciiTheme="majorHAnsi" w:hAnsiTheme="majorHAnsi"/>
          <w:color w:val="000000" w:themeColor="text1"/>
          <w:sz w:val="22"/>
          <w:szCs w:val="22"/>
        </w:rPr>
        <w:t xml:space="preserve"> errors are a source of significant morbidity and mortality but understudied in the critically ill. We sought to characterize the frequency, causes, consequences, and risk factors of diagnostic errors among unplanned ICU admissions.</w:t>
      </w:r>
    </w:p>
    <w:p w14:paraId="04F34531" w14:textId="77777777" w:rsidR="00C776B7" w:rsidRPr="00FD0727" w:rsidRDefault="00C776B7">
      <w:pPr>
        <w:rPr>
          <w:rFonts w:asciiTheme="majorHAnsi" w:hAnsiTheme="majorHAnsi"/>
          <w:color w:val="000000" w:themeColor="text1"/>
          <w:sz w:val="22"/>
          <w:szCs w:val="22"/>
        </w:rPr>
      </w:pPr>
    </w:p>
    <w:p w14:paraId="03B222F3"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lastRenderedPageBreak/>
        <w:t>DESIGN:We</w:t>
      </w:r>
      <w:proofErr w:type="gramEnd"/>
      <w:r w:rsidRPr="00FD0727">
        <w:rPr>
          <w:rFonts w:asciiTheme="majorHAnsi" w:hAnsiTheme="majorHAnsi"/>
          <w:color w:val="000000" w:themeColor="text1"/>
          <w:sz w:val="22"/>
          <w:szCs w:val="22"/>
        </w:rPr>
        <w:t xml:space="preserve"> conducted a retrospective cohort study of randomly selected nonsurgical ICU admissions between July 2015 and June 2016.</w:t>
      </w:r>
    </w:p>
    <w:p w14:paraId="63F375F4" w14:textId="77777777" w:rsidR="00C776B7" w:rsidRPr="00FD0727" w:rsidRDefault="00C776B7">
      <w:pPr>
        <w:rPr>
          <w:rFonts w:asciiTheme="majorHAnsi" w:hAnsiTheme="majorHAnsi"/>
          <w:color w:val="000000" w:themeColor="text1"/>
          <w:sz w:val="22"/>
          <w:szCs w:val="22"/>
        </w:rPr>
      </w:pPr>
    </w:p>
    <w:p w14:paraId="0E00FBE4"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SETTING:Medical</w:t>
      </w:r>
      <w:proofErr w:type="gramEnd"/>
      <w:r w:rsidRPr="00FD0727">
        <w:rPr>
          <w:rFonts w:asciiTheme="majorHAnsi" w:hAnsiTheme="majorHAnsi"/>
          <w:color w:val="000000" w:themeColor="text1"/>
          <w:sz w:val="22"/>
          <w:szCs w:val="22"/>
        </w:rPr>
        <w:t xml:space="preserve"> ICU at a tertiary academic medical center.</w:t>
      </w:r>
    </w:p>
    <w:p w14:paraId="56CC2308" w14:textId="77777777" w:rsidR="00C776B7" w:rsidRPr="00FD0727" w:rsidRDefault="00C776B7">
      <w:pPr>
        <w:rPr>
          <w:rFonts w:asciiTheme="majorHAnsi" w:hAnsiTheme="majorHAnsi"/>
          <w:color w:val="000000" w:themeColor="text1"/>
          <w:sz w:val="22"/>
          <w:szCs w:val="22"/>
        </w:rPr>
      </w:pPr>
    </w:p>
    <w:p w14:paraId="7068D580"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SUBJECTS:Critically</w:t>
      </w:r>
      <w:proofErr w:type="gramEnd"/>
      <w:r w:rsidRPr="00FD0727">
        <w:rPr>
          <w:rFonts w:asciiTheme="majorHAnsi" w:hAnsiTheme="majorHAnsi"/>
          <w:color w:val="000000" w:themeColor="text1"/>
          <w:sz w:val="22"/>
          <w:szCs w:val="22"/>
        </w:rPr>
        <w:t xml:space="preserve"> ill adults with unplanned admission to the medical ICU.</w:t>
      </w:r>
    </w:p>
    <w:p w14:paraId="00D3896A" w14:textId="77777777" w:rsidR="00C776B7" w:rsidRPr="00FD0727" w:rsidRDefault="00C776B7">
      <w:pPr>
        <w:rPr>
          <w:rFonts w:asciiTheme="majorHAnsi" w:hAnsiTheme="majorHAnsi"/>
          <w:color w:val="000000" w:themeColor="text1"/>
          <w:sz w:val="22"/>
          <w:szCs w:val="22"/>
        </w:rPr>
      </w:pPr>
    </w:p>
    <w:p w14:paraId="4E4B4900"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MEASUREMENTS AND MAIN </w:t>
      </w:r>
      <w:proofErr w:type="gramStart"/>
      <w:r w:rsidRPr="00FD0727">
        <w:rPr>
          <w:rFonts w:asciiTheme="majorHAnsi" w:hAnsiTheme="majorHAnsi"/>
          <w:color w:val="000000" w:themeColor="text1"/>
          <w:sz w:val="22"/>
          <w:szCs w:val="22"/>
        </w:rPr>
        <w:t>RESULTS:The</w:t>
      </w:r>
      <w:proofErr w:type="gramEnd"/>
      <w:r w:rsidRPr="00FD0727">
        <w:rPr>
          <w:rFonts w:asciiTheme="majorHAnsi" w:hAnsiTheme="majorHAnsi"/>
          <w:color w:val="000000" w:themeColor="text1"/>
          <w:sz w:val="22"/>
          <w:szCs w:val="22"/>
        </w:rPr>
        <w:t xml:space="preserve"> primary investigator reviewed patient records using a modified version of the Safer Dx instrument, a validated instrument for detecting diagnostic error. Two intensivists performed secondary reviews of possible errors, and reviewers met periodically to adjudicate errors by consensus. For each confirmed error, we judged harm on a 1-6 rating scale. We also collected detailed demographic and clinical data for each patient. We analyzed 256 unplanned ICU admissions and identified 18 diagnostic errors (7% of admissions). All errors were associated with harm, and only six errors (33%) were recognized by the ICU team within the first 24 hours. More women than men experienced a diagnostic error (11.7% vs 2.7%; p = 0.015, χ test). On multivariable logistic regression analysis, female sex remained independently associated with risk of diagnostic error both at admission (odds ratio, 5.18; 95% CI, 1.34-20.08) and at 24 hours (odds ratio, 11.6; 95% CI, 1.37-98.6). Similarly, Quick Sequential Organ Failure Assessment score greater than or equal to 2 at admission was independently associated with diagnostic error (odds ratio, 5.73; 95% CI, 1.72-19.01).</w:t>
      </w:r>
    </w:p>
    <w:p w14:paraId="393C6642" w14:textId="77777777" w:rsidR="00C776B7" w:rsidRPr="00FD0727" w:rsidRDefault="00C776B7">
      <w:pPr>
        <w:rPr>
          <w:rFonts w:asciiTheme="majorHAnsi" w:hAnsiTheme="majorHAnsi"/>
          <w:color w:val="000000" w:themeColor="text1"/>
          <w:sz w:val="22"/>
          <w:szCs w:val="22"/>
        </w:rPr>
      </w:pPr>
    </w:p>
    <w:p w14:paraId="5D2BCE70"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CONCLUSIONS:Diagnostic</w:t>
      </w:r>
      <w:proofErr w:type="gramEnd"/>
      <w:r w:rsidRPr="00FD0727">
        <w:rPr>
          <w:rFonts w:asciiTheme="majorHAnsi" w:hAnsiTheme="majorHAnsi"/>
          <w:color w:val="000000" w:themeColor="text1"/>
          <w:sz w:val="22"/>
          <w:szCs w:val="22"/>
        </w:rPr>
        <w:t xml:space="preserve"> errors may be an underappreciated source of ICU-related harm. Women and higher acuity patients appear to be at increased risk for such errors. Further research is merited to define the scope of error-associated harm and to clarify risk factors for diagnostic errors among the critically ill.</w:t>
      </w:r>
    </w:p>
    <w:p w14:paraId="749B7E11" w14:textId="77777777" w:rsidR="00C776B7" w:rsidRPr="00FD0727" w:rsidRDefault="00C776B7">
      <w:pPr>
        <w:rPr>
          <w:rFonts w:asciiTheme="majorHAnsi" w:hAnsiTheme="majorHAnsi"/>
          <w:color w:val="000000" w:themeColor="text1"/>
          <w:sz w:val="22"/>
          <w:szCs w:val="22"/>
        </w:rPr>
      </w:pPr>
    </w:p>
    <w:p w14:paraId="0C405B26"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 Care Med, 2019 vol. 47 (11) pp. e902-e910.</w:t>
      </w:r>
    </w:p>
    <w:p w14:paraId="1BF575C8" w14:textId="77777777" w:rsidR="00C776B7" w:rsidRDefault="00FD0727">
      <w:pPr>
        <w:rPr>
          <w:rStyle w:val="Hyperlink"/>
          <w:rFonts w:asciiTheme="majorHAnsi" w:hAnsiTheme="majorHAnsi"/>
          <w:color w:val="000000" w:themeColor="text1"/>
          <w:sz w:val="22"/>
          <w:szCs w:val="22"/>
        </w:rPr>
      </w:pPr>
      <w:hyperlink r:id="rId58" w:history="1">
        <w:r w:rsidRPr="00FD0727">
          <w:rPr>
            <w:rStyle w:val="Hyperlink"/>
            <w:rFonts w:asciiTheme="majorHAnsi" w:hAnsiTheme="majorHAnsi"/>
            <w:color w:val="000000" w:themeColor="text1"/>
            <w:sz w:val="22"/>
            <w:szCs w:val="22"/>
          </w:rPr>
          <w:t>http://eutils.ncbi.nlm.nih.gov/entrez/eutils/elink.fcgi?dbfrom=pubmed&amp;id=31524644&amp;retmode=ref&amp;cmd=prlinks</w:t>
        </w:r>
      </w:hyperlink>
    </w:p>
    <w:p w14:paraId="152FE606" w14:textId="77777777" w:rsidR="00A24B30" w:rsidRPr="00FD0727" w:rsidRDefault="00A24B30">
      <w:pPr>
        <w:rPr>
          <w:rFonts w:asciiTheme="majorHAnsi" w:hAnsiTheme="majorHAnsi"/>
          <w:color w:val="000000" w:themeColor="text1"/>
          <w:sz w:val="22"/>
          <w:szCs w:val="22"/>
        </w:rPr>
      </w:pPr>
    </w:p>
    <w:p w14:paraId="32B43D3E"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479E4738" w14:textId="77777777" w:rsidR="00C776B7" w:rsidRPr="00A24B30" w:rsidRDefault="00FD0727">
      <w:pPr>
        <w:pStyle w:val="Heading4"/>
        <w:rPr>
          <w:rFonts w:asciiTheme="majorHAnsi" w:hAnsiTheme="majorHAnsi"/>
          <w:b/>
          <w:color w:val="000000" w:themeColor="text1"/>
          <w:sz w:val="22"/>
          <w:szCs w:val="22"/>
        </w:rPr>
      </w:pPr>
      <w:r w:rsidRPr="00A24B30">
        <w:rPr>
          <w:rFonts w:asciiTheme="majorHAnsi" w:hAnsiTheme="majorHAnsi"/>
          <w:b/>
          <w:color w:val="000000" w:themeColor="text1"/>
          <w:sz w:val="22"/>
          <w:szCs w:val="22"/>
        </w:rPr>
        <w:t xml:space="preserve">Global and Regional Diagnostic Accuracy of Lung Ultrasound Compared to CT in Patients </w:t>
      </w:r>
      <w:proofErr w:type="gramStart"/>
      <w:r w:rsidRPr="00A24B30">
        <w:rPr>
          <w:rFonts w:asciiTheme="majorHAnsi" w:hAnsiTheme="majorHAnsi"/>
          <w:b/>
          <w:color w:val="000000" w:themeColor="text1"/>
          <w:sz w:val="22"/>
          <w:szCs w:val="22"/>
        </w:rPr>
        <w:t>With</w:t>
      </w:r>
      <w:proofErr w:type="gramEnd"/>
      <w:r w:rsidRPr="00A24B30">
        <w:rPr>
          <w:rFonts w:asciiTheme="majorHAnsi" w:hAnsiTheme="majorHAnsi"/>
          <w:b/>
          <w:color w:val="000000" w:themeColor="text1"/>
          <w:sz w:val="22"/>
          <w:szCs w:val="22"/>
        </w:rPr>
        <w:t xml:space="preserve"> Acute Respiratory Distress Syndrome.</w:t>
      </w:r>
    </w:p>
    <w:p w14:paraId="1E1F0510" w14:textId="77777777" w:rsidR="00C776B7" w:rsidRPr="00FD0727" w:rsidRDefault="00C776B7">
      <w:pPr>
        <w:rPr>
          <w:rFonts w:asciiTheme="majorHAnsi" w:hAnsiTheme="majorHAnsi"/>
          <w:color w:val="000000" w:themeColor="text1"/>
          <w:sz w:val="22"/>
          <w:szCs w:val="22"/>
        </w:rPr>
      </w:pPr>
    </w:p>
    <w:p w14:paraId="271208DC"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Davide Chiumello, Michele Umbrello, Giuseppe Francesco Sferrazza Papa, Alessio Angileri, Martina Gurgitano, Paolo Formenti, Silvia Coppola, Sara Froio, Antonio Cammaroto, and Gianpaolo Carrafiello.</w:t>
      </w:r>
    </w:p>
    <w:p w14:paraId="79EAB5C9" w14:textId="77777777" w:rsidR="00C776B7" w:rsidRPr="00FD0727" w:rsidRDefault="00C776B7">
      <w:pPr>
        <w:rPr>
          <w:rFonts w:asciiTheme="majorHAnsi" w:hAnsiTheme="majorHAnsi"/>
          <w:color w:val="000000" w:themeColor="text1"/>
          <w:sz w:val="22"/>
          <w:szCs w:val="22"/>
        </w:rPr>
      </w:pPr>
    </w:p>
    <w:p w14:paraId="3C4CE65E"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OBJECTIVES:Lung</w:t>
      </w:r>
      <w:proofErr w:type="gramEnd"/>
      <w:r w:rsidRPr="00FD0727">
        <w:rPr>
          <w:rFonts w:asciiTheme="majorHAnsi" w:hAnsiTheme="majorHAnsi"/>
          <w:color w:val="000000" w:themeColor="text1"/>
          <w:sz w:val="22"/>
          <w:szCs w:val="22"/>
        </w:rPr>
        <w:t xml:space="preserve"> CT is the reference imaging technique for acute respiratory distress syndrome, but requires transportation outside the intensive care and x-ray exposure. Lung ultrasound is a promising, inexpensive, radiation-free, tool for bedside imaging. Aim of the present study was to compare the global and regional diagnostic accuracy of lung ultrasound and CT scan.</w:t>
      </w:r>
    </w:p>
    <w:p w14:paraId="6D2E71D9" w14:textId="77777777" w:rsidR="00C776B7" w:rsidRPr="00FD0727" w:rsidRDefault="00C776B7">
      <w:pPr>
        <w:rPr>
          <w:rFonts w:asciiTheme="majorHAnsi" w:hAnsiTheme="majorHAnsi"/>
          <w:color w:val="000000" w:themeColor="text1"/>
          <w:sz w:val="22"/>
          <w:szCs w:val="22"/>
        </w:rPr>
      </w:pPr>
    </w:p>
    <w:p w14:paraId="29D27989"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DESIGN:A</w:t>
      </w:r>
      <w:proofErr w:type="gramEnd"/>
      <w:r w:rsidRPr="00FD0727">
        <w:rPr>
          <w:rFonts w:asciiTheme="majorHAnsi" w:hAnsiTheme="majorHAnsi"/>
          <w:color w:val="000000" w:themeColor="text1"/>
          <w:sz w:val="22"/>
          <w:szCs w:val="22"/>
        </w:rPr>
        <w:t xml:space="preserve"> prospective, observational study.</w:t>
      </w:r>
    </w:p>
    <w:p w14:paraId="0A8D3F3C" w14:textId="77777777" w:rsidR="00C776B7" w:rsidRPr="00FD0727" w:rsidRDefault="00C776B7">
      <w:pPr>
        <w:rPr>
          <w:rFonts w:asciiTheme="majorHAnsi" w:hAnsiTheme="majorHAnsi"/>
          <w:color w:val="000000" w:themeColor="text1"/>
          <w:sz w:val="22"/>
          <w:szCs w:val="22"/>
        </w:rPr>
      </w:pPr>
    </w:p>
    <w:p w14:paraId="67BF98B1"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SETTING:Intensive</w:t>
      </w:r>
      <w:proofErr w:type="gramEnd"/>
      <w:r w:rsidRPr="00FD0727">
        <w:rPr>
          <w:rFonts w:asciiTheme="majorHAnsi" w:hAnsiTheme="majorHAnsi"/>
          <w:color w:val="000000" w:themeColor="text1"/>
          <w:sz w:val="22"/>
          <w:szCs w:val="22"/>
        </w:rPr>
        <w:t xml:space="preserve"> care and radiology departments of a University hospital.</w:t>
      </w:r>
    </w:p>
    <w:p w14:paraId="3C51AB79" w14:textId="77777777" w:rsidR="00C776B7" w:rsidRPr="00FD0727" w:rsidRDefault="00C776B7">
      <w:pPr>
        <w:rPr>
          <w:rFonts w:asciiTheme="majorHAnsi" w:hAnsiTheme="majorHAnsi"/>
          <w:color w:val="000000" w:themeColor="text1"/>
          <w:sz w:val="22"/>
          <w:szCs w:val="22"/>
        </w:rPr>
      </w:pPr>
    </w:p>
    <w:p w14:paraId="242C0D63"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PATIENTS:Thirty</w:t>
      </w:r>
      <w:proofErr w:type="gramEnd"/>
      <w:r w:rsidRPr="00FD0727">
        <w:rPr>
          <w:rFonts w:asciiTheme="majorHAnsi" w:hAnsiTheme="majorHAnsi"/>
          <w:color w:val="000000" w:themeColor="text1"/>
          <w:sz w:val="22"/>
          <w:szCs w:val="22"/>
        </w:rPr>
        <w:t>-two sedated, paralyzed acute respiratory distress syndrome patients (age 65 ± 14 yr, body mass index 25.9 ± 6.5 kg</w:t>
      </w:r>
      <w:r w:rsidRPr="00FD0727">
        <w:rPr>
          <w:rFonts w:asciiTheme="majorHAnsi" w:hAnsiTheme="majorHAnsi"/>
          <w:i/>
          <w:color w:val="000000" w:themeColor="text1"/>
          <w:sz w:val="22"/>
          <w:szCs w:val="22"/>
        </w:rPr>
        <w:t>m, and PaO2</w:t>
      </w:r>
      <w:r w:rsidRPr="00FD0727">
        <w:rPr>
          <w:rFonts w:asciiTheme="majorHAnsi" w:hAnsiTheme="majorHAnsi"/>
          <w:color w:val="000000" w:themeColor="text1"/>
          <w:sz w:val="22"/>
          <w:szCs w:val="22"/>
        </w:rPr>
        <w:t>FIO2 139 ± 47).</w:t>
      </w:r>
    </w:p>
    <w:p w14:paraId="490A4CEE" w14:textId="77777777" w:rsidR="00C776B7" w:rsidRPr="00FD0727" w:rsidRDefault="00C776B7">
      <w:pPr>
        <w:rPr>
          <w:rFonts w:asciiTheme="majorHAnsi" w:hAnsiTheme="majorHAnsi"/>
          <w:color w:val="000000" w:themeColor="text1"/>
          <w:sz w:val="22"/>
          <w:szCs w:val="22"/>
        </w:rPr>
      </w:pPr>
    </w:p>
    <w:p w14:paraId="2B36289E"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lastRenderedPageBreak/>
        <w:t>INTERVENTIONS:Lung</w:t>
      </w:r>
      <w:proofErr w:type="gramEnd"/>
      <w:r w:rsidRPr="00FD0727">
        <w:rPr>
          <w:rFonts w:asciiTheme="majorHAnsi" w:hAnsiTheme="majorHAnsi"/>
          <w:color w:val="000000" w:themeColor="text1"/>
          <w:sz w:val="22"/>
          <w:szCs w:val="22"/>
        </w:rPr>
        <w:t xml:space="preserve"> CT scan and lung ultrasound were performed at positive end-expiratory pressure 5 cm H2O. A standardized assessment of six regions per hemithorax was used; each region was classified for the presence of normal aeration, alveolar-interstitial syndrome, consolidation, and pleural effusion. Agreement between the two techniques was calculated, and diagnostic variables were assessed for lung ultrasound using lung CT as a reference.</w:t>
      </w:r>
    </w:p>
    <w:p w14:paraId="57C10D4A" w14:textId="77777777" w:rsidR="00C776B7" w:rsidRPr="00FD0727" w:rsidRDefault="00C776B7">
      <w:pPr>
        <w:rPr>
          <w:rFonts w:asciiTheme="majorHAnsi" w:hAnsiTheme="majorHAnsi"/>
          <w:color w:val="000000" w:themeColor="text1"/>
          <w:sz w:val="22"/>
          <w:szCs w:val="22"/>
        </w:rPr>
      </w:pPr>
    </w:p>
    <w:p w14:paraId="2427AC32"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MEASUREMENTS AND MAIN </w:t>
      </w:r>
      <w:proofErr w:type="gramStart"/>
      <w:r w:rsidRPr="00FD0727">
        <w:rPr>
          <w:rFonts w:asciiTheme="majorHAnsi" w:hAnsiTheme="majorHAnsi"/>
          <w:color w:val="000000" w:themeColor="text1"/>
          <w:sz w:val="22"/>
          <w:szCs w:val="22"/>
        </w:rPr>
        <w:t>RESULTS:Global</w:t>
      </w:r>
      <w:proofErr w:type="gramEnd"/>
      <w:r w:rsidRPr="00FD0727">
        <w:rPr>
          <w:rFonts w:asciiTheme="majorHAnsi" w:hAnsiTheme="majorHAnsi"/>
          <w:color w:val="000000" w:themeColor="text1"/>
          <w:sz w:val="22"/>
          <w:szCs w:val="22"/>
        </w:rPr>
        <w:t xml:space="preserve"> agreement between lung ultrasound and CT ranged from 0.640 (0.391-0.889) to 0.934 (0.605-1.000) and was on average 0.775 (0.577-0.973). The overall sensitivity and specificity of lung ultrasound ranged from 82.7% to 92.3% and from 90.2% to 98.6%, respectively. Similar results were found with regional analysis. The diagnostic accuracy of lung ultrasound was significantly higher when those patterns not reaching the pleural surface were excluded (area under the receiver operating characteristic curve: alveolar-interstitial syndrome 0.854 [0.821-0.887] vs 0.903 [0.852-0.954]; p = 0.049 and consolidation 0.851 [0.818-0.884] vs 0.896 [0.862-0.929]; p = 0.044).</w:t>
      </w:r>
    </w:p>
    <w:p w14:paraId="2105CB9D" w14:textId="77777777" w:rsidR="00C776B7" w:rsidRPr="00FD0727" w:rsidRDefault="00C776B7">
      <w:pPr>
        <w:rPr>
          <w:rFonts w:asciiTheme="majorHAnsi" w:hAnsiTheme="majorHAnsi"/>
          <w:color w:val="000000" w:themeColor="text1"/>
          <w:sz w:val="22"/>
          <w:szCs w:val="22"/>
        </w:rPr>
      </w:pPr>
    </w:p>
    <w:p w14:paraId="76610A84"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CONCLUSIONS:Lung</w:t>
      </w:r>
      <w:proofErr w:type="gramEnd"/>
      <w:r w:rsidRPr="00FD0727">
        <w:rPr>
          <w:rFonts w:asciiTheme="majorHAnsi" w:hAnsiTheme="majorHAnsi"/>
          <w:color w:val="000000" w:themeColor="text1"/>
          <w:sz w:val="22"/>
          <w:szCs w:val="22"/>
        </w:rPr>
        <w:t xml:space="preserve"> ultrasound is a reproducible, sensitive, and specific tool, which allows for bedside detections of the morphologic patterns in acute respiratory distress syndrome. The presence of deep lung alterations may impact the diagnostic performance of this technique.</w:t>
      </w:r>
    </w:p>
    <w:p w14:paraId="03DD6AE9" w14:textId="77777777" w:rsidR="00C776B7" w:rsidRPr="00FD0727" w:rsidRDefault="00C776B7">
      <w:pPr>
        <w:rPr>
          <w:rFonts w:asciiTheme="majorHAnsi" w:hAnsiTheme="majorHAnsi"/>
          <w:color w:val="000000" w:themeColor="text1"/>
          <w:sz w:val="22"/>
          <w:szCs w:val="22"/>
        </w:rPr>
      </w:pPr>
    </w:p>
    <w:p w14:paraId="605B10FC"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 Care Med, 2019 vol. 47 (11) pp. 1599-1606.</w:t>
      </w:r>
    </w:p>
    <w:p w14:paraId="20A7710F" w14:textId="77777777" w:rsidR="00C776B7" w:rsidRDefault="00FD0727">
      <w:pPr>
        <w:rPr>
          <w:rStyle w:val="Hyperlink"/>
          <w:rFonts w:asciiTheme="majorHAnsi" w:hAnsiTheme="majorHAnsi"/>
          <w:color w:val="000000" w:themeColor="text1"/>
          <w:sz w:val="22"/>
          <w:szCs w:val="22"/>
        </w:rPr>
      </w:pPr>
      <w:hyperlink r:id="rId59" w:history="1">
        <w:r w:rsidRPr="00FD0727">
          <w:rPr>
            <w:rStyle w:val="Hyperlink"/>
            <w:rFonts w:asciiTheme="majorHAnsi" w:hAnsiTheme="majorHAnsi"/>
            <w:color w:val="000000" w:themeColor="text1"/>
            <w:sz w:val="22"/>
            <w:szCs w:val="22"/>
          </w:rPr>
          <w:t>http://eutils.ncbi.nlm.nih.gov/entrez/eutils/elink.fcgi?dbfrom=pubmed&amp;id=31464770&amp;retmode=ref&amp;cmd=prlinks</w:t>
        </w:r>
      </w:hyperlink>
    </w:p>
    <w:p w14:paraId="69982B06" w14:textId="77777777" w:rsidR="00A24B30" w:rsidRPr="00FD0727" w:rsidRDefault="00A24B30">
      <w:pPr>
        <w:rPr>
          <w:rFonts w:asciiTheme="majorHAnsi" w:hAnsiTheme="majorHAnsi"/>
          <w:color w:val="000000" w:themeColor="text1"/>
          <w:sz w:val="22"/>
          <w:szCs w:val="22"/>
        </w:rPr>
      </w:pPr>
    </w:p>
    <w:p w14:paraId="52A91A4D"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3C62CB3F" w14:textId="77777777" w:rsidR="00C776B7" w:rsidRPr="00A24B30" w:rsidRDefault="00FD0727">
      <w:pPr>
        <w:pStyle w:val="Heading4"/>
        <w:rPr>
          <w:rFonts w:asciiTheme="majorHAnsi" w:hAnsiTheme="majorHAnsi"/>
          <w:b/>
          <w:color w:val="000000" w:themeColor="text1"/>
          <w:sz w:val="22"/>
          <w:szCs w:val="22"/>
        </w:rPr>
      </w:pPr>
      <w:r w:rsidRPr="00A24B30">
        <w:rPr>
          <w:rFonts w:asciiTheme="majorHAnsi" w:hAnsiTheme="majorHAnsi"/>
          <w:b/>
          <w:color w:val="000000" w:themeColor="text1"/>
          <w:sz w:val="22"/>
          <w:szCs w:val="22"/>
        </w:rPr>
        <w:t>RBC Transfusion Strategies in the ICU: A Concise Review.</w:t>
      </w:r>
    </w:p>
    <w:p w14:paraId="351C1078" w14:textId="77777777" w:rsidR="00C776B7" w:rsidRPr="00FD0727" w:rsidRDefault="00C776B7">
      <w:pPr>
        <w:rPr>
          <w:rFonts w:asciiTheme="majorHAnsi" w:hAnsiTheme="majorHAnsi"/>
          <w:color w:val="000000" w:themeColor="text1"/>
          <w:sz w:val="22"/>
          <w:szCs w:val="22"/>
        </w:rPr>
      </w:pPr>
    </w:p>
    <w:p w14:paraId="10B0AA9B"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Casey A Cable, Seyed Amirhossein Razavi, John D Roback, and David J Murphy.</w:t>
      </w:r>
    </w:p>
    <w:p w14:paraId="648DBC12" w14:textId="77777777" w:rsidR="00C776B7" w:rsidRPr="00FD0727" w:rsidRDefault="00C776B7">
      <w:pPr>
        <w:rPr>
          <w:rFonts w:asciiTheme="majorHAnsi" w:hAnsiTheme="majorHAnsi"/>
          <w:color w:val="000000" w:themeColor="text1"/>
          <w:sz w:val="22"/>
          <w:szCs w:val="22"/>
        </w:rPr>
      </w:pPr>
    </w:p>
    <w:p w14:paraId="2C74EE7C"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OBJECTIVES:To</w:t>
      </w:r>
      <w:proofErr w:type="gramEnd"/>
      <w:r w:rsidRPr="00FD0727">
        <w:rPr>
          <w:rFonts w:asciiTheme="majorHAnsi" w:hAnsiTheme="majorHAnsi"/>
          <w:color w:val="000000" w:themeColor="text1"/>
          <w:sz w:val="22"/>
          <w:szCs w:val="22"/>
        </w:rPr>
        <w:t xml:space="preserve"> critically assess available high-level clinical studies regarding RBC transfusion strategies, with a focus on hemoglobin transfusion thresholds in the ICU.</w:t>
      </w:r>
    </w:p>
    <w:p w14:paraId="1CEDCCC3" w14:textId="77777777" w:rsidR="00C776B7" w:rsidRPr="00FD0727" w:rsidRDefault="00C776B7">
      <w:pPr>
        <w:rPr>
          <w:rFonts w:asciiTheme="majorHAnsi" w:hAnsiTheme="majorHAnsi"/>
          <w:color w:val="000000" w:themeColor="text1"/>
          <w:sz w:val="22"/>
          <w:szCs w:val="22"/>
        </w:rPr>
      </w:pPr>
    </w:p>
    <w:p w14:paraId="69D513C7"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DATA </w:t>
      </w:r>
      <w:proofErr w:type="gramStart"/>
      <w:r w:rsidRPr="00FD0727">
        <w:rPr>
          <w:rFonts w:asciiTheme="majorHAnsi" w:hAnsiTheme="majorHAnsi"/>
          <w:color w:val="000000" w:themeColor="text1"/>
          <w:sz w:val="22"/>
          <w:szCs w:val="22"/>
        </w:rPr>
        <w:t>SOURCES:Source</w:t>
      </w:r>
      <w:proofErr w:type="gramEnd"/>
      <w:r w:rsidRPr="00FD0727">
        <w:rPr>
          <w:rFonts w:asciiTheme="majorHAnsi" w:hAnsiTheme="majorHAnsi"/>
          <w:color w:val="000000" w:themeColor="text1"/>
          <w:sz w:val="22"/>
          <w:szCs w:val="22"/>
        </w:rPr>
        <w:t xml:space="preserve"> data were obtained from a PubMed literature review.</w:t>
      </w:r>
    </w:p>
    <w:p w14:paraId="2E64A950" w14:textId="77777777" w:rsidR="00C776B7" w:rsidRPr="00FD0727" w:rsidRDefault="00C776B7">
      <w:pPr>
        <w:rPr>
          <w:rFonts w:asciiTheme="majorHAnsi" w:hAnsiTheme="majorHAnsi"/>
          <w:color w:val="000000" w:themeColor="text1"/>
          <w:sz w:val="22"/>
          <w:szCs w:val="22"/>
        </w:rPr>
      </w:pPr>
    </w:p>
    <w:p w14:paraId="66C02ABE"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STUDY </w:t>
      </w:r>
      <w:proofErr w:type="gramStart"/>
      <w:r w:rsidRPr="00FD0727">
        <w:rPr>
          <w:rFonts w:asciiTheme="majorHAnsi" w:hAnsiTheme="majorHAnsi"/>
          <w:color w:val="000000" w:themeColor="text1"/>
          <w:sz w:val="22"/>
          <w:szCs w:val="22"/>
        </w:rPr>
        <w:t>SELECTION:English</w:t>
      </w:r>
      <w:proofErr w:type="gramEnd"/>
      <w:r w:rsidRPr="00FD0727">
        <w:rPr>
          <w:rFonts w:asciiTheme="majorHAnsi" w:hAnsiTheme="majorHAnsi"/>
          <w:color w:val="000000" w:themeColor="text1"/>
          <w:sz w:val="22"/>
          <w:szCs w:val="22"/>
        </w:rPr>
        <w:t xml:space="preserve"> language studies addressing RBC transfusions in the ICU with a focus on the most recent relevant studies.</w:t>
      </w:r>
    </w:p>
    <w:p w14:paraId="75349C34" w14:textId="77777777" w:rsidR="00C776B7" w:rsidRPr="00FD0727" w:rsidRDefault="00C776B7">
      <w:pPr>
        <w:rPr>
          <w:rFonts w:asciiTheme="majorHAnsi" w:hAnsiTheme="majorHAnsi"/>
          <w:color w:val="000000" w:themeColor="text1"/>
          <w:sz w:val="22"/>
          <w:szCs w:val="22"/>
        </w:rPr>
      </w:pPr>
    </w:p>
    <w:p w14:paraId="7E596748"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DATA </w:t>
      </w:r>
      <w:proofErr w:type="gramStart"/>
      <w:r w:rsidRPr="00FD0727">
        <w:rPr>
          <w:rFonts w:asciiTheme="majorHAnsi" w:hAnsiTheme="majorHAnsi"/>
          <w:color w:val="000000" w:themeColor="text1"/>
          <w:sz w:val="22"/>
          <w:szCs w:val="22"/>
        </w:rPr>
        <w:t>EXTRACTION:Relevant</w:t>
      </w:r>
      <w:proofErr w:type="gramEnd"/>
      <w:r w:rsidRPr="00FD0727">
        <w:rPr>
          <w:rFonts w:asciiTheme="majorHAnsi" w:hAnsiTheme="majorHAnsi"/>
          <w:color w:val="000000" w:themeColor="text1"/>
          <w:sz w:val="22"/>
          <w:szCs w:val="22"/>
        </w:rPr>
        <w:t xml:space="preserve"> studies were reviewed and the following aspects of each study were identified, abstracted, and analyzed: study design, methods, results, and implications for critical care practice.</w:t>
      </w:r>
    </w:p>
    <w:p w14:paraId="46DC20AE" w14:textId="77777777" w:rsidR="00C776B7" w:rsidRPr="00FD0727" w:rsidRDefault="00C776B7">
      <w:pPr>
        <w:rPr>
          <w:rFonts w:asciiTheme="majorHAnsi" w:hAnsiTheme="majorHAnsi"/>
          <w:color w:val="000000" w:themeColor="text1"/>
          <w:sz w:val="22"/>
          <w:szCs w:val="22"/>
        </w:rPr>
      </w:pPr>
    </w:p>
    <w:p w14:paraId="05DE7FDE"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DATA </w:t>
      </w:r>
      <w:proofErr w:type="gramStart"/>
      <w:r w:rsidRPr="00FD0727">
        <w:rPr>
          <w:rFonts w:asciiTheme="majorHAnsi" w:hAnsiTheme="majorHAnsi"/>
          <w:color w:val="000000" w:themeColor="text1"/>
          <w:sz w:val="22"/>
          <w:szCs w:val="22"/>
        </w:rPr>
        <w:t>SYNTHESIS:Approximately</w:t>
      </w:r>
      <w:proofErr w:type="gramEnd"/>
      <w:r w:rsidRPr="00FD0727">
        <w:rPr>
          <w:rFonts w:asciiTheme="majorHAnsi" w:hAnsiTheme="majorHAnsi"/>
          <w:color w:val="000000" w:themeColor="text1"/>
          <w:sz w:val="22"/>
          <w:szCs w:val="22"/>
        </w:rPr>
        <w:t xml:space="preserve"> 30-50% of ICU patients receive a transfusion during their hospitalization with anemia being the indication for 75% of transfusions. A significant body of clinical research evidence supports using a restrictive transfusion strategy (e.g., hemoglobin threshold &lt; 7 g/ dL) compared with a more liberal approach (e.g., hemoglobin threshold &lt; 10 g/ dL). A restrictive strategy (hemoglobin &lt; 7 g/ dL) is recommended in patients with sepsis and gastrointestinal bleeds. A slightly higher restrictive threshold is recommended in cardiac surgery (hemoglobin &lt; 7.5 g/ dL) and stable cardiovascular disease (hemoglobin &lt; 8 g/ dL). Although restrictive strategies are generally supported in hematologic malignancies, acute neurologic injury, and burns, more definitive studies are needed, including acute </w:t>
      </w:r>
      <w:r w:rsidRPr="00FD0727">
        <w:rPr>
          <w:rFonts w:asciiTheme="majorHAnsi" w:hAnsiTheme="majorHAnsi"/>
          <w:color w:val="000000" w:themeColor="text1"/>
          <w:sz w:val="22"/>
          <w:szCs w:val="22"/>
        </w:rPr>
        <w:lastRenderedPageBreak/>
        <w:t>coronary syndrome. Massive transfusion protocols are the mainstay of treatment for hemorrhagic shock; however, the exact RBC to fresh frozen plasma ratio is still unclear. There are also emerging complimentary practices including nontransfusion strategies to avoid and treat anemia and the reemergence of whole blood transfusion.</w:t>
      </w:r>
    </w:p>
    <w:p w14:paraId="43DC1428" w14:textId="77777777" w:rsidR="00C776B7" w:rsidRPr="00FD0727" w:rsidRDefault="00C776B7">
      <w:pPr>
        <w:rPr>
          <w:rFonts w:asciiTheme="majorHAnsi" w:hAnsiTheme="majorHAnsi"/>
          <w:color w:val="000000" w:themeColor="text1"/>
          <w:sz w:val="22"/>
          <w:szCs w:val="22"/>
        </w:rPr>
      </w:pPr>
    </w:p>
    <w:p w14:paraId="6CFE1852"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CONCLUSIONS:The</w:t>
      </w:r>
      <w:proofErr w:type="gramEnd"/>
      <w:r w:rsidRPr="00FD0727">
        <w:rPr>
          <w:rFonts w:asciiTheme="majorHAnsi" w:hAnsiTheme="majorHAnsi"/>
          <w:color w:val="000000" w:themeColor="text1"/>
          <w:sz w:val="22"/>
          <w:szCs w:val="22"/>
        </w:rPr>
        <w:t xml:space="preserve"> current literature supports the use of restrictive transfusion strategies in the majority of critically ill populations. Continued studies of optimal transfusion strategies in various patient populations, coupled with the integration of novel complementary ICU practices, will continue to enhance our ability to treat critically ill patients.</w:t>
      </w:r>
    </w:p>
    <w:p w14:paraId="6AF8012A" w14:textId="77777777" w:rsidR="00C776B7" w:rsidRPr="00FD0727" w:rsidRDefault="00C776B7">
      <w:pPr>
        <w:rPr>
          <w:rFonts w:asciiTheme="majorHAnsi" w:hAnsiTheme="majorHAnsi"/>
          <w:color w:val="000000" w:themeColor="text1"/>
          <w:sz w:val="22"/>
          <w:szCs w:val="22"/>
        </w:rPr>
      </w:pPr>
    </w:p>
    <w:p w14:paraId="4751A05E"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 Care Med, 2019 vol. 47 (11) pp. 1637-1644.</w:t>
      </w:r>
    </w:p>
    <w:p w14:paraId="21821695" w14:textId="77777777" w:rsidR="00C776B7" w:rsidRDefault="00FD0727">
      <w:pPr>
        <w:rPr>
          <w:rStyle w:val="Hyperlink"/>
          <w:rFonts w:asciiTheme="majorHAnsi" w:hAnsiTheme="majorHAnsi"/>
          <w:color w:val="000000" w:themeColor="text1"/>
          <w:sz w:val="22"/>
          <w:szCs w:val="22"/>
        </w:rPr>
      </w:pPr>
      <w:hyperlink r:id="rId60" w:history="1">
        <w:r w:rsidRPr="00FD0727">
          <w:rPr>
            <w:rStyle w:val="Hyperlink"/>
            <w:rFonts w:asciiTheme="majorHAnsi" w:hAnsiTheme="majorHAnsi"/>
            <w:color w:val="000000" w:themeColor="text1"/>
            <w:sz w:val="22"/>
            <w:szCs w:val="22"/>
          </w:rPr>
          <w:t>http://eutils.ncbi.nlm.nih.gov/entrez/eutils/elink.fcgi?dbfrom=pubmed&amp;id=31449062&amp;retmode=ref&amp;cmd=prlinks</w:t>
        </w:r>
      </w:hyperlink>
    </w:p>
    <w:p w14:paraId="0DB783E3" w14:textId="77777777" w:rsidR="00A24B30" w:rsidRPr="00FD0727" w:rsidRDefault="00A24B30">
      <w:pPr>
        <w:rPr>
          <w:rFonts w:asciiTheme="majorHAnsi" w:hAnsiTheme="majorHAnsi"/>
          <w:color w:val="000000" w:themeColor="text1"/>
          <w:sz w:val="22"/>
          <w:szCs w:val="22"/>
        </w:rPr>
      </w:pPr>
    </w:p>
    <w:p w14:paraId="16A92334"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71B849E5" w14:textId="77777777" w:rsidR="00C776B7" w:rsidRPr="00A24B30" w:rsidRDefault="00FD0727">
      <w:pPr>
        <w:pStyle w:val="Heading4"/>
        <w:rPr>
          <w:rFonts w:asciiTheme="majorHAnsi" w:hAnsiTheme="majorHAnsi"/>
          <w:b/>
          <w:color w:val="000000" w:themeColor="text1"/>
          <w:sz w:val="22"/>
          <w:szCs w:val="22"/>
        </w:rPr>
      </w:pPr>
      <w:r w:rsidRPr="00A24B30">
        <w:rPr>
          <w:rFonts w:asciiTheme="majorHAnsi" w:hAnsiTheme="majorHAnsi"/>
          <w:b/>
          <w:color w:val="000000" w:themeColor="text1"/>
          <w:sz w:val="22"/>
          <w:szCs w:val="22"/>
        </w:rPr>
        <w:t xml:space="preserve">Airway Pressure Release Ventilation in Adult Patients </w:t>
      </w:r>
      <w:proofErr w:type="gramStart"/>
      <w:r w:rsidRPr="00A24B30">
        <w:rPr>
          <w:rFonts w:asciiTheme="majorHAnsi" w:hAnsiTheme="majorHAnsi"/>
          <w:b/>
          <w:color w:val="000000" w:themeColor="text1"/>
          <w:sz w:val="22"/>
          <w:szCs w:val="22"/>
        </w:rPr>
        <w:t>With</w:t>
      </w:r>
      <w:proofErr w:type="gramEnd"/>
      <w:r w:rsidRPr="00A24B30">
        <w:rPr>
          <w:rFonts w:asciiTheme="majorHAnsi" w:hAnsiTheme="majorHAnsi"/>
          <w:b/>
          <w:color w:val="000000" w:themeColor="text1"/>
          <w:sz w:val="22"/>
          <w:szCs w:val="22"/>
        </w:rPr>
        <w:t xml:space="preserve"> Acute Hypoxemic Respiratory Failure: A Systematic Review and Meta-Analysis.</w:t>
      </w:r>
    </w:p>
    <w:p w14:paraId="45F7C563" w14:textId="77777777" w:rsidR="00C776B7" w:rsidRPr="00FD0727" w:rsidRDefault="00C776B7">
      <w:pPr>
        <w:rPr>
          <w:rFonts w:asciiTheme="majorHAnsi" w:hAnsiTheme="majorHAnsi"/>
          <w:color w:val="000000" w:themeColor="text1"/>
          <w:sz w:val="22"/>
          <w:szCs w:val="22"/>
        </w:rPr>
      </w:pPr>
    </w:p>
    <w:p w14:paraId="4D5C2FB8"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Jolene Lim and Edward Litton.</w:t>
      </w:r>
    </w:p>
    <w:p w14:paraId="649F8DFE" w14:textId="77777777" w:rsidR="00C776B7" w:rsidRPr="00FD0727" w:rsidRDefault="00C776B7">
      <w:pPr>
        <w:rPr>
          <w:rFonts w:asciiTheme="majorHAnsi" w:hAnsiTheme="majorHAnsi"/>
          <w:color w:val="000000" w:themeColor="text1"/>
          <w:sz w:val="22"/>
          <w:szCs w:val="22"/>
        </w:rPr>
      </w:pPr>
    </w:p>
    <w:p w14:paraId="5817358B"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OBJECTIVES:To</w:t>
      </w:r>
      <w:proofErr w:type="gramEnd"/>
      <w:r w:rsidRPr="00FD0727">
        <w:rPr>
          <w:rFonts w:asciiTheme="majorHAnsi" w:hAnsiTheme="majorHAnsi"/>
          <w:color w:val="000000" w:themeColor="text1"/>
          <w:sz w:val="22"/>
          <w:szCs w:val="22"/>
        </w:rPr>
        <w:t xml:space="preserve"> evaluate the efficacy and safety of airway pressure release ventilation in critically ill adults with acute hypoxemic respiratory failure.</w:t>
      </w:r>
    </w:p>
    <w:p w14:paraId="0D6E0165" w14:textId="77777777" w:rsidR="00C776B7" w:rsidRPr="00FD0727" w:rsidRDefault="00C776B7">
      <w:pPr>
        <w:rPr>
          <w:rFonts w:asciiTheme="majorHAnsi" w:hAnsiTheme="majorHAnsi"/>
          <w:color w:val="000000" w:themeColor="text1"/>
          <w:sz w:val="22"/>
          <w:szCs w:val="22"/>
        </w:rPr>
      </w:pPr>
    </w:p>
    <w:p w14:paraId="503848BF"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DATA </w:t>
      </w:r>
      <w:proofErr w:type="gramStart"/>
      <w:r w:rsidRPr="00FD0727">
        <w:rPr>
          <w:rFonts w:asciiTheme="majorHAnsi" w:hAnsiTheme="majorHAnsi"/>
          <w:color w:val="000000" w:themeColor="text1"/>
          <w:sz w:val="22"/>
          <w:szCs w:val="22"/>
        </w:rPr>
        <w:t>SOURCES:A</w:t>
      </w:r>
      <w:proofErr w:type="gramEnd"/>
      <w:r w:rsidRPr="00FD0727">
        <w:rPr>
          <w:rFonts w:asciiTheme="majorHAnsi" w:hAnsiTheme="majorHAnsi"/>
          <w:color w:val="000000" w:themeColor="text1"/>
          <w:sz w:val="22"/>
          <w:szCs w:val="22"/>
        </w:rPr>
        <w:t xml:space="preserve"> systematic literature search of MEDLINE via PUBMED, EMBASE, the Cochrane Library, published conference proceedings and abstracts, reference lists of eligible studies and review articles, and hand searches of relevant journals and trial registers.</w:t>
      </w:r>
    </w:p>
    <w:p w14:paraId="1A4BA50D" w14:textId="77777777" w:rsidR="00C776B7" w:rsidRPr="00FD0727" w:rsidRDefault="00C776B7">
      <w:pPr>
        <w:rPr>
          <w:rFonts w:asciiTheme="majorHAnsi" w:hAnsiTheme="majorHAnsi"/>
          <w:color w:val="000000" w:themeColor="text1"/>
          <w:sz w:val="22"/>
          <w:szCs w:val="22"/>
        </w:rPr>
      </w:pPr>
    </w:p>
    <w:p w14:paraId="63079925"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STUDY </w:t>
      </w:r>
      <w:proofErr w:type="gramStart"/>
      <w:r w:rsidRPr="00FD0727">
        <w:rPr>
          <w:rFonts w:asciiTheme="majorHAnsi" w:hAnsiTheme="majorHAnsi"/>
          <w:color w:val="000000" w:themeColor="text1"/>
          <w:sz w:val="22"/>
          <w:szCs w:val="22"/>
        </w:rPr>
        <w:t>SELECTION:Eligible</w:t>
      </w:r>
      <w:proofErr w:type="gramEnd"/>
      <w:r w:rsidRPr="00FD0727">
        <w:rPr>
          <w:rFonts w:asciiTheme="majorHAnsi" w:hAnsiTheme="majorHAnsi"/>
          <w:color w:val="000000" w:themeColor="text1"/>
          <w:sz w:val="22"/>
          <w:szCs w:val="22"/>
        </w:rPr>
        <w:t xml:space="preserve"> studies included randomized controlled trials published between years 2000 and 2018, comparing airway pressure release ventilation to any ventilation mode, in critically ill adults with acute hypoxemic respiratory failure and reporting at least one mortality outcome.</w:t>
      </w:r>
    </w:p>
    <w:p w14:paraId="358B0DD6" w14:textId="77777777" w:rsidR="00C776B7" w:rsidRPr="00FD0727" w:rsidRDefault="00C776B7">
      <w:pPr>
        <w:rPr>
          <w:rFonts w:asciiTheme="majorHAnsi" w:hAnsiTheme="majorHAnsi"/>
          <w:color w:val="000000" w:themeColor="text1"/>
          <w:sz w:val="22"/>
          <w:szCs w:val="22"/>
        </w:rPr>
      </w:pPr>
    </w:p>
    <w:p w14:paraId="329EAC13"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DATA </w:t>
      </w:r>
      <w:proofErr w:type="gramStart"/>
      <w:r w:rsidRPr="00FD0727">
        <w:rPr>
          <w:rFonts w:asciiTheme="majorHAnsi" w:hAnsiTheme="majorHAnsi"/>
          <w:color w:val="000000" w:themeColor="text1"/>
          <w:sz w:val="22"/>
          <w:szCs w:val="22"/>
        </w:rPr>
        <w:t>EXTRACTION:Screened</w:t>
      </w:r>
      <w:proofErr w:type="gramEnd"/>
      <w:r w:rsidRPr="00FD0727">
        <w:rPr>
          <w:rFonts w:asciiTheme="majorHAnsi" w:hAnsiTheme="majorHAnsi"/>
          <w:color w:val="000000" w:themeColor="text1"/>
          <w:sz w:val="22"/>
          <w:szCs w:val="22"/>
        </w:rPr>
        <w:t xml:space="preserve"> citations were reviewed and extracted independently by two investigators onto a prespecified proforma.</w:t>
      </w:r>
    </w:p>
    <w:p w14:paraId="0C3C2CDF" w14:textId="77777777" w:rsidR="00C776B7" w:rsidRPr="00FD0727" w:rsidRDefault="00C776B7">
      <w:pPr>
        <w:rPr>
          <w:rFonts w:asciiTheme="majorHAnsi" w:hAnsiTheme="majorHAnsi"/>
          <w:color w:val="000000" w:themeColor="text1"/>
          <w:sz w:val="22"/>
          <w:szCs w:val="22"/>
        </w:rPr>
      </w:pPr>
    </w:p>
    <w:p w14:paraId="7B9223ED"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DATA </w:t>
      </w:r>
      <w:proofErr w:type="gramStart"/>
      <w:r w:rsidRPr="00FD0727">
        <w:rPr>
          <w:rFonts w:asciiTheme="majorHAnsi" w:hAnsiTheme="majorHAnsi"/>
          <w:color w:val="000000" w:themeColor="text1"/>
          <w:sz w:val="22"/>
          <w:szCs w:val="22"/>
        </w:rPr>
        <w:t>SYNTHESIS:There</w:t>
      </w:r>
      <w:proofErr w:type="gramEnd"/>
      <w:r w:rsidRPr="00FD0727">
        <w:rPr>
          <w:rFonts w:asciiTheme="majorHAnsi" w:hAnsiTheme="majorHAnsi"/>
          <w:color w:val="000000" w:themeColor="text1"/>
          <w:sz w:val="22"/>
          <w:szCs w:val="22"/>
        </w:rPr>
        <w:t xml:space="preserve"> were 412 patients from seven randomized controlled trials included in the qualitative and quantitative data synthesis. Airway pressure release ventilation was associated with a significant mortality benefit (relative risk, 0.67; 95% CI, 0.48-0.94; I &lt; 0.1%; p = 0.97) and improvement in day 3 PaO2/FIO2 </w:t>
      </w:r>
      <w:proofErr w:type="gramStart"/>
      <w:r w:rsidRPr="00FD0727">
        <w:rPr>
          <w:rFonts w:asciiTheme="majorHAnsi" w:hAnsiTheme="majorHAnsi"/>
          <w:color w:val="000000" w:themeColor="text1"/>
          <w:sz w:val="22"/>
          <w:szCs w:val="22"/>
        </w:rPr>
        <w:t>ratio</w:t>
      </w:r>
      <w:proofErr w:type="gramEnd"/>
      <w:r w:rsidRPr="00FD0727">
        <w:rPr>
          <w:rFonts w:asciiTheme="majorHAnsi" w:hAnsiTheme="majorHAnsi"/>
          <w:color w:val="000000" w:themeColor="text1"/>
          <w:sz w:val="22"/>
          <w:szCs w:val="22"/>
        </w:rPr>
        <w:t xml:space="preserve"> (weighted mean difference, 60.4; 95% CI, 10.3-110.5). There was no significant difference in requirement to initiate rescue treatments including inhaled pulmonary vasodilators, prone positioning, or extracorporeal membrane oxygenation (relative risk, 0.51; 95% CI, 0.22-1.21; I = 64.7%; p = 0.04). The risk of barotrauma was only reported in three studies and did not differ between groups (relative risk, 0.39; 95% CI, 0.12-1.19; I &lt; 0.1%; p = 0.99).</w:t>
      </w:r>
    </w:p>
    <w:p w14:paraId="30792ECA" w14:textId="77777777" w:rsidR="00C776B7" w:rsidRPr="00FD0727" w:rsidRDefault="00C776B7">
      <w:pPr>
        <w:rPr>
          <w:rFonts w:asciiTheme="majorHAnsi" w:hAnsiTheme="majorHAnsi"/>
          <w:color w:val="000000" w:themeColor="text1"/>
          <w:sz w:val="22"/>
          <w:szCs w:val="22"/>
        </w:rPr>
      </w:pPr>
    </w:p>
    <w:p w14:paraId="3404C03E"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CONCLUSIONS:In</w:t>
      </w:r>
      <w:proofErr w:type="gramEnd"/>
      <w:r w:rsidRPr="00FD0727">
        <w:rPr>
          <w:rFonts w:asciiTheme="majorHAnsi" w:hAnsiTheme="majorHAnsi"/>
          <w:color w:val="000000" w:themeColor="text1"/>
          <w:sz w:val="22"/>
          <w:szCs w:val="22"/>
        </w:rPr>
        <w:t xml:space="preserve"> adult patients requiring mechanical ventilation for acute hypoxic respiratory failure, airway pressure release ventilation is associated with a mortality benefit and improved oxygenation when compared with conventional ventilation strategies. Given the limited number of patients enrolled in the available studies, larger multicenter studies are required to validate these findings.</w:t>
      </w:r>
    </w:p>
    <w:p w14:paraId="354FE197" w14:textId="77777777" w:rsidR="00C776B7" w:rsidRPr="00FD0727" w:rsidRDefault="00C776B7">
      <w:pPr>
        <w:rPr>
          <w:rFonts w:asciiTheme="majorHAnsi" w:hAnsiTheme="majorHAnsi"/>
          <w:color w:val="000000" w:themeColor="text1"/>
          <w:sz w:val="22"/>
          <w:szCs w:val="22"/>
        </w:rPr>
      </w:pPr>
    </w:p>
    <w:p w14:paraId="548E3A3E"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lastRenderedPageBreak/>
        <w:t>Crit Care Med, 2019 vol. 47 (12) pp. 1794-1799.</w:t>
      </w:r>
    </w:p>
    <w:p w14:paraId="6F5D34F0" w14:textId="77777777" w:rsidR="00C776B7" w:rsidRDefault="00FD0727">
      <w:pPr>
        <w:rPr>
          <w:rStyle w:val="Hyperlink"/>
          <w:rFonts w:asciiTheme="majorHAnsi" w:hAnsiTheme="majorHAnsi"/>
          <w:color w:val="000000" w:themeColor="text1"/>
          <w:sz w:val="22"/>
          <w:szCs w:val="22"/>
        </w:rPr>
      </w:pPr>
      <w:hyperlink r:id="rId61" w:history="1">
        <w:r w:rsidRPr="00FD0727">
          <w:rPr>
            <w:rStyle w:val="Hyperlink"/>
            <w:rFonts w:asciiTheme="majorHAnsi" w:hAnsiTheme="majorHAnsi"/>
            <w:color w:val="000000" w:themeColor="text1"/>
            <w:sz w:val="22"/>
            <w:szCs w:val="22"/>
          </w:rPr>
          <w:t>http://eutils.ncbi.nlm.nih.gov/entrez/eutils/elink.fcgi?dbfrom=pubmed&amp;id=31517696&amp;retmode=ref&amp;cmd=prlinks</w:t>
        </w:r>
      </w:hyperlink>
    </w:p>
    <w:p w14:paraId="544B54DC" w14:textId="77777777" w:rsidR="00A24B30" w:rsidRPr="00FD0727" w:rsidRDefault="00A24B30">
      <w:pPr>
        <w:rPr>
          <w:rFonts w:asciiTheme="majorHAnsi" w:hAnsiTheme="majorHAnsi"/>
          <w:color w:val="000000" w:themeColor="text1"/>
          <w:sz w:val="22"/>
          <w:szCs w:val="22"/>
        </w:rPr>
      </w:pPr>
    </w:p>
    <w:p w14:paraId="65C4C1EA"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4850090C" w14:textId="77777777" w:rsidR="00C776B7" w:rsidRPr="00A24B30" w:rsidRDefault="00FD0727">
      <w:pPr>
        <w:pStyle w:val="Heading4"/>
        <w:rPr>
          <w:rFonts w:asciiTheme="majorHAnsi" w:hAnsiTheme="majorHAnsi"/>
          <w:b/>
          <w:color w:val="000000" w:themeColor="text1"/>
          <w:sz w:val="22"/>
          <w:szCs w:val="22"/>
        </w:rPr>
      </w:pPr>
      <w:r w:rsidRPr="00A24B30">
        <w:rPr>
          <w:rFonts w:asciiTheme="majorHAnsi" w:hAnsiTheme="majorHAnsi"/>
          <w:b/>
          <w:color w:val="000000" w:themeColor="text1"/>
          <w:sz w:val="22"/>
          <w:szCs w:val="22"/>
        </w:rPr>
        <w:t>Allergic Immune Diseases and the Risk of Mortality Among Patients Hospitalized for Acute Infection.</w:t>
      </w:r>
    </w:p>
    <w:p w14:paraId="4177DF6F" w14:textId="77777777" w:rsidR="00C776B7" w:rsidRPr="00FD0727" w:rsidRDefault="00C776B7">
      <w:pPr>
        <w:rPr>
          <w:rFonts w:asciiTheme="majorHAnsi" w:hAnsiTheme="majorHAnsi"/>
          <w:color w:val="000000" w:themeColor="text1"/>
          <w:sz w:val="22"/>
          <w:szCs w:val="22"/>
        </w:rPr>
      </w:pPr>
    </w:p>
    <w:p w14:paraId="2EC38981"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Philip A Verhoef, Sivasubramanium V Bhavani, Kyle A Carey, and Matthew M Churpek.</w:t>
      </w:r>
    </w:p>
    <w:p w14:paraId="1E7EEE16" w14:textId="77777777" w:rsidR="00C776B7" w:rsidRPr="00FD0727" w:rsidRDefault="00C776B7">
      <w:pPr>
        <w:rPr>
          <w:rFonts w:asciiTheme="majorHAnsi" w:hAnsiTheme="majorHAnsi"/>
          <w:color w:val="000000" w:themeColor="text1"/>
          <w:sz w:val="22"/>
          <w:szCs w:val="22"/>
        </w:rPr>
      </w:pPr>
    </w:p>
    <w:p w14:paraId="06807BC4"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OBJECTIVES:The</w:t>
      </w:r>
      <w:proofErr w:type="gramEnd"/>
      <w:r w:rsidRPr="00FD0727">
        <w:rPr>
          <w:rFonts w:asciiTheme="majorHAnsi" w:hAnsiTheme="majorHAnsi"/>
          <w:color w:val="000000" w:themeColor="text1"/>
          <w:sz w:val="22"/>
          <w:szCs w:val="22"/>
        </w:rPr>
        <w:t xml:space="preserve"> immune response during sepsis remains poorly understood and is likely influenced by the host's preexisting immunologic comorbidities. Although more than 20% of the U.S. population has an allergic-atopic disease, the type 2 immune response that is overactive in these diseases can also mediate beneficial pro-resolving, tissue-repair functions. Thus, the presence of allergic immunologic comorbidities may be advantageous for patients suffering from sepsis. The objective of this study was to test the hypothesis that comorbid type 2 immune diseases confer protection against morbidity and mortality due to acute infection.</w:t>
      </w:r>
    </w:p>
    <w:p w14:paraId="0A18C368" w14:textId="77777777" w:rsidR="00C776B7" w:rsidRPr="00FD0727" w:rsidRDefault="00C776B7">
      <w:pPr>
        <w:rPr>
          <w:rFonts w:asciiTheme="majorHAnsi" w:hAnsiTheme="majorHAnsi"/>
          <w:color w:val="000000" w:themeColor="text1"/>
          <w:sz w:val="22"/>
          <w:szCs w:val="22"/>
        </w:rPr>
      </w:pPr>
    </w:p>
    <w:p w14:paraId="730D1EE8"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DESIGN:Retrospective</w:t>
      </w:r>
      <w:proofErr w:type="gramEnd"/>
      <w:r w:rsidRPr="00FD0727">
        <w:rPr>
          <w:rFonts w:asciiTheme="majorHAnsi" w:hAnsiTheme="majorHAnsi"/>
          <w:color w:val="000000" w:themeColor="text1"/>
          <w:sz w:val="22"/>
          <w:szCs w:val="22"/>
        </w:rPr>
        <w:t xml:space="preserve"> cohort study of patients hospitalized with an acute infection between November 2008 and January 2016 using electronic health record data.</w:t>
      </w:r>
    </w:p>
    <w:p w14:paraId="596797FA" w14:textId="77777777" w:rsidR="00C776B7" w:rsidRPr="00FD0727" w:rsidRDefault="00C776B7">
      <w:pPr>
        <w:rPr>
          <w:rFonts w:asciiTheme="majorHAnsi" w:hAnsiTheme="majorHAnsi"/>
          <w:color w:val="000000" w:themeColor="text1"/>
          <w:sz w:val="22"/>
          <w:szCs w:val="22"/>
        </w:rPr>
      </w:pPr>
    </w:p>
    <w:p w14:paraId="763E28A9"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SETTING:Single</w:t>
      </w:r>
      <w:proofErr w:type="gramEnd"/>
      <w:r w:rsidRPr="00FD0727">
        <w:rPr>
          <w:rFonts w:asciiTheme="majorHAnsi" w:hAnsiTheme="majorHAnsi"/>
          <w:color w:val="000000" w:themeColor="text1"/>
          <w:sz w:val="22"/>
          <w:szCs w:val="22"/>
        </w:rPr>
        <w:t xml:space="preserve"> tertiary-care academic medical center.</w:t>
      </w:r>
    </w:p>
    <w:p w14:paraId="49AAC93D" w14:textId="77777777" w:rsidR="00C776B7" w:rsidRPr="00FD0727" w:rsidRDefault="00C776B7">
      <w:pPr>
        <w:rPr>
          <w:rFonts w:asciiTheme="majorHAnsi" w:hAnsiTheme="majorHAnsi"/>
          <w:color w:val="000000" w:themeColor="text1"/>
          <w:sz w:val="22"/>
          <w:szCs w:val="22"/>
        </w:rPr>
      </w:pPr>
    </w:p>
    <w:p w14:paraId="37F70E17"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PATIENTS:Admissions</w:t>
      </w:r>
      <w:proofErr w:type="gramEnd"/>
      <w:r w:rsidRPr="00FD0727">
        <w:rPr>
          <w:rFonts w:asciiTheme="majorHAnsi" w:hAnsiTheme="majorHAnsi"/>
          <w:color w:val="000000" w:themeColor="text1"/>
          <w:sz w:val="22"/>
          <w:szCs w:val="22"/>
        </w:rPr>
        <w:t xml:space="preserve"> to the hospital through the emergency department with likely infection at the time of admission who may or may not have had a type 2 immune-mediated disease, defined as asthma, allergic rhinitis, atopic dermatitis, or food allergy, as determined by International Classification of Diseases, 9th Revision, Clinical Modification codes.</w:t>
      </w:r>
    </w:p>
    <w:p w14:paraId="1BE45589" w14:textId="77777777" w:rsidR="00C776B7" w:rsidRPr="00FD0727" w:rsidRDefault="00C776B7">
      <w:pPr>
        <w:rPr>
          <w:rFonts w:asciiTheme="majorHAnsi" w:hAnsiTheme="majorHAnsi"/>
          <w:color w:val="000000" w:themeColor="text1"/>
          <w:sz w:val="22"/>
          <w:szCs w:val="22"/>
        </w:rPr>
      </w:pPr>
    </w:p>
    <w:p w14:paraId="21B21FB2"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INTERVENTIONS:None</w:t>
      </w:r>
      <w:proofErr w:type="gramEnd"/>
      <w:r w:rsidRPr="00FD0727">
        <w:rPr>
          <w:rFonts w:asciiTheme="majorHAnsi" w:hAnsiTheme="majorHAnsi"/>
          <w:color w:val="000000" w:themeColor="text1"/>
          <w:sz w:val="22"/>
          <w:szCs w:val="22"/>
        </w:rPr>
        <w:t>.</w:t>
      </w:r>
    </w:p>
    <w:p w14:paraId="4976A89C" w14:textId="77777777" w:rsidR="00C776B7" w:rsidRPr="00FD0727" w:rsidRDefault="00C776B7">
      <w:pPr>
        <w:rPr>
          <w:rFonts w:asciiTheme="majorHAnsi" w:hAnsiTheme="majorHAnsi"/>
          <w:color w:val="000000" w:themeColor="text1"/>
          <w:sz w:val="22"/>
          <w:szCs w:val="22"/>
        </w:rPr>
      </w:pPr>
    </w:p>
    <w:p w14:paraId="682F444F"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MEASUREMENTS AND MAIN </w:t>
      </w:r>
      <w:proofErr w:type="gramStart"/>
      <w:r w:rsidRPr="00FD0727">
        <w:rPr>
          <w:rFonts w:asciiTheme="majorHAnsi" w:hAnsiTheme="majorHAnsi"/>
          <w:color w:val="000000" w:themeColor="text1"/>
          <w:sz w:val="22"/>
          <w:szCs w:val="22"/>
        </w:rPr>
        <w:t>RESULTS:Of</w:t>
      </w:r>
      <w:proofErr w:type="gramEnd"/>
      <w:r w:rsidRPr="00FD0727">
        <w:rPr>
          <w:rFonts w:asciiTheme="majorHAnsi" w:hAnsiTheme="majorHAnsi"/>
          <w:color w:val="000000" w:themeColor="text1"/>
          <w:sz w:val="22"/>
          <w:szCs w:val="22"/>
        </w:rPr>
        <w:t xml:space="preserve"> 10,789 admissions for infection, 2,578 (24%) had a type 2 disease; these patients were more likely to be female, black, and younger than patients without type 2 diseases. In unadjusted analyses, type 2 patients had decreased odds of dying during the hospitalization (0.47; 95% CI, 0.38-0.59, p &lt; 0.001), while having more than one type 2 disease conferred a dose-dependent reduction in the risk of mortality (p &lt; 0.001). When adjusting for demographics, medications, types of infection, and illness severity, the presence of a type 2 disease remained protective (odds ratio, 0.55; 95% CI, 0.43-0.70; p &lt; 0.001). Similar results were found using a propensity score analysis (odds ratio, 0.57; 95% CI, 0.45-0.71; p &lt; 0.001).</w:t>
      </w:r>
    </w:p>
    <w:p w14:paraId="785C6A28" w14:textId="77777777" w:rsidR="00C776B7" w:rsidRPr="00FD0727" w:rsidRDefault="00C776B7">
      <w:pPr>
        <w:rPr>
          <w:rFonts w:asciiTheme="majorHAnsi" w:hAnsiTheme="majorHAnsi"/>
          <w:color w:val="000000" w:themeColor="text1"/>
          <w:sz w:val="22"/>
          <w:szCs w:val="22"/>
        </w:rPr>
      </w:pPr>
    </w:p>
    <w:p w14:paraId="0C616A1C"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CONCLUSIONS:Patients</w:t>
      </w:r>
      <w:proofErr w:type="gramEnd"/>
      <w:r w:rsidRPr="00FD0727">
        <w:rPr>
          <w:rFonts w:asciiTheme="majorHAnsi" w:hAnsiTheme="majorHAnsi"/>
          <w:color w:val="000000" w:themeColor="text1"/>
          <w:sz w:val="22"/>
          <w:szCs w:val="22"/>
        </w:rPr>
        <w:t xml:space="preserve"> with type 2 diseases admitted with acute infections have reduced mortality, implying that the type 2 immune response is protective in sepsis.</w:t>
      </w:r>
    </w:p>
    <w:p w14:paraId="1030651A" w14:textId="77777777" w:rsidR="00C776B7" w:rsidRPr="00FD0727" w:rsidRDefault="00C776B7">
      <w:pPr>
        <w:rPr>
          <w:rFonts w:asciiTheme="majorHAnsi" w:hAnsiTheme="majorHAnsi"/>
          <w:color w:val="000000" w:themeColor="text1"/>
          <w:sz w:val="22"/>
          <w:szCs w:val="22"/>
        </w:rPr>
      </w:pPr>
    </w:p>
    <w:p w14:paraId="2BA36160"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 Care Med, 2019 vol. 47 (12) pp. 1735-1742.</w:t>
      </w:r>
    </w:p>
    <w:p w14:paraId="35DB6BEE" w14:textId="77777777" w:rsidR="00C776B7" w:rsidRDefault="00FD0727">
      <w:pPr>
        <w:rPr>
          <w:rStyle w:val="Hyperlink"/>
          <w:rFonts w:asciiTheme="majorHAnsi" w:hAnsiTheme="majorHAnsi"/>
          <w:color w:val="000000" w:themeColor="text1"/>
          <w:sz w:val="22"/>
          <w:szCs w:val="22"/>
        </w:rPr>
      </w:pPr>
      <w:hyperlink r:id="rId62" w:history="1">
        <w:r w:rsidRPr="00FD0727">
          <w:rPr>
            <w:rStyle w:val="Hyperlink"/>
            <w:rFonts w:asciiTheme="majorHAnsi" w:hAnsiTheme="majorHAnsi"/>
            <w:color w:val="000000" w:themeColor="text1"/>
            <w:sz w:val="22"/>
            <w:szCs w:val="22"/>
          </w:rPr>
          <w:t>http://eutils.ncbi.nlm.nih.gov/entrez/eutils/elink.fcgi?dbfrom=pubmed&amp;id=31599813&amp;retmode=ref&amp;cmd=prlinks</w:t>
        </w:r>
      </w:hyperlink>
    </w:p>
    <w:p w14:paraId="69035B01" w14:textId="77777777" w:rsidR="00A24B30" w:rsidRPr="00FD0727" w:rsidRDefault="00A24B30">
      <w:pPr>
        <w:rPr>
          <w:rFonts w:asciiTheme="majorHAnsi" w:hAnsiTheme="majorHAnsi"/>
          <w:color w:val="000000" w:themeColor="text1"/>
          <w:sz w:val="22"/>
          <w:szCs w:val="22"/>
        </w:rPr>
      </w:pPr>
    </w:p>
    <w:p w14:paraId="04AAD0DC" w14:textId="2A65E62C"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281B2B84" w14:textId="77777777" w:rsidR="00C776B7" w:rsidRPr="00A24B30" w:rsidRDefault="00FD0727">
      <w:pPr>
        <w:pStyle w:val="Heading4"/>
        <w:rPr>
          <w:rFonts w:asciiTheme="majorHAnsi" w:hAnsiTheme="majorHAnsi"/>
          <w:b/>
          <w:color w:val="000000" w:themeColor="text1"/>
          <w:sz w:val="22"/>
          <w:szCs w:val="22"/>
        </w:rPr>
      </w:pPr>
      <w:r w:rsidRPr="00A24B30">
        <w:rPr>
          <w:rFonts w:asciiTheme="majorHAnsi" w:hAnsiTheme="majorHAnsi"/>
          <w:b/>
          <w:color w:val="000000" w:themeColor="text1"/>
          <w:sz w:val="22"/>
          <w:szCs w:val="22"/>
        </w:rPr>
        <w:lastRenderedPageBreak/>
        <w:t>Diabetes Insipidus After Discontinuation of Vasopressin Infusion for Treatment of Shock.</w:t>
      </w:r>
    </w:p>
    <w:p w14:paraId="35612525" w14:textId="77777777" w:rsidR="00C776B7" w:rsidRPr="00FD0727" w:rsidRDefault="00C776B7">
      <w:pPr>
        <w:rPr>
          <w:rFonts w:asciiTheme="majorHAnsi" w:hAnsiTheme="majorHAnsi"/>
          <w:color w:val="000000" w:themeColor="text1"/>
          <w:sz w:val="22"/>
          <w:szCs w:val="22"/>
        </w:rPr>
      </w:pPr>
    </w:p>
    <w:p w14:paraId="6ADACD23"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Hannah Ferenchick, Nail Cemalovic, Nadia Ferguson, and Peter V Dicpinigaitis.</w:t>
      </w:r>
    </w:p>
    <w:p w14:paraId="66FCA99B" w14:textId="77777777" w:rsidR="00C776B7" w:rsidRPr="00FD0727" w:rsidRDefault="00C776B7">
      <w:pPr>
        <w:rPr>
          <w:rFonts w:asciiTheme="majorHAnsi" w:hAnsiTheme="majorHAnsi"/>
          <w:color w:val="000000" w:themeColor="text1"/>
          <w:sz w:val="22"/>
          <w:szCs w:val="22"/>
        </w:rPr>
      </w:pPr>
    </w:p>
    <w:p w14:paraId="06037CBF"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OBJECTIVES:Vasopressin</w:t>
      </w:r>
      <w:proofErr w:type="gramEnd"/>
      <w:r w:rsidRPr="00FD0727">
        <w:rPr>
          <w:rFonts w:asciiTheme="majorHAnsi" w:hAnsiTheme="majorHAnsi"/>
          <w:color w:val="000000" w:themeColor="text1"/>
          <w:sz w:val="22"/>
          <w:szCs w:val="22"/>
        </w:rPr>
        <w:t xml:space="preserve"> has achieved common usage for the treatment of catecholamine-requiring and catecholamine-resistant shock. Diabetes insipidus is a syndrome characterized by excretion of abnormally large volumes of dilute urine. To date, very few reports of diabetes insipidus after discontinuation of vasopressin infusion have been published; </w:t>
      </w:r>
      <w:proofErr w:type="gramStart"/>
      <w:r w:rsidRPr="00FD0727">
        <w:rPr>
          <w:rFonts w:asciiTheme="majorHAnsi" w:hAnsiTheme="majorHAnsi"/>
          <w:color w:val="000000" w:themeColor="text1"/>
          <w:sz w:val="22"/>
          <w:szCs w:val="22"/>
        </w:rPr>
        <w:t>the majority of</w:t>
      </w:r>
      <w:proofErr w:type="gramEnd"/>
      <w:r w:rsidRPr="00FD0727">
        <w:rPr>
          <w:rFonts w:asciiTheme="majorHAnsi" w:hAnsiTheme="majorHAnsi"/>
          <w:color w:val="000000" w:themeColor="text1"/>
          <w:sz w:val="22"/>
          <w:szCs w:val="22"/>
        </w:rPr>
        <w:t xml:space="preserve"> previous reports describe neurosurgical patients. The purpose of the present study was to investigate the occurrence rate of diabetes insipidus after discontinuation of vasopressin infusion among patients treated with vasopressin infusion for shock.</w:t>
      </w:r>
    </w:p>
    <w:p w14:paraId="4ED57245" w14:textId="77777777" w:rsidR="00C776B7" w:rsidRPr="00FD0727" w:rsidRDefault="00C776B7">
      <w:pPr>
        <w:rPr>
          <w:rFonts w:asciiTheme="majorHAnsi" w:hAnsiTheme="majorHAnsi"/>
          <w:color w:val="000000" w:themeColor="text1"/>
          <w:sz w:val="22"/>
          <w:szCs w:val="22"/>
        </w:rPr>
      </w:pPr>
    </w:p>
    <w:p w14:paraId="6D8D9476"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DESIGN:Retrospective</w:t>
      </w:r>
      <w:proofErr w:type="gramEnd"/>
      <w:r w:rsidRPr="00FD0727">
        <w:rPr>
          <w:rFonts w:asciiTheme="majorHAnsi" w:hAnsiTheme="majorHAnsi"/>
          <w:color w:val="000000" w:themeColor="text1"/>
          <w:sz w:val="22"/>
          <w:szCs w:val="22"/>
        </w:rPr>
        <w:t xml:space="preserve"> analysis of electronic health records of patients receiving continuous vasopressin infusion for the treatment of shock within a 5-year period (2012-2016).</w:t>
      </w:r>
    </w:p>
    <w:p w14:paraId="6B855313" w14:textId="77777777" w:rsidR="00C776B7" w:rsidRPr="00FD0727" w:rsidRDefault="00C776B7">
      <w:pPr>
        <w:rPr>
          <w:rFonts w:asciiTheme="majorHAnsi" w:hAnsiTheme="majorHAnsi"/>
          <w:color w:val="000000" w:themeColor="text1"/>
          <w:sz w:val="22"/>
          <w:szCs w:val="22"/>
        </w:rPr>
      </w:pPr>
    </w:p>
    <w:p w14:paraId="74D0E26E"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SETTING:Medical</w:t>
      </w:r>
      <w:proofErr w:type="gramEnd"/>
      <w:r w:rsidRPr="00FD0727">
        <w:rPr>
          <w:rFonts w:asciiTheme="majorHAnsi" w:hAnsiTheme="majorHAnsi"/>
          <w:color w:val="000000" w:themeColor="text1"/>
          <w:sz w:val="22"/>
          <w:szCs w:val="22"/>
        </w:rPr>
        <w:t>, surgical, and cardiothoracic ICUs within one academic medical center.</w:t>
      </w:r>
    </w:p>
    <w:p w14:paraId="0C8B90C6" w14:textId="77777777" w:rsidR="00C776B7" w:rsidRPr="00FD0727" w:rsidRDefault="00C776B7">
      <w:pPr>
        <w:rPr>
          <w:rFonts w:asciiTheme="majorHAnsi" w:hAnsiTheme="majorHAnsi"/>
          <w:color w:val="000000" w:themeColor="text1"/>
          <w:sz w:val="22"/>
          <w:szCs w:val="22"/>
        </w:rPr>
      </w:pPr>
    </w:p>
    <w:p w14:paraId="613DA450"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PATIENTS:One</w:t>
      </w:r>
      <w:proofErr w:type="gramEnd"/>
      <w:r w:rsidRPr="00FD0727">
        <w:rPr>
          <w:rFonts w:asciiTheme="majorHAnsi" w:hAnsiTheme="majorHAnsi"/>
          <w:color w:val="000000" w:themeColor="text1"/>
          <w:sz w:val="22"/>
          <w:szCs w:val="22"/>
        </w:rPr>
        <w:t>-thousand eight-hundred ninety-six patients received vasopressin infusion for the treatment of shock.</w:t>
      </w:r>
    </w:p>
    <w:p w14:paraId="14D58D99" w14:textId="77777777" w:rsidR="00C776B7" w:rsidRPr="00FD0727" w:rsidRDefault="00C776B7">
      <w:pPr>
        <w:rPr>
          <w:rFonts w:asciiTheme="majorHAnsi" w:hAnsiTheme="majorHAnsi"/>
          <w:color w:val="000000" w:themeColor="text1"/>
          <w:sz w:val="22"/>
          <w:szCs w:val="22"/>
        </w:rPr>
      </w:pPr>
    </w:p>
    <w:p w14:paraId="5FA5D5B6"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INTERVENTIONS:None</w:t>
      </w:r>
      <w:proofErr w:type="gramEnd"/>
      <w:r w:rsidRPr="00FD0727">
        <w:rPr>
          <w:rFonts w:asciiTheme="majorHAnsi" w:hAnsiTheme="majorHAnsi"/>
          <w:color w:val="000000" w:themeColor="text1"/>
          <w:sz w:val="22"/>
          <w:szCs w:val="22"/>
        </w:rPr>
        <w:t>.</w:t>
      </w:r>
    </w:p>
    <w:p w14:paraId="78048A9E" w14:textId="77777777" w:rsidR="00C776B7" w:rsidRPr="00FD0727" w:rsidRDefault="00C776B7">
      <w:pPr>
        <w:rPr>
          <w:rFonts w:asciiTheme="majorHAnsi" w:hAnsiTheme="majorHAnsi"/>
          <w:color w:val="000000" w:themeColor="text1"/>
          <w:sz w:val="22"/>
          <w:szCs w:val="22"/>
        </w:rPr>
      </w:pPr>
    </w:p>
    <w:p w14:paraId="6146D7FE"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MEASUREMENTS AND MAIN </w:t>
      </w:r>
      <w:proofErr w:type="gramStart"/>
      <w:r w:rsidRPr="00FD0727">
        <w:rPr>
          <w:rFonts w:asciiTheme="majorHAnsi" w:hAnsiTheme="majorHAnsi"/>
          <w:color w:val="000000" w:themeColor="text1"/>
          <w:sz w:val="22"/>
          <w:szCs w:val="22"/>
        </w:rPr>
        <w:t>RESULTS:The</w:t>
      </w:r>
      <w:proofErr w:type="gramEnd"/>
      <w:r w:rsidRPr="00FD0727">
        <w:rPr>
          <w:rFonts w:asciiTheme="majorHAnsi" w:hAnsiTheme="majorHAnsi"/>
          <w:color w:val="000000" w:themeColor="text1"/>
          <w:sz w:val="22"/>
          <w:szCs w:val="22"/>
        </w:rPr>
        <w:t xml:space="preserve"> occurrence rate of diabetes insipidus after discontinuation of vasopressin infusion was 1.53% among all patients. Sixteen of 29 patients with diabetes insipidus after discontinuation of vasopressin infusion had undergone cardiothoracic intervention, such as coronary artery bypass graft and valve replacement surgery, extracorporeal membrane oxygenation, and placement of ventricular assist devices. No neurosurgical patients were identified in our cohort. In a control group of patients receiving norepinephrine but not vasopressin infusion for treatment of shock, criteria for diabetes insipidus were observed in two of 1,320 subjects (0.15%).</w:t>
      </w:r>
    </w:p>
    <w:p w14:paraId="75D90A34" w14:textId="77777777" w:rsidR="00C776B7" w:rsidRPr="00FD0727" w:rsidRDefault="00C776B7">
      <w:pPr>
        <w:rPr>
          <w:rFonts w:asciiTheme="majorHAnsi" w:hAnsiTheme="majorHAnsi"/>
          <w:color w:val="000000" w:themeColor="text1"/>
          <w:sz w:val="22"/>
          <w:szCs w:val="22"/>
        </w:rPr>
      </w:pPr>
    </w:p>
    <w:p w14:paraId="2269726A"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CONCLUSIONS:Despite</w:t>
      </w:r>
      <w:proofErr w:type="gramEnd"/>
      <w:r w:rsidRPr="00FD0727">
        <w:rPr>
          <w:rFonts w:asciiTheme="majorHAnsi" w:hAnsiTheme="majorHAnsi"/>
          <w:color w:val="000000" w:themeColor="text1"/>
          <w:sz w:val="22"/>
          <w:szCs w:val="22"/>
        </w:rPr>
        <w:t xml:space="preserve"> a paucity of published reports, diabetes insipidus after discontinuation of vasopressin infusion appears not to be a rare phenomenon, and is likely to be encountered by intensivists who regularly employ vasopressin for the treatment of vasoplegic shock. Previous reports consisted predominantly of neurosurgical patients. Our findings demonstrate the occurrence of diabetes insipidus after discontinuation of vasopressin infusion among patients with septic shock as well as vasoplegic shock after cardiothoracic intervention. The mechanism of diabetes insipidus after discontinuation of vasopressin infusion remains to be elucidated but may involve transient downregulation of V2 receptors induced by exposure to supraphysiological doses of vasopressin.</w:t>
      </w:r>
    </w:p>
    <w:p w14:paraId="42571A5C" w14:textId="77777777" w:rsidR="00C776B7" w:rsidRPr="00FD0727" w:rsidRDefault="00C776B7">
      <w:pPr>
        <w:rPr>
          <w:rFonts w:asciiTheme="majorHAnsi" w:hAnsiTheme="majorHAnsi"/>
          <w:color w:val="000000" w:themeColor="text1"/>
          <w:sz w:val="22"/>
          <w:szCs w:val="22"/>
        </w:rPr>
      </w:pPr>
    </w:p>
    <w:p w14:paraId="229B0AB3"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 Care Med, 2019 vol. 47 (12) pp. e1008-e1013.</w:t>
      </w:r>
    </w:p>
    <w:p w14:paraId="30F62F3F" w14:textId="77777777" w:rsidR="00C776B7" w:rsidRDefault="00FD0727">
      <w:pPr>
        <w:rPr>
          <w:rStyle w:val="Hyperlink"/>
          <w:rFonts w:asciiTheme="majorHAnsi" w:hAnsiTheme="majorHAnsi"/>
          <w:color w:val="000000" w:themeColor="text1"/>
          <w:sz w:val="22"/>
          <w:szCs w:val="22"/>
        </w:rPr>
      </w:pPr>
      <w:hyperlink r:id="rId63" w:history="1">
        <w:r w:rsidRPr="00FD0727">
          <w:rPr>
            <w:rStyle w:val="Hyperlink"/>
            <w:rFonts w:asciiTheme="majorHAnsi" w:hAnsiTheme="majorHAnsi"/>
            <w:color w:val="000000" w:themeColor="text1"/>
            <w:sz w:val="22"/>
            <w:szCs w:val="22"/>
          </w:rPr>
          <w:t>http://eutils.ncbi.nlm.nih.gov/entrez/eutils/elink.fcgi?dbfrom=pubmed&amp;id=31567344&amp;retmode=ref&amp;cmd=prlinks</w:t>
        </w:r>
      </w:hyperlink>
    </w:p>
    <w:p w14:paraId="223BE740" w14:textId="77777777" w:rsidR="00A24B30" w:rsidRPr="00FD0727" w:rsidRDefault="00A24B30">
      <w:pPr>
        <w:rPr>
          <w:rFonts w:asciiTheme="majorHAnsi" w:hAnsiTheme="majorHAnsi"/>
          <w:color w:val="000000" w:themeColor="text1"/>
          <w:sz w:val="22"/>
          <w:szCs w:val="22"/>
        </w:rPr>
      </w:pPr>
    </w:p>
    <w:p w14:paraId="6F7F62E5"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0501D153" w14:textId="77777777" w:rsidR="00C776B7" w:rsidRPr="00A24B30" w:rsidRDefault="00FD0727">
      <w:pPr>
        <w:pStyle w:val="Heading4"/>
        <w:rPr>
          <w:rFonts w:asciiTheme="majorHAnsi" w:hAnsiTheme="majorHAnsi"/>
          <w:b/>
          <w:color w:val="000000" w:themeColor="text1"/>
          <w:sz w:val="22"/>
          <w:szCs w:val="22"/>
        </w:rPr>
      </w:pPr>
      <w:r w:rsidRPr="00A24B30">
        <w:rPr>
          <w:rFonts w:asciiTheme="majorHAnsi" w:hAnsiTheme="majorHAnsi"/>
          <w:b/>
          <w:color w:val="000000" w:themeColor="text1"/>
          <w:sz w:val="22"/>
          <w:szCs w:val="22"/>
        </w:rPr>
        <w:t>Hyperosmolar Therapy in Pediatric Severe Traumatic Brain Injury-A Systematic Review.</w:t>
      </w:r>
    </w:p>
    <w:p w14:paraId="31C80072" w14:textId="77777777" w:rsidR="00C776B7" w:rsidRPr="00FD0727" w:rsidRDefault="00C776B7">
      <w:pPr>
        <w:rPr>
          <w:rFonts w:asciiTheme="majorHAnsi" w:hAnsiTheme="majorHAnsi"/>
          <w:color w:val="000000" w:themeColor="text1"/>
          <w:sz w:val="22"/>
          <w:szCs w:val="22"/>
        </w:rPr>
      </w:pPr>
    </w:p>
    <w:p w14:paraId="60C5DE18"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Brittany M Stopa, Rianne G F Dolmans, Marike L D Broekman, William B Gormley, Rebekah Mannix, and Saef Izzy.</w:t>
      </w:r>
    </w:p>
    <w:p w14:paraId="21E61FE7" w14:textId="77777777" w:rsidR="00C776B7" w:rsidRPr="00FD0727" w:rsidRDefault="00C776B7">
      <w:pPr>
        <w:rPr>
          <w:rFonts w:asciiTheme="majorHAnsi" w:hAnsiTheme="majorHAnsi"/>
          <w:color w:val="000000" w:themeColor="text1"/>
          <w:sz w:val="22"/>
          <w:szCs w:val="22"/>
        </w:rPr>
      </w:pPr>
    </w:p>
    <w:p w14:paraId="1462AAF3"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OBJECTIVES:Traumatic</w:t>
      </w:r>
      <w:proofErr w:type="gramEnd"/>
      <w:r w:rsidRPr="00FD0727">
        <w:rPr>
          <w:rFonts w:asciiTheme="majorHAnsi" w:hAnsiTheme="majorHAnsi"/>
          <w:color w:val="000000" w:themeColor="text1"/>
          <w:sz w:val="22"/>
          <w:szCs w:val="22"/>
        </w:rPr>
        <w:t xml:space="preserve"> brain injury is a leading cause of hospital visits for children. Hyperosmolar therapy is often used to treat severe traumatic brain injury. Hypertonic saline is used predominantly, yet there remains disagreement about whether hypertonic saline or mannitol is more effective.</w:t>
      </w:r>
    </w:p>
    <w:p w14:paraId="2844F170" w14:textId="77777777" w:rsidR="00C776B7" w:rsidRPr="00FD0727" w:rsidRDefault="00C776B7">
      <w:pPr>
        <w:rPr>
          <w:rFonts w:asciiTheme="majorHAnsi" w:hAnsiTheme="majorHAnsi"/>
          <w:color w:val="000000" w:themeColor="text1"/>
          <w:sz w:val="22"/>
          <w:szCs w:val="22"/>
        </w:rPr>
      </w:pPr>
    </w:p>
    <w:p w14:paraId="77EF2243"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DATA </w:t>
      </w:r>
      <w:proofErr w:type="gramStart"/>
      <w:r w:rsidRPr="00FD0727">
        <w:rPr>
          <w:rFonts w:asciiTheme="majorHAnsi" w:hAnsiTheme="majorHAnsi"/>
          <w:color w:val="000000" w:themeColor="text1"/>
          <w:sz w:val="22"/>
          <w:szCs w:val="22"/>
        </w:rPr>
        <w:t>SOURCES:Literature</w:t>
      </w:r>
      <w:proofErr w:type="gramEnd"/>
      <w:r w:rsidRPr="00FD0727">
        <w:rPr>
          <w:rFonts w:asciiTheme="majorHAnsi" w:hAnsiTheme="majorHAnsi"/>
          <w:color w:val="000000" w:themeColor="text1"/>
          <w:sz w:val="22"/>
          <w:szCs w:val="22"/>
        </w:rPr>
        <w:t xml:space="preserve"> search was conducted using Pubmed, Cochrane, and Embase. Systematic review followed Preferred Reporting Items for Systematic Reviews and Meta-Analyses guidelines.</w:t>
      </w:r>
    </w:p>
    <w:p w14:paraId="2C02569B" w14:textId="77777777" w:rsidR="00C776B7" w:rsidRPr="00FD0727" w:rsidRDefault="00C776B7">
      <w:pPr>
        <w:rPr>
          <w:rFonts w:asciiTheme="majorHAnsi" w:hAnsiTheme="majorHAnsi"/>
          <w:color w:val="000000" w:themeColor="text1"/>
          <w:sz w:val="22"/>
          <w:szCs w:val="22"/>
        </w:rPr>
      </w:pPr>
    </w:p>
    <w:p w14:paraId="70C1524B"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STUDY </w:t>
      </w:r>
      <w:proofErr w:type="gramStart"/>
      <w:r w:rsidRPr="00FD0727">
        <w:rPr>
          <w:rFonts w:asciiTheme="majorHAnsi" w:hAnsiTheme="majorHAnsi"/>
          <w:color w:val="000000" w:themeColor="text1"/>
          <w:sz w:val="22"/>
          <w:szCs w:val="22"/>
        </w:rPr>
        <w:t>SELECTION:Retrospective</w:t>
      </w:r>
      <w:proofErr w:type="gramEnd"/>
      <w:r w:rsidRPr="00FD0727">
        <w:rPr>
          <w:rFonts w:asciiTheme="majorHAnsi" w:hAnsiTheme="majorHAnsi"/>
          <w:color w:val="000000" w:themeColor="text1"/>
          <w:sz w:val="22"/>
          <w:szCs w:val="22"/>
        </w:rPr>
        <w:t xml:space="preserve"> and prospective studies assessing use of hyperosmolar therapy in pediatric patients with severe traumatic brain injury were included.</w:t>
      </w:r>
    </w:p>
    <w:p w14:paraId="437F0D38" w14:textId="77777777" w:rsidR="00C776B7" w:rsidRPr="00FD0727" w:rsidRDefault="00C776B7">
      <w:pPr>
        <w:rPr>
          <w:rFonts w:asciiTheme="majorHAnsi" w:hAnsiTheme="majorHAnsi"/>
          <w:color w:val="000000" w:themeColor="text1"/>
          <w:sz w:val="22"/>
          <w:szCs w:val="22"/>
        </w:rPr>
      </w:pPr>
    </w:p>
    <w:p w14:paraId="7C2AEE7D"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DATA </w:t>
      </w:r>
      <w:proofErr w:type="gramStart"/>
      <w:r w:rsidRPr="00FD0727">
        <w:rPr>
          <w:rFonts w:asciiTheme="majorHAnsi" w:hAnsiTheme="majorHAnsi"/>
          <w:color w:val="000000" w:themeColor="text1"/>
          <w:sz w:val="22"/>
          <w:szCs w:val="22"/>
        </w:rPr>
        <w:t>EXTRACTION:Two</w:t>
      </w:r>
      <w:proofErr w:type="gramEnd"/>
      <w:r w:rsidRPr="00FD0727">
        <w:rPr>
          <w:rFonts w:asciiTheme="majorHAnsi" w:hAnsiTheme="majorHAnsi"/>
          <w:color w:val="000000" w:themeColor="text1"/>
          <w:sz w:val="22"/>
          <w:szCs w:val="22"/>
        </w:rPr>
        <w:t xml:space="preserve"> independent authors performed article review. Two-thousand two-hundred thirty unique articles were initially evaluated, 11 were included in the final analysis, with a total of 358 patients. Study quality was assessed using Modified Newcastle-Ottawa Scale and Jadad score.</w:t>
      </w:r>
    </w:p>
    <w:p w14:paraId="160C26C0" w14:textId="77777777" w:rsidR="00C776B7" w:rsidRPr="00FD0727" w:rsidRDefault="00C776B7">
      <w:pPr>
        <w:rPr>
          <w:rFonts w:asciiTheme="majorHAnsi" w:hAnsiTheme="majorHAnsi"/>
          <w:color w:val="000000" w:themeColor="text1"/>
          <w:sz w:val="22"/>
          <w:szCs w:val="22"/>
        </w:rPr>
      </w:pPr>
    </w:p>
    <w:p w14:paraId="6B37589B"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DATA </w:t>
      </w:r>
      <w:proofErr w:type="gramStart"/>
      <w:r w:rsidRPr="00FD0727">
        <w:rPr>
          <w:rFonts w:asciiTheme="majorHAnsi" w:hAnsiTheme="majorHAnsi"/>
          <w:color w:val="000000" w:themeColor="text1"/>
          <w:sz w:val="22"/>
          <w:szCs w:val="22"/>
        </w:rPr>
        <w:t>SYNTHESIS:Of</w:t>
      </w:r>
      <w:proofErr w:type="gramEnd"/>
      <w:r w:rsidRPr="00FD0727">
        <w:rPr>
          <w:rFonts w:asciiTheme="majorHAnsi" w:hAnsiTheme="majorHAnsi"/>
          <w:color w:val="000000" w:themeColor="text1"/>
          <w:sz w:val="22"/>
          <w:szCs w:val="22"/>
        </w:rPr>
        <w:t xml:space="preserve"> the 11 studies, all evaluated hypertonic saline and four evaluated both hypertonic saline and mannitol. Nine reported that hypertonic saline lowered intracranial pressure and two reported that mannitol lowered intracranial pressure. The studies varied significantly in dose, concentration, and administrations schedule for both hypertonic saline and mannitol. Five studies were prospective, but only one directly compared mannitol to hypertonic saline. The prospective comparison study found no difference in physiologic outcomes. Clinical outcomes were reported using different measures across studies. For hypertonic saline-treated patients, mechanical ventilation was required for 6.9-9 days, decompressive craniectomy was required for 6.25-29.3% of patients, ICU length of stay was 8.0-10.6 days, in-hospital mortality was 10-48%, and 6-month mortality was 7-17%. In mannitol-treated patients, ICU length of stay was 9.5 days, in-hospital mortality was 56%, and 6-month mortality was 19%.</w:t>
      </w:r>
    </w:p>
    <w:p w14:paraId="454F2FBD" w14:textId="77777777" w:rsidR="00C776B7" w:rsidRPr="00FD0727" w:rsidRDefault="00C776B7">
      <w:pPr>
        <w:rPr>
          <w:rFonts w:asciiTheme="majorHAnsi" w:hAnsiTheme="majorHAnsi"/>
          <w:color w:val="000000" w:themeColor="text1"/>
          <w:sz w:val="22"/>
          <w:szCs w:val="22"/>
        </w:rPr>
      </w:pPr>
    </w:p>
    <w:p w14:paraId="09E74233"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CONCLUSIONS:Both</w:t>
      </w:r>
      <w:proofErr w:type="gramEnd"/>
      <w:r w:rsidRPr="00FD0727">
        <w:rPr>
          <w:rFonts w:asciiTheme="majorHAnsi" w:hAnsiTheme="majorHAnsi"/>
          <w:color w:val="000000" w:themeColor="text1"/>
          <w:sz w:val="22"/>
          <w:szCs w:val="22"/>
        </w:rPr>
        <w:t xml:space="preserve"> hypertonic saline and mannitol appear to lower intracranial pressure and improve clinical outcomes in pediatric severe traumatic brain injury, but the evidence is extremely fractured both in the method of treatment and in the evaluation of outcomes. Given the paucity of high-quality data, it is difficult to definitively conclude which agent is better or what treatment protocol to follow.</w:t>
      </w:r>
    </w:p>
    <w:p w14:paraId="07E35E85" w14:textId="77777777" w:rsidR="00C776B7" w:rsidRPr="00FD0727" w:rsidRDefault="00C776B7">
      <w:pPr>
        <w:rPr>
          <w:rFonts w:asciiTheme="majorHAnsi" w:hAnsiTheme="majorHAnsi"/>
          <w:color w:val="000000" w:themeColor="text1"/>
          <w:sz w:val="22"/>
          <w:szCs w:val="22"/>
        </w:rPr>
      </w:pPr>
    </w:p>
    <w:p w14:paraId="38ADCC70"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 Care Med, 2019 vol. 47 (12) pp. e1022-e1031.</w:t>
      </w:r>
    </w:p>
    <w:p w14:paraId="7E88C065" w14:textId="77777777" w:rsidR="00C776B7" w:rsidRDefault="00FD0727">
      <w:pPr>
        <w:rPr>
          <w:rStyle w:val="Hyperlink"/>
          <w:rFonts w:asciiTheme="majorHAnsi" w:hAnsiTheme="majorHAnsi"/>
          <w:color w:val="000000" w:themeColor="text1"/>
          <w:sz w:val="22"/>
          <w:szCs w:val="22"/>
        </w:rPr>
      </w:pPr>
      <w:hyperlink r:id="rId64" w:history="1">
        <w:r w:rsidRPr="00FD0727">
          <w:rPr>
            <w:rStyle w:val="Hyperlink"/>
            <w:rFonts w:asciiTheme="majorHAnsi" w:hAnsiTheme="majorHAnsi"/>
            <w:color w:val="000000" w:themeColor="text1"/>
            <w:sz w:val="22"/>
            <w:szCs w:val="22"/>
          </w:rPr>
          <w:t>http://eutils.ncbi.nlm.nih.gov/entrez/eutils/elink.fcgi?dbfrom=pubmed&amp;id=31567404&amp;retmode=ref&amp;cmd=prlinks</w:t>
        </w:r>
      </w:hyperlink>
    </w:p>
    <w:p w14:paraId="6F233DBE" w14:textId="77777777" w:rsidR="00A24B30" w:rsidRPr="00FD0727" w:rsidRDefault="00A24B30">
      <w:pPr>
        <w:rPr>
          <w:rFonts w:asciiTheme="majorHAnsi" w:hAnsiTheme="majorHAnsi"/>
          <w:color w:val="000000" w:themeColor="text1"/>
          <w:sz w:val="22"/>
          <w:szCs w:val="22"/>
        </w:rPr>
      </w:pPr>
    </w:p>
    <w:p w14:paraId="5F49EF7B"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32752736" w14:textId="77777777" w:rsidR="00C776B7" w:rsidRPr="00A24B30" w:rsidRDefault="00FD0727">
      <w:pPr>
        <w:pStyle w:val="Heading4"/>
        <w:rPr>
          <w:rFonts w:asciiTheme="majorHAnsi" w:hAnsiTheme="majorHAnsi"/>
          <w:b/>
          <w:color w:val="000000" w:themeColor="text1"/>
          <w:sz w:val="22"/>
          <w:szCs w:val="22"/>
        </w:rPr>
      </w:pPr>
      <w:r w:rsidRPr="00A24B30">
        <w:rPr>
          <w:rFonts w:asciiTheme="majorHAnsi" w:hAnsiTheme="majorHAnsi"/>
          <w:b/>
          <w:color w:val="000000" w:themeColor="text1"/>
          <w:sz w:val="22"/>
          <w:szCs w:val="22"/>
        </w:rPr>
        <w:t>Incidence and Outcomes of Acute Laryngeal Injury After Prolonged Mechanical Ventilation.</w:t>
      </w:r>
    </w:p>
    <w:p w14:paraId="536E212D" w14:textId="77777777" w:rsidR="00C776B7" w:rsidRPr="00FD0727" w:rsidRDefault="00C776B7">
      <w:pPr>
        <w:rPr>
          <w:rFonts w:asciiTheme="majorHAnsi" w:hAnsiTheme="majorHAnsi"/>
          <w:color w:val="000000" w:themeColor="text1"/>
          <w:sz w:val="22"/>
          <w:szCs w:val="22"/>
        </w:rPr>
      </w:pPr>
    </w:p>
    <w:p w14:paraId="42FB9E07"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Justin R Shinn, Kyle S Kimura, Benjamin R Campbell, Anne Sun Lowery, Christopher T Wootten, C Gaelyn Garrett, David O Francis, Alexander T Hillel, Liping Du, Jonathan D Casey, E Wesley Ely, and Alexander Gelbard.</w:t>
      </w:r>
    </w:p>
    <w:p w14:paraId="49EA54D9" w14:textId="77777777" w:rsidR="00C776B7" w:rsidRPr="00FD0727" w:rsidRDefault="00C776B7">
      <w:pPr>
        <w:rPr>
          <w:rFonts w:asciiTheme="majorHAnsi" w:hAnsiTheme="majorHAnsi"/>
          <w:color w:val="000000" w:themeColor="text1"/>
          <w:sz w:val="22"/>
          <w:szCs w:val="22"/>
        </w:rPr>
      </w:pPr>
    </w:p>
    <w:p w14:paraId="3DC5EEA9"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OBJECTIVES:Upper</w:t>
      </w:r>
      <w:proofErr w:type="gramEnd"/>
      <w:r w:rsidRPr="00FD0727">
        <w:rPr>
          <w:rFonts w:asciiTheme="majorHAnsi" w:hAnsiTheme="majorHAnsi"/>
          <w:color w:val="000000" w:themeColor="text1"/>
          <w:sz w:val="22"/>
          <w:szCs w:val="22"/>
        </w:rPr>
        <w:t xml:space="preserve"> airway injury is a recognized complication of prolonged endotracheal intubation, yet little attention has been paid to the consequences of laryngeal injury and functional impact. The purpose of our study was to prospectively define the incidence of acute laryngeal injury and investigate the impact of injury on breathing and voice outcomes.</w:t>
      </w:r>
    </w:p>
    <w:p w14:paraId="6D619D76" w14:textId="77777777" w:rsidR="00C776B7" w:rsidRPr="00FD0727" w:rsidRDefault="00C776B7">
      <w:pPr>
        <w:rPr>
          <w:rFonts w:asciiTheme="majorHAnsi" w:hAnsiTheme="majorHAnsi"/>
          <w:color w:val="000000" w:themeColor="text1"/>
          <w:sz w:val="22"/>
          <w:szCs w:val="22"/>
        </w:rPr>
      </w:pPr>
    </w:p>
    <w:p w14:paraId="54E2B06D"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lastRenderedPageBreak/>
        <w:t>DESIGN:Prospective</w:t>
      </w:r>
      <w:proofErr w:type="gramEnd"/>
      <w:r w:rsidRPr="00FD0727">
        <w:rPr>
          <w:rFonts w:asciiTheme="majorHAnsi" w:hAnsiTheme="majorHAnsi"/>
          <w:color w:val="000000" w:themeColor="text1"/>
          <w:sz w:val="22"/>
          <w:szCs w:val="22"/>
        </w:rPr>
        <w:t xml:space="preserve"> cohort study.</w:t>
      </w:r>
    </w:p>
    <w:p w14:paraId="1797297B" w14:textId="77777777" w:rsidR="00C776B7" w:rsidRPr="00FD0727" w:rsidRDefault="00C776B7">
      <w:pPr>
        <w:rPr>
          <w:rFonts w:asciiTheme="majorHAnsi" w:hAnsiTheme="majorHAnsi"/>
          <w:color w:val="000000" w:themeColor="text1"/>
          <w:sz w:val="22"/>
          <w:szCs w:val="22"/>
        </w:rPr>
      </w:pPr>
    </w:p>
    <w:p w14:paraId="1D1F0C08"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SETTING:Tertiary</w:t>
      </w:r>
      <w:proofErr w:type="gramEnd"/>
      <w:r w:rsidRPr="00FD0727">
        <w:rPr>
          <w:rFonts w:asciiTheme="majorHAnsi" w:hAnsiTheme="majorHAnsi"/>
          <w:color w:val="000000" w:themeColor="text1"/>
          <w:sz w:val="22"/>
          <w:szCs w:val="22"/>
        </w:rPr>
        <w:t xml:space="preserve"> referral critical care center.</w:t>
      </w:r>
    </w:p>
    <w:p w14:paraId="4B1D5929" w14:textId="77777777" w:rsidR="00C776B7" w:rsidRPr="00FD0727" w:rsidRDefault="00C776B7">
      <w:pPr>
        <w:rPr>
          <w:rFonts w:asciiTheme="majorHAnsi" w:hAnsiTheme="majorHAnsi"/>
          <w:color w:val="000000" w:themeColor="text1"/>
          <w:sz w:val="22"/>
          <w:szCs w:val="22"/>
        </w:rPr>
      </w:pPr>
    </w:p>
    <w:p w14:paraId="3FF253F5"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PATIENTS:Consecutive</w:t>
      </w:r>
      <w:proofErr w:type="gramEnd"/>
      <w:r w:rsidRPr="00FD0727">
        <w:rPr>
          <w:rFonts w:asciiTheme="majorHAnsi" w:hAnsiTheme="majorHAnsi"/>
          <w:color w:val="000000" w:themeColor="text1"/>
          <w:sz w:val="22"/>
          <w:szCs w:val="22"/>
        </w:rPr>
        <w:t xml:space="preserve"> adult patients intubated greater than 12 hours in the medical ICU from August 2017 to May 2018 who underwent laryngoscopy within 36 hours of extubation.</w:t>
      </w:r>
    </w:p>
    <w:p w14:paraId="4E8BC495" w14:textId="77777777" w:rsidR="00C776B7" w:rsidRPr="00FD0727" w:rsidRDefault="00C776B7">
      <w:pPr>
        <w:rPr>
          <w:rFonts w:asciiTheme="majorHAnsi" w:hAnsiTheme="majorHAnsi"/>
          <w:color w:val="000000" w:themeColor="text1"/>
          <w:sz w:val="22"/>
          <w:szCs w:val="22"/>
        </w:rPr>
      </w:pPr>
    </w:p>
    <w:p w14:paraId="63015527"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INTERVENTIONS:Laryngoscopy</w:t>
      </w:r>
      <w:proofErr w:type="gramEnd"/>
      <w:r w:rsidRPr="00FD0727">
        <w:rPr>
          <w:rFonts w:asciiTheme="majorHAnsi" w:hAnsiTheme="majorHAnsi"/>
          <w:color w:val="000000" w:themeColor="text1"/>
          <w:sz w:val="22"/>
          <w:szCs w:val="22"/>
        </w:rPr>
        <w:t xml:space="preserve"> following endotracheal intubation.</w:t>
      </w:r>
    </w:p>
    <w:p w14:paraId="452CAEE1" w14:textId="77777777" w:rsidR="00C776B7" w:rsidRPr="00FD0727" w:rsidRDefault="00C776B7">
      <w:pPr>
        <w:rPr>
          <w:rFonts w:asciiTheme="majorHAnsi" w:hAnsiTheme="majorHAnsi"/>
          <w:color w:val="000000" w:themeColor="text1"/>
          <w:sz w:val="22"/>
          <w:szCs w:val="22"/>
        </w:rPr>
      </w:pPr>
    </w:p>
    <w:p w14:paraId="5E3DD54A"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MEASUREMENTS AND MAIN </w:t>
      </w:r>
      <w:proofErr w:type="gramStart"/>
      <w:r w:rsidRPr="00FD0727">
        <w:rPr>
          <w:rFonts w:asciiTheme="majorHAnsi" w:hAnsiTheme="majorHAnsi"/>
          <w:color w:val="000000" w:themeColor="text1"/>
          <w:sz w:val="22"/>
          <w:szCs w:val="22"/>
        </w:rPr>
        <w:t>RESULTS:One</w:t>
      </w:r>
      <w:proofErr w:type="gramEnd"/>
      <w:r w:rsidRPr="00FD0727">
        <w:rPr>
          <w:rFonts w:asciiTheme="majorHAnsi" w:hAnsiTheme="majorHAnsi"/>
          <w:color w:val="000000" w:themeColor="text1"/>
          <w:sz w:val="22"/>
          <w:szCs w:val="22"/>
        </w:rPr>
        <w:t xml:space="preserve"> hundred consecutive patients (62% male; median age, 58.5 yr) underwent endoscopic examination after extubation. Acute laryngeal injury (i.e., mucosal ulceration or granulation tissue in the larynx) was present in 57 patients (57%). Patients with laryngeal injury had significantly worse patient-reported breathing (Clinical Chronic Obstructive Pulmonary Disease Questionnaire: median, 1.05; interquartile range, 0.48-2.10) and vocal symptoms (Voice Handicap Index-10: median, 2; interquartile range, 0-6) compared with patients without injury (Clinical Chronic Obstructive Pulmonary Disease Questionnaire: median, 0.20; interquartile range, 0-0.80; p &lt; 0.001; and Voice Handicap Index-10: median, 0; interquartile range, 0-1; p = 0.005). Multivariable logistic regression independently associated diabetes, body habitus, and endotracheal tube size greater than 7.0 with the development of laryngeal injury.</w:t>
      </w:r>
    </w:p>
    <w:p w14:paraId="052C52C6" w14:textId="77777777" w:rsidR="00C776B7" w:rsidRPr="00FD0727" w:rsidRDefault="00C776B7">
      <w:pPr>
        <w:rPr>
          <w:rFonts w:asciiTheme="majorHAnsi" w:hAnsiTheme="majorHAnsi"/>
          <w:color w:val="000000" w:themeColor="text1"/>
          <w:sz w:val="22"/>
          <w:szCs w:val="22"/>
        </w:rPr>
      </w:pPr>
    </w:p>
    <w:p w14:paraId="10703612"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CONCLUSIONS:Acute</w:t>
      </w:r>
      <w:proofErr w:type="gramEnd"/>
      <w:r w:rsidRPr="00FD0727">
        <w:rPr>
          <w:rFonts w:asciiTheme="majorHAnsi" w:hAnsiTheme="majorHAnsi"/>
          <w:color w:val="000000" w:themeColor="text1"/>
          <w:sz w:val="22"/>
          <w:szCs w:val="22"/>
        </w:rPr>
        <w:t xml:space="preserve"> laryngeal injury occurs in more than half of patients who receive mechanical ventilation and is associated with significantly worse breathing and voicing 10 weeks after extubation. An endotracheal tube greater than size 7.0, diabetes, and larger body habitus may predispose to injury. Our results suggest that acute laryngeal injury impacts functional recovery from critical illness.</w:t>
      </w:r>
    </w:p>
    <w:p w14:paraId="3BD71699" w14:textId="77777777" w:rsidR="00C776B7" w:rsidRPr="00FD0727" w:rsidRDefault="00C776B7">
      <w:pPr>
        <w:rPr>
          <w:rFonts w:asciiTheme="majorHAnsi" w:hAnsiTheme="majorHAnsi"/>
          <w:color w:val="000000" w:themeColor="text1"/>
          <w:sz w:val="22"/>
          <w:szCs w:val="22"/>
        </w:rPr>
      </w:pPr>
    </w:p>
    <w:p w14:paraId="458ABF0D"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 Care Med, 2019 vol. 47 (12) pp. 1699-1706.</w:t>
      </w:r>
    </w:p>
    <w:p w14:paraId="76D03CE5" w14:textId="77777777" w:rsidR="00C776B7" w:rsidRDefault="00FD0727">
      <w:pPr>
        <w:rPr>
          <w:rStyle w:val="Hyperlink"/>
          <w:rFonts w:asciiTheme="majorHAnsi" w:hAnsiTheme="majorHAnsi"/>
          <w:color w:val="000000" w:themeColor="text1"/>
          <w:sz w:val="22"/>
          <w:szCs w:val="22"/>
        </w:rPr>
      </w:pPr>
      <w:hyperlink r:id="rId65" w:history="1">
        <w:r w:rsidRPr="00FD0727">
          <w:rPr>
            <w:rStyle w:val="Hyperlink"/>
            <w:rFonts w:asciiTheme="majorHAnsi" w:hAnsiTheme="majorHAnsi"/>
            <w:color w:val="000000" w:themeColor="text1"/>
            <w:sz w:val="22"/>
            <w:szCs w:val="22"/>
          </w:rPr>
          <w:t>http://eutils.ncbi.nlm.nih.gov/entrez/eutils/elink.fcgi?dbfrom=pubmed&amp;id=31634236&amp;retmode=ref&amp;cmd=prlinks</w:t>
        </w:r>
      </w:hyperlink>
    </w:p>
    <w:p w14:paraId="36048468" w14:textId="77777777" w:rsidR="00A24B30" w:rsidRPr="00FD0727" w:rsidRDefault="00A24B30">
      <w:pPr>
        <w:rPr>
          <w:rFonts w:asciiTheme="majorHAnsi" w:hAnsiTheme="majorHAnsi"/>
          <w:color w:val="000000" w:themeColor="text1"/>
          <w:sz w:val="22"/>
          <w:szCs w:val="22"/>
        </w:rPr>
      </w:pPr>
    </w:p>
    <w:p w14:paraId="2DBD21F7"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4BCCD579" w14:textId="77777777" w:rsidR="00C776B7" w:rsidRPr="00A24B30" w:rsidRDefault="00FD0727">
      <w:pPr>
        <w:pStyle w:val="Heading4"/>
        <w:rPr>
          <w:rFonts w:asciiTheme="majorHAnsi" w:hAnsiTheme="majorHAnsi"/>
          <w:b/>
          <w:color w:val="000000" w:themeColor="text1"/>
          <w:sz w:val="22"/>
          <w:szCs w:val="22"/>
        </w:rPr>
      </w:pPr>
      <w:r w:rsidRPr="00A24B30">
        <w:rPr>
          <w:rFonts w:asciiTheme="majorHAnsi" w:hAnsiTheme="majorHAnsi"/>
          <w:b/>
          <w:color w:val="000000" w:themeColor="text1"/>
          <w:sz w:val="22"/>
          <w:szCs w:val="22"/>
        </w:rPr>
        <w:t xml:space="preserve">Retrospective Assessment of Desmopressin Effectiveness and Safety in Patients </w:t>
      </w:r>
      <w:proofErr w:type="gramStart"/>
      <w:r w:rsidRPr="00A24B30">
        <w:rPr>
          <w:rFonts w:asciiTheme="majorHAnsi" w:hAnsiTheme="majorHAnsi"/>
          <w:b/>
          <w:color w:val="000000" w:themeColor="text1"/>
          <w:sz w:val="22"/>
          <w:szCs w:val="22"/>
        </w:rPr>
        <w:t>With</w:t>
      </w:r>
      <w:proofErr w:type="gramEnd"/>
      <w:r w:rsidRPr="00A24B30">
        <w:rPr>
          <w:rFonts w:asciiTheme="majorHAnsi" w:hAnsiTheme="majorHAnsi"/>
          <w:b/>
          <w:color w:val="000000" w:themeColor="text1"/>
          <w:sz w:val="22"/>
          <w:szCs w:val="22"/>
        </w:rPr>
        <w:t xml:space="preserve"> Antiplatelet-Associated Intracranial Hemorrhage.</w:t>
      </w:r>
    </w:p>
    <w:p w14:paraId="0C266D82" w14:textId="77777777" w:rsidR="00C776B7" w:rsidRPr="00FD0727" w:rsidRDefault="00C776B7">
      <w:pPr>
        <w:rPr>
          <w:rFonts w:asciiTheme="majorHAnsi" w:hAnsiTheme="majorHAnsi"/>
          <w:color w:val="000000" w:themeColor="text1"/>
          <w:sz w:val="22"/>
          <w:szCs w:val="22"/>
        </w:rPr>
      </w:pPr>
    </w:p>
    <w:p w14:paraId="3943D2F1"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Elizabeth A Feldman, Gregory Meola, Stephanie Zyck, Christopher D Miller, Satish Krishnamurthy, Gregory M Cwikla, William Darko, Shane Jennings, Ross Sullivan, and Robert Seabury.</w:t>
      </w:r>
    </w:p>
    <w:p w14:paraId="7A0042A9" w14:textId="77777777" w:rsidR="00C776B7" w:rsidRPr="00FD0727" w:rsidRDefault="00C776B7">
      <w:pPr>
        <w:rPr>
          <w:rFonts w:asciiTheme="majorHAnsi" w:hAnsiTheme="majorHAnsi"/>
          <w:color w:val="000000" w:themeColor="text1"/>
          <w:sz w:val="22"/>
          <w:szCs w:val="22"/>
        </w:rPr>
      </w:pPr>
    </w:p>
    <w:p w14:paraId="770A48CC"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OBJECTIVE:Current</w:t>
      </w:r>
      <w:proofErr w:type="gramEnd"/>
      <w:r w:rsidRPr="00FD0727">
        <w:rPr>
          <w:rFonts w:asciiTheme="majorHAnsi" w:hAnsiTheme="majorHAnsi"/>
          <w:color w:val="000000" w:themeColor="text1"/>
          <w:sz w:val="22"/>
          <w:szCs w:val="22"/>
        </w:rPr>
        <w:t xml:space="preserve"> international guidelines offer a conditional recommendation to consider a single dose of IV desmopressin (DDAVP) for antiplatelet-associated intracranial hemorrhage based on low-quality evidence. We provide the first comparative assessment analyzing DDAVP effectiveness and safety in antiplatelet-associated intracranial hemorrhage.</w:t>
      </w:r>
    </w:p>
    <w:p w14:paraId="6097C09B" w14:textId="77777777" w:rsidR="00C776B7" w:rsidRPr="00FD0727" w:rsidRDefault="00C776B7">
      <w:pPr>
        <w:rPr>
          <w:rFonts w:asciiTheme="majorHAnsi" w:hAnsiTheme="majorHAnsi"/>
          <w:color w:val="000000" w:themeColor="text1"/>
          <w:sz w:val="22"/>
          <w:szCs w:val="22"/>
        </w:rPr>
      </w:pPr>
    </w:p>
    <w:p w14:paraId="38C4D5F2"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DESIGN:Retrospective</w:t>
      </w:r>
      <w:proofErr w:type="gramEnd"/>
      <w:r w:rsidRPr="00FD0727">
        <w:rPr>
          <w:rFonts w:asciiTheme="majorHAnsi" w:hAnsiTheme="majorHAnsi"/>
          <w:color w:val="000000" w:themeColor="text1"/>
          <w:sz w:val="22"/>
          <w:szCs w:val="22"/>
        </w:rPr>
        <w:t xml:space="preserve"> chart review.</w:t>
      </w:r>
    </w:p>
    <w:p w14:paraId="7250845F" w14:textId="77777777" w:rsidR="00C776B7" w:rsidRPr="00FD0727" w:rsidRDefault="00C776B7">
      <w:pPr>
        <w:rPr>
          <w:rFonts w:asciiTheme="majorHAnsi" w:hAnsiTheme="majorHAnsi"/>
          <w:color w:val="000000" w:themeColor="text1"/>
          <w:sz w:val="22"/>
          <w:szCs w:val="22"/>
        </w:rPr>
      </w:pPr>
    </w:p>
    <w:p w14:paraId="15F31A17"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SETTING:Single</w:t>
      </w:r>
      <w:proofErr w:type="gramEnd"/>
      <w:r w:rsidRPr="00FD0727">
        <w:rPr>
          <w:rFonts w:asciiTheme="majorHAnsi" w:hAnsiTheme="majorHAnsi"/>
          <w:color w:val="000000" w:themeColor="text1"/>
          <w:sz w:val="22"/>
          <w:szCs w:val="22"/>
        </w:rPr>
        <w:t xml:space="preserve"> tertiary care academic medical center.</w:t>
      </w:r>
    </w:p>
    <w:p w14:paraId="2A3C9549" w14:textId="77777777" w:rsidR="00C776B7" w:rsidRPr="00FD0727" w:rsidRDefault="00C776B7">
      <w:pPr>
        <w:rPr>
          <w:rFonts w:asciiTheme="majorHAnsi" w:hAnsiTheme="majorHAnsi"/>
          <w:color w:val="000000" w:themeColor="text1"/>
          <w:sz w:val="22"/>
          <w:szCs w:val="22"/>
        </w:rPr>
      </w:pPr>
    </w:p>
    <w:p w14:paraId="7137DC72"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PATIENTS:Adult</w:t>
      </w:r>
      <w:proofErr w:type="gramEnd"/>
      <w:r w:rsidRPr="00FD0727">
        <w:rPr>
          <w:rFonts w:asciiTheme="majorHAnsi" w:hAnsiTheme="majorHAnsi"/>
          <w:color w:val="000000" w:themeColor="text1"/>
          <w:sz w:val="22"/>
          <w:szCs w:val="22"/>
        </w:rPr>
        <w:t xml:space="preserve"> patients taking at least one antiplatelet agent based on presenting history and documented evidence of intracranial hemorrhage on cerebral CT scan were included. Patients were excluded for the following reasons: repeat cerebral CT scan not performed within the first 24 hours, </w:t>
      </w:r>
      <w:r w:rsidRPr="00FD0727">
        <w:rPr>
          <w:rFonts w:asciiTheme="majorHAnsi" w:hAnsiTheme="majorHAnsi"/>
          <w:color w:val="000000" w:themeColor="text1"/>
          <w:sz w:val="22"/>
          <w:szCs w:val="22"/>
        </w:rPr>
        <w:lastRenderedPageBreak/>
        <w:t>noncomparative repeat cerebral CT scan, chronic anticoagulation, administration of fibrinolytic medications, concurrent ischemic stroke, and neurosurgical intervention. In total, 124 patients were included, 55 received DDAVP and 69 did not.</w:t>
      </w:r>
    </w:p>
    <w:p w14:paraId="0710F3D5" w14:textId="77777777" w:rsidR="00C776B7" w:rsidRPr="00FD0727" w:rsidRDefault="00C776B7">
      <w:pPr>
        <w:rPr>
          <w:rFonts w:asciiTheme="majorHAnsi" w:hAnsiTheme="majorHAnsi"/>
          <w:color w:val="000000" w:themeColor="text1"/>
          <w:sz w:val="22"/>
          <w:szCs w:val="22"/>
        </w:rPr>
      </w:pPr>
    </w:p>
    <w:p w14:paraId="3066F3F1"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INTERVENTIONS:DDAVP</w:t>
      </w:r>
      <w:proofErr w:type="gramEnd"/>
      <w:r w:rsidRPr="00FD0727">
        <w:rPr>
          <w:rFonts w:asciiTheme="majorHAnsi" w:hAnsiTheme="majorHAnsi"/>
          <w:color w:val="000000" w:themeColor="text1"/>
          <w:sz w:val="22"/>
          <w:szCs w:val="22"/>
        </w:rPr>
        <w:t xml:space="preserve"> treatment at recognition of antiplatelet-associated intracranial hemorrhage versus nontreatment.</w:t>
      </w:r>
    </w:p>
    <w:p w14:paraId="78A93BEA" w14:textId="77777777" w:rsidR="00C776B7" w:rsidRPr="00FD0727" w:rsidRDefault="00C776B7">
      <w:pPr>
        <w:rPr>
          <w:rFonts w:asciiTheme="majorHAnsi" w:hAnsiTheme="majorHAnsi"/>
          <w:color w:val="000000" w:themeColor="text1"/>
          <w:sz w:val="22"/>
          <w:szCs w:val="22"/>
        </w:rPr>
      </w:pPr>
    </w:p>
    <w:p w14:paraId="0F6C7845"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 xml:space="preserve">MEASUREMENTS AND MAIN </w:t>
      </w:r>
      <w:proofErr w:type="gramStart"/>
      <w:r w:rsidRPr="00FD0727">
        <w:rPr>
          <w:rFonts w:asciiTheme="majorHAnsi" w:hAnsiTheme="majorHAnsi"/>
          <w:color w:val="000000" w:themeColor="text1"/>
          <w:sz w:val="22"/>
          <w:szCs w:val="22"/>
        </w:rPr>
        <w:t>RESULTS:Primary</w:t>
      </w:r>
      <w:proofErr w:type="gramEnd"/>
      <w:r w:rsidRPr="00FD0727">
        <w:rPr>
          <w:rFonts w:asciiTheme="majorHAnsi" w:hAnsiTheme="majorHAnsi"/>
          <w:color w:val="000000" w:themeColor="text1"/>
          <w:sz w:val="22"/>
          <w:szCs w:val="22"/>
        </w:rPr>
        <w:t xml:space="preserve"> effectiveness outcome was intracranial hemorrhage expansion greater than or equal to 3 mL during the first 24 hospital hours. Primary safety outcomes were the largest absolute decrease from baseline serum sodium during the first 3 treatment days and new-onset thrombotic events during the first 7 days. DDAVP was associated with 88% decreased likelihood of intracranial hemorrhage expansion during the first 24 hours ([+] DDAVP, 10.9% vs [</w:t>
      </w:r>
      <w:proofErr w:type="gramStart"/>
      <w:r w:rsidRPr="00FD0727">
        <w:rPr>
          <w:rFonts w:asciiTheme="majorHAnsi" w:hAnsiTheme="majorHAnsi"/>
          <w:color w:val="000000" w:themeColor="text1"/>
          <w:sz w:val="22"/>
          <w:szCs w:val="22"/>
        </w:rPr>
        <w:t>- ]</w:t>
      </w:r>
      <w:proofErr w:type="gramEnd"/>
      <w:r w:rsidRPr="00FD0727">
        <w:rPr>
          <w:rFonts w:asciiTheme="majorHAnsi" w:hAnsiTheme="majorHAnsi"/>
          <w:color w:val="000000" w:themeColor="text1"/>
          <w:sz w:val="22"/>
          <w:szCs w:val="22"/>
        </w:rPr>
        <w:t xml:space="preserve"> DDAVP, 36.2%; p = 0.002; odds ratio [95% CI], 0.22 [0.08-0.57]). Largest median absolute decrease from baseline serum sodium ([+] DDAVP, 0 mEq</w:t>
      </w:r>
      <w:r w:rsidRPr="00FD0727">
        <w:rPr>
          <w:rFonts w:asciiTheme="majorHAnsi" w:hAnsiTheme="majorHAnsi"/>
          <w:i/>
          <w:color w:val="000000" w:themeColor="text1"/>
          <w:sz w:val="22"/>
          <w:szCs w:val="22"/>
        </w:rPr>
        <w:t>L [0-5 mEq</w:t>
      </w:r>
      <w:r w:rsidRPr="00FD0727">
        <w:rPr>
          <w:rFonts w:asciiTheme="majorHAnsi" w:hAnsiTheme="majorHAnsi"/>
          <w:color w:val="000000" w:themeColor="text1"/>
          <w:sz w:val="22"/>
          <w:szCs w:val="22"/>
        </w:rPr>
        <w:t xml:space="preserve"> L] vs [-] DDAVP, 0 mEq/ L [0-2 mEq/ L]; p = 0.089) and thrombotic events ([+] DDAVP, 7.3% vs [ -] DDAVP, 1.4%; p = 0.170; odds ratio [95% CI], 5.33 [0.58-49.16]) were similar between groups.</w:t>
      </w:r>
    </w:p>
    <w:p w14:paraId="4F4EB712" w14:textId="77777777" w:rsidR="00C776B7" w:rsidRPr="00FD0727" w:rsidRDefault="00C776B7">
      <w:pPr>
        <w:rPr>
          <w:rFonts w:asciiTheme="majorHAnsi" w:hAnsiTheme="majorHAnsi"/>
          <w:color w:val="000000" w:themeColor="text1"/>
          <w:sz w:val="22"/>
          <w:szCs w:val="22"/>
        </w:rPr>
      </w:pPr>
    </w:p>
    <w:p w14:paraId="19D21CBC"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CONCLUSIONS:DDAVP</w:t>
      </w:r>
      <w:proofErr w:type="gramEnd"/>
      <w:r w:rsidRPr="00FD0727">
        <w:rPr>
          <w:rFonts w:asciiTheme="majorHAnsi" w:hAnsiTheme="majorHAnsi"/>
          <w:color w:val="000000" w:themeColor="text1"/>
          <w:sz w:val="22"/>
          <w:szCs w:val="22"/>
        </w:rPr>
        <w:t xml:space="preserve"> was associated with a decreased likelihood of intracranial hemorrhage expansion during the first 24 hours. DDAVP administration did not significantly affect serum sodium and thrombotic events during the study period.</w:t>
      </w:r>
    </w:p>
    <w:p w14:paraId="2CA5210E" w14:textId="77777777" w:rsidR="00C776B7" w:rsidRPr="00FD0727" w:rsidRDefault="00C776B7">
      <w:pPr>
        <w:rPr>
          <w:rFonts w:asciiTheme="majorHAnsi" w:hAnsiTheme="majorHAnsi"/>
          <w:color w:val="000000" w:themeColor="text1"/>
          <w:sz w:val="22"/>
          <w:szCs w:val="22"/>
        </w:rPr>
      </w:pPr>
    </w:p>
    <w:p w14:paraId="55F1D7DF"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 Care Med, 2019 vol. 47 (12) pp. 1759-1765.</w:t>
      </w:r>
    </w:p>
    <w:p w14:paraId="39F37249" w14:textId="77777777" w:rsidR="00C776B7" w:rsidRDefault="00FD0727">
      <w:pPr>
        <w:rPr>
          <w:rStyle w:val="Hyperlink"/>
          <w:rFonts w:asciiTheme="majorHAnsi" w:hAnsiTheme="majorHAnsi"/>
          <w:color w:val="000000" w:themeColor="text1"/>
          <w:sz w:val="22"/>
          <w:szCs w:val="22"/>
        </w:rPr>
      </w:pPr>
      <w:hyperlink r:id="rId66" w:history="1">
        <w:r w:rsidRPr="00FD0727">
          <w:rPr>
            <w:rStyle w:val="Hyperlink"/>
            <w:rFonts w:asciiTheme="majorHAnsi" w:hAnsiTheme="majorHAnsi"/>
            <w:color w:val="000000" w:themeColor="text1"/>
            <w:sz w:val="22"/>
            <w:szCs w:val="22"/>
          </w:rPr>
          <w:t>http://eutils.ncbi.nlm.nih.gov/entrez/eutils/elink.fcgi?dbfrom=pubmed&amp;id=31567345&amp;retmode=ref&amp;cmd=prlinks</w:t>
        </w:r>
      </w:hyperlink>
    </w:p>
    <w:p w14:paraId="3BD98F4E" w14:textId="77777777" w:rsidR="00A24B30" w:rsidRPr="00FD0727" w:rsidRDefault="00A24B30">
      <w:pPr>
        <w:rPr>
          <w:rFonts w:asciiTheme="majorHAnsi" w:hAnsiTheme="majorHAnsi"/>
          <w:color w:val="000000" w:themeColor="text1"/>
          <w:sz w:val="22"/>
          <w:szCs w:val="22"/>
        </w:rPr>
      </w:pPr>
    </w:p>
    <w:p w14:paraId="4B74200D" w14:textId="77777777" w:rsidR="00C776B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p w14:paraId="40FE8224" w14:textId="77777777" w:rsidR="00C776B7" w:rsidRPr="00A24B30" w:rsidRDefault="00FD0727">
      <w:pPr>
        <w:pStyle w:val="Heading4"/>
        <w:rPr>
          <w:rFonts w:asciiTheme="majorHAnsi" w:hAnsiTheme="majorHAnsi"/>
          <w:b/>
          <w:color w:val="000000" w:themeColor="text1"/>
          <w:sz w:val="22"/>
          <w:szCs w:val="22"/>
        </w:rPr>
      </w:pPr>
      <w:bookmarkStart w:id="0" w:name="_GoBack"/>
      <w:r w:rsidRPr="00A24B30">
        <w:rPr>
          <w:rFonts w:asciiTheme="majorHAnsi" w:hAnsiTheme="majorHAnsi"/>
          <w:b/>
          <w:color w:val="000000" w:themeColor="text1"/>
          <w:sz w:val="22"/>
          <w:szCs w:val="22"/>
        </w:rPr>
        <w:t>Vasopressin Versus Norepinephrine for the Management of Septic Shock in Cancer Patients: The VANCS II Randomized Clinical Trial.</w:t>
      </w:r>
    </w:p>
    <w:bookmarkEnd w:id="0"/>
    <w:p w14:paraId="7ED37CBC" w14:textId="77777777" w:rsidR="00C776B7" w:rsidRPr="00FD0727" w:rsidRDefault="00C776B7">
      <w:pPr>
        <w:rPr>
          <w:rFonts w:asciiTheme="majorHAnsi" w:hAnsiTheme="majorHAnsi"/>
          <w:color w:val="000000" w:themeColor="text1"/>
          <w:sz w:val="22"/>
          <w:szCs w:val="22"/>
        </w:rPr>
      </w:pPr>
    </w:p>
    <w:p w14:paraId="12653A73"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Ludhmila Abrahão Hajjar, Cristiane Zambolim, Alessandro Belletti, Juliano Pinheiro de Almeida, Anthony C Gordon, Gisele Oliveira, Clarice Hyesuk Lee Park, Julia Tizue Fukushima, Stephanie Itala Rizk, Tais Felix Szeles, Nestor Cordeiro Dos Santos Neto, Roberto Kalil Filho, Filomena Regina Barbosa Gomes Galas, and Giovanni Landoni.</w:t>
      </w:r>
    </w:p>
    <w:p w14:paraId="508014E2" w14:textId="77777777" w:rsidR="00C776B7" w:rsidRPr="00FD0727" w:rsidRDefault="00C776B7">
      <w:pPr>
        <w:rPr>
          <w:rFonts w:asciiTheme="majorHAnsi" w:hAnsiTheme="majorHAnsi"/>
          <w:color w:val="000000" w:themeColor="text1"/>
          <w:sz w:val="22"/>
          <w:szCs w:val="22"/>
        </w:rPr>
      </w:pPr>
    </w:p>
    <w:p w14:paraId="5CAE0A66"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OBJECTIVES:Previous</w:t>
      </w:r>
      <w:proofErr w:type="gramEnd"/>
      <w:r w:rsidRPr="00FD0727">
        <w:rPr>
          <w:rFonts w:asciiTheme="majorHAnsi" w:hAnsiTheme="majorHAnsi"/>
          <w:color w:val="000000" w:themeColor="text1"/>
          <w:sz w:val="22"/>
          <w:szCs w:val="22"/>
        </w:rPr>
        <w:t xml:space="preserve"> trials suggest that vasopressin may improve outcomes in patients with vasodilatory shock. The aim of this study was to evaluate whether vasopressin could be superior to norepinephrine to improve outcomes in cancer patients with septic shock.</w:t>
      </w:r>
    </w:p>
    <w:p w14:paraId="1BD1E544" w14:textId="77777777" w:rsidR="00C776B7" w:rsidRPr="00FD0727" w:rsidRDefault="00C776B7">
      <w:pPr>
        <w:rPr>
          <w:rFonts w:asciiTheme="majorHAnsi" w:hAnsiTheme="majorHAnsi"/>
          <w:color w:val="000000" w:themeColor="text1"/>
          <w:sz w:val="22"/>
          <w:szCs w:val="22"/>
        </w:rPr>
      </w:pPr>
    </w:p>
    <w:p w14:paraId="5E551EFE"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DESIGN:Single</w:t>
      </w:r>
      <w:proofErr w:type="gramEnd"/>
      <w:r w:rsidRPr="00FD0727">
        <w:rPr>
          <w:rFonts w:asciiTheme="majorHAnsi" w:hAnsiTheme="majorHAnsi"/>
          <w:color w:val="000000" w:themeColor="text1"/>
          <w:sz w:val="22"/>
          <w:szCs w:val="22"/>
        </w:rPr>
        <w:t>-center, randomized, double-blind clinical trial, and meta-analysis of randomized trials.</w:t>
      </w:r>
    </w:p>
    <w:p w14:paraId="0292E672" w14:textId="77777777" w:rsidR="00C776B7" w:rsidRPr="00FD0727" w:rsidRDefault="00C776B7">
      <w:pPr>
        <w:rPr>
          <w:rFonts w:asciiTheme="majorHAnsi" w:hAnsiTheme="majorHAnsi"/>
          <w:color w:val="000000" w:themeColor="text1"/>
          <w:sz w:val="22"/>
          <w:szCs w:val="22"/>
        </w:rPr>
      </w:pPr>
    </w:p>
    <w:p w14:paraId="589F53AB"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SETTING:ICU</w:t>
      </w:r>
      <w:proofErr w:type="gramEnd"/>
      <w:r w:rsidRPr="00FD0727">
        <w:rPr>
          <w:rFonts w:asciiTheme="majorHAnsi" w:hAnsiTheme="majorHAnsi"/>
          <w:color w:val="000000" w:themeColor="text1"/>
          <w:sz w:val="22"/>
          <w:szCs w:val="22"/>
        </w:rPr>
        <w:t xml:space="preserve"> of a tertiary care hospital.</w:t>
      </w:r>
    </w:p>
    <w:p w14:paraId="7359A00F" w14:textId="77777777" w:rsidR="00C776B7" w:rsidRPr="00FD0727" w:rsidRDefault="00C776B7">
      <w:pPr>
        <w:rPr>
          <w:rFonts w:asciiTheme="majorHAnsi" w:hAnsiTheme="majorHAnsi"/>
          <w:color w:val="000000" w:themeColor="text1"/>
          <w:sz w:val="22"/>
          <w:szCs w:val="22"/>
        </w:rPr>
      </w:pPr>
    </w:p>
    <w:p w14:paraId="505E6798"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PATIENTS:Two</w:t>
      </w:r>
      <w:proofErr w:type="gramEnd"/>
      <w:r w:rsidRPr="00FD0727">
        <w:rPr>
          <w:rFonts w:asciiTheme="majorHAnsi" w:hAnsiTheme="majorHAnsi"/>
          <w:color w:val="000000" w:themeColor="text1"/>
          <w:sz w:val="22"/>
          <w:szCs w:val="22"/>
        </w:rPr>
        <w:t>-hundred fifty patients 18 years old or older with cancer and septic shock.</w:t>
      </w:r>
    </w:p>
    <w:p w14:paraId="50B90DB5" w14:textId="77777777" w:rsidR="00C776B7" w:rsidRPr="00FD0727" w:rsidRDefault="00C776B7">
      <w:pPr>
        <w:rPr>
          <w:rFonts w:asciiTheme="majorHAnsi" w:hAnsiTheme="majorHAnsi"/>
          <w:color w:val="000000" w:themeColor="text1"/>
          <w:sz w:val="22"/>
          <w:szCs w:val="22"/>
        </w:rPr>
      </w:pPr>
    </w:p>
    <w:p w14:paraId="664FAA46"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INTERVENTIONS:Patients</w:t>
      </w:r>
      <w:proofErr w:type="gramEnd"/>
      <w:r w:rsidRPr="00FD0727">
        <w:rPr>
          <w:rFonts w:asciiTheme="majorHAnsi" w:hAnsiTheme="majorHAnsi"/>
          <w:color w:val="000000" w:themeColor="text1"/>
          <w:sz w:val="22"/>
          <w:szCs w:val="22"/>
        </w:rPr>
        <w:t xml:space="preserve"> were assigned to either vasopressin or norepinephrine as first-line vasopressor therapy. An updated meta-analysis was also conducted including randomized trials published until October 2018.</w:t>
      </w:r>
    </w:p>
    <w:p w14:paraId="19443140" w14:textId="77777777" w:rsidR="00C776B7" w:rsidRPr="00FD0727" w:rsidRDefault="00C776B7">
      <w:pPr>
        <w:rPr>
          <w:rFonts w:asciiTheme="majorHAnsi" w:hAnsiTheme="majorHAnsi"/>
          <w:color w:val="000000" w:themeColor="text1"/>
          <w:sz w:val="22"/>
          <w:szCs w:val="22"/>
        </w:rPr>
      </w:pPr>
    </w:p>
    <w:p w14:paraId="6822145A"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lastRenderedPageBreak/>
        <w:t xml:space="preserve">MEASUREMENTS AND MAIN </w:t>
      </w:r>
      <w:proofErr w:type="gramStart"/>
      <w:r w:rsidRPr="00FD0727">
        <w:rPr>
          <w:rFonts w:asciiTheme="majorHAnsi" w:hAnsiTheme="majorHAnsi"/>
          <w:color w:val="000000" w:themeColor="text1"/>
          <w:sz w:val="22"/>
          <w:szCs w:val="22"/>
        </w:rPr>
        <w:t>RESULTS:The</w:t>
      </w:r>
      <w:proofErr w:type="gramEnd"/>
      <w:r w:rsidRPr="00FD0727">
        <w:rPr>
          <w:rFonts w:asciiTheme="majorHAnsi" w:hAnsiTheme="majorHAnsi"/>
          <w:color w:val="000000" w:themeColor="text1"/>
          <w:sz w:val="22"/>
          <w:szCs w:val="22"/>
        </w:rPr>
        <w:t xml:space="preserve"> primary outcome was all-cause mortality at 28 days after randomization. Prespecified secondary outcomes included 90-days all-cause mortality rate; number of days alive and free of advanced organ support at day 28; and Sequential Organ Failure Assessment score 24 hours and 96 hours after randomization. We also measure the prevalence of adverse effects in 28 days. A total of 250 patients were randomized. The primary outcome was observed in 71 patients (56.8%) in the vasopressin group and 66 patients (52.8%) in the norepinephrine group (p = 0.52). There were no significant differences in 90-day mortality (90 patients [72.0%] and 94 patients [75.2%], respectively; p = 0.56), number of days alive and free of advanced organ support, adverse events, or Sequential Organ Failure Assessment score.</w:t>
      </w:r>
    </w:p>
    <w:p w14:paraId="7E73B20F" w14:textId="77777777" w:rsidR="00C776B7" w:rsidRPr="00FD0727" w:rsidRDefault="00C776B7">
      <w:pPr>
        <w:rPr>
          <w:rFonts w:asciiTheme="majorHAnsi" w:hAnsiTheme="majorHAnsi"/>
          <w:color w:val="000000" w:themeColor="text1"/>
          <w:sz w:val="22"/>
          <w:szCs w:val="22"/>
        </w:rPr>
      </w:pPr>
    </w:p>
    <w:p w14:paraId="3782E2D5" w14:textId="77777777" w:rsidR="00C776B7" w:rsidRPr="00FD0727" w:rsidRDefault="00FD0727">
      <w:pPr>
        <w:rPr>
          <w:rFonts w:asciiTheme="majorHAnsi" w:hAnsiTheme="majorHAnsi"/>
          <w:color w:val="000000" w:themeColor="text1"/>
          <w:sz w:val="22"/>
          <w:szCs w:val="22"/>
        </w:rPr>
      </w:pPr>
      <w:proofErr w:type="gramStart"/>
      <w:r w:rsidRPr="00FD0727">
        <w:rPr>
          <w:rFonts w:asciiTheme="majorHAnsi" w:hAnsiTheme="majorHAnsi"/>
          <w:color w:val="000000" w:themeColor="text1"/>
          <w:sz w:val="22"/>
          <w:szCs w:val="22"/>
        </w:rPr>
        <w:t>CONCLUSIONS:In</w:t>
      </w:r>
      <w:proofErr w:type="gramEnd"/>
      <w:r w:rsidRPr="00FD0727">
        <w:rPr>
          <w:rFonts w:asciiTheme="majorHAnsi" w:hAnsiTheme="majorHAnsi"/>
          <w:color w:val="000000" w:themeColor="text1"/>
          <w:sz w:val="22"/>
          <w:szCs w:val="22"/>
        </w:rPr>
        <w:t xml:space="preserve"> cancer patients with septic shock, vasopressin as first-line vasopressor therapy was not superior to norepinephrine in reducing 28-day mortality rate.</w:t>
      </w:r>
    </w:p>
    <w:p w14:paraId="3344E91C" w14:textId="77777777" w:rsidR="00C776B7" w:rsidRPr="00FD0727" w:rsidRDefault="00C776B7">
      <w:pPr>
        <w:rPr>
          <w:rFonts w:asciiTheme="majorHAnsi" w:hAnsiTheme="majorHAnsi"/>
          <w:color w:val="000000" w:themeColor="text1"/>
          <w:sz w:val="22"/>
          <w:szCs w:val="22"/>
        </w:rPr>
      </w:pPr>
    </w:p>
    <w:p w14:paraId="75AFA7F1"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Crit Care Med, 2019 vol. 47 (12) pp. 1743-1750.</w:t>
      </w:r>
    </w:p>
    <w:p w14:paraId="6ECAC168" w14:textId="77777777" w:rsidR="00C776B7" w:rsidRPr="00FD0727" w:rsidRDefault="00FD0727">
      <w:pPr>
        <w:rPr>
          <w:rFonts w:asciiTheme="majorHAnsi" w:hAnsiTheme="majorHAnsi"/>
          <w:color w:val="000000" w:themeColor="text1"/>
          <w:sz w:val="22"/>
          <w:szCs w:val="22"/>
        </w:rPr>
      </w:pPr>
      <w:hyperlink r:id="rId67" w:history="1">
        <w:r w:rsidRPr="00FD0727">
          <w:rPr>
            <w:rStyle w:val="Hyperlink"/>
            <w:rFonts w:asciiTheme="majorHAnsi" w:hAnsiTheme="majorHAnsi"/>
            <w:color w:val="000000" w:themeColor="text1"/>
            <w:sz w:val="22"/>
            <w:szCs w:val="22"/>
          </w:rPr>
          <w:t>http://eutils.ncbi.nlm.nih.gov/entrez/eutils/elink.fcgi?dbfrom=pubmed&amp;id=31609774&amp;retmode=ref&amp;cmd=prlinks</w:t>
        </w:r>
      </w:hyperlink>
    </w:p>
    <w:p w14:paraId="736AB288" w14:textId="77777777" w:rsidR="00C776B7" w:rsidRPr="00FD0727" w:rsidRDefault="00FD0727">
      <w:pPr>
        <w:rPr>
          <w:rFonts w:asciiTheme="majorHAnsi" w:hAnsiTheme="majorHAnsi"/>
          <w:color w:val="000000" w:themeColor="text1"/>
          <w:sz w:val="22"/>
          <w:szCs w:val="22"/>
        </w:rPr>
      </w:pPr>
      <w:r w:rsidRPr="00FD0727">
        <w:rPr>
          <w:rFonts w:asciiTheme="majorHAnsi" w:hAnsiTheme="majorHAnsi"/>
          <w:color w:val="000000" w:themeColor="text1"/>
          <w:sz w:val="22"/>
          <w:szCs w:val="22"/>
        </w:rPr>
        <w:t>————————</w:t>
      </w:r>
    </w:p>
    <w:sectPr w:rsidR="00C776B7" w:rsidRPr="00FD07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alibri">
    <w:panose1 w:val="020F0502020204030204"/>
    <w:charset w:val="00"/>
    <w:family w:val="auto"/>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activeWritingStyle w:appName="MSWord" w:lang="en-US" w:vendorID="64" w:dllVersion="6" w:nlCheck="1" w:checkStyle="0"/>
  <w:activeWritingStyle w:appName="MSWord" w:lang="en-US" w:vendorID="64" w:dllVersion="0" w:nlCheck="1" w:checkStyle="0"/>
  <w:proofState w:grammar="clean"/>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A55"/>
    <w:rsid w:val="00017BBC"/>
    <w:rsid w:val="00041B84"/>
    <w:rsid w:val="00051B86"/>
    <w:rsid w:val="00063994"/>
    <w:rsid w:val="000B0D42"/>
    <w:rsid w:val="00160B92"/>
    <w:rsid w:val="00185B30"/>
    <w:rsid w:val="0019144E"/>
    <w:rsid w:val="00217852"/>
    <w:rsid w:val="002B7A55"/>
    <w:rsid w:val="002D272D"/>
    <w:rsid w:val="0032417C"/>
    <w:rsid w:val="00374455"/>
    <w:rsid w:val="003A634A"/>
    <w:rsid w:val="003B458B"/>
    <w:rsid w:val="003F7B03"/>
    <w:rsid w:val="00403EF4"/>
    <w:rsid w:val="004A3A54"/>
    <w:rsid w:val="0051301B"/>
    <w:rsid w:val="00557F57"/>
    <w:rsid w:val="00573674"/>
    <w:rsid w:val="0057740A"/>
    <w:rsid w:val="00583CB3"/>
    <w:rsid w:val="00595F40"/>
    <w:rsid w:val="005F2A4D"/>
    <w:rsid w:val="006B37E3"/>
    <w:rsid w:val="006C3F6A"/>
    <w:rsid w:val="00737538"/>
    <w:rsid w:val="007C6E76"/>
    <w:rsid w:val="00813340"/>
    <w:rsid w:val="00837830"/>
    <w:rsid w:val="008841A4"/>
    <w:rsid w:val="00886130"/>
    <w:rsid w:val="00933990"/>
    <w:rsid w:val="00A24B30"/>
    <w:rsid w:val="00B230FC"/>
    <w:rsid w:val="00B808CD"/>
    <w:rsid w:val="00BF5279"/>
    <w:rsid w:val="00C776B7"/>
    <w:rsid w:val="00DF181D"/>
    <w:rsid w:val="00EC1FB8"/>
    <w:rsid w:val="00F07DA2"/>
    <w:rsid w:val="00F129A8"/>
    <w:rsid w:val="00F50F40"/>
    <w:rsid w:val="00FA1E7F"/>
    <w:rsid w:val="00FD0727"/>
  </w:rsids>
  <m:mathPr>
    <m:mathFont m:val="Cambria Math"/>
    <m:brkBin m:val="before"/>
    <m:brkBinSub m:val="--"/>
    <m:smallFrac m:val="0"/>
    <m:dispDef m:val="0"/>
    <m:lMargin m:val="0"/>
    <m:rMargin m:val="0"/>
    <m:defJc m:val="centerGroup"/>
    <m:wrapRight/>
    <m:intLim m:val="subSup"/>
    <m:naryLim m:val="subSup"/>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CA08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573674"/>
    <w:pPr>
      <w:suppressAutoHyphens/>
    </w:pPr>
    <w:rPr>
      <w:rFonts w:ascii="Arial" w:eastAsia="Arial Unicode MS" w:hAnsi="Arial" w:cs="Cambria"/>
      <w:lang w:eastAsia="en-US"/>
    </w:rPr>
  </w:style>
  <w:style w:type="paragraph" w:styleId="Heading1">
    <w:name w:val="heading 1"/>
    <w:basedOn w:val="Header"/>
    <w:next w:val="Header"/>
    <w:link w:val="Heading1Char"/>
    <w:qFormat/>
    <w:rsid w:val="007C6E76"/>
    <w:pPr>
      <w:keepNext/>
      <w:keepLines/>
      <w:spacing w:before="240"/>
      <w:outlineLvl w:val="0"/>
    </w:pPr>
    <w:rPr>
      <w:rFonts w:eastAsiaTheme="majorEastAsia" w:cstheme="majorBidi"/>
      <w:color w:val="323232"/>
      <w:sz w:val="42"/>
      <w:szCs w:val="32"/>
    </w:rPr>
  </w:style>
  <w:style w:type="paragraph" w:styleId="Heading2">
    <w:name w:val="heading 2"/>
    <w:basedOn w:val="Header"/>
    <w:link w:val="Heading2Char"/>
    <w:qFormat/>
    <w:rsid w:val="007C6E76"/>
    <w:pPr>
      <w:keepNext/>
      <w:keepLines/>
      <w:spacing w:before="40"/>
      <w:outlineLvl w:val="1"/>
    </w:pPr>
    <w:rPr>
      <w:rFonts w:eastAsiaTheme="majorEastAsia" w:cstheme="majorBidi"/>
      <w:color w:val="323232"/>
      <w:sz w:val="36"/>
      <w:szCs w:val="26"/>
    </w:rPr>
  </w:style>
  <w:style w:type="paragraph" w:styleId="Heading3">
    <w:name w:val="heading 3"/>
    <w:basedOn w:val="Header"/>
    <w:link w:val="Heading3Char"/>
    <w:qFormat/>
    <w:rsid w:val="007C6E76"/>
    <w:pPr>
      <w:keepNext/>
      <w:keepLines/>
      <w:spacing w:before="40"/>
      <w:outlineLvl w:val="2"/>
    </w:pPr>
    <w:rPr>
      <w:rFonts w:eastAsiaTheme="majorEastAsia" w:cstheme="majorBidi"/>
      <w:color w:val="323232"/>
      <w:sz w:val="30"/>
    </w:rPr>
  </w:style>
  <w:style w:type="paragraph" w:styleId="Heading4">
    <w:name w:val="heading 4"/>
    <w:basedOn w:val="Header"/>
    <w:link w:val="Heading4Char"/>
    <w:rsid w:val="007C6E76"/>
    <w:pPr>
      <w:keepNext/>
      <w:keepLines/>
      <w:spacing w:before="40"/>
      <w:outlineLvl w:val="3"/>
    </w:pPr>
    <w:rPr>
      <w:rFonts w:eastAsiaTheme="majorEastAsia" w:cstheme="majorBidi"/>
      <w:iCs/>
      <w:color w:val="323232"/>
      <w:sz w:val="28"/>
    </w:rPr>
  </w:style>
  <w:style w:type="paragraph" w:styleId="Heading5">
    <w:name w:val="heading 5"/>
    <w:basedOn w:val="Header"/>
    <w:link w:val="Heading5Char"/>
    <w:rsid w:val="007C6E76"/>
    <w:pPr>
      <w:keepNext/>
      <w:keepLines/>
      <w:spacing w:before="40"/>
      <w:outlineLvl w:val="4"/>
    </w:pPr>
    <w:rPr>
      <w:rFonts w:eastAsiaTheme="majorEastAsia" w:cstheme="majorBidi"/>
      <w:color w:val="323232"/>
      <w:sz w:val="28"/>
    </w:rPr>
  </w:style>
  <w:style w:type="paragraph" w:styleId="Heading6">
    <w:name w:val="heading 6"/>
    <w:basedOn w:val="Header"/>
    <w:link w:val="Heading6Char"/>
    <w:rsid w:val="007C6E76"/>
    <w:pPr>
      <w:keepNext/>
      <w:keepLines/>
      <w:spacing w:before="40"/>
      <w:outlineLvl w:val="5"/>
    </w:pPr>
    <w:rPr>
      <w:rFonts w:eastAsiaTheme="majorEastAsia" w:cstheme="majorBidi"/>
      <w:color w:val="323232"/>
      <w:sz w:val="28"/>
    </w:rPr>
  </w:style>
  <w:style w:type="paragraph" w:styleId="Heading7">
    <w:name w:val="heading 7"/>
    <w:basedOn w:val="Normal"/>
    <w:next w:val="Normal"/>
    <w:link w:val="Heading7Char"/>
    <w:unhideWhenUsed/>
    <w:rsid w:val="007C6E76"/>
    <w:pPr>
      <w:keepNext/>
      <w:keepLines/>
      <w:spacing w:before="40"/>
      <w:outlineLvl w:val="6"/>
    </w:pPr>
    <w:rPr>
      <w:rFonts w:eastAsiaTheme="majorEastAsia" w:cstheme="majorBidi"/>
      <w:iCs/>
      <w:color w:val="323232"/>
    </w:rPr>
  </w:style>
  <w:style w:type="paragraph" w:styleId="Heading8">
    <w:name w:val="heading 8"/>
    <w:basedOn w:val="Header"/>
    <w:next w:val="Heading7"/>
    <w:link w:val="Heading8Char"/>
    <w:semiHidden/>
    <w:unhideWhenUsed/>
    <w:rsid w:val="007C6E76"/>
    <w:pPr>
      <w:keepNext/>
      <w:keepLines/>
      <w:spacing w:before="40"/>
      <w:outlineLvl w:val="7"/>
    </w:pPr>
    <w:rPr>
      <w:rFonts w:eastAsiaTheme="majorEastAsia" w:cstheme="majorBidi"/>
      <w:color w:val="32323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C6E76"/>
    <w:rPr>
      <w:rFonts w:ascii="Arial" w:eastAsiaTheme="majorEastAsia" w:hAnsi="Arial" w:cstheme="majorBidi"/>
      <w:color w:val="323232"/>
      <w:sz w:val="30"/>
      <w:lang w:eastAsia="en-US"/>
    </w:rPr>
  </w:style>
  <w:style w:type="paragraph" w:customStyle="1" w:styleId="CodeBlock">
    <w:name w:val="Code Block"/>
    <w:basedOn w:val="Normal"/>
    <w:qFormat/>
    <w:rsid w:val="00813340"/>
    <w:rPr>
      <w:rFonts w:eastAsia="Arial" w:cs="Arial"/>
      <w:color w:val="424242"/>
    </w:rPr>
  </w:style>
  <w:style w:type="character" w:customStyle="1" w:styleId="Heading4Char">
    <w:name w:val="Heading 4 Char"/>
    <w:basedOn w:val="DefaultParagraphFont"/>
    <w:link w:val="Heading4"/>
    <w:rsid w:val="007C6E76"/>
    <w:rPr>
      <w:rFonts w:ascii="Arial" w:eastAsiaTheme="majorEastAsia" w:hAnsi="Arial" w:cstheme="majorBidi"/>
      <w:iCs/>
      <w:color w:val="323232"/>
      <w:sz w:val="28"/>
      <w:lang w:eastAsia="en-US"/>
    </w:rPr>
  </w:style>
  <w:style w:type="paragraph" w:customStyle="1" w:styleId="Index">
    <w:name w:val="Index"/>
    <w:basedOn w:val="Normal"/>
    <w:rsid w:val="002B7A55"/>
    <w:pPr>
      <w:suppressLineNumbers/>
    </w:pPr>
  </w:style>
  <w:style w:type="paragraph" w:styleId="Header">
    <w:name w:val="header"/>
    <w:basedOn w:val="Normal"/>
    <w:link w:val="HeaderChar"/>
    <w:semiHidden/>
    <w:unhideWhenUsed/>
    <w:rsid w:val="00017BBC"/>
    <w:pPr>
      <w:tabs>
        <w:tab w:val="center" w:pos="4819"/>
        <w:tab w:val="right" w:pos="9638"/>
      </w:tabs>
    </w:pPr>
  </w:style>
  <w:style w:type="character" w:customStyle="1" w:styleId="HeaderChar">
    <w:name w:val="Header Char"/>
    <w:basedOn w:val="DefaultParagraphFont"/>
    <w:link w:val="Header"/>
    <w:semiHidden/>
    <w:rsid w:val="00017BBC"/>
    <w:rPr>
      <w:rFonts w:ascii="Cambria" w:eastAsia="Arial Unicode MS" w:hAnsi="Cambria" w:cs="Cambria"/>
      <w:lang w:eastAsia="en-US"/>
    </w:rPr>
  </w:style>
  <w:style w:type="character" w:customStyle="1" w:styleId="Heading5Char">
    <w:name w:val="Heading 5 Char"/>
    <w:basedOn w:val="DefaultParagraphFont"/>
    <w:link w:val="Heading5"/>
    <w:rsid w:val="007C6E76"/>
    <w:rPr>
      <w:rFonts w:ascii="Arial" w:eastAsiaTheme="majorEastAsia" w:hAnsi="Arial" w:cstheme="majorBidi"/>
      <w:color w:val="323232"/>
      <w:sz w:val="28"/>
      <w:lang w:eastAsia="en-US"/>
    </w:rPr>
  </w:style>
  <w:style w:type="character" w:customStyle="1" w:styleId="Heading2Char">
    <w:name w:val="Heading 2 Char"/>
    <w:basedOn w:val="DefaultParagraphFont"/>
    <w:link w:val="Heading2"/>
    <w:rsid w:val="007C6E76"/>
    <w:rPr>
      <w:rFonts w:ascii="Arial" w:eastAsiaTheme="majorEastAsia" w:hAnsi="Arial" w:cstheme="majorBidi"/>
      <w:color w:val="323232"/>
      <w:sz w:val="36"/>
      <w:szCs w:val="26"/>
      <w:lang w:eastAsia="en-US"/>
    </w:rPr>
  </w:style>
  <w:style w:type="character" w:customStyle="1" w:styleId="Heading1Char">
    <w:name w:val="Heading 1 Char"/>
    <w:basedOn w:val="DefaultParagraphFont"/>
    <w:link w:val="Heading1"/>
    <w:rsid w:val="007C6E76"/>
    <w:rPr>
      <w:rFonts w:ascii="Arial" w:eastAsiaTheme="majorEastAsia" w:hAnsi="Arial" w:cstheme="majorBidi"/>
      <w:color w:val="323232"/>
      <w:sz w:val="42"/>
      <w:szCs w:val="32"/>
      <w:lang w:eastAsia="en-US"/>
    </w:rPr>
  </w:style>
  <w:style w:type="character" w:customStyle="1" w:styleId="Heading6Char">
    <w:name w:val="Heading 6 Char"/>
    <w:basedOn w:val="DefaultParagraphFont"/>
    <w:link w:val="Heading6"/>
    <w:rsid w:val="007C6E76"/>
    <w:rPr>
      <w:rFonts w:ascii="Arial" w:eastAsiaTheme="majorEastAsia" w:hAnsi="Arial" w:cstheme="majorBidi"/>
      <w:color w:val="323232"/>
      <w:sz w:val="28"/>
      <w:lang w:eastAsia="en-US"/>
    </w:rPr>
  </w:style>
  <w:style w:type="character" w:customStyle="1" w:styleId="Heading7Char">
    <w:name w:val="Heading 7 Char"/>
    <w:basedOn w:val="DefaultParagraphFont"/>
    <w:link w:val="Heading7"/>
    <w:rsid w:val="007C6E76"/>
    <w:rPr>
      <w:rFonts w:ascii="Arial" w:eastAsiaTheme="majorEastAsia" w:hAnsi="Arial" w:cstheme="majorBidi"/>
      <w:iCs/>
      <w:color w:val="323232"/>
      <w:lang w:eastAsia="en-US"/>
    </w:rPr>
  </w:style>
  <w:style w:type="character" w:customStyle="1" w:styleId="Heading8Char">
    <w:name w:val="Heading 8 Char"/>
    <w:basedOn w:val="DefaultParagraphFont"/>
    <w:link w:val="Heading8"/>
    <w:semiHidden/>
    <w:rsid w:val="007C6E76"/>
    <w:rPr>
      <w:rFonts w:ascii="Arial" w:eastAsiaTheme="majorEastAsia" w:hAnsi="Arial" w:cstheme="majorBidi"/>
      <w:color w:val="323232"/>
      <w:sz w:val="21"/>
      <w:szCs w:val="21"/>
      <w:lang w:eastAsia="en-US"/>
    </w:rPr>
  </w:style>
  <w:style w:type="character" w:styleId="Hyperlink">
    <w:name w:val="Hyperlink"/>
    <w:basedOn w:val="DefaultParagraphFont"/>
    <w:qFormat/>
    <w:rsid w:val="0057740A"/>
    <w:rPr>
      <w:color w:val="0000FF" w:themeColor="hyperlink"/>
      <w:u w:val="single"/>
    </w:rPr>
  </w:style>
  <w:style w:type="paragraph" w:styleId="ListParagraph">
    <w:name w:val="List Paragraph"/>
    <w:basedOn w:val="Normal"/>
    <w:rsid w:val="00B808CD"/>
    <w:pPr>
      <w:ind w:left="720"/>
      <w:contextualSpacing/>
    </w:pPr>
  </w:style>
  <w:style w:type="paragraph" w:styleId="Quote">
    <w:name w:val="Quote"/>
    <w:basedOn w:val="Normal"/>
    <w:next w:val="Normal"/>
    <w:link w:val="QuoteChar"/>
    <w:rsid w:val="00595F4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rsid w:val="00595F40"/>
    <w:rPr>
      <w:rFonts w:ascii="Arial" w:eastAsia="Arial Unicode MS" w:hAnsi="Arial" w:cs="Cambria"/>
      <w:i/>
      <w:iCs/>
      <w:color w:val="404040" w:themeColor="text1" w:themeTint="B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eutils.ncbi.nlm.nih.gov/entrez/eutils/elink.fcgi?dbfrom=pubmed&amp;id=30308548&amp;retmode=ref&amp;cmd=prlinks" TargetMode="External"/><Relationship Id="rId14" Type="http://schemas.openxmlformats.org/officeDocument/2006/relationships/hyperlink" Target="http://eutils.ncbi.nlm.nih.gov/entrez/eutils/elink.fcgi?dbfrom=pubmed&amp;id=30653055&amp;retmode=ref&amp;cmd=prlinks" TargetMode="External"/><Relationship Id="rId15" Type="http://schemas.openxmlformats.org/officeDocument/2006/relationships/hyperlink" Target="http://eutils.ncbi.nlm.nih.gov/entrez/eutils/elink.fcgi?dbfrom=pubmed&amp;id=30653473&amp;retmode=ref&amp;cmd=prlinks" TargetMode="External"/><Relationship Id="rId16" Type="http://schemas.openxmlformats.org/officeDocument/2006/relationships/hyperlink" Target="http://eutils.ncbi.nlm.nih.gov/entrez/eutils/elink.fcgi?dbfrom=pubmed&amp;id=30394918&amp;retmode=ref&amp;cmd=prlinks" TargetMode="External"/><Relationship Id="rId17" Type="http://schemas.openxmlformats.org/officeDocument/2006/relationships/hyperlink" Target="http://eutils.ncbi.nlm.nih.gov/entrez/eutils/elink.fcgi?dbfrom=pubmed&amp;id=30407949&amp;retmode=ref&amp;cmd=prlinks" TargetMode="External"/><Relationship Id="rId18" Type="http://schemas.openxmlformats.org/officeDocument/2006/relationships/hyperlink" Target="http://eutils.ncbi.nlm.nih.gov/entrez/eutils/elink.fcgi?dbfrom=pubmed&amp;id=30779718&amp;retmode=ref&amp;cmd=prlinks" TargetMode="External"/><Relationship Id="rId19" Type="http://schemas.openxmlformats.org/officeDocument/2006/relationships/hyperlink" Target="http://eutils.ncbi.nlm.nih.gov/entrez/eutils/elink.fcgi?dbfrom=pubmed&amp;id=30507842&amp;retmode=ref&amp;cmd=prlinks" TargetMode="External"/><Relationship Id="rId63" Type="http://schemas.openxmlformats.org/officeDocument/2006/relationships/hyperlink" Target="http://eutils.ncbi.nlm.nih.gov/entrez/eutils/elink.fcgi?dbfrom=pubmed&amp;id=31567344&amp;retmode=ref&amp;cmd=prlinks" TargetMode="External"/><Relationship Id="rId64" Type="http://schemas.openxmlformats.org/officeDocument/2006/relationships/hyperlink" Target="http://eutils.ncbi.nlm.nih.gov/entrez/eutils/elink.fcgi?dbfrom=pubmed&amp;id=31567404&amp;retmode=ref&amp;cmd=prlinks" TargetMode="External"/><Relationship Id="rId65" Type="http://schemas.openxmlformats.org/officeDocument/2006/relationships/hyperlink" Target="http://eutils.ncbi.nlm.nih.gov/entrez/eutils/elink.fcgi?dbfrom=pubmed&amp;id=31634236&amp;retmode=ref&amp;cmd=prlinks" TargetMode="External"/><Relationship Id="rId66" Type="http://schemas.openxmlformats.org/officeDocument/2006/relationships/hyperlink" Target="http://eutils.ncbi.nlm.nih.gov/entrez/eutils/elink.fcgi?dbfrom=pubmed&amp;id=31567345&amp;retmode=ref&amp;cmd=prlinks" TargetMode="External"/><Relationship Id="rId67" Type="http://schemas.openxmlformats.org/officeDocument/2006/relationships/hyperlink" Target="http://eutils.ncbi.nlm.nih.gov/entrez/eutils/elink.fcgi?dbfrom=pubmed&amp;id=31609774&amp;retmode=ref&amp;cmd=prlinks" TargetMode="External"/><Relationship Id="rId68" Type="http://schemas.openxmlformats.org/officeDocument/2006/relationships/fontTable" Target="fontTable.xml"/><Relationship Id="rId69" Type="http://schemas.openxmlformats.org/officeDocument/2006/relationships/theme" Target="theme/theme1.xml"/><Relationship Id="rId50" Type="http://schemas.openxmlformats.org/officeDocument/2006/relationships/hyperlink" Target="http://eutils.ncbi.nlm.nih.gov/entrez/eutils/elink.fcgi?dbfrom=pubmed&amp;id=31306255&amp;retmode=ref&amp;cmd=prlinks" TargetMode="External"/><Relationship Id="rId51" Type="http://schemas.openxmlformats.org/officeDocument/2006/relationships/hyperlink" Target="http://eutils.ncbi.nlm.nih.gov/entrez/eutils/elink.fcgi?dbfrom=pubmed&amp;id=31094744&amp;retmode=ref&amp;cmd=prlinks" TargetMode="External"/><Relationship Id="rId52" Type="http://schemas.openxmlformats.org/officeDocument/2006/relationships/hyperlink" Target="http://eutils.ncbi.nlm.nih.gov/entrez/eutils/elink.fcgi?dbfrom=pubmed&amp;id=31162206&amp;retmode=ref&amp;cmd=prlinks" TargetMode="External"/><Relationship Id="rId53" Type="http://schemas.openxmlformats.org/officeDocument/2006/relationships/hyperlink" Target="http://eutils.ncbi.nlm.nih.gov/entrez/eutils/elink.fcgi?dbfrom=pubmed&amp;id=31107278&amp;retmode=ref&amp;cmd=prlinks" TargetMode="External"/><Relationship Id="rId54" Type="http://schemas.openxmlformats.org/officeDocument/2006/relationships/hyperlink" Target="http://eutils.ncbi.nlm.nih.gov/entrez/eutils/elink.fcgi?dbfrom=pubmed&amp;id=31306256&amp;retmode=ref&amp;cmd=prlinks" TargetMode="External"/><Relationship Id="rId55" Type="http://schemas.openxmlformats.org/officeDocument/2006/relationships/hyperlink" Target="http://eutils.ncbi.nlm.nih.gov/entrez/eutils/elink.fcgi?dbfrom=pubmed&amp;id=31356473&amp;retmode=ref&amp;cmd=prlinks" TargetMode="External"/><Relationship Id="rId56" Type="http://schemas.openxmlformats.org/officeDocument/2006/relationships/hyperlink" Target="http://eutils.ncbi.nlm.nih.gov/entrez/eutils/elink.fcgi?dbfrom=pubmed&amp;id=31389836&amp;retmode=ref&amp;cmd=prlinks" TargetMode="External"/><Relationship Id="rId57" Type="http://schemas.openxmlformats.org/officeDocument/2006/relationships/hyperlink" Target="http://eutils.ncbi.nlm.nih.gov/entrez/eutils/elink.fcgi?dbfrom=pubmed&amp;id=31393324&amp;retmode=ref&amp;cmd=prlinks" TargetMode="External"/><Relationship Id="rId58" Type="http://schemas.openxmlformats.org/officeDocument/2006/relationships/hyperlink" Target="http://eutils.ncbi.nlm.nih.gov/entrez/eutils/elink.fcgi?dbfrom=pubmed&amp;id=31524644&amp;retmode=ref&amp;cmd=prlinks" TargetMode="External"/><Relationship Id="rId59" Type="http://schemas.openxmlformats.org/officeDocument/2006/relationships/hyperlink" Target="http://eutils.ncbi.nlm.nih.gov/entrez/eutils/elink.fcgi?dbfrom=pubmed&amp;id=31464770&amp;retmode=ref&amp;cmd=prlinks" TargetMode="External"/><Relationship Id="rId40" Type="http://schemas.openxmlformats.org/officeDocument/2006/relationships/hyperlink" Target="http://eutils.ncbi.nlm.nih.gov/entrez/eutils/elink.fcgi?dbfrom=pubmed&amp;id=30882480&amp;retmode=ref&amp;cmd=prlinks" TargetMode="External"/><Relationship Id="rId41" Type="http://schemas.openxmlformats.org/officeDocument/2006/relationships/hyperlink" Target="http://eutils.ncbi.nlm.nih.gov/entrez/eutils/elink.fcgi?dbfrom=pubmed&amp;id=30985388&amp;retmode=ref&amp;cmd=prlinks" TargetMode="External"/><Relationship Id="rId42" Type="http://schemas.openxmlformats.org/officeDocument/2006/relationships/hyperlink" Target="http://eutils.ncbi.nlm.nih.gov/entrez/eutils/elink.fcgi?dbfrom=pubmed&amp;id=31205079&amp;retmode=ref&amp;cmd=prlinks" TargetMode="External"/><Relationship Id="rId43" Type="http://schemas.openxmlformats.org/officeDocument/2006/relationships/hyperlink" Target="http://eutils.ncbi.nlm.nih.gov/entrez/eutils/elink.fcgi?dbfrom=pubmed&amp;id=30998606&amp;retmode=ref&amp;cmd=prlinks" TargetMode="External"/><Relationship Id="rId44" Type="http://schemas.openxmlformats.org/officeDocument/2006/relationships/hyperlink" Target="http://eutils.ncbi.nlm.nih.gov/entrez/eutils/elink.fcgi?dbfrom=pubmed&amp;id=31008734&amp;retmode=ref&amp;cmd=prlinks" TargetMode="External"/><Relationship Id="rId45" Type="http://schemas.openxmlformats.org/officeDocument/2006/relationships/hyperlink" Target="http://eutils.ncbi.nlm.nih.gov/entrez/eutils/elink.fcgi?dbfrom=pubmed&amp;id=30985389&amp;retmode=ref&amp;cmd=prlinks" TargetMode="External"/><Relationship Id="rId46" Type="http://schemas.openxmlformats.org/officeDocument/2006/relationships/hyperlink" Target="http://eutils.ncbi.nlm.nih.gov/entrez/eutils/elink.fcgi?dbfrom=pubmed&amp;id=30889022&amp;retmode=ref&amp;cmd=prlinks" TargetMode="External"/><Relationship Id="rId47" Type="http://schemas.openxmlformats.org/officeDocument/2006/relationships/hyperlink" Target="http://eutils.ncbi.nlm.nih.gov/entrez/eutils/elink.fcgi?dbfrom=pubmed&amp;id=31033500&amp;retmode=ref&amp;cmd=prlinks" TargetMode="External"/><Relationship Id="rId48" Type="http://schemas.openxmlformats.org/officeDocument/2006/relationships/hyperlink" Target="http://eutils.ncbi.nlm.nih.gov/entrez/eutils/elink.fcgi?dbfrom=pubmed&amp;id=30985449&amp;retmode=ref&amp;cmd=prlinks" TargetMode="External"/><Relationship Id="rId49" Type="http://schemas.openxmlformats.org/officeDocument/2006/relationships/hyperlink" Target="http://eutils.ncbi.nlm.nih.gov/entrez/eutils/elink.fcgi?dbfrom=pubmed&amp;id=31162199&amp;retmode=ref&amp;cmd=prlinks" TargetMode="Externa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hyperlink" Target="http://eutils.ncbi.nlm.nih.gov/entrez/eutils/elink.fcgi?dbfrom=pubmed&amp;id=30303836&amp;retmode=ref&amp;cmd=prlinks" TargetMode="External"/><Relationship Id="rId5" Type="http://schemas.openxmlformats.org/officeDocument/2006/relationships/hyperlink" Target="http://eutils.ncbi.nlm.nih.gov/entrez/eutils/elink.fcgi?dbfrom=pubmed&amp;id=30339549&amp;retmode=ref&amp;cmd=prlinks" TargetMode="External"/><Relationship Id="rId6" Type="http://schemas.openxmlformats.org/officeDocument/2006/relationships/hyperlink" Target="http://eutils.ncbi.nlm.nih.gov/entrez/eutils/elink.fcgi?dbfrom=pubmed&amp;id=30303837&amp;retmode=ref&amp;cmd=prlinks" TargetMode="External"/><Relationship Id="rId7" Type="http://schemas.openxmlformats.org/officeDocument/2006/relationships/hyperlink" Target="http://eutils.ncbi.nlm.nih.gov/entrez/eutils/elink.fcgi?dbfrom=pubmed&amp;id=30303843&amp;retmode=ref&amp;cmd=prlinks" TargetMode="External"/><Relationship Id="rId8" Type="http://schemas.openxmlformats.org/officeDocument/2006/relationships/hyperlink" Target="http://Clinicaltrials.gov" TargetMode="External"/><Relationship Id="rId9" Type="http://schemas.openxmlformats.org/officeDocument/2006/relationships/hyperlink" Target="http://eutils.ncbi.nlm.nih.gov/entrez/eutils/elink.fcgi?dbfrom=pubmed&amp;id=30303842&amp;retmode=ref&amp;cmd=prlinks" TargetMode="External"/><Relationship Id="rId30" Type="http://schemas.openxmlformats.org/officeDocument/2006/relationships/hyperlink" Target="http://eutils.ncbi.nlm.nih.gov/entrez/eutils/elink.fcgi?dbfrom=pubmed&amp;id=30855284&amp;retmode=ref&amp;cmd=prlinks" TargetMode="External"/><Relationship Id="rId31" Type="http://schemas.openxmlformats.org/officeDocument/2006/relationships/hyperlink" Target="http://eutils.ncbi.nlm.nih.gov/entrez/eutils/elink.fcgi?dbfrom=pubmed&amp;id=30741755&amp;retmode=ref&amp;cmd=prlinks" TargetMode="External"/><Relationship Id="rId32" Type="http://schemas.openxmlformats.org/officeDocument/2006/relationships/hyperlink" Target="http://eutils.ncbi.nlm.nih.gov/entrez/eutils/elink.fcgi?dbfrom=pubmed&amp;id=30789401&amp;retmode=ref&amp;cmd=prlinks" TargetMode="External"/><Relationship Id="rId33" Type="http://schemas.openxmlformats.org/officeDocument/2006/relationships/hyperlink" Target="http://eutils.ncbi.nlm.nih.gov/entrez/eutils/elink.fcgi?dbfrom=pubmed&amp;id=30730443&amp;retmode=ref&amp;cmd=prlinks" TargetMode="External"/><Relationship Id="rId34" Type="http://schemas.openxmlformats.org/officeDocument/2006/relationships/hyperlink" Target="http://eutils.ncbi.nlm.nih.gov/entrez/eutils/elink.fcgi?dbfrom=pubmed&amp;id=30882477&amp;retmode=ref&amp;cmd=prlinks" TargetMode="External"/><Relationship Id="rId35" Type="http://schemas.openxmlformats.org/officeDocument/2006/relationships/hyperlink" Target="http://eutils.ncbi.nlm.nih.gov/entrez/eutils/elink.fcgi?dbfrom=pubmed&amp;id=30882478&amp;retmode=ref&amp;cmd=prlinks" TargetMode="External"/><Relationship Id="rId36" Type="http://schemas.openxmlformats.org/officeDocument/2006/relationships/hyperlink" Target="http://eutils.ncbi.nlm.nih.gov/entrez/eutils/elink.fcgi?dbfrom=pubmed&amp;id=30985391&amp;retmode=ref&amp;cmd=prlinks" TargetMode="External"/><Relationship Id="rId37" Type="http://schemas.openxmlformats.org/officeDocument/2006/relationships/hyperlink" Target="http://eutils.ncbi.nlm.nih.gov/entrez/eutils/elink.fcgi?dbfrom=pubmed&amp;id=30908313&amp;retmode=ref&amp;cmd=prlinks" TargetMode="External"/><Relationship Id="rId38" Type="http://schemas.openxmlformats.org/officeDocument/2006/relationships/hyperlink" Target="http://eutils.ncbi.nlm.nih.gov/entrez/eutils/elink.fcgi?dbfrom=pubmed&amp;id=30839358&amp;retmode=ref&amp;cmd=prlinks" TargetMode="External"/><Relationship Id="rId39" Type="http://schemas.openxmlformats.org/officeDocument/2006/relationships/hyperlink" Target="http://eutils.ncbi.nlm.nih.gov/entrez/eutils/elink.fcgi?dbfrom=pubmed&amp;id=30920409&amp;retmode=ref&amp;cmd=prlinks" TargetMode="External"/><Relationship Id="rId20" Type="http://schemas.openxmlformats.org/officeDocument/2006/relationships/hyperlink" Target="http://eutils.ncbi.nlm.nih.gov/entrez/eutils/elink.fcgi?dbfrom=pubmed&amp;id=30394916&amp;retmode=ref&amp;cmd=prlinks" TargetMode="External"/><Relationship Id="rId21" Type="http://schemas.openxmlformats.org/officeDocument/2006/relationships/hyperlink" Target="http://ClinicalTrials.gov" TargetMode="External"/><Relationship Id="rId22" Type="http://schemas.openxmlformats.org/officeDocument/2006/relationships/hyperlink" Target="http://eutils.ncbi.nlm.nih.gov/entrez/eutils/elink.fcgi?dbfrom=pubmed&amp;id=30624278&amp;retmode=ref&amp;cmd=prlinks" TargetMode="External"/><Relationship Id="rId23" Type="http://schemas.openxmlformats.org/officeDocument/2006/relationships/hyperlink" Target="http://eutils.ncbi.nlm.nih.gov/entrez/eutils/elink.fcgi?dbfrom=pubmed&amp;id=30585829&amp;retmode=ref&amp;cmd=prlinks" TargetMode="External"/><Relationship Id="rId24" Type="http://schemas.openxmlformats.org/officeDocument/2006/relationships/hyperlink" Target="http://eutils.ncbi.nlm.nih.gov/entrez/eutils/elink.fcgi?dbfrom=pubmed&amp;id=30676338&amp;retmode=ref&amp;cmd=prlinks" TargetMode="External"/><Relationship Id="rId25" Type="http://schemas.openxmlformats.org/officeDocument/2006/relationships/hyperlink" Target="http://eutils.ncbi.nlm.nih.gov/entrez/eutils/elink.fcgi?dbfrom=pubmed&amp;id=30855327&amp;retmode=ref&amp;cmd=prlinks" TargetMode="External"/><Relationship Id="rId26" Type="http://schemas.openxmlformats.org/officeDocument/2006/relationships/hyperlink" Target="http://eutils.ncbi.nlm.nih.gov/entrez/eutils/elink.fcgi?dbfrom=pubmed&amp;id=30608280&amp;retmode=ref&amp;cmd=prlinks" TargetMode="External"/><Relationship Id="rId27" Type="http://schemas.openxmlformats.org/officeDocument/2006/relationships/hyperlink" Target="http://eutils.ncbi.nlm.nih.gov/entrez/eutils/elink.fcgi?dbfrom=pubmed&amp;id=30664525&amp;retmode=ref&amp;cmd=prlinks" TargetMode="External"/><Relationship Id="rId28" Type="http://schemas.openxmlformats.org/officeDocument/2006/relationships/hyperlink" Target="http://eutils.ncbi.nlm.nih.gov/entrez/eutils/elink.fcgi?dbfrom=pubmed&amp;id=30789403&amp;retmode=ref&amp;cmd=prlinks" TargetMode="External"/><Relationship Id="rId29" Type="http://schemas.openxmlformats.org/officeDocument/2006/relationships/hyperlink" Target="http://eutils.ncbi.nlm.nih.gov/entrez/eutils/elink.fcgi?dbfrom=pubmed&amp;id=30688717&amp;retmode=ref&amp;cmd=prlinks" TargetMode="External"/><Relationship Id="rId60" Type="http://schemas.openxmlformats.org/officeDocument/2006/relationships/hyperlink" Target="http://eutils.ncbi.nlm.nih.gov/entrez/eutils/elink.fcgi?dbfrom=pubmed&amp;id=31449062&amp;retmode=ref&amp;cmd=prlinks" TargetMode="External"/><Relationship Id="rId61" Type="http://schemas.openxmlformats.org/officeDocument/2006/relationships/hyperlink" Target="http://eutils.ncbi.nlm.nih.gov/entrez/eutils/elink.fcgi?dbfrom=pubmed&amp;id=31517696&amp;retmode=ref&amp;cmd=prlinks" TargetMode="External"/><Relationship Id="rId62" Type="http://schemas.openxmlformats.org/officeDocument/2006/relationships/hyperlink" Target="http://eutils.ncbi.nlm.nih.gov/entrez/eutils/elink.fcgi?dbfrom=pubmed&amp;id=31599813&amp;retmode=ref&amp;cmd=prlinks" TargetMode="External"/><Relationship Id="rId10" Type="http://schemas.openxmlformats.org/officeDocument/2006/relationships/hyperlink" Target="http://eutils.ncbi.nlm.nih.gov/entrez/eutils/elink.fcgi?dbfrom=pubmed&amp;id=30379670&amp;retmode=ref&amp;cmd=prlinks" TargetMode="External"/><Relationship Id="rId11" Type="http://schemas.openxmlformats.org/officeDocument/2006/relationships/hyperlink" Target="http://eutils.ncbi.nlm.nih.gov/entrez/eutils/elink.fcgi?dbfrom=pubmed&amp;id=30653472&amp;retmode=ref&amp;cmd=prlinks" TargetMode="External"/><Relationship Id="rId12" Type="http://schemas.openxmlformats.org/officeDocument/2006/relationships/hyperlink" Target="http://eutils.ncbi.nlm.nih.gov/entrez/eutils/elink.fcgi?dbfrom=pubmed&amp;id=30379669&amp;retmode=ref&amp;cmd=prlinks"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56</Pages>
  <Words>25630</Words>
  <Characters>146093</Characters>
  <Application>Microsoft Macintosh Word</Application>
  <DocSecurity>0</DocSecurity>
  <Lines>1217</Lines>
  <Paragraphs>342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171381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Michelle Coady</cp:lastModifiedBy>
  <cp:revision>13</cp:revision>
  <dcterms:created xsi:type="dcterms:W3CDTF">2017-01-18T09:28:00Z</dcterms:created>
  <dcterms:modified xsi:type="dcterms:W3CDTF">2020-02-06T19:21:00Z</dcterms:modified>
</cp:coreProperties>
</file>