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American Journal of Veterinary Research 2019</w:t>
      </w:r>
    </w:p>
    <w:p>
      <w:pPr>
        <w:pStyle w:val="Heading2"/>
      </w:pPr>
      <w:r>
        <w:t xml:space="preserve">AJVR 2019; Vol 80; Issues 1-12</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Effect of acute volume overload on echocardiographic indices of right ventricular function and dyssynchrony assessed by use of speckle tracking echocardiography in healthy dogs.</w:t>
      </w:r>
    </w:p>
    <w:p/>
    <w:p>
      <w:pPr>
        <w:pStyle w:val="Normal"/>
      </w:pPr>
      <w:r>
        <w:rPr>
          <w:color w:val="323232"/>
        </w:rPr>
        <w:t xml:space="preserve">Tomoya Morita, Kensuke Nakamura, Tatsuyuki Osuga, Nozomu Yokoyama, Keitaro Morishita, Noboru Sasaki, Hiroshi Ohta, and Mitsuyoshi Takiguchi.</w:t>
      </w:r>
    </w:p>
    <w:p/>
    <w:p>
      <w:pPr>
        <w:pStyle w:val="Normal"/>
      </w:pPr>
      <w:r>
        <w:rPr>
          <w:color w:val="323232"/>
        </w:rPr>
        <w:t xml:space="preserve">OBJECTIVE To determine the relationship between acute volume overload and echocardiographic indices of right ventricular (RV) function and dyssynchrony in healthy dogs. ANIMALS 7 healthy Beagles. PROCEDURES Right heart catheterization and echocardiography were performed in 7 healthy anesthetized Beagles at baseline and after induction of volume overload. Volume overload was induced by IV infusion of lactated Ringer solution (150 mL</w:t>
      </w:r>
      <w:r>
        <w:rPr>
          <w:i w:val="1"/>
          <w:color w:val="323232"/>
        </w:rPr>
        <w:t xml:space="preserve">kg</w:t>
      </w:r>
      <w:r>
        <w:rPr>
          <w:color w:val="323232"/>
        </w:rPr>
        <w:t xml:space="preserve">h for 90 minutes). Echocardiographic indices of RV function, including peak velocity of systolic tricuspid annular motion, tricuspid annulus plane systolic excursion, fractional area change, RV Tei index, RV longitudinal strain (RVLS), and systolic RV longitudinal strain rate (RVLSR), were obtained by use of speckle tracking echocardiography (STE). In addition, SD of the systolic shortening time of the right ventricle for the 6 segments (RV-SD6) was determined with STE. RESULTS Volume overload significantly increased the RV end-diastolic pressure, compared with the baseline value. Echocardiographic indices of RV function, except for septal RVLSR, were significantly enhanced by volume overload. In contrast, RV-SD6 did not change with volume overload. Although echocardiographic indices of RV function, except for septal RVLSR, were correlated with RV end-diastolic pressure, RV-SD6 was not correlated. CONCLUSIONS AND CLINICAL RELEVANCE Echocardiographic indices of RV function, including RVLS and RVLSR, were affected by acute short-term volume overload. Therefore, results for assessment of RV function by use of STE in dogs with clinical conditions associated with right-sided chronic volume overload, such as tricuspid and pulmonic regurgitation, should be interpreted with caution.</w:t>
      </w:r>
    </w:p>
    <w:p/>
    <w:p>
      <w:pPr>
        <w:pStyle w:val="Normal"/>
      </w:pPr>
      <w:r>
        <w:rPr>
          <w:color w:val="323232"/>
        </w:rPr>
        <w:t xml:space="preserve">Am J Vet Res, 2019 vol. 80 (1) pp. 51-60.</w:t>
      </w:r>
    </w:p>
    <w:p>
      <w:r>
        <w:rPr>
          <w:rStyle w:val="Hyperlink"/>
        </w:rPr>
        <w:fldChar w:fldCharType="begin"/>
      </w:r>
      <w:r>
        <w:rPr>
          <w:rStyle w:val="Hyperlink"/>
        </w:rPr>
        <w:instrText xml:space="preserve"> HYPERLINK "http://eutils.ncbi.nlm.nih.gov/entrez/eutils/elink.fcgi?dbfrom=pubmed&amp;id=30605034&amp;retmode=ref&amp;cmd=prlinks"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http://eutils.ncbi.nlm.nih.gov/entrez/eutils/elink.fcgi?dbfrom=pubmed&amp;id=30605034&amp;retmode=ref&amp;cmd=prlinks</w:t>
      </w:r>
      <w:r>
        <w:rPr>
          <w:rStyle w:val="Hyperlink"/>
        </w:rPr>
        <w:fldChar w:fldCharType="end"/>
      </w:r>
    </w:p>
    <w:p>
      <w:pPr>
        <w:pStyle w:val="Normal"/>
      </w:pPr>
      <w:r>
        <w:rPr>
          <w:color w:val="323232"/>
        </w:rPr>
        <w:t xml:space="preserve">————————</w:t>
      </w:r>
    </w:p>
    <w:p>
      <w:pPr>
        <w:pStyle w:val="Heading4"/>
      </w:pPr>
      <w:r>
        <w:t xml:space="preserve">Effects of intravenous administration of tiletamine-zolazepam, alfaxalone, ketamine-diazepam, and propofol for induction of anesthesia on cardiorespiratory and metabolic variables in healthy dogs before and during anesthesia maintained with isoflurane.</w:t>
      </w:r>
    </w:p>
    <w:p/>
    <w:p>
      <w:pPr>
        <w:pStyle w:val="Normal"/>
      </w:pPr>
      <w:r>
        <w:rPr>
          <w:color w:val="323232"/>
        </w:rPr>
        <w:t xml:space="preserve">Chiara E Hampton, Thomas W Riebold, Nicole L LeBlanc, Katherine F Scollan, Ronald E Mandsager, and David D Sisson.</w:t>
      </w:r>
    </w:p>
    <w:p/>
    <w:p>
      <w:pPr>
        <w:pStyle w:val="Normal"/>
      </w:pPr>
      <w:r>
        <w:rPr>
          <w:color w:val="323232"/>
        </w:rPr>
        <w:t xml:space="preserve">OBJECTIVE To compare effects of tiletamine-zolazepam, alfaxalone, ketamine-diazepam, and propofol for anesthetic induction on cardiorespiratory and acid-base variables before and during isoflurane-maintained anesthesia in healthy dogs. ANIMALS 6 dogs. PROCEDURES Dogs were anesthetized with sevoflurane and instrumented. After dogs recovered from anesthesia, baseline values for cardiorespiratory variables and cardiac output were determined, and arterial and mixed-venous blood samples were obtained. Tiletamine-zolazepam (5 mg/ kg), alfaxalone (4 mg/ kg), propofol (6 mg/ kg), or ketamine-diazepam (7 and 0.3 mg/ kg) was administered IV in 25% increments to enable intubation. After induction (M0) and at 10, 20, 40, and 60 minutes of a light anesthetic plane maintained with isoflurane, measurements and sample collections were repeated. Cardiorespiratory and acid-base variables were compared with a repeated-measures ANOVA and post hoc t test and between time points with a pairwise Tukey test. RESULTS Mean ± SD intubation doses were 3.8 ± 0.8 mg/ kg for tiletamine-zolazepam, 2.8 ± 0.3 mg/ kg for alfaxalone, 6.1 ± 0.9 mg/ kg and 0.26 ± 0.04 mg</w:t>
      </w:r>
      <w:r>
        <w:rPr>
          <w:i w:val="1"/>
          <w:color w:val="323232"/>
        </w:rPr>
        <w:t xml:space="preserve">kg for ketamine-diazepam, and 5.4 ± 1.1 mg</w:t>
      </w:r>
      <w:r>
        <w:rPr>
          <w:color w:val="323232"/>
        </w:rPr>
        <w:t xml:space="preserve">kg for propofol. Anesthetic depth was similar among regimens. At M0, heart rate increased by 94.9%, 74.7%, and 54.3% for tiletamine-zolazepam, ketamine-diazepam, and alfaxalone, respectively. Tiletamine-zolazepam caused higher oxygen delivery than propofol. Postinduction apnea occurred in 3 dogs when receiving alfaxalone. Acid-base variables remained within reference limits. CONCLUSIONS AND CLINICAL RELEVANCE In healthy dogs in which a light plane of anesthesia was maintained with isoflurane, cardiovascular and metabolic effects after induction with tiletamine-zolazepam were comparable to those after induction with alfaxalone and ketamine-diazepam.</w:t>
      </w:r>
    </w:p>
    <w:p/>
    <w:p>
      <w:pPr>
        <w:pStyle w:val="Normal"/>
      </w:pPr>
      <w:r>
        <w:rPr>
          <w:color w:val="323232"/>
        </w:rPr>
        <w:t xml:space="preserve">Am J Vet Res, 2019 vol. 80 (1) pp. 33-44.</w:t>
      </w:r>
    </w:p>
    <w:p>
      <w:r>
        <w:rPr>
          <w:rStyle w:val="Hyperlink"/>
        </w:rPr>
        <w:fldChar w:fldCharType="begin"/>
      </w:r>
      <w:r>
        <w:rPr>
          <w:rStyle w:val="Hyperlink"/>
        </w:rPr>
        <w:instrText xml:space="preserve"> HYPERLINK "http://eutils.ncbi.nlm.nih.gov/entrez/eutils/elink.fcgi?dbfrom=pubmed&amp;id=30605029&amp;retmode=ref&amp;cmd=prlinks"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http://eutils.ncbi.nlm.nih.gov/entrez/eutils/elink.fcgi?dbfrom=pubmed&amp;id=30605029&amp;retmode=ref&amp;cmd=prlinks</w:t>
      </w:r>
      <w:r>
        <w:rPr>
          <w:rStyle w:val="Hyperlink"/>
        </w:rPr>
        <w:fldChar w:fldCharType="end"/>
      </w:r>
    </w:p>
    <w:p>
      <w:pPr>
        <w:pStyle w:val="Normal"/>
      </w:pPr>
      <w:r>
        <w:rPr>
          <w:color w:val="323232"/>
        </w:rPr>
        <w:t xml:space="preserve">————————</w:t>
      </w:r>
    </w:p>
    <w:p>
      <w:pPr>
        <w:pStyle w:val="Heading4"/>
      </w:pPr>
      <w:r>
        <w:t xml:space="preserve">In vitro effect of 20% N-acetylcysteine on the viscosity of normal canine bile.</w:t>
      </w:r>
    </w:p>
    <w:p/>
    <w:p>
      <w:pPr>
        <w:pStyle w:val="Normal"/>
      </w:pPr>
      <w:r>
        <w:rPr>
          <w:color w:val="323232"/>
        </w:rPr>
        <w:t xml:space="preserve">Tomas Boullhesen-Williams, Katy L Townsend, Milan Milovancev, Nicole C White, Conor G Harris, and Prajwal Adiga.</w:t>
      </w:r>
    </w:p>
    <w:p/>
    <w:p>
      <w:pPr>
        <w:pStyle w:val="Normal"/>
      </w:pPr>
      <w:r>
        <w:rPr>
          <w:color w:val="323232"/>
        </w:rPr>
        <w:t xml:space="preserve">OBJECTIVE To evaluate the in vitro effect of 20% N-acetylcysteine (NAC) on the viscosity of normal canine bile. ANIMALS Bile samples obtained from 10 adult dogs euthanized for reasons unrelated to biliary disease. PROCEDURES Each sample was centrifuged to remove particulates, then divided into 3 aliquots. One aliquot remained untreated (control). Each of the other aliquots was diluted 1:4 with 20% NAC or sterile water. The viscosity of all samples was measured with a rotational viscometer at 25°C. Viscosity of control samples was measured immediately after centrifugation and at 1 and 24 hours after treatment application to the diluted samples. Viscosity of diluted samples was measured at 1 and 24 hours after treatment application. RESULTS Mean viscosity differed significantly among the 3 groups at both 1 and 24 hours after treatment application. Relative to control samples, the addition of NAC and sterile water decreased the viscosity by approximately 3.35 mPa·s (95% confidence interval [CI], 1.58 to 5.12 mPa·s) and 2.74 mPa·s (95% CI, 1.33 to 4.14 mPa·s), respectively. Mean viscosity of the NAC-treated samples was approximately 0.61 mPa·s (95% CI, 0.21 to 1.01 mPa·s) less than that for the sterile water-treated samples. CONCLUSIONS AND CLINICAL RELEVANCE Results indicated that in vitro dilution of canine bile 1:4 with 20% NAC significantly decreased the viscosity of the resulting mixture. Further research is necessary to determine whether NAC is a safe and effective noninvasive treatment for dogs with persistent biliary sludge or gallbladder mucoceles.</w:t>
      </w:r>
    </w:p>
    <w:p/>
    <w:p>
      <w:pPr>
        <w:pStyle w:val="Normal"/>
      </w:pPr>
      <w:r>
        <w:rPr>
          <w:color w:val="323232"/>
        </w:rPr>
        <w:t xml:space="preserve">Am J Vet Res, 2019 vol. 80 (1) pp. 74-78.</w:t>
      </w:r>
    </w:p>
    <w:p>
      <w:r>
        <w:rPr>
          <w:rStyle w:val="Hyperlink"/>
        </w:rPr>
        <w:fldChar w:fldCharType="begin"/>
      </w:r>
      <w:r>
        <w:rPr>
          <w:rStyle w:val="Hyperlink"/>
        </w:rPr>
        <w:instrText xml:space="preserve"> HYPERLINK "http://eutils.ncbi.nlm.nih.gov/entrez/eutils/elink.fcgi?dbfrom=pubmed&amp;id=30605031&amp;retmode=ref&amp;cmd=prlinks"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http://eutils.ncbi.nlm.nih.gov/entrez/eutils/elink.fcgi?dbfrom=pubmed&amp;id=30605031&amp;retmode=ref&amp;cmd=prlinks</w:t>
      </w:r>
      <w:r>
        <w:rPr>
          <w:rStyle w:val="Hyperlink"/>
        </w:rPr>
        <w:fldChar w:fldCharType="end"/>
      </w:r>
    </w:p>
    <w:p>
      <w:pPr>
        <w:pStyle w:val="Normal"/>
      </w:pPr>
      <w:r>
        <w:rPr>
          <w:color w:val="323232"/>
        </w:rPr>
        <w:t xml:space="preserve">————————</w:t>
      </w:r>
    </w:p>
    <w:p>
      <w:pPr>
        <w:pStyle w:val="Heading4"/>
      </w:pPr>
      <w:r>
        <w:t xml:space="preserve">Evaluation of skin turgor and capillary refill time as predictors of dehydration in exercising dogs.</w:t>
      </w:r>
    </w:p>
    <w:p/>
    <w:p>
      <w:pPr>
        <w:pStyle w:val="Normal"/>
      </w:pPr>
      <w:r>
        <w:rPr>
          <w:color w:val="323232"/>
        </w:rPr>
        <w:t xml:space="preserve">Taylor K Goucher, Alexandra M Hartzell, Tessa S Seales, Abigail S Anmuth, Brian M Zanghi, and Cynthia M Otto.</w:t>
      </w:r>
    </w:p>
    <w:p/>
    <w:p>
      <w:pPr>
        <w:pStyle w:val="Normal"/>
      </w:pPr>
      <w:r>
        <w:rPr>
          <w:color w:val="323232"/>
        </w:rPr>
        <w:t xml:space="preserve">OBJECTIVE To determine usefulness of skin turgor and capillary refill time (CRT) for predicting changes in hydration status of working dogs after a 15-minute exercise period. ANIMALS 9 exercise-conditioned working dogs between 8 and 108 months of age. PROCEDURES Skin tent time (SkTT; time for tented skin on the forehead to return to an anatomically normal position) and CRT (time for occluded mucous membrane capillary vessels to return to the color visible before occlusion) were measured on dogs in a field setting and by video review. Body weight (BW), SkTT, CRT, and core body temperature were measured before and after a 15-minute exercise period. Exercise challenge was performed on days 1 and 8. RESULTS Time (day 1 vs day 8) did not significantly affect results; therefore, data were pooled for the 2 trial days. Mean ± SE BW decreased (but not significantly) by 0.83 ± 0.27% after exercise. The SkTT increased significantly (both field setting and video review) after exercise. Correlation between SkTT results for the field setting and video review (r = 0.68) was significant. The CRT decreased (but not significantly) after exercise. CONCLUSIONS AND CLINICAL RELEVANCE Dogs became mildly dehydrated (mean BW loss, 0.83%) during a 15-minute exercise period, and the mild dehydration was evident as a visually detectable change in skin turgor. Monitoring the SkTT appeared to be a useful strategy for predicting small shifts in hydration status of dogs during exercise. The CRT decreased and was not a significant predictor of a change in hydration status.</w:t>
      </w:r>
    </w:p>
    <w:p/>
    <w:p>
      <w:pPr>
        <w:pStyle w:val="Normal"/>
      </w:pPr>
      <w:r>
        <w:rPr>
          <w:color w:val="323232"/>
        </w:rPr>
        <w:t xml:space="preserve">Am J Vet Res, 2019 vol. 80 (2) pp. 123-128.</w:t>
      </w:r>
    </w:p>
    <w:p>
      <w:r>
        <w:rPr>
          <w:rStyle w:val="Hyperlink"/>
        </w:rPr>
        <w:fldChar w:fldCharType="begin"/>
      </w:r>
      <w:r>
        <w:rPr>
          <w:rStyle w:val="Hyperlink"/>
        </w:rPr>
        <w:instrText xml:space="preserve"> HYPERLINK "http://eutils.ncbi.nlm.nih.gov/entrez/eutils/elink.fcgi?dbfrom=pubmed&amp;id=30681353&amp;retmode=ref&amp;cmd=prlinks"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http://eutils.ncbi.nlm.nih.gov/entrez/eutils/elink.fcgi?dbfrom=pubmed&amp;id=30681353&amp;retmode=ref&amp;cmd=prlinks</w:t>
      </w:r>
      <w:r>
        <w:rPr>
          <w:rStyle w:val="Hyperlink"/>
        </w:rPr>
        <w:fldChar w:fldCharType="end"/>
      </w:r>
    </w:p>
    <w:p>
      <w:pPr>
        <w:pStyle w:val="Normal"/>
      </w:pPr>
      <w:r>
        <w:rPr>
          <w:color w:val="323232"/>
        </w:rPr>
        <w:t xml:space="preserve">————————</w:t>
      </w:r>
    </w:p>
    <w:p>
      <w:pPr>
        <w:pStyle w:val="Heading4"/>
      </w:pPr>
      <w:r>
        <w:t xml:space="preserve">Lactate and glucose thresholds and heart rate deflection points for Beagles during intense exercise.</w:t>
      </w:r>
    </w:p>
    <w:p/>
    <w:p>
      <w:pPr>
        <w:pStyle w:val="Normal"/>
      </w:pPr>
      <w:r>
        <w:rPr>
          <w:color w:val="323232"/>
        </w:rPr>
        <w:t xml:space="preserve">Alejandro Z Restan, Evandro Zacche, Samara B da Silva, Juliana A Cerqueira, Aulus C Carfiofi, Antonio Queiroz-Neto, Aparecido A Camacho, and Guilherme C Ferraz.</w:t>
      </w:r>
    </w:p>
    <w:p/>
    <w:p>
      <w:pPr>
        <w:pStyle w:val="Normal"/>
      </w:pPr>
      <w:r>
        <w:rPr>
          <w:color w:val="323232"/>
        </w:rPr>
        <w:t xml:space="preserve">OBJECTIVE To determine whether the lactate threshold of dogs could be determined by a visual method and to assess the extent of agreement and bias among treadmill velocities for the lactate threshold as determined by visual (LTv) and polynomial (LTp) methods, glucose threshold as determined by visual (GTv) and polynomial (GTp) methods, and heart rate deflection point (HRdp) as a method for estimating the aerobic capacity of dogs. ANIMALS 18 healthy adult Beagles. PROCEDURES Each dog underwent a standardized incremental treadmill exercise test once. The test ended when the dog began to show signs of fatigue. Plasma lactate and glucose concentrations and heart rate (HR) were plotted against exercise intensity (treadmill velocity) for the duration of the test, and the LTv, GTv, and HRdp were determined visually. The LTp and GTp were determined by means of a second-order polynomial function. One-way ANOVA, Pearson correlation, Bland-Altman analyses, and ordinary least products regression were used to assess the extent of agreement and bias among the various threshold velocities. RESULTS Mean velocity did not differ significantly among the thresholds evaluated. There was a strong positive correlation between the LTv velocity and the velocity for GTv (r = 0.91), LTp (r = 0.96), GTp (r = 0.94), and HRdp (r = 0.95). CONCLUSIONS AND CLINICAL RELEVANCE Results indicated that LTv could be determined for dogs undergoing intense exercise on a treadmill, and the treadmill velocity corresponding to the LTv was associated with the velocity for the other hallmarks of endurance. Thus, that method may be useful for prescription and evaluation of conditioning programs for dogs.</w:t>
      </w:r>
    </w:p>
    <w:p/>
    <w:p>
      <w:pPr>
        <w:pStyle w:val="Normal"/>
      </w:pPr>
      <w:r>
        <w:rPr>
          <w:color w:val="323232"/>
        </w:rPr>
        <w:t xml:space="preserve">Am J Vet Res, 2019 vol. 80 (3) pp. 284-293.</w:t>
      </w:r>
    </w:p>
    <w:p>
      <w:r>
        <w:rPr>
          <w:rStyle w:val="Hyperlink"/>
        </w:rPr>
        <w:fldChar w:fldCharType="begin"/>
      </w:r>
      <w:r>
        <w:rPr>
          <w:rStyle w:val="Hyperlink"/>
        </w:rPr>
        <w:instrText xml:space="preserve"> HYPERLINK "http://eutils.ncbi.nlm.nih.gov/entrez/eutils/elink.fcgi?dbfrom=pubmed&amp;id=30801212&amp;retmode=ref&amp;cmd=prlinks"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http://eutils.ncbi.nlm.nih.gov/entrez/eutils/elink.fcgi?dbfrom=pubmed&amp;id=30801212&amp;retmode=ref&amp;cmd=prlinks</w:t>
      </w:r>
      <w:r>
        <w:rPr>
          <w:rStyle w:val="Hyperlink"/>
        </w:rPr>
        <w:fldChar w:fldCharType="end"/>
      </w:r>
    </w:p>
    <w:p>
      <w:pPr>
        <w:pStyle w:val="Normal"/>
      </w:pPr>
      <w:r>
        <w:rPr>
          <w:color w:val="323232"/>
        </w:rPr>
        <w:t xml:space="preserve">————————</w:t>
      </w:r>
    </w:p>
    <w:p>
      <w:pPr>
        <w:pStyle w:val="Heading4"/>
      </w:pPr>
      <w:r>
        <w:t xml:space="preserve">Usefulness of focused cardiac ultrasonography for predicting fluid responsiveness in conscious, spontaneously breathing dogs.</w:t>
      </w:r>
    </w:p>
    <w:p/>
    <w:p>
      <w:pPr>
        <w:pStyle w:val="Normal"/>
      </w:pPr>
      <w:r>
        <w:rPr>
          <w:color w:val="323232"/>
        </w:rPr>
        <w:t xml:space="preserve">Stefano Oricco, Roberto Rabozzi, Caterina Meneghini, and Paolo Franci.</w:t>
      </w:r>
    </w:p>
    <w:p/>
    <w:p>
      <w:pPr>
        <w:pStyle w:val="Normal"/>
      </w:pPr>
      <w:r>
        <w:rPr>
          <w:color w:val="323232"/>
        </w:rPr>
        <w:t xml:space="preserve">OBJECTIVE:To evaluate the diagnostic usefulness of focused cardiac ultrasonography and selected echocardiographic variables for predicting fluid responsiveness in conscious, spontaneously breathing dogs with various clinical conditions.</w:t>
      </w:r>
    </w:p>
    <w:p/>
    <w:p>
      <w:pPr>
        <w:pStyle w:val="Normal"/>
      </w:pPr>
      <w:r>
        <w:rPr>
          <w:color w:val="323232"/>
        </w:rPr>
        <w:t xml:space="preserve">ANIMALS:26 dogs (15 males and 11 females) with a median age of 84 months (range, 12 to 360 months) and median body weight of 8 kg (range, 2 to 35 kg) referred for various clinical conditions.</w:t>
      </w:r>
    </w:p>
    <w:p/>
    <w:p>
      <w:pPr>
        <w:pStyle w:val="Normal"/>
      </w:pPr>
      <w:r>
        <w:rPr>
          <w:color w:val="323232"/>
        </w:rPr>
        <w:t xml:space="preserve">PROCEDURES:Left ventricular end-diastolic internal diameter normalized to body weight (LVIDDn), left ventricular volume score (LVVS), left ventricular end-diastolic volume index (EDVI), aortic velocity time integral (VTIAo), and aortic peak flow velocity (VmaxAo) were echocardiographically measured before and after IV administration of a bolus of lactated Ringer solution (4 mL/kg) over a 1-minute period. Dogs were classified on the basis of the observed change in aortic stroke volume following fluid administration as responders (≥ 15%) or nonresponders (&lt; 15%) to fluid administration. Receiver operating characteristic curves were generated for the ability of LVVS, LVIDDn, EDVI, VTIAo, and VmaxAo to predict responder status.</w:t>
      </w:r>
    </w:p>
    <w:p/>
    <w:p>
      <w:pPr>
        <w:pStyle w:val="Normal"/>
      </w:pPr>
      <w:r>
        <w:rPr>
          <w:color w:val="323232"/>
        </w:rPr>
        <w:t xml:space="preserve">RESULTS:13 dogs were classified as responders and 13 as nonresponders. Areas under the receiver operating characteristic curves (95% confidence intervals) for predicting fluid responsiveness were as follows: VTIAo, 0.91 (0.74 to 0.99); LVIDDn, 0.85 (0.66 to 0.96); EDVI, 0.85 (0.65 to 0.96); LVVS, 0.85 (0.65 to 0.96); and VmaxAo, 0.75 (0.54 to 0.90).</w:t>
      </w:r>
    </w:p>
    <w:p/>
    <w:p>
      <w:pPr>
        <w:pStyle w:val="Normal"/>
      </w:pPr>
      <w:r>
        <w:rPr>
          <w:color w:val="323232"/>
        </w:rPr>
        <w:t xml:space="preserve">CONCLUSIONS AND CLINICAL RELEVANCE:The evaluated echocardiographic variables were useful for noninvasive prediction of fluid responsiveness in conscious dogs and could be valuable for informing clinical decisions regarding fluid therapy.</w:t>
      </w:r>
    </w:p>
    <w:p/>
    <w:p>
      <w:pPr>
        <w:pStyle w:val="Normal"/>
      </w:pPr>
      <w:r>
        <w:rPr>
          <w:color w:val="323232"/>
        </w:rPr>
        <w:t xml:space="preserve">Am J Vet Res, 2019 vol. 80 (4) pp. 369-377.</w:t>
      </w:r>
    </w:p>
    <w:p>
      <w:r>
        <w:rPr>
          <w:rStyle w:val="Hyperlink"/>
        </w:rPr>
        <w:fldChar w:fldCharType="begin"/>
      </w:r>
      <w:r>
        <w:rPr>
          <w:rStyle w:val="Hyperlink"/>
        </w:rPr>
        <w:instrText xml:space="preserve"> HYPERLINK "http://eutils.ncbi.nlm.nih.gov/entrez/eutils/elink.fcgi?dbfrom=pubmed&amp;id=30919671&amp;retmode=ref&amp;cmd=prlinks"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http://eutils.ncbi.nlm.nih.gov/entrez/eutils/elink.fcgi?dbfrom=pubmed&amp;id=30919671&amp;retmode=ref&amp;cmd=prlinks</w:t>
      </w:r>
      <w:r>
        <w:rPr>
          <w:rStyle w:val="Hyperlink"/>
        </w:rPr>
        <w:fldChar w:fldCharType="end"/>
      </w:r>
    </w:p>
    <w:p>
      <w:pPr>
        <w:pStyle w:val="Normal"/>
      </w:pPr>
      <w:r>
        <w:rPr>
          <w:color w:val="323232"/>
        </w:rPr>
        <w:t xml:space="preserve">————————</w:t>
      </w:r>
    </w:p>
    <w:p>
      <w:pPr>
        <w:pStyle w:val="Heading4"/>
      </w:pPr>
      <w:r>
        <w:t xml:space="preserve">Effects of orally administered raltegravir in cats with experimentally induced ocular and respiratory feline herpesvirus-1 infection.</w:t>
      </w:r>
    </w:p>
    <w:p/>
    <w:p>
      <w:pPr>
        <w:pStyle w:val="Normal"/>
      </w:pPr>
      <w:r>
        <w:rPr>
          <w:color w:val="323232"/>
        </w:rPr>
        <w:t xml:space="preserve">Chloe B Spertus, Matthew R Pennington, Gerlinde R Van de Walle, Zachary I Badanes, Bonnie E Judd, Hussni O Mohammed, and Eric C Ledbetter.</w:t>
      </w:r>
    </w:p>
    <w:p/>
    <w:p>
      <w:pPr>
        <w:pStyle w:val="Normal"/>
      </w:pPr>
      <w:r>
        <w:rPr>
          <w:color w:val="323232"/>
        </w:rPr>
        <w:t xml:space="preserve">OBJECTIVE:To determine the effects of orally administered raltegravir in cats with experimentally induced ocular and respiratory feline herpesvirus-1 (FHV-1) infection.</w:t>
      </w:r>
    </w:p>
    <w:p/>
    <w:p>
      <w:pPr>
        <w:pStyle w:val="Normal"/>
      </w:pPr>
      <w:r>
        <w:rPr>
          <w:color w:val="323232"/>
        </w:rPr>
        <w:t xml:space="preserve">ANIMALS:14 healthy 6-month-old unvaccinated specific pathogen-free cats.</w:t>
      </w:r>
    </w:p>
    <w:p/>
    <w:p>
      <w:pPr>
        <w:pStyle w:val="Normal"/>
      </w:pPr>
      <w:r>
        <w:rPr>
          <w:color w:val="323232"/>
        </w:rPr>
        <w:t xml:space="preserve">PROCEDURES:On day 0, all cats were experimentally inoculated by topical application of 0.1 mL of a solution containing 106 plaque-forming units of FHV-1 strain FH2CS to the inferior conjunctival fornix of each eye. Cats were randomly assigned to receive either raltegravir (80 mg; n = 7) or lactose (250 mg; vehicle; 7), PO, every 12 hours for 14 days beginning on day 1. Cats were assigned clinical ocular and respiratory disease scores every other day from days 0 to 30. Conjunctival swab specimens were collected for detection of FHV-1 by virus isolation and real-time PCR assay at 3-day intervals from days 0 to 30. Confocal microscopy was performed on days 0 and 10 to assess corneal epithelial leukocyte infiltration. The assessed variables and duration of FHV-1 shedding were compared between the 2 treatment groups.</w:t>
      </w:r>
    </w:p>
    <w:p/>
    <w:p>
      <w:pPr>
        <w:pStyle w:val="Normal"/>
      </w:pPr>
      <w:r>
        <w:rPr>
          <w:color w:val="323232"/>
        </w:rPr>
        <w:t xml:space="preserve">RESULTS:Cats in both groups developed moderate to severe conjunctivitis and ulcerative keratitis characteristic of FHV-1 infection. Median duration of FHV-1 shedding was shorter and signs of ocular and respiratory disease were less severe for raltegravir-treated cats than for vehicle-treated cats. However, the mean conjunctival FHV-1 titer and corneal epithelial leukocyte count did not differ between the 2 groups.</w:t>
      </w:r>
    </w:p>
    <w:p/>
    <w:p>
      <w:pPr>
        <w:pStyle w:val="Normal"/>
      </w:pPr>
      <w:r>
        <w:rPr>
          <w:color w:val="323232"/>
        </w:rPr>
        <w:t xml:space="preserve">CONCLUSIONS AND CLINICAL RELEVANCE:Results suggested orally administered raltegravir might be effective for alleviation of ocular and respiratory signs of FHV-1 infection in cats. (Am J Vet Res 2019;80:490-497).</w:t>
      </w:r>
    </w:p>
    <w:p/>
    <w:p>
      <w:pPr>
        <w:pStyle w:val="Normal"/>
      </w:pPr>
      <w:r>
        <w:rPr>
          <w:color w:val="323232"/>
        </w:rPr>
        <w:t xml:space="preserve">Am J Vet Res, 2019 vol. 80 (5) pp. 490-497.</w:t>
      </w:r>
    </w:p>
    <w:p>
      <w:r>
        <w:rPr>
          <w:rStyle w:val="Hyperlink"/>
        </w:rPr>
        <w:fldChar w:fldCharType="begin"/>
      </w:r>
      <w:r>
        <w:rPr>
          <w:rStyle w:val="Hyperlink"/>
        </w:rPr>
        <w:instrText xml:space="preserve"> HYPERLINK "http://eutils.ncbi.nlm.nih.gov/entrez/eutils/elink.fcgi?dbfrom=pubmed&amp;id=31034270&amp;retmode=ref&amp;cmd=prlinks"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http://eutils.ncbi.nlm.nih.gov/entrez/eutils/elink.fcgi?dbfrom=pubmed&amp;id=31034270&amp;retmode=ref&amp;cmd=prlinks</w:t>
      </w:r>
      <w:r>
        <w:rPr>
          <w:rStyle w:val="Hyperlink"/>
        </w:rPr>
        <w:fldChar w:fldCharType="end"/>
      </w:r>
    </w:p>
    <w:p>
      <w:pPr>
        <w:pStyle w:val="Normal"/>
      </w:pPr>
      <w:r>
        <w:rPr>
          <w:color w:val="323232"/>
        </w:rPr>
        <w:t xml:space="preserve">————————</w:t>
      </w:r>
    </w:p>
    <w:p>
      <w:pPr>
        <w:pStyle w:val="Heading4"/>
      </w:pPr>
      <w:r>
        <w:t xml:space="preserve">Evaluation of atipamezole as a treatment for dexmedetomidine-induced cardiovascular depression in anesthetized cats.</w:t>
      </w:r>
    </w:p>
    <w:p/>
    <w:p>
      <w:pPr>
        <w:pStyle w:val="Normal"/>
      </w:pPr>
      <w:r>
        <w:rPr>
          <w:color w:val="323232"/>
        </w:rPr>
        <w:t xml:space="preserve">Kathryn K Zatroch, Daniel M Sakai, Stephen Parry, Luis Campoy, and Manuel Martin-Flores.</w:t>
      </w:r>
    </w:p>
    <w:p/>
    <w:p>
      <w:pPr>
        <w:pStyle w:val="Normal"/>
      </w:pPr>
      <w:r>
        <w:rPr>
          <w:color w:val="323232"/>
        </w:rPr>
        <w:t xml:space="preserve">OBJECTIVE:To evaluate the cardiovascular effects of atipamezole administered at half the volume or the same volume as dexmedetomidine to isoflurane-anesthetized cats.</w:t>
      </w:r>
    </w:p>
    <w:p/>
    <w:p>
      <w:pPr>
        <w:pStyle w:val="Normal"/>
      </w:pPr>
      <w:r>
        <w:rPr>
          <w:color w:val="323232"/>
        </w:rPr>
        <w:t xml:space="preserve">ANIMALS:6 adult (1 to 2 years old) domestic shorthair cats (body weight, 3 to 6 kg).</w:t>
      </w:r>
    </w:p>
    <w:p/>
    <w:p>
      <w:pPr>
        <w:pStyle w:val="Normal"/>
      </w:pPr>
      <w:r>
        <w:rPr>
          <w:color w:val="323232"/>
        </w:rPr>
        <w:t xml:space="preserve">PROCEDURES:Each cat was anesthetized with isoflurane and rocuronium 3 times; there was a 1-week washout period between successive anesthetic procedures. For each anesthetic procedure, dexmedetomidine (5 μg</w:t>
      </w:r>
      <w:r>
        <w:rPr>
          <w:i w:val="1"/>
          <w:color w:val="323232"/>
        </w:rPr>
        <w:t xml:space="preserve">kg) was administered IV. Five minutes after dexmedetomidine was administered, atipamezole (25 or 50 μg</w:t>
      </w:r>
      <w:r>
        <w:rPr>
          <w:color w:val="323232"/>
        </w:rPr>
        <w:t xml:space="preserve">kg) or saline (0.9% NaCl) solution was administered IM. Pulse rate, mean arterial blood pressure (MAP), cardiac output (CO), and systemic vascular resistance (SVR) were measured during anesthesia before dexmedetomidine administration (baseline), after dexmedetomidine administration, and 15, 30, 60, and 120 minutes after administration of atipamezole or saline solution. Pulse rate and MAP were also recorded when MAP was at its lowest value. Hemodynamic variables were compared among treatments at baseline, after dexmedetomidine administration, and after administration of atipamezole or saline solution. Effects of treatment and time on all variables were assessed with mixed-effects models.</w:t>
      </w:r>
    </w:p>
    <w:p/>
    <w:p>
      <w:pPr>
        <w:pStyle w:val="Normal"/>
      </w:pPr>
      <w:r>
        <w:rPr>
          <w:color w:val="323232"/>
        </w:rPr>
        <w:t xml:space="preserve">RESULTS:Both doses of atipamezole resulted in a significantly lower MAP than did saline solution. Pulse rate, CO, and SVR were not significantly different among treatments after atipamezole or saline solution were administered.</w:t>
      </w:r>
    </w:p>
    <w:p/>
    <w:p>
      <w:pPr>
        <w:pStyle w:val="Normal"/>
      </w:pPr>
      <w:r>
        <w:rPr>
          <w:color w:val="323232"/>
        </w:rPr>
        <w:t xml:space="preserve">CONCLUSIONS AND CLINICAL RELEVANCE:Atipamezole administered IM at half the volume or the same volume as dexmedetomidine was ineffective at increasing pulse rate or CO in anesthetized cats that received dexmedetomidine. However, atipamezole caused short-lasting but severe arterial hypotension.</w:t>
      </w:r>
    </w:p>
    <w:p/>
    <w:p>
      <w:pPr>
        <w:pStyle w:val="Normal"/>
      </w:pPr>
      <w:r>
        <w:rPr>
          <w:color w:val="323232"/>
        </w:rPr>
        <w:t xml:space="preserve">Am J Vet Res, 2019 vol. 80 (5) pp. 455-460.</w:t>
      </w:r>
    </w:p>
    <w:p>
      <w:r>
        <w:rPr>
          <w:rStyle w:val="Hyperlink"/>
        </w:rPr>
        <w:fldChar w:fldCharType="begin"/>
      </w:r>
      <w:r>
        <w:rPr>
          <w:rStyle w:val="Hyperlink"/>
        </w:rPr>
        <w:instrText xml:space="preserve"> HYPERLINK "http://eutils.ncbi.nlm.nih.gov/entrez/eutils/elink.fcgi?dbfrom=pubmed&amp;id=31034277&amp;retmode=ref&amp;cmd=prlinks"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http://eutils.ncbi.nlm.nih.gov/entrez/eutils/elink.fcgi?dbfrom=pubmed&amp;id=31034277&amp;retmode=ref&amp;cmd=prlinks</w:t>
      </w:r>
      <w:r>
        <w:rPr>
          <w:rStyle w:val="Hyperlink"/>
        </w:rPr>
        <w:fldChar w:fldCharType="end"/>
      </w:r>
    </w:p>
    <w:p>
      <w:pPr>
        <w:pStyle w:val="Normal"/>
      </w:pPr>
      <w:r>
        <w:rPr>
          <w:color w:val="323232"/>
        </w:rPr>
        <w:t xml:space="preserve">————————</w:t>
      </w:r>
    </w:p>
    <w:p>
      <w:pPr>
        <w:pStyle w:val="Heading4"/>
      </w:pPr>
      <w:r>
        <w:t xml:space="preserve">Evaluation of atipamezole as a treatment for dexmedetomidine-induced cardiovascular depression in anesthetized cats.</w:t>
      </w:r>
    </w:p>
    <w:p/>
    <w:p>
      <w:pPr>
        <w:pStyle w:val="Normal"/>
      </w:pPr>
      <w:r>
        <w:rPr>
          <w:color w:val="323232"/>
        </w:rPr>
        <w:t xml:space="preserve">Kathryn K Zatroch, Daniel M Sakai, Stephen Parry, Luis Campoy, and Manuel Martin-Flores.</w:t>
      </w:r>
    </w:p>
    <w:p/>
    <w:p>
      <w:pPr>
        <w:pStyle w:val="Normal"/>
      </w:pPr>
      <w:r>
        <w:rPr>
          <w:color w:val="323232"/>
        </w:rPr>
        <w:t xml:space="preserve">OBJECTIVE:To evaluate the cardiovascular effects of atipamezole administered at half the volume or the same volume as dexmedetomidine to isoflurane-anesthetized cats.</w:t>
      </w:r>
    </w:p>
    <w:p/>
    <w:p>
      <w:pPr>
        <w:pStyle w:val="Normal"/>
      </w:pPr>
      <w:r>
        <w:rPr>
          <w:color w:val="323232"/>
        </w:rPr>
        <w:t xml:space="preserve">ANIMALS:6 adult (1 to 2 years old) domestic shorthair cats (body weight, 3 to 6 kg).</w:t>
      </w:r>
    </w:p>
    <w:p/>
    <w:p>
      <w:pPr>
        <w:pStyle w:val="Normal"/>
      </w:pPr>
      <w:r>
        <w:rPr>
          <w:color w:val="323232"/>
        </w:rPr>
        <w:t xml:space="preserve">PROCEDURES:Each cat was anesthetized with isoflurane and rocuronium 3 times; there was a 1-week washout period between successive anesthetic procedures. For each anesthetic procedure, dexmedetomidine (5 μg</w:t>
      </w:r>
      <w:r>
        <w:rPr>
          <w:i w:val="1"/>
          <w:color w:val="323232"/>
        </w:rPr>
        <w:t xml:space="preserve">kg) was administered IV. Five minutes after dexmedetomidine was administered, atipamezole (25 or 50 μg</w:t>
      </w:r>
      <w:r>
        <w:rPr>
          <w:color w:val="323232"/>
        </w:rPr>
        <w:t xml:space="preserve">kg) or saline (0.9% NaCl) solution was administered IM. Pulse rate, mean arterial blood pressure (MAP), cardiac output (CO), and systemic vascular resistance (SVR) were measured during anesthesia before dexmedetomidine administration (baseline), after dexmedetomidine administration, and 15, 30, 60, and 120 minutes after administration of atipamezole or saline solution. Pulse rate and MAP were also recorded when MAP was at its lowest value. Hemodynamic variables were compared among treatments at baseline, after dexmedetomidine administration, and after administration of atipamezole or saline solution. Effects of treatment and time on all variables were assessed with mixed-effects models.</w:t>
      </w:r>
    </w:p>
    <w:p/>
    <w:p>
      <w:pPr>
        <w:pStyle w:val="Normal"/>
      </w:pPr>
      <w:r>
        <w:rPr>
          <w:color w:val="323232"/>
        </w:rPr>
        <w:t xml:space="preserve">RESULTS:Both doses of atipamezole resulted in a significantly lower MAP than did saline solution. Pulse rate, CO, and SVR were not significantly different among treatments after atipamezole or saline solution were administered.</w:t>
      </w:r>
    </w:p>
    <w:p/>
    <w:p>
      <w:pPr>
        <w:pStyle w:val="Normal"/>
      </w:pPr>
      <w:r>
        <w:rPr>
          <w:color w:val="323232"/>
        </w:rPr>
        <w:t xml:space="preserve">CONCLUSIONS AND CLINICAL RELEVANCE:Atipamezole administered IM at half the volume or the same volume as dexmedetomidine was ineffective at increasing pulse rate or CO in anesthetized cats that received dexmedetomidine. However, atipamezole caused short-lasting but severe arterial hypotension.</w:t>
      </w:r>
    </w:p>
    <w:p/>
    <w:p>
      <w:pPr>
        <w:pStyle w:val="Normal"/>
      </w:pPr>
      <w:r>
        <w:rPr>
          <w:color w:val="323232"/>
        </w:rPr>
        <w:t xml:space="preserve">Am J Vet Res, 2019 vol. 80 (5) pp. 455-460.</w:t>
      </w:r>
    </w:p>
    <w:p>
      <w:r>
        <w:rPr>
          <w:rStyle w:val="Hyperlink"/>
        </w:rPr>
        <w:fldChar w:fldCharType="begin"/>
      </w:r>
      <w:r>
        <w:rPr>
          <w:rStyle w:val="Hyperlink"/>
        </w:rPr>
        <w:instrText xml:space="preserve"> HYPERLINK "http://eutils.ncbi.nlm.nih.gov/entrez/eutils/elink.fcgi?dbfrom=pubmed&amp;id=31034277&amp;retmode=ref&amp;cmd=prlinks"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http://eutils.ncbi.nlm.nih.gov/entrez/eutils/elink.fcgi?dbfrom=pubmed&amp;id=31034277&amp;retmode=ref&amp;cmd=prlinks</w:t>
      </w:r>
      <w:r>
        <w:rPr>
          <w:rStyle w:val="Hyperlink"/>
        </w:rPr>
        <w:fldChar w:fldCharType="end"/>
      </w:r>
    </w:p>
    <w:p>
      <w:pPr>
        <w:pStyle w:val="Normal"/>
      </w:pPr>
      <w:r>
        <w:rPr>
          <w:color w:val="323232"/>
        </w:rPr>
        <w:t xml:space="preserve">————————</w:t>
      </w:r>
    </w:p>
    <w:p>
      <w:pPr>
        <w:pStyle w:val="Heading4"/>
      </w:pPr>
      <w:r>
        <w:t xml:space="preserve">Pharmacokinetics and pharmacodynamics of intranasal and intravenous naloxone hydrochloride administration in healthy dogs.</w:t>
      </w:r>
    </w:p>
    <w:p/>
    <w:p>
      <w:pPr>
        <w:pStyle w:val="Normal"/>
      </w:pPr>
      <w:r>
        <w:rPr>
          <w:color w:val="323232"/>
        </w:rPr>
        <w:t xml:space="preserve">Brandon M Wahler, Phillip Lerche, Carolina H Ricco Pereira, Richard M Bednarski, Butch KuKanich, Jeffrey Lakritz, and Turi K Aarnes.</w:t>
      </w:r>
    </w:p>
    <w:p/>
    <w:p>
      <w:pPr>
        <w:pStyle w:val="Normal"/>
      </w:pPr>
      <w:r>
        <w:rPr>
          <w:color w:val="323232"/>
        </w:rPr>
        <w:t xml:space="preserve">OBJECTIVE:To evaluate the pharmacokinetics and pharmacodynamics of naloxone hydrochloride in dogs following intranasal (IN) and IV administration.</w:t>
      </w:r>
    </w:p>
    <w:p/>
    <w:p>
      <w:pPr>
        <w:pStyle w:val="Normal"/>
      </w:pPr>
      <w:r>
        <w:rPr>
          <w:color w:val="323232"/>
        </w:rPr>
        <w:t xml:space="preserve">ANIMALS:6 healthy adult mixed-breed dogs.</w:t>
      </w:r>
    </w:p>
    <w:p/>
    <w:p>
      <w:pPr>
        <w:pStyle w:val="Normal"/>
      </w:pPr>
      <w:r>
        <w:rPr>
          <w:color w:val="323232"/>
        </w:rPr>
        <w:t xml:space="preserve">PROCEDURES:In a blinded crossover design involving 2 experimental periods separated by a washout period (minimum of 7 days), dogs were randomly assigned to receive naloxone IN (4 mg via a commercially available fixed-dose naloxone atomizer; mean ± SD dose, 0.17 ± 0.02 mg</w:t>
      </w:r>
      <w:r>
        <w:rPr>
          <w:i w:val="1"/>
          <w:color w:val="323232"/>
        </w:rPr>
        <w:t xml:space="preserve">kg) or IV (0.04 mg</w:t>
      </w:r>
      <w:r>
        <w:rPr>
          <w:color w:val="323232"/>
        </w:rPr>
        <w:t xml:space="preserve">kg) in the first period and then the opposite treatment in the second period. Plasma naloxone concentrations, dog behavior, heart rate, and respiratory rate were evaluated for 24 hours/period.</w:t>
      </w:r>
    </w:p>
    <w:p/>
    <w:p>
      <w:pPr>
        <w:pStyle w:val="Normal"/>
      </w:pPr>
      <w:r>
        <w:rPr>
          <w:color w:val="323232"/>
        </w:rPr>
        <w:t xml:space="preserve">RESULTS:Naloxone administered IN was well absorbed after a short lag time (mean ± SD, 2.3 ± 1.4 minutes). Mean maximum plasma concentration following IN and IV administration was 9.3 ± 2.5 ng</w:t>
      </w:r>
      <w:r>
        <w:rPr>
          <w:i w:val="1"/>
          <w:color w:val="323232"/>
        </w:rPr>
        <w:t xml:space="preserve">mL and 18.8 ± 3.9 ng</w:t>
      </w:r>
      <w:r>
        <w:rPr>
          <w:color w:val="323232"/>
        </w:rPr>
        <w:t xml:space="preserve">mL, respectively. Mean time to maximum concentration following IN administration was 22.5 ± 8.2 minutes. Mean terminal half-life after IN and IV administration was 47.4 ± 6.7 minutes and 37.0 ± 6.7 minutes, respectively. Mean bioavailability of naloxone administered IN was 32 ± 13%. There were no notable changes in dog behavior, heart rate, or respiratory rate following naloxone administration by either route.</w:t>
      </w:r>
    </w:p>
    <w:p/>
    <w:p>
      <w:pPr>
        <w:pStyle w:val="Normal"/>
      </w:pPr>
      <w:r>
        <w:rPr>
          <w:color w:val="323232"/>
        </w:rPr>
        <w:t xml:space="preserve">CONCLUSIONS AND CLINICAL RELEVANCE:Use of a naloxone atomizer for IN naloxone administration in dogs may represent an effective alternative to IV administration in emergency situations involving opioid exposure. Future studies are needed to evaluate the efficacy of IN naloxone administration in dogs with opioid intoxication, including a determination of effective doses.</w:t>
      </w:r>
    </w:p>
    <w:p/>
    <w:p>
      <w:pPr>
        <w:pStyle w:val="Normal"/>
      </w:pPr>
      <w:r>
        <w:rPr>
          <w:color w:val="323232"/>
        </w:rPr>
        <w:t xml:space="preserve">Am J Vet Res, 2019 vol. 80 (7) pp. 696-701.</w:t>
      </w:r>
    </w:p>
    <w:p>
      <w:r>
        <w:rPr>
          <w:rStyle w:val="Hyperlink"/>
        </w:rPr>
        <w:fldChar w:fldCharType="begin"/>
      </w:r>
      <w:r>
        <w:rPr>
          <w:rStyle w:val="Hyperlink"/>
        </w:rPr>
        <w:instrText xml:space="preserve"> HYPERLINK "http://eutils.ncbi.nlm.nih.gov/entrez/eutils/elink.fcgi?dbfrom=pubmed&amp;id=31246123&amp;retmode=ref&amp;cmd=prlinks"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http://eutils.ncbi.nlm.nih.gov/entrez/eutils/elink.fcgi?dbfrom=pubmed&amp;id=31246123&amp;retmode=ref&amp;cmd=prlinks</w:t>
      </w:r>
      <w:r>
        <w:rPr>
          <w:rStyle w:val="Hyperlink"/>
        </w:rPr>
        <w:fldChar w:fldCharType="end"/>
      </w:r>
    </w:p>
    <w:p>
      <w:pPr>
        <w:pStyle w:val="Normal"/>
      </w:pPr>
      <w:r>
        <w:rPr>
          <w:color w:val="323232"/>
        </w:rPr>
        <w:t xml:space="preserve">————————</w:t>
      </w:r>
    </w:p>
    <w:p>
      <w:pPr>
        <w:pStyle w:val="Heading4"/>
      </w:pPr>
      <w:r>
        <w:t xml:space="preserve">Clinicopathologic, hemodynamic, and echocardiographic effects of short-term oral administration of anti-inflammatory doses of prednisolone to systemically normal cats.</w:t>
      </w:r>
    </w:p>
    <w:p/>
    <w:p>
      <w:pPr>
        <w:pStyle w:val="Normal"/>
      </w:pPr>
      <w:r>
        <w:rPr>
          <w:color w:val="323232"/>
        </w:rPr>
        <w:t xml:space="preserve">Imal A Khelik, Darren J Berger, Jonathan P Mochel, Yeon-Jung Seo, Jean-Sébastien Palerme, Wendy A Ware, and Jessica L Ward.</w:t>
      </w:r>
    </w:p>
    <w:p/>
    <w:p>
      <w:pPr>
        <w:pStyle w:val="Normal"/>
      </w:pPr>
      <w:r>
        <w:rPr>
          <w:color w:val="323232"/>
        </w:rPr>
        <w:t xml:space="preserve">OBJECTIVE:To evaluate the clinicopathologic, hemodynamic, and echocardiographic effects of short-term administration of anti-inflammatory dosages of prednisolone to systemically normal cats.</w:t>
      </w:r>
    </w:p>
    <w:p/>
    <w:p>
      <w:pPr>
        <w:pStyle w:val="Normal"/>
      </w:pPr>
      <w:r>
        <w:rPr>
          <w:color w:val="323232"/>
        </w:rPr>
        <w:t xml:space="preserve">ANIMALS:10 cats with allergic dermatitis and 10 healthy control cats.</w:t>
      </w:r>
    </w:p>
    <w:p/>
    <w:p>
      <w:pPr>
        <w:pStyle w:val="Normal"/>
      </w:pPr>
      <w:r>
        <w:rPr>
          <w:color w:val="323232"/>
        </w:rPr>
        <w:t xml:space="preserve">PROCEDURES:Cats with allergic dermatitis were randomly allocated to 2 groups and received 2 dosages of prednisolone (1 and 2 mg</w:t>
      </w:r>
      <w:r>
        <w:rPr>
          <w:i w:val="1"/>
          <w:color w:val="323232"/>
        </w:rPr>
        <w:t xml:space="preserve">kg</w:t>
      </w:r>
      <w:r>
        <w:rPr>
          <w:color w:val="323232"/>
        </w:rPr>
        <w:t xml:space="preserve">d, PO, for 7 days) in a crossover design followed by 9-day tapering and 14-day washout periods. Each prednisolone-treated cat was matched to a healthy control cat on the basis of sex, neuter status, age (± 1 year), and body weight (± 10%). Control cats received no treatment during the 35-day observation period. Clinicopathologic, echocardiographic, and hemodynamic variables were measured at baseline (day 0) and predetermined times during and after prednisolone administration and compared within and between the 2 treatment groups.</w:t>
      </w:r>
    </w:p>
    <w:p/>
    <w:p>
      <w:pPr>
        <w:pStyle w:val="Normal"/>
      </w:pPr>
      <w:r>
        <w:rPr>
          <w:color w:val="323232"/>
        </w:rPr>
        <w:t xml:space="preserve">RESULTS:Prednisolone-treated cats had expected clinicopathologic alterations (mild increases in neutrophil and monocyte counts and serum concentrations of albumin, cholesterol, and triglycerides) but systolic arterial blood pressure; blood glucose, serum potassium, and cardiac biomarker concentrations; urinary sodium excretion; and echocardiographic variables did not differ significantly from baseline at any time. Statistically significant, albeit clinically irrelevant, increases in blood glucose and N-terminal pro-B-type natriuretic peptide concentrations were observed between baseline and the prednisolone pharmacokinetic steady state (7 days after initiation) only when the 2-mg/kg dosage was administered.</w:t>
      </w:r>
    </w:p>
    <w:p/>
    <w:p>
      <w:pPr>
        <w:pStyle w:val="Normal"/>
      </w:pPr>
      <w:r>
        <w:rPr>
          <w:color w:val="323232"/>
        </w:rPr>
        <w:t xml:space="preserve">CONCLUSIONS AND CLINICAL RELEVANCE:Results indicated short-term oral administration of anti-inflammatory dosages of prednisolone did not cause relevant hemodynamic, echocardiographic, or diabetogenic effects in systemically normal cats with allergic dermatitis.</w:t>
      </w:r>
    </w:p>
    <w:p/>
    <w:p>
      <w:pPr>
        <w:pStyle w:val="Normal"/>
      </w:pPr>
      <w:r>
        <w:rPr>
          <w:color w:val="323232"/>
        </w:rPr>
        <w:t xml:space="preserve">Am J Vet Res, 2019 vol. 80 (8) pp. 743-755.</w:t>
      </w:r>
    </w:p>
    <w:p>
      <w:r>
        <w:rPr>
          <w:rStyle w:val="Hyperlink"/>
        </w:rPr>
        <w:fldChar w:fldCharType="begin"/>
      </w:r>
      <w:r>
        <w:rPr>
          <w:rStyle w:val="Hyperlink"/>
        </w:rPr>
        <w:instrText xml:space="preserve"> HYPERLINK "http://eutils.ncbi.nlm.nih.gov/entrez/eutils/elink.fcgi?dbfrom=pubmed&amp;id=31339769&amp;retmode=ref&amp;cmd=prlinks"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http://eutils.ncbi.nlm.nih.gov/entrez/eutils/elink.fcgi?dbfrom=pubmed&amp;id=31339769&amp;retmode=ref&amp;cmd=prlinks</w:t>
      </w:r>
      <w:r>
        <w:rPr>
          <w:rStyle w:val="Hyperlink"/>
        </w:rPr>
        <w:fldChar w:fldCharType="end"/>
      </w:r>
    </w:p>
    <w:p>
      <w:pPr>
        <w:pStyle w:val="Normal"/>
      </w:pPr>
      <w:r>
        <w:rPr>
          <w:color w:val="323232"/>
        </w:rPr>
        <w:t xml:space="preserve">————————</w:t>
      </w:r>
    </w:p>
    <w:p>
      <w:pPr>
        <w:pStyle w:val="Heading4"/>
      </w:pPr>
      <w:r>
        <w:t xml:space="preserve">Effects of airway pressure on contrast enhancement and diameter of the pulmonary artery in healthy dogs as determined by use of computed tomography angiography.</w:t>
      </w:r>
    </w:p>
    <w:p/>
    <w:p>
      <w:pPr>
        <w:pStyle w:val="Normal"/>
      </w:pPr>
      <w:r>
        <w:rPr>
          <w:color w:val="323232"/>
        </w:rPr>
        <w:t xml:space="preserve">Sangkyung Choen, Kitae Kim, Kyuyong Kang, Jiwon Kang, Jihye Nam, Junghee Yoon, and Mincheol Choi.</w:t>
      </w:r>
    </w:p>
    <w:p/>
    <w:p>
      <w:pPr>
        <w:pStyle w:val="Normal"/>
      </w:pPr>
      <w:r>
        <w:rPr>
          <w:color w:val="323232"/>
        </w:rPr>
        <w:t xml:space="preserve">OBJECTIVE:To evaluate effects of airway pressure on contrast enhancement and diameter of the pulmonary artery and determine the optimal airway pressure for pulmonary CT angiography in dogs.</w:t>
      </w:r>
    </w:p>
    <w:p/>
    <w:p>
      <w:pPr>
        <w:pStyle w:val="Normal"/>
      </w:pPr>
      <w:r>
        <w:rPr>
          <w:color w:val="323232"/>
        </w:rPr>
        <w:t xml:space="preserve">ANIMALS:8 healthy Beagles.</w:t>
      </w:r>
    </w:p>
    <w:p/>
    <w:p>
      <w:pPr>
        <w:pStyle w:val="Normal"/>
      </w:pPr>
      <w:r>
        <w:rPr>
          <w:color w:val="323232"/>
        </w:rPr>
        <w:t xml:space="preserve">PROCEDURES:Thoracic CT was performed at end-expiration (0 cm H2O) and 2 positive-pressure end-inspirations (10 and 20 cm H2O). Attenuation curves of enhancement for the sinus of the pulmonary trunk artery were obtained by use of a bolus technique. Contrast medium (300 mg of I/kg) was administered IV, and CT imaging began at the time of peak enhancement. At each pressure, time to peak enhancement, ratio of blood flow from the caudal vena cava to the right side of the heart (KCdVC), and enhancement characteristics and diameter changes of the pulmonary artery were evaluated.</w:t>
      </w:r>
    </w:p>
    <w:p/>
    <w:p>
      <w:pPr>
        <w:pStyle w:val="Normal"/>
      </w:pPr>
      <w:r>
        <w:rPr>
          <w:color w:val="323232"/>
        </w:rPr>
        <w:t xml:space="preserve">RESULTS:All dogs had a significant delay for time to peak enhancement in the sinus of the pulmonary trunk artery as airway pressure increased. The KCdVC progressively increased as airway pressure increased, and there was low contrast enhancement and increased pulmonary artery filling defects at 20 cm H2O. All pulmonary arteries had marked increases in diameter as pressure increased. Arterial distensibility in the gravity-dependent cranial lung region was greater than that in the gravity-independent caudal lung region at the 2 positive-pressure end-inspirations.</w:t>
      </w:r>
    </w:p>
    <w:p/>
    <w:p>
      <w:pPr>
        <w:pStyle w:val="Normal"/>
      </w:pPr>
      <w:r>
        <w:rPr>
          <w:color w:val="323232"/>
        </w:rPr>
        <w:t xml:space="preserve">CONCLUSIONS AND CLINICAL RELEVANCE:Airway pressure affected time to peak enhancement, KCdVC, contrast enhancement, and pulmonary artery diameter. Results suggested that 10 cm H2O could be an optimal pressure for evaluation of the pulmonary artery of dogs by use of CT angiography. (Am J Vet Res 2019;80;756-763).</w:t>
      </w:r>
    </w:p>
    <w:p/>
    <w:p>
      <w:pPr>
        <w:pStyle w:val="Normal"/>
      </w:pPr>
      <w:r>
        <w:rPr>
          <w:color w:val="323232"/>
        </w:rPr>
        <w:t xml:space="preserve">Am J Vet Res, 2019 vol. 80 (8) pp. 756-763.</w:t>
      </w:r>
    </w:p>
    <w:p>
      <w:r>
        <w:rPr>
          <w:rStyle w:val="Hyperlink"/>
        </w:rPr>
        <w:fldChar w:fldCharType="begin"/>
      </w:r>
      <w:r>
        <w:rPr>
          <w:rStyle w:val="Hyperlink"/>
        </w:rPr>
        <w:instrText xml:space="preserve"> HYPERLINK "http://eutils.ncbi.nlm.nih.gov/entrez/eutils/elink.fcgi?dbfrom=pubmed&amp;id=31339762&amp;retmode=ref&amp;cmd=prlinks"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http://eutils.ncbi.nlm.nih.gov/entrez/eutils/elink.fcgi?dbfrom=pubmed&amp;id=31339762&amp;retmode=ref&amp;cmd=prlinks</w:t>
      </w:r>
      <w:r>
        <w:rPr>
          <w:rStyle w:val="Hyperlink"/>
        </w:rPr>
        <w:fldChar w:fldCharType="end"/>
      </w:r>
    </w:p>
    <w:p>
      <w:pPr>
        <w:pStyle w:val="Normal"/>
      </w:pPr>
      <w:r>
        <w:rPr>
          <w:color w:val="323232"/>
        </w:rPr>
        <w:t xml:space="preserve">————————</w:t>
      </w:r>
    </w:p>
    <w:p>
      <w:pPr>
        <w:pStyle w:val="Heading4"/>
      </w:pPr>
      <w:r>
        <w:t xml:space="preserve">Effects of hydrocortisone administration on leptin and adiponectin synthesis in dogs.</w:t>
      </w:r>
    </w:p>
    <w:p/>
    <w:p>
      <w:pPr>
        <w:pStyle w:val="Normal"/>
      </w:pPr>
      <w:r>
        <w:rPr>
          <w:color w:val="323232"/>
        </w:rPr>
        <w:t xml:space="preserve">Hye-Ryung Choo, Hakhyun Kim, Ji-Houn Kang, Chan-Joo Sung, Changhwan Ahn, Byeong-Teck Kang, Dongwoo Chang, Eui-Bae Jeung, and Mhan-Pyo Yang.</w:t>
      </w:r>
    </w:p>
    <w:p/>
    <w:p>
      <w:pPr>
        <w:pStyle w:val="Normal"/>
      </w:pPr>
      <w:r>
        <w:rPr>
          <w:color w:val="323232"/>
        </w:rPr>
        <w:t xml:space="preserve">OBJECTIVE:To determine effects of hydrocortisone administration on serum leptin and adiponectin concentrations, abdominal fat distribution, and mRNA expression of leptin and adiponectin in abdominal adipose tissue of dogs.</w:t>
      </w:r>
    </w:p>
    <w:p/>
    <w:p>
      <w:pPr>
        <w:pStyle w:val="Normal"/>
      </w:pPr>
      <w:r>
        <w:rPr>
          <w:color w:val="323232"/>
        </w:rPr>
        <w:t xml:space="preserve">ANIMALS:12 healthy dogs.</w:t>
      </w:r>
    </w:p>
    <w:p/>
    <w:p>
      <w:pPr>
        <w:pStyle w:val="Normal"/>
      </w:pPr>
      <w:r>
        <w:rPr>
          <w:color w:val="323232"/>
        </w:rPr>
        <w:t xml:space="preserve">PROCEDURES:Dogs received hydrocortisone (8.5 mg/kg; n = 6) or a placebo (6) orally every 12 hours for 90 days. Serum leptin and adiponectin concentrations were measured with a canine-specific ELISA on the day before (day 0; baseline) and during (days 1, 3, 7, 30, 60, and 90) administration. On days 0, 30, 60, and 90, abdominal fat mass was quantified with CT, and mRNA expression of leptin and adiponectin in abdominal fat was analyzed by use of a PCR assay.</w:t>
      </w:r>
    </w:p>
    <w:p/>
    <w:p>
      <w:pPr>
        <w:pStyle w:val="Normal"/>
      </w:pPr>
      <w:r>
        <w:rPr>
          <w:color w:val="323232"/>
        </w:rPr>
        <w:t xml:space="preserve">RESULTS:Hydrocortisone administration resulted in an increase in visceral fat mass on days 60 and 90, compared with the mass at baseline. Visceral fat mass at the level of L3 increased during hydrocortisone administration. Serum leptin concentration began to increase on day 1 and was significantly higher than the baseline concentration on days 30 and 60. Serum adiponectin concentration on days 30, 60, and 90 was significantly lower than the baseline concentration. Leptin and adiponectin mRNA expression in abdominal fat was greater on day 30, compared with expression at baseline, but lower on days 60 and 90, compared with expression on day 30. Serum leptin concentration and visceral fat mass were correlated.</w:t>
      </w:r>
    </w:p>
    <w:p/>
    <w:p>
      <w:pPr>
        <w:pStyle w:val="Normal"/>
      </w:pPr>
      <w:r>
        <w:rPr>
          <w:color w:val="323232"/>
        </w:rPr>
        <w:t xml:space="preserve">CONCLUSIONS AND CLINICAL RELEVANCE:Hydrocortisone administration affected abdominal fat distribution and serum leptin and adiponectin concentrations through dysregulation of leptin and adiponectin expression.</w:t>
      </w:r>
    </w:p>
    <w:p/>
    <w:p>
      <w:pPr>
        <w:pStyle w:val="Normal"/>
      </w:pPr>
      <w:r>
        <w:rPr>
          <w:color w:val="323232"/>
        </w:rPr>
        <w:t xml:space="preserve">Am J Vet Res, 2019 vol. 80 (8) pp. 771-778.</w:t>
      </w:r>
    </w:p>
    <w:p>
      <w:r>
        <w:rPr>
          <w:rStyle w:val="Hyperlink"/>
        </w:rPr>
        <w:fldChar w:fldCharType="begin"/>
      </w:r>
      <w:r>
        <w:rPr>
          <w:rStyle w:val="Hyperlink"/>
        </w:rPr>
        <w:instrText xml:space="preserve"> HYPERLINK "http://eutils.ncbi.nlm.nih.gov/entrez/eutils/elink.fcgi?dbfrom=pubmed&amp;id=31339764&amp;retmode=ref&amp;cmd=prlinks"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http://eutils.ncbi.nlm.nih.gov/entrez/eutils/elink.fcgi?dbfrom=pubmed&amp;id=31339764&amp;retmode=ref&amp;cmd=prlinks</w:t>
      </w:r>
      <w:r>
        <w:rPr>
          <w:rStyle w:val="Hyperlink"/>
        </w:rPr>
        <w:fldChar w:fldCharType="end"/>
      </w:r>
    </w:p>
    <w:p>
      <w:pPr>
        <w:pStyle w:val="Normal"/>
      </w:pPr>
      <w:r>
        <w:rPr>
          <w:color w:val="323232"/>
        </w:rPr>
        <w:t xml:space="preserve">————————</w:t>
      </w:r>
    </w:p>
    <w:p>
      <w:pPr>
        <w:pStyle w:val="Heading4"/>
      </w:pPr>
      <w:r>
        <w:t xml:space="preserve">Abdominal lymphatic drainage after thoracic duct ligation and cisterna chyli ablation in clinically normal cats.</w:t>
      </w:r>
    </w:p>
    <w:p/>
    <w:p>
      <w:pPr>
        <w:pStyle w:val="Normal"/>
      </w:pPr>
      <w:r>
        <w:rPr>
          <w:color w:val="323232"/>
        </w:rPr>
        <w:t xml:space="preserve">Vanna M Dickerson, Janet A Grimes, Scott A Secrest, Mandy L Wallace, and Chad W Schmiedt.</w:t>
      </w:r>
    </w:p>
    <w:p/>
    <w:p>
      <w:pPr>
        <w:pStyle w:val="Normal"/>
      </w:pPr>
      <w:r>
        <w:rPr>
          <w:color w:val="323232"/>
        </w:rPr>
        <w:t xml:space="preserve">OBJECTIVE:To characterize abdominal lymphatic drainage in cats after thoracic duct ligation (TDL) and cisterna chyli ablation (CCA).</w:t>
      </w:r>
    </w:p>
    <w:p/>
    <w:p>
      <w:pPr>
        <w:pStyle w:val="Normal"/>
      </w:pPr>
      <w:r>
        <w:rPr>
          <w:color w:val="323232"/>
        </w:rPr>
        <w:t xml:space="preserve">ANIMALS:7 purpose-bred research cats.</w:t>
      </w:r>
    </w:p>
    <w:p/>
    <w:p>
      <w:pPr>
        <w:pStyle w:val="Normal"/>
      </w:pPr>
      <w:r>
        <w:rPr>
          <w:color w:val="323232"/>
        </w:rPr>
        <w:t xml:space="preserve">PROCEDURES:Baseline CT lymphangiography was performed. A popliteal lymph node was injected with iohexol, and images were acquired at 5-minute intervals for 15 minutes. Cats underwent TDL and CCA; methylene blue was used to aid in identifying lymphatic vessels. The CT lymphangiography was repeated immediately after and 30 days after surgery. All cats were euthanized and necropsied.</w:t>
      </w:r>
    </w:p>
    <w:p/>
    <w:p>
      <w:pPr>
        <w:pStyle w:val="Normal"/>
      </w:pPr>
      <w:r>
        <w:rPr>
          <w:color w:val="323232"/>
        </w:rPr>
        <w:t xml:space="preserve">RESULTS:Results of baseline CT lymphangiography were unremarkable for all 7 cats. Only 5 cats completed the study. Leakage of contrast medium at the level of the cisterna chyli was seen on CT lymphangiography images obtained from all cats immediately after surgery. Evaluation of 30-day postoperative CT lymphangiography images revealed small branches entering the caudal vena cava in 2 cats, leakage of contrast medium into the caudal vena cava with no visible branches in 1 cat, and no contrast medium in the caudal vena cava in 2 cats. Contrast medium did not flow beyond the level of the cisterna chyli in any cat. Gross examination during necropsy revealed that all cats had small lymphatic vessels that appeared to connect to local vasculature identified in the region of the cisterna chyli.</w:t>
      </w:r>
    </w:p>
    <w:p/>
    <w:p>
      <w:pPr>
        <w:pStyle w:val="Normal"/>
      </w:pPr>
      <w:r>
        <w:rPr>
          <w:color w:val="323232"/>
        </w:rPr>
        <w:t xml:space="preserve">CONCLUSIONS AND CLINICAL RELEVANCE:Abdominal lymphaticovenous anastomoses formed after TDL and CCA in cats. This would support use of these procedures for treatment of cats with idiopathic chylothorax, although additional studies with clinically affected cats are warranted.</w:t>
      </w:r>
    </w:p>
    <w:p/>
    <w:p>
      <w:pPr>
        <w:pStyle w:val="Normal"/>
      </w:pPr>
      <w:r>
        <w:rPr>
          <w:color w:val="323232"/>
        </w:rPr>
        <w:t xml:space="preserve">Am J Vet Res, 2019 vol. 80 (9) pp. 885-890.</w:t>
      </w:r>
    </w:p>
    <w:p>
      <w:r>
        <w:rPr>
          <w:rStyle w:val="Hyperlink"/>
        </w:rPr>
        <w:fldChar w:fldCharType="begin"/>
      </w:r>
      <w:r>
        <w:rPr>
          <w:rStyle w:val="Hyperlink"/>
        </w:rPr>
        <w:instrText xml:space="preserve"> HYPERLINK "http://eutils.ncbi.nlm.nih.gov/entrez/eutils/elink.fcgi?dbfrom=pubmed&amp;id=31449451&amp;retmode=ref&amp;cmd=prlinks"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http://eutils.ncbi.nlm.nih.gov/entrez/eutils/elink.fcgi?dbfrom=pubmed&amp;id=31449451&amp;retmode=ref&amp;cmd=prlinks</w:t>
      </w:r>
      <w:r>
        <w:rPr>
          <w:rStyle w:val="Hyperlink"/>
        </w:rPr>
        <w:fldChar w:fldCharType="end"/>
      </w:r>
    </w:p>
    <w:p>
      <w:pPr>
        <w:pStyle w:val="Normal"/>
      </w:pPr>
      <w:r>
        <w:rPr>
          <w:color w:val="323232"/>
        </w:rPr>
        <w:t xml:space="preserve">————————</w:t>
      </w:r>
    </w:p>
    <w:p>
      <w:pPr>
        <w:pStyle w:val="Heading4"/>
      </w:pPr>
      <w:r>
        <w:t xml:space="preserve">Abdominal lymphatic drainage after thoracic duct ligation and cisterna chyli ablation in clinically normal cats.</w:t>
      </w:r>
    </w:p>
    <w:p/>
    <w:p>
      <w:pPr>
        <w:pStyle w:val="Normal"/>
      </w:pPr>
      <w:r>
        <w:rPr>
          <w:color w:val="323232"/>
        </w:rPr>
        <w:t xml:space="preserve">Vanna M Dickerson, Janet A Grimes, Scott A Secrest, Mandy L Wallace, and Chad W Schmiedt.</w:t>
      </w:r>
    </w:p>
    <w:p/>
    <w:p>
      <w:pPr>
        <w:pStyle w:val="Normal"/>
      </w:pPr>
      <w:r>
        <w:rPr>
          <w:color w:val="323232"/>
        </w:rPr>
        <w:t xml:space="preserve">OBJECTIVE:To characterize abdominal lymphatic drainage in cats after thoracic duct ligation (TDL) and cisterna chyli ablation (CCA).</w:t>
      </w:r>
    </w:p>
    <w:p/>
    <w:p>
      <w:pPr>
        <w:pStyle w:val="Normal"/>
      </w:pPr>
      <w:r>
        <w:rPr>
          <w:color w:val="323232"/>
        </w:rPr>
        <w:t xml:space="preserve">ANIMALS:7 purpose-bred research cats.</w:t>
      </w:r>
    </w:p>
    <w:p/>
    <w:p>
      <w:pPr>
        <w:pStyle w:val="Normal"/>
      </w:pPr>
      <w:r>
        <w:rPr>
          <w:color w:val="323232"/>
        </w:rPr>
        <w:t xml:space="preserve">PROCEDURES:Baseline CT lymphangiography was performed. A popliteal lymph node was injected with iohexol, and images were acquired at 5-minute intervals for 15 minutes. Cats underwent TDL and CCA; methylene blue was used to aid in identifying lymphatic vessels. The CT lymphangiography was repeated immediately after and 30 days after surgery. All cats were euthanized and necropsied.</w:t>
      </w:r>
    </w:p>
    <w:p/>
    <w:p>
      <w:pPr>
        <w:pStyle w:val="Normal"/>
      </w:pPr>
      <w:r>
        <w:rPr>
          <w:color w:val="323232"/>
        </w:rPr>
        <w:t xml:space="preserve">RESULTS:Results of baseline CT lymphangiography were unremarkable for all 7 cats. Only 5 cats completed the study. Leakage of contrast medium at the level of the cisterna chyli was seen on CT lymphangiography images obtained from all cats immediately after surgery. Evaluation of 30-day postoperative CT lymphangiography images revealed small branches entering the caudal vena cava in 2 cats, leakage of contrast medium into the caudal vena cava with no visible branches in 1 cat, and no contrast medium in the caudal vena cava in 2 cats. Contrast medium did not flow beyond the level of the cisterna chyli in any cat. Gross examination during necropsy revealed that all cats had small lymphatic vessels that appeared to connect to local vasculature identified in the region of the cisterna chyli.</w:t>
      </w:r>
    </w:p>
    <w:p/>
    <w:p>
      <w:pPr>
        <w:pStyle w:val="Normal"/>
      </w:pPr>
      <w:r>
        <w:rPr>
          <w:color w:val="323232"/>
        </w:rPr>
        <w:t xml:space="preserve">CONCLUSIONS AND CLINICAL RELEVANCE:Abdominal lymphaticovenous anastomoses formed after TDL and CCA in cats. This would support use of these procedures for treatment of cats with idiopathic chylothorax, although additional studies with clinically affected cats are warranted.</w:t>
      </w:r>
    </w:p>
    <w:p/>
    <w:p>
      <w:pPr>
        <w:pStyle w:val="Normal"/>
      </w:pPr>
      <w:r>
        <w:rPr>
          <w:color w:val="323232"/>
        </w:rPr>
        <w:t xml:space="preserve">Am J Vet Res, 2019 vol. 80 (9) pp. 885-890.</w:t>
      </w:r>
    </w:p>
    <w:p>
      <w:r>
        <w:rPr>
          <w:rStyle w:val="Hyperlink"/>
        </w:rPr>
        <w:fldChar w:fldCharType="begin"/>
      </w:r>
      <w:r>
        <w:rPr>
          <w:rStyle w:val="Hyperlink"/>
        </w:rPr>
        <w:instrText xml:space="preserve"> HYPERLINK "http://eutils.ncbi.nlm.nih.gov/entrez/eutils/elink.fcgi?dbfrom=pubmed&amp;id=31449451&amp;retmode=ref&amp;cmd=prlinks"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http://eutils.ncbi.nlm.nih.gov/entrez/eutils/elink.fcgi?dbfrom=pubmed&amp;id=31449451&amp;retmode=ref&amp;cmd=prlinks</w:t>
      </w:r>
      <w:r>
        <w:rPr>
          <w:rStyle w:val="Hyperlink"/>
        </w:rPr>
        <w:fldChar w:fldCharType="end"/>
      </w:r>
    </w:p>
    <w:p>
      <w:pPr>
        <w:pStyle w:val="Normal"/>
      </w:pPr>
      <w:r>
        <w:rPr>
          <w:color w:val="323232"/>
        </w:rPr>
        <w:t xml:space="preserve">————————</w:t>
      </w:r>
    </w:p>
    <w:p>
      <w:pPr>
        <w:pStyle w:val="Heading4"/>
      </w:pPr>
      <w:r>
        <w:t xml:space="preserve">Coagulation factor activity in units of leukoreduced and nonleukoreduced canine fresh-frozen plasma.</w:t>
      </w:r>
    </w:p>
    <w:p/>
    <w:p>
      <w:pPr>
        <w:pStyle w:val="Normal"/>
      </w:pPr>
      <w:r>
        <w:rPr>
          <w:color w:val="323232"/>
        </w:rPr>
        <w:t xml:space="preserve">Michelle L Foote, Marjory B Brooks, Todd M Archer, Robert W Wills, Andrew J Mackin, and John M Thomason.</w:t>
      </w:r>
    </w:p>
    <w:p/>
    <w:p>
      <w:pPr>
        <w:pStyle w:val="Normal"/>
      </w:pPr>
      <w:r>
        <w:rPr>
          <w:color w:val="323232"/>
        </w:rPr>
        <w:t xml:space="preserve">OBJECTIVE:To evaluate coagulation factors in units of leukoreduced (LR) and nonleukoreduced (non-LR) canine fresh-frozen plasma (cFFP).</w:t>
      </w:r>
    </w:p>
    <w:p/>
    <w:p>
      <w:pPr>
        <w:pStyle w:val="Normal"/>
      </w:pPr>
      <w:r>
        <w:rPr>
          <w:color w:val="323232"/>
        </w:rPr>
        <w:t xml:space="preserve">ANIMALS:8 healthy research dogs.</w:t>
      </w:r>
    </w:p>
    <w:p/>
    <w:p>
      <w:pPr>
        <w:pStyle w:val="Normal"/>
      </w:pPr>
      <w:r>
        <w:rPr>
          <w:color w:val="323232"/>
        </w:rPr>
        <w:t xml:space="preserve">PROCEDURES:In a crossover study, dogs were randomly assigned to 1 of 2 groups from which blood was collected and either did or did not undergo leukoreduction. After a recovery period of ≥ 28 days, the dogs were switched between protocols. After each collection, blood samples were centrifuged, and cFFP was stored frozen for later comparative analysis of coagulation factors, antithrombin, and protein C activities (reported as comparative percentages of the corresponding activities determined in a canine pooled plasma standard); prothrombin and activated partial thromboplastin times; and fibrinogen concentration.</w:t>
      </w:r>
    </w:p>
    <w:p/>
    <w:p>
      <w:pPr>
        <w:pStyle w:val="Normal"/>
      </w:pPr>
      <w:r>
        <w:rPr>
          <w:color w:val="323232"/>
        </w:rPr>
        <w:t xml:space="preserve">RESULTS:There were no significant differences detected between results for LR cFFP, compared with those for non-LR cFFP.</w:t>
      </w:r>
    </w:p>
    <w:p/>
    <w:p>
      <w:pPr>
        <w:pStyle w:val="Normal"/>
      </w:pPr>
      <w:r>
        <w:rPr>
          <w:color w:val="323232"/>
        </w:rPr>
        <w:t xml:space="preserve">CONCLUSIONS AND CLINICAL RELEVANCE:Although there was variation among residual activities of coagulation factors in LR and non-LR cFFP, the variations and differences were considered unlikely to impact the efficacy of LR cFFP transfused for coagulation factor replacement in dogs. However, owing to the small sample size and high variability of results in the present study, additional research with a larger sample size is required for definitive conclusions on the effects of leukoreduction on coagulation factors in cFFP and to develop treatment guidelines for LR cFFP use in dogs with congenital and acquired coagulopathies.</w:t>
      </w:r>
    </w:p>
    <w:p/>
    <w:p>
      <w:pPr>
        <w:pStyle w:val="Normal"/>
      </w:pPr>
      <w:r>
        <w:rPr>
          <w:color w:val="323232"/>
        </w:rPr>
        <w:t xml:space="preserve">Am J Vet Res, 2019 vol. 80 (9) pp. 846-851.</w:t>
      </w:r>
    </w:p>
    <w:p>
      <w:r>
        <w:rPr>
          <w:rStyle w:val="Hyperlink"/>
        </w:rPr>
        <w:fldChar w:fldCharType="begin"/>
      </w:r>
      <w:r>
        <w:rPr>
          <w:rStyle w:val="Hyperlink"/>
        </w:rPr>
        <w:instrText xml:space="preserve"> HYPERLINK "http://eutils.ncbi.nlm.nih.gov/entrez/eutils/elink.fcgi?dbfrom=pubmed&amp;id=31449444&amp;retmode=ref&amp;cmd=prlinks"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http://eutils.ncbi.nlm.nih.gov/entrez/eutils/elink.fcgi?dbfrom=pubmed&amp;id=31449444&amp;retmode=ref&amp;cmd=prlinks</w:t>
      </w:r>
      <w:r>
        <w:rPr>
          <w:rStyle w:val="Hyperlink"/>
        </w:rPr>
        <w:fldChar w:fldCharType="end"/>
      </w:r>
    </w:p>
    <w:p>
      <w:pPr>
        <w:pStyle w:val="Normal"/>
      </w:pPr>
      <w:r>
        <w:rPr>
          <w:color w:val="323232"/>
        </w:rPr>
        <w:t xml:space="preserve">————————</w:t>
      </w:r>
    </w:p>
    <w:p>
      <w:pPr>
        <w:pStyle w:val="Heading4"/>
      </w:pPr>
      <w:r>
        <w:t xml:space="preserve">Evaluation of the number of colony forming units on the skin of dogs after clipping the hair with two sizes of clipper blades.</w:t>
      </w:r>
    </w:p>
    <w:p/>
    <w:p>
      <w:pPr>
        <w:pStyle w:val="Normal"/>
      </w:pPr>
      <w:r>
        <w:rPr>
          <w:color w:val="323232"/>
        </w:rPr>
        <w:t xml:space="preserve">Yasmine Messiaen, Jeffrey D MacLellan, and Davyd H Pelsue.</w:t>
      </w:r>
    </w:p>
    <w:p/>
    <w:p>
      <w:pPr>
        <w:pStyle w:val="Normal"/>
      </w:pPr>
      <w:r>
        <w:rPr>
          <w:color w:val="323232"/>
        </w:rPr>
        <w:t xml:space="preserve">OBJECTIVE:To evaluate erythema and number of CFUs on the skin of dogs with hair clipped by use of 2 sizes of clipper blades.</w:t>
      </w:r>
    </w:p>
    <w:p/>
    <w:p>
      <w:pPr>
        <w:pStyle w:val="Normal"/>
      </w:pPr>
      <w:r>
        <w:rPr>
          <w:color w:val="323232"/>
        </w:rPr>
        <w:t xml:space="preserve">ANIMALS:67 client-owned dogs receiving an epidural.</w:t>
      </w:r>
    </w:p>
    <w:p/>
    <w:p>
      <w:pPr>
        <w:pStyle w:val="Normal"/>
      </w:pPr>
      <w:r>
        <w:rPr>
          <w:color w:val="323232"/>
        </w:rPr>
        <w:t xml:space="preserve">PROCEDURES:Hair was clipped with a No. 10 blade (approx hair length, 1.5 mm) on one half and a No. 40 blade (approx hair length, 0.25 mm) on the other half of each epidural site. Skin was surgically scrubbed with 2% chlorhexidine gluconate and 70% isopropyl alcohol. Samples were obtained immediately after clipping, after skin was scrubbed, and again 24 hours after clipping. Number of CFUs for both sides of the clipped areas, types of microorganisms, and growth on MacConkey agar were evaluated every 24 hours for 72 hours. Colonies were evaluated for bacterial morphology and Gram stain characteristics. Sites were evaluated 24 hours after clipping for evidence of erythema.</w:t>
      </w:r>
    </w:p>
    <w:p/>
    <w:p>
      <w:pPr>
        <w:pStyle w:val="Normal"/>
      </w:pPr>
      <w:r>
        <w:rPr>
          <w:color w:val="323232"/>
        </w:rPr>
        <w:t xml:space="preserve">RESULTS:24 hours after hair was clipped, there was a significantly higher incidence of erythema and higher number of Micrococcaceae bacteria for the side clipped with the No. 40 blade than the side clipped with the No. 10 blade. Number of CFUs did not differ significantly between size of clipper blades.</w:t>
      </w:r>
    </w:p>
    <w:p/>
    <w:p>
      <w:pPr>
        <w:pStyle w:val="Normal"/>
      </w:pPr>
      <w:r>
        <w:rPr>
          <w:color w:val="323232"/>
        </w:rPr>
        <w:t xml:space="preserve">CONCLUSIONS AND CLINICAL RELEVANCE:Clipping hair with a No. 40 blade resulted in a significant increase in the incidence of erythema and higher number of Micrococcaceae bacteria, compared with results for clipping with a No. 10 blade. These results supported use of a No. 10 clipper blade to prevent erythema and reduce variation in the skin microbiome.</w:t>
      </w:r>
    </w:p>
    <w:p/>
    <w:p>
      <w:pPr>
        <w:pStyle w:val="Normal"/>
      </w:pPr>
      <w:r>
        <w:rPr>
          <w:color w:val="323232"/>
        </w:rPr>
        <w:t xml:space="preserve">Am J Vet Res, 2019 vol. 80 (9) pp. 862-867.</w:t>
      </w:r>
    </w:p>
    <w:p>
      <w:r>
        <w:rPr>
          <w:rStyle w:val="Hyperlink"/>
        </w:rPr>
        <w:fldChar w:fldCharType="begin"/>
      </w:r>
      <w:r>
        <w:rPr>
          <w:rStyle w:val="Hyperlink"/>
        </w:rPr>
        <w:instrText xml:space="preserve"> HYPERLINK "http://eutils.ncbi.nlm.nih.gov/entrez/eutils/elink.fcgi?dbfrom=pubmed&amp;id=31449448&amp;retmode=ref&amp;cmd=prlinks"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http://eutils.ncbi.nlm.nih.gov/entrez/eutils/elink.fcgi?dbfrom=pubmed&amp;id=31449448&amp;retmode=ref&amp;cmd=prlinks</w:t>
      </w:r>
      <w:r>
        <w:rPr>
          <w:rStyle w:val="Hyperlink"/>
        </w:rPr>
        <w:fldChar w:fldCharType="end"/>
      </w:r>
    </w:p>
    <w:p>
      <w:pPr>
        <w:pStyle w:val="Normal"/>
      </w:pPr>
      <w:r>
        <w:rPr>
          <w:color w:val="323232"/>
        </w:rPr>
        <w:t xml:space="preserve">————————</w:t>
      </w:r>
    </w:p>
    <w:p>
      <w:pPr>
        <w:pStyle w:val="Heading4"/>
      </w:pPr>
      <w:r>
        <w:t xml:space="preserve">Cardiovascular and sedation reversal effects of intramuscular administration of atipamezole in dogs treated with medetomidine hydrochloride with or without the peripheral α2-adrenoceptor antagonist vatinoxan hydrochloride.</w:t>
      </w:r>
    </w:p>
    <w:p/>
    <w:p>
      <w:pPr>
        <w:pStyle w:val="Normal"/>
      </w:pPr>
      <w:r>
        <w:rPr>
          <w:color w:val="323232"/>
        </w:rPr>
        <w:t xml:space="preserve">Heta Turunen, Marja R Raekallio, Juhana M Honkavaara, Flavia Restitutti, Ira J Kallio-Kujala, Magdy Adam, Katri Nevanperä, Mika Scheinin, Sofia K Männikkö, Heidi J Hautajärvi, Paula Larenza Menzies, and Outi M Vainio.</w:t>
      </w:r>
    </w:p>
    <w:p/>
    <w:p>
      <w:pPr>
        <w:pStyle w:val="Normal"/>
      </w:pPr>
      <w:r>
        <w:rPr>
          <w:color w:val="323232"/>
        </w:rPr>
        <w:t xml:space="preserve">OBJECTIVE:To investigate the cardiovascular and sedation reversal effects of IM administration of atipamezole (AA) in dogs treated with medetomidine hydrochloride (MED) or MED and vatinoxan (MK-467).</w:t>
      </w:r>
    </w:p>
    <w:p/>
    <w:p>
      <w:pPr>
        <w:pStyle w:val="Normal"/>
      </w:pPr>
      <w:r>
        <w:rPr>
          <w:color w:val="323232"/>
        </w:rPr>
        <w:t xml:space="preserve">ANIMALS:8 purpose-bred, 2-year-old Beagles.</w:t>
      </w:r>
    </w:p>
    <w:p/>
    <w:p>
      <w:pPr>
        <w:pStyle w:val="Normal"/>
      </w:pPr>
      <w:r>
        <w:rPr>
          <w:color w:val="323232"/>
        </w:rPr>
        <w:t xml:space="preserve">PROCEDURES:A randomized, blinded, crossover study was performed in which each dog received 2 IM treatments at a ≥ 2-week interval as follows: injection of MED (20 μg</w:t>
      </w:r>
      <w:r>
        <w:rPr>
          <w:i w:val="1"/>
          <w:color w:val="323232"/>
        </w:rPr>
        <w:t xml:space="preserve">kg) or MED mixed with 400 μg of vatinoxan</w:t>
      </w:r>
      <w:r>
        <w:rPr>
          <w:color w:val="323232"/>
        </w:rPr>
        <w:t xml:space="preserve">kg (MEDVAT) 30 minutes before AA (100 μg/kg). Sedation score, heart rate, mean arterial and central venous blood pressures, and cardiac output were recorded before and at various time points (up to 90 minutes) after AA. Cardiac and systemic vascular resistance indices were calculated. Venous blood samples were collected at intervals until 210 minutes after AA for drug concentration analysis.</w:t>
      </w:r>
    </w:p>
    <w:p/>
    <w:p>
      <w:pPr>
        <w:pStyle w:val="Normal"/>
      </w:pPr>
      <w:r>
        <w:rPr>
          <w:color w:val="323232"/>
        </w:rPr>
        <w:t xml:space="preserve">RESULTS:Heart rate following MED administration was lower, compared with findings after MEDVAT administration, prior to and at ≥ 10 minutes after AA. Mean arterial blood pressure was lower with MEDVAT than with MED at 5 minutes after AA, when its nadir was detected. Overall, cardiac index was higher and systemic vascular resistance index lower, indicating better cardiovascular function, in MEDVAT-atipamezole-treated dogs. Plasma dexmedetomidine concentrations were lower and recoveries from sedation were faster and more complete after MEDVAT treatment with AA than after MED treatment with AA.</w:t>
      </w:r>
    </w:p>
    <w:p/>
    <w:p>
      <w:pPr>
        <w:pStyle w:val="Normal"/>
      </w:pPr>
      <w:r>
        <w:rPr>
          <w:color w:val="323232"/>
        </w:rPr>
        <w:t xml:space="preserve">CONCLUSIONS AND CLINICAL RELEVANCE:Atipamezole failed to restore heart rate and cardiac index in medetomidine-sedated dogs, and relapses into sedation were observed. Coadministration of vatinoxan with MED helped to maintain hemodynamic function and hastened the recovery from sedation after AA in dogs.</w:t>
      </w:r>
    </w:p>
    <w:p/>
    <w:p>
      <w:pPr>
        <w:pStyle w:val="Normal"/>
      </w:pPr>
      <w:r>
        <w:rPr>
          <w:color w:val="323232"/>
        </w:rPr>
        <w:t xml:space="preserve">Am J Vet Res, 2019 vol. 80 (10) pp. 912-922.</w:t>
      </w:r>
    </w:p>
    <w:p>
      <w:r>
        <w:rPr>
          <w:rStyle w:val="Hyperlink"/>
        </w:rPr>
        <w:fldChar w:fldCharType="begin"/>
      </w:r>
      <w:r>
        <w:rPr>
          <w:rStyle w:val="Hyperlink"/>
        </w:rPr>
        <w:instrText xml:space="preserve"> HYPERLINK "http://eutils.ncbi.nlm.nih.gov/entrez/eutils/elink.fcgi?dbfrom=pubmed&amp;id=31556714&amp;retmode=ref&amp;cmd=prlinks"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http://eutils.ncbi.nlm.nih.gov/entrez/eutils/elink.fcgi?dbfrom=pubmed&amp;id=31556714&amp;retmode=ref&amp;cmd=prlinks</w:t>
      </w:r>
      <w:r>
        <w:rPr>
          <w:rStyle w:val="Hyperlink"/>
        </w:rPr>
        <w:fldChar w:fldCharType="end"/>
      </w:r>
    </w:p>
    <w:p>
      <w:pPr>
        <w:pStyle w:val="Normal"/>
      </w:pPr>
      <w:r>
        <w:rPr>
          <w:color w:val="323232"/>
        </w:rPr>
        <w:t xml:space="preserve">————————</w:t>
      </w:r>
    </w:p>
    <w:p>
      <w:pPr>
        <w:pStyle w:val="Heading4"/>
      </w:pPr>
      <w:r>
        <w:t xml:space="preserve">Effect on urine specific gravity of the addition of glucose to urine samples of dogs and cats.</w:t>
      </w:r>
    </w:p>
    <w:p/>
    <w:p>
      <w:pPr>
        <w:pStyle w:val="Normal"/>
      </w:pPr>
      <w:r>
        <w:rPr>
          <w:color w:val="323232"/>
        </w:rPr>
        <w:t xml:space="preserve">Ellen N Behrend, Annabel N Botsford, Samuel A Mueller, Erik H Hofmeister, and Hollie P Lee.</w:t>
      </w:r>
    </w:p>
    <w:p/>
    <w:p>
      <w:pPr>
        <w:pStyle w:val="Normal"/>
      </w:pPr>
      <w:r>
        <w:rPr>
          <w:color w:val="323232"/>
        </w:rPr>
        <w:t xml:space="preserve">OBJECTIVE:To evaluate effects of the addition of glucose to dog and cat urine on urine specific gravity (USG) and determine whether glucosuria affects assessment of renal concentrating ability.</w:t>
      </w:r>
    </w:p>
    <w:p/>
    <w:p>
      <w:pPr>
        <w:pStyle w:val="Normal"/>
      </w:pPr>
      <w:r>
        <w:rPr>
          <w:color w:val="323232"/>
        </w:rPr>
        <w:t xml:space="preserve">SAMPLE:Urine samples from 102 dogs and 59 cats.</w:t>
      </w:r>
    </w:p>
    <w:p/>
    <w:p>
      <w:pPr>
        <w:pStyle w:val="Normal"/>
      </w:pPr>
      <w:r>
        <w:rPr>
          <w:color w:val="323232"/>
        </w:rPr>
        <w:t xml:space="preserve">PROCEDURES:Urine for each species was pooled to create samples with various USGs. Glucose was added to an aliquot of each USG pool (final concentration, 2,400 mg/dL), and serial dilutions of the glucose-containing aliquot were created for each pool. The USG then was measured in all samples. The difference in USG attributable to addition of glucose was calculated by subtracting the USG of the unaltered sample from the USG of the sample after the addition of glucose. The relationship between the difference in USG and the USG of the unaltered, undiluted sample was evaluated by the use of linear regression analysis.</w:t>
      </w:r>
    </w:p>
    <w:p/>
    <w:p>
      <w:pPr>
        <w:pStyle w:val="Normal"/>
      </w:pPr>
      <w:r>
        <w:rPr>
          <w:color w:val="323232"/>
        </w:rPr>
        <w:t xml:space="preserve">RESULTS:Addition of glucose to urine samples increased the USG. There was a significant relationship between USG of the undiluted sample and the difference in USG when glucose was added to obtain concentrations of 300, 600, 1,200, and 2,400 mg</w:t>
      </w:r>
      <w:r>
        <w:rPr>
          <w:i w:val="1"/>
          <w:color w:val="323232"/>
        </w:rPr>
        <w:t xml:space="preserve">dL in canine urine and concentrations of 600, 1,200, and 2,400 mg</w:t>
      </w:r>
      <w:r>
        <w:rPr>
          <w:color w:val="323232"/>
        </w:rPr>
        <w:t xml:space="preserve">dL in feline urine. The more concentrated the urine before the addition of glucose, the less change there was in the USG. Changes in USG attributable to addition of glucose were not clinically important.</w:t>
      </w:r>
    </w:p>
    <w:p/>
    <w:p>
      <w:pPr>
        <w:pStyle w:val="Normal"/>
      </w:pPr>
      <w:r>
        <w:rPr>
          <w:color w:val="323232"/>
        </w:rPr>
        <w:t xml:space="preserve">CONCLUSIONS AND CLINICAL RELEVANCE:Substantial glucosuria resulted in minimal alterations in specific gravity of canine and feline urine samples. Thus, USG can be used to assess renal concentrating ability even in samples with glucosuria.</w:t>
      </w:r>
    </w:p>
    <w:p/>
    <w:p>
      <w:pPr>
        <w:pStyle w:val="Normal"/>
      </w:pPr>
      <w:r>
        <w:rPr>
          <w:color w:val="323232"/>
        </w:rPr>
        <w:t xml:space="preserve">Am J Vet Res, 2019 vol. 80 (10) pp. 907-911.</w:t>
      </w:r>
    </w:p>
    <w:p>
      <w:r>
        <w:rPr>
          <w:rStyle w:val="Hyperlink"/>
        </w:rPr>
        <w:fldChar w:fldCharType="begin"/>
      </w:r>
      <w:r>
        <w:rPr>
          <w:rStyle w:val="Hyperlink"/>
        </w:rPr>
        <w:instrText xml:space="preserve"> HYPERLINK "http://eutils.ncbi.nlm.nih.gov/entrez/eutils/elink.fcgi?dbfrom=pubmed&amp;id=31556718&amp;retmode=ref&amp;cmd=prlinks"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http://eutils.ncbi.nlm.nih.gov/entrez/eutils/elink.fcgi?dbfrom=pubmed&amp;id=31556718&amp;retmode=ref&amp;cmd=prlinks</w:t>
      </w:r>
      <w:r>
        <w:rPr>
          <w:rStyle w:val="Hyperlink"/>
        </w:rPr>
        <w:fldChar w:fldCharType="end"/>
      </w:r>
    </w:p>
    <w:p>
      <w:pPr>
        <w:pStyle w:val="Normal"/>
      </w:pPr>
      <w:r>
        <w:rPr>
          <w:color w:val="323232"/>
        </w:rPr>
        <w:t xml:space="preserve">————————</w:t>
      </w:r>
    </w:p>
    <w:p>
      <w:pPr>
        <w:pStyle w:val="Heading4"/>
      </w:pPr>
      <w:r>
        <w:t xml:space="preserve">Pharmacokinetics of a commercially available product and a compounded formulation of extended-release levetiracetam after oral administration of a single dose in cats.</w:t>
      </w:r>
    </w:p>
    <w:p/>
    <w:p>
      <w:pPr>
        <w:pStyle w:val="Normal"/>
      </w:pPr>
      <w:r>
        <w:rPr>
          <w:color w:val="323232"/>
        </w:rPr>
        <w:t xml:space="preserve">Erik R Johnson, Amanda R Taylor, Dawn M Boothe, Heather L Gray-Edwards, Randolph L Winter, and Doug R Martin.</w:t>
      </w:r>
    </w:p>
    <w:p/>
    <w:p>
      <w:pPr>
        <w:pStyle w:val="Normal"/>
      </w:pPr>
      <w:r>
        <w:rPr>
          <w:color w:val="323232"/>
        </w:rPr>
        <w:t xml:space="preserve">OBJECTIVE:To compare pharmacokinetics of levetiracetam in serum and CSF of cats after oral administration of extended-release (ER) levetiracetam.</w:t>
      </w:r>
    </w:p>
    <w:p/>
    <w:p>
      <w:pPr>
        <w:pStyle w:val="Normal"/>
      </w:pPr>
      <w:r>
        <w:rPr>
          <w:color w:val="323232"/>
        </w:rPr>
        <w:t xml:space="preserve">ANIMALS:9 healthy cats.</w:t>
      </w:r>
    </w:p>
    <w:p/>
    <w:p>
      <w:pPr>
        <w:pStyle w:val="Normal"/>
      </w:pPr>
      <w:r>
        <w:rPr>
          <w:color w:val="323232"/>
        </w:rPr>
        <w:t xml:space="preserve">PROCEDURES:Cats received 1 dose of a commercially available ER levetiracetam product (500 mg, PO). Thirteen blood and 10 CSF samples were collected over a 24-hour period for pharmacokinetic analysis. After 1 week, cats received 1 dose of a compounded ER levetiracetam formulation (500 mg, PO), and samples were obtained at the same times for analysis.</w:t>
      </w:r>
    </w:p>
    <w:p/>
    <w:p>
      <w:pPr>
        <w:pStyle w:val="Normal"/>
      </w:pPr>
      <w:r>
        <w:rPr>
          <w:color w:val="323232"/>
        </w:rPr>
        <w:t xml:space="preserve">RESULTS:CSF concentrations of levetiracetam closely paralleled serum concentrations. There were significant differences between the commercially available product and the compounded formulation for mean ± SD serum maximum concentration (Cmax; 126 ± 33 μg/ mL and 169 ± 51 μg/ mL, respectively), Cmax corrected for dose (0.83 ± 0.10 μg/ mL / mg and 1.10 ± 0.28 μg / mL/ mg, respectively), and time to Cmax (5.1 ± 1.6 hours and 3.1 ± 1.5 hours, respectively). Half-life for the commercially available product and compounded formulation of ER levetiracetam was 4.3 ± 2.0 hours and 5.0 ± 1.6 hours, respectively.</w:t>
      </w:r>
    </w:p>
    <w:p/>
    <w:p>
      <w:pPr>
        <w:pStyle w:val="Normal"/>
      </w:pPr>
      <w:r>
        <w:rPr>
          <w:color w:val="323232"/>
        </w:rPr>
        <w:t xml:space="preserve">CONCLUSIONS AND CLINICAL RELEVANCE:The commercially available product and compounded formulation of ER levetiracetam both maintained concentrations in healthy cats 12 hours after oral administration that have been found to be therapeutic in humans (ie, 5 μg/mL). Results of this study supported dosing intervals of 12 hours, and potentially 24 hours, for oral administration of ER levetiracetam to cats. Monitoring of serum concentrations of levetiracetam can be used as an accurate representation of levetiracetam concentrations in CSF of cats.</w:t>
      </w:r>
    </w:p>
    <w:p/>
    <w:p>
      <w:pPr>
        <w:pStyle w:val="Normal"/>
      </w:pPr>
      <w:r>
        <w:rPr>
          <w:color w:val="323232"/>
        </w:rPr>
        <w:t xml:space="preserve">Am J Vet Res, 2019 vol. 80 (10) pp. 950-956.</w:t>
      </w:r>
    </w:p>
    <w:p>
      <w:r>
        <w:rPr>
          <w:rStyle w:val="Hyperlink"/>
        </w:rPr>
        <w:fldChar w:fldCharType="begin"/>
      </w:r>
      <w:r>
        <w:rPr>
          <w:rStyle w:val="Hyperlink"/>
        </w:rPr>
        <w:instrText xml:space="preserve"> HYPERLINK "http://eutils.ncbi.nlm.nih.gov/entrez/eutils/elink.fcgi?dbfrom=pubmed&amp;id=31556719&amp;retmode=ref&amp;cmd=prlinks"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http://eutils.ncbi.nlm.nih.gov/entrez/eutils/elink.fcgi?dbfrom=pubmed&amp;id=31556719&amp;retmode=ref&amp;cmd=prlinks</w:t>
      </w:r>
      <w:r>
        <w:rPr>
          <w:rStyle w:val="Hyperlink"/>
        </w:rPr>
        <w:fldChar w:fldCharType="end"/>
      </w:r>
    </w:p>
    <w:p>
      <w:pPr>
        <w:pStyle w:val="Normal"/>
      </w:pPr>
      <w:r>
        <w:rPr>
          <w:color w:val="323232"/>
        </w:rPr>
        <w:t xml:space="preserve">————————</w:t>
      </w:r>
    </w:p>
    <w:p>
      <w:pPr>
        <w:pStyle w:val="Heading4"/>
      </w:pPr>
      <w:r>
        <w:t xml:space="preserve">Effect of oral administration of gabapentin on the minimum alveolar concentration of isoflurane in dogs.</w:t>
      </w:r>
    </w:p>
    <w:p/>
    <w:p>
      <w:pPr>
        <w:pStyle w:val="Normal"/>
      </w:pPr>
      <w:r>
        <w:rPr>
          <w:color w:val="323232"/>
        </w:rPr>
        <w:t xml:space="preserve">Brittney A Johnson, Turi K Aarnes, Audrey W Wanstrath, Carolina H Ricco Pereira, Richard M Bednarski, Phillip Lerche, and Mary A McLoughlin.</w:t>
      </w:r>
    </w:p>
    <w:p/>
    <w:p>
      <w:pPr>
        <w:pStyle w:val="Normal"/>
      </w:pPr>
      <w:r>
        <w:rPr>
          <w:color w:val="323232"/>
        </w:rPr>
        <w:t xml:space="preserve">OBJECTIVE:To determine the effect of oral administration of gabapentin (20 mg/kg) on the minimum alveolar concentration (MAC) of isoflurane in dogs.</w:t>
      </w:r>
    </w:p>
    <w:p/>
    <w:p>
      <w:pPr>
        <w:pStyle w:val="Normal"/>
      </w:pPr>
      <w:r>
        <w:rPr>
          <w:color w:val="323232"/>
        </w:rPr>
        <w:t xml:space="preserve">ANIMALS:6 healthy adult dogs (3 males and 3 females with a mean ± SD body weight of 24.8 ± 1.3 kg).</w:t>
      </w:r>
    </w:p>
    <w:p/>
    <w:p>
      <w:pPr>
        <w:pStyle w:val="Normal"/>
      </w:pPr>
      <w:r>
        <w:rPr>
          <w:color w:val="323232"/>
        </w:rPr>
        <w:t xml:space="preserve">PROCEDURES:Each dog was anesthetized twice. Dogs were initially assigned to 1 of 2 treatments (gabapentin [20 mg/kg, PO] followed 2 hours later by anesthesia maintained with isoflurane or anesthesia maintained with isoflurane alone). A minimum of 7 days later, dogs received the other treatment. The MAC of isoflurane was determined by use of an iterative bracketing technique with stimulating electrodes placed in the maxillary buccal mucosa. Hemodynamic variables and vital parameters were recorded at the lowest end-tidal isoflurane concentration at which dogs did not respond to the stimulus. Effect of treatment on outcome variables was analyzed by use of a paired t test.</w:t>
      </w:r>
    </w:p>
    <w:p/>
    <w:p>
      <w:pPr>
        <w:pStyle w:val="Normal"/>
      </w:pPr>
      <w:r>
        <w:rPr>
          <w:color w:val="323232"/>
        </w:rPr>
        <w:t xml:space="preserve">RESULTS:Mean ± SD MAC of isoflurane was significantly lower when dogs received gabapentin and isoflurane (0.71 ± 0.12%) than when dogs received isoflurane alone (0.91 ± 0.26%). Mean reduction in MAC of isoflurane was 20 ± 14%. Hemodynamic variables did not differ significantly between treatments. Mean time to extubation was significantly less when dogs received gabapentin and isoflurane (6 ± 4 minutes) than when dogs received isoflurane alone (23 ± 15 minutes).</w:t>
      </w:r>
    </w:p>
    <w:p/>
    <w:p>
      <w:pPr>
        <w:pStyle w:val="Normal"/>
      </w:pPr>
      <w:r>
        <w:rPr>
          <w:color w:val="323232"/>
        </w:rPr>
        <w:t xml:space="preserve">CONCLUSIONS AND CLINICAL RELEVANCE:Oral administration of gabapentin 2 hours before anesthesia maintained with isoflurane had a MAC-sparing effect with no effect on hemodynamic variables or vital parameters of dogs.</w:t>
      </w:r>
    </w:p>
    <w:p/>
    <w:p>
      <w:pPr>
        <w:pStyle w:val="Normal"/>
      </w:pPr>
      <w:r>
        <w:rPr>
          <w:color w:val="323232"/>
        </w:rPr>
        <w:t xml:space="preserve">Am J Vet Res, 2019 vol. 80 (11) pp. 1007-1009.</w:t>
      </w:r>
    </w:p>
    <w:p>
      <w:r>
        <w:rPr>
          <w:rStyle w:val="Hyperlink"/>
        </w:rPr>
        <w:fldChar w:fldCharType="begin"/>
      </w:r>
      <w:r>
        <w:rPr>
          <w:rStyle w:val="Hyperlink"/>
        </w:rPr>
        <w:instrText xml:space="preserve"> HYPERLINK "http://eutils.ncbi.nlm.nih.gov/entrez/eutils/elink.fcgi?dbfrom=pubmed&amp;id=31644338&amp;retmode=ref&amp;cmd=prlinks"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http://eutils.ncbi.nlm.nih.gov/entrez/eutils/elink.fcgi?dbfrom=pubmed&amp;id=31644338&amp;retmode=ref&amp;cmd=prlinks</w:t>
      </w:r>
      <w:r>
        <w:rPr>
          <w:rStyle w:val="Hyperlink"/>
        </w:rPr>
        <w:fldChar w:fldCharType="end"/>
      </w:r>
    </w:p>
    <w:p>
      <w:pPr>
        <w:pStyle w:val="Normal"/>
      </w:pPr>
      <w:r>
        <w:rPr>
          <w:color w:val="323232"/>
        </w:rPr>
        <w:t xml:space="preserve">————————</w:t>
      </w:r>
    </w:p>
    <w:p>
      <w:pPr>
        <w:pStyle w:val="Heading4"/>
      </w:pPr>
      <w:r>
        <w:t xml:space="preserve">Effect of site of sample collection and prandial state on blood glucose concentrations measured with a portable blood glucose meter in healthy dogs.</w:t>
      </w:r>
    </w:p>
    <w:p/>
    <w:p>
      <w:pPr>
        <w:pStyle w:val="Normal"/>
      </w:pPr>
      <w:r>
        <w:rPr>
          <w:color w:val="323232"/>
        </w:rPr>
        <w:t xml:space="preserve">Jose L Guevara, Karen M Tobias, Jennifer E Stokes, Xiaojuan Zhu, and Rebecca A Smith.</w:t>
      </w:r>
    </w:p>
    <w:p/>
    <w:p>
      <w:pPr>
        <w:pStyle w:val="Normal"/>
      </w:pPr>
      <w:r>
        <w:rPr>
          <w:color w:val="323232"/>
        </w:rPr>
        <w:t xml:space="preserve">OBJECTIVE:To compare glucose concentrations in peripheral venous and capillary blood samples collected from dogs before and after consumption of a meal and measured with a veterinary-specific portable blood glucose meter (PBGM).</w:t>
      </w:r>
    </w:p>
    <w:p/>
    <w:p>
      <w:pPr>
        <w:pStyle w:val="Normal"/>
      </w:pPr>
      <w:r>
        <w:rPr>
          <w:color w:val="323232"/>
        </w:rPr>
        <w:t xml:space="preserve">ANIMALS:12 dogs (96 blood samples).</w:t>
      </w:r>
    </w:p>
    <w:p/>
    <w:p>
      <w:pPr>
        <w:pStyle w:val="Normal"/>
      </w:pPr>
      <w:r>
        <w:rPr>
          <w:color w:val="323232"/>
        </w:rPr>
        <w:t xml:space="preserve">PROCEDURES:A veterinary-specific PBGM was used to measure blood glucose concentrations. Glucose concentrations in capillary blood samples obtained from the carpal pad, medial aspect of a pinna, and oral mucosa were compared with glucose concentrations in blood samples obtained from a lateral saphenous vein. Samples were collected after food was withheld for 12 hours and again 2 hours after consumption of a meal.</w:t>
      </w:r>
    </w:p>
    <w:p/>
    <w:p>
      <w:pPr>
        <w:pStyle w:val="Normal"/>
      </w:pPr>
      <w:r>
        <w:rPr>
          <w:color w:val="323232"/>
        </w:rPr>
        <w:t xml:space="preserve">RESULTS:Location of capillary blood collection had a significant effect on glucose concentrations measured with the PBGM. Glucose concentration in capillary blood collected from the medial aspect of the pinna did not differ significantly from the glucose concentration in peripheral venous blood samples, whereas glucose concentrations in blood samples collected from the carpal pad and oral mucosa differed significantly from the glucose concentration in peripheral venous blood samples. There was no significant difference between preprandial and postprandial blood glucose concentrations.</w:t>
      </w:r>
    </w:p>
    <w:p/>
    <w:p>
      <w:pPr>
        <w:pStyle w:val="Normal"/>
      </w:pPr>
      <w:r>
        <w:rPr>
          <w:color w:val="323232"/>
        </w:rPr>
        <w:t xml:space="preserve">CONCLUSIONS AND CLINICAL RELEVANCE:Glucose concentrations in capillary blood collected from the medial aspect of the pinna of dogs better reflected glucose concentrations in venous blood than concentrations measured in capillary blood collected from the carpal pad or oral mucosa.</w:t>
      </w:r>
    </w:p>
    <w:p/>
    <w:p>
      <w:pPr>
        <w:pStyle w:val="Normal"/>
      </w:pPr>
      <w:r>
        <w:rPr>
          <w:color w:val="323232"/>
        </w:rPr>
        <w:t xml:space="preserve">Am J Vet Res, 2019 vol. 80 (11) pp. 995-1000.</w:t>
      </w:r>
    </w:p>
    <w:p>
      <w:r>
        <w:rPr>
          <w:rStyle w:val="Hyperlink"/>
        </w:rPr>
        <w:fldChar w:fldCharType="begin"/>
      </w:r>
      <w:r>
        <w:rPr>
          <w:rStyle w:val="Hyperlink"/>
        </w:rPr>
        <w:instrText xml:space="preserve"> HYPERLINK "http://eutils.ncbi.nlm.nih.gov/entrez/eutils/elink.fcgi?dbfrom=pubmed&amp;id=31644346&amp;retmode=ref&amp;cmd=prlinks"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http://eutils.ncbi.nlm.nih.gov/entrez/eutils/elink.fcgi?dbfrom=pubmed&amp;id=31644346&amp;retmode=ref&amp;cmd=prlinks</w:t>
      </w:r>
      <w:r>
        <w:rPr>
          <w:rStyle w:val="Hyperlink"/>
        </w:rPr>
        <w:fldChar w:fldCharType="end"/>
      </w:r>
    </w:p>
    <w:p>
      <w:pPr>
        <w:pStyle w:val="Normal"/>
      </w:pPr>
      <w:r>
        <w:rPr>
          <w:color w:val="323232"/>
        </w:rPr>
        <w:t xml:space="preserve">————————</w:t>
      </w:r>
    </w:p>
    <w:p>
      <w:pPr>
        <w:pStyle w:val="Heading4"/>
      </w:pPr>
      <w:r>
        <w:t xml:space="preserve">Assessment of a commercially available veterinary blood pressure device used on awake and anesthetized dogs.</w:t>
      </w:r>
    </w:p>
    <w:p/>
    <w:p>
      <w:pPr>
        <w:pStyle w:val="Normal"/>
      </w:pPr>
      <w:r>
        <w:rPr>
          <w:color w:val="323232"/>
        </w:rPr>
        <w:t xml:space="preserve">Jeannette Cremer, Anderson F da Cunha, Linda J Paul, Chin-Chi Liu, and Marc J Acierno.</w:t>
      </w:r>
    </w:p>
    <w:p/>
    <w:p>
      <w:pPr>
        <w:pStyle w:val="Normal"/>
      </w:pPr>
      <w:r>
        <w:rPr>
          <w:color w:val="323232"/>
        </w:rPr>
        <w:t xml:space="preserve">OBJECTIVE:To compare results of a commercially available device for oscillometrically measured blood pressure (OBP) with invasively measured blood pressure (IBP) in awake and anesthetized dogs.</w:t>
      </w:r>
    </w:p>
    <w:p/>
    <w:p>
      <w:pPr>
        <w:pStyle w:val="Normal"/>
      </w:pPr>
      <w:r>
        <w:rPr>
          <w:color w:val="323232"/>
        </w:rPr>
        <w:t xml:space="preserve">ANIMALS:19 adult dogs (mean ± SD body weight, 17.8 ± 7.5 kg).</w:t>
      </w:r>
    </w:p>
    <w:p/>
    <w:p>
      <w:pPr>
        <w:pStyle w:val="Normal"/>
      </w:pPr>
      <w:r>
        <w:rPr>
          <w:color w:val="323232"/>
        </w:rPr>
        <w:t xml:space="preserve">PROCEDURES:Blood pressures were measured in dogs while they were awake and anesthetized with isoflurane. The OBP was recorded on a thoracic limb, and IBP was simultaneously recorded from the median caudal artery. Agreement between OBP and IBP was evaluated with the Bland-Altman method. Guidelines of the American College of Veterinary Internal Medicine (ACVIM) were used for validation of the oscillometric device.</w:t>
      </w:r>
    </w:p>
    <w:p/>
    <w:p>
      <w:pPr>
        <w:pStyle w:val="Normal"/>
      </w:pPr>
      <w:r>
        <w:rPr>
          <w:color w:val="323232"/>
        </w:rPr>
        <w:t xml:space="preserve">RESULTS:In awake dogs, mean bias of the oscillometric device was -11.12 mm Hg (95% limits of agreement [LOA], -61.14 to 38.90 mm Hg) for systolic arterial blood pressure (SAP), 9.39 mm Hg (LOA, -28.26 to 47.04 mm Hg) for diastolic arterial blood pressure (DAP), and -0.85 mm Hg (LOA, -40.54 to 38.84 mm Hg) for mean arterial blood pressure (MAP). In anesthetized dogs, mean bias was -12.27 mm Hg (LOA, -47.36 to 22.82 mm Hg) for SAP, -3.92 mm Hg (LOA, -25.28 to 17.44 mm Hg) for DAP, and -7.89 mm Hg (LOA, -32.31 to 16.53 mm Hg) for MAP. The oscillometric device did not fulfill ACVIM guidelines for the validation of such devices.</w:t>
      </w:r>
    </w:p>
    <w:p/>
    <w:p>
      <w:pPr>
        <w:pStyle w:val="Normal"/>
      </w:pPr>
      <w:r>
        <w:rPr>
          <w:color w:val="323232"/>
        </w:rPr>
        <w:t xml:space="preserve">CONCLUSIONS AND CLINICAL RELEVANCE:Agreement between OBP and IBP results for awake and anesthetized dogs was poor. The oscillometric blood pressure device did not fulfill ACVIM guidelines for validation. Therefore, clinical use of this device cannot be recommended.</w:t>
      </w:r>
    </w:p>
    <w:p/>
    <w:p>
      <w:pPr>
        <w:pStyle w:val="Normal"/>
      </w:pPr>
      <w:r>
        <w:rPr>
          <w:color w:val="323232"/>
        </w:rPr>
        <w:t xml:space="preserve">Am J Vet Res, 2019 vol. 80 (12) pp. 1067-1073.</w:t>
      </w:r>
    </w:p>
    <w:p>
      <w:r>
        <w:rPr>
          <w:rStyle w:val="Hyperlink"/>
        </w:rPr>
        <w:fldChar w:fldCharType="begin"/>
      </w:r>
      <w:r>
        <w:rPr>
          <w:rStyle w:val="Hyperlink"/>
        </w:rPr>
        <w:instrText xml:space="preserve"> HYPERLINK "http://eutils.ncbi.nlm.nih.gov/entrez/eutils/elink.fcgi?dbfrom=pubmed&amp;id=31763937&amp;retmode=ref&amp;cmd=prlinks"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http://eutils.ncbi.nlm.nih.gov/entrez/eutils/elink.fcgi?dbfrom=pubmed&amp;id=31763937&amp;retmode=ref&amp;cmd=prlinks</w:t>
      </w:r>
      <w:r>
        <w:rPr>
          <w:rStyle w:val="Hyperlink"/>
        </w:rPr>
        <w:fldChar w:fldCharType="end"/>
      </w:r>
    </w:p>
    <w:p>
      <w:pPr>
        <w:pStyle w:val="Normal"/>
      </w:pPr>
      <w:r>
        <w:rPr>
          <w:color w:val="323232"/>
        </w:rPr>
        <w:t xml:space="preserve">————————</w:t>
      </w:r>
    </w:p>
    <w:p>
      <w:pPr>
        <w:pStyle w:val="Heading4"/>
      </w:pPr>
      <w:r>
        <w:t xml:space="preserve">Comparison of glucose concentrations in serum, plasma, and blood measured by a point-of-care glucometer with serum glucose concentration measured by an automated biochemical analyzer for canine and feline blood samples.</w:t>
      </w:r>
    </w:p>
    <w:p/>
    <w:p>
      <w:pPr>
        <w:pStyle w:val="Normal"/>
      </w:pPr>
      <w:r>
        <w:rPr>
          <w:color w:val="323232"/>
        </w:rPr>
        <w:t xml:space="preserve">Matthew J Lechner and Rebecka S Hess.</w:t>
      </w:r>
    </w:p>
    <w:p/>
    <w:p>
      <w:pPr>
        <w:pStyle w:val="Normal"/>
      </w:pPr>
      <w:r>
        <w:rPr>
          <w:color w:val="323232"/>
        </w:rPr>
        <w:t xml:space="preserve">OBJECTIVE:To determine the correlation between glucose concentrations in serum, plasma, and blood measured by a point-of-care glucometer (POCG) and serum glucose concentration measured by an automated biochemical analyzer (ABA; gold standard).</w:t>
      </w:r>
    </w:p>
    <w:p/>
    <w:p>
      <w:pPr>
        <w:pStyle w:val="Normal"/>
      </w:pPr>
      <w:r>
        <w:rPr>
          <w:color w:val="323232"/>
        </w:rPr>
        <w:t xml:space="preserve">SAMPLE:152 canine and 111 feline blood samples.</w:t>
      </w:r>
    </w:p>
    <w:p/>
    <w:p>
      <w:pPr>
        <w:pStyle w:val="Normal"/>
      </w:pPr>
      <w:r>
        <w:rPr>
          <w:color w:val="323232"/>
        </w:rPr>
        <w:t xml:space="preserve">PROCEDURES:For each sample, the glucose concentration in serum, plasma, and blood was measured by a POCG and compared with the ABA-measured glucose concentration by means of the Lin concordance correlation coefficient. Results were summarized by species for all samples and subsets of samples with hyperglycemia (ABA-measured glucose concentration &gt; 112 mg/ dL for dogs and &gt; 168 mg/ dL for cats) and pronounced hyperglycemia (ABA-measured glucose concentration &gt; 250 mg/dL for both species). The effect of PCV on correlations between POCG and ABA measurements was also assessed.</w:t>
      </w:r>
    </w:p>
    <w:p/>
    <w:p>
      <w:pPr>
        <w:pStyle w:val="Normal"/>
      </w:pPr>
      <w:r>
        <w:rPr>
          <w:color w:val="323232"/>
        </w:rPr>
        <w:t xml:space="preserve">RESULTS:Hyperglycemia and pronounced hyperglycemia were identified in 69 and 36 canine samples and 44 and 29 feline samples, respectively. The POCG-measured glucose concentrations in serum, plasma, and blood were strongly and positively correlated with the gold standard concentration. The PCV was positively associated with the correlation between the POCG-measured blood glucose concentration and the gold standard concentration but was not associated with the correlations between the POCG-measured glucose concentrations in serum and plasma and the gold standard concentration.</w:t>
      </w:r>
    </w:p>
    <w:p/>
    <w:p>
      <w:pPr>
        <w:pStyle w:val="Normal"/>
      </w:pPr>
      <w:r>
        <w:rPr>
          <w:color w:val="323232"/>
        </w:rPr>
        <w:t xml:space="preserve">CONCLUSIONS AND CLINICAL RELEVANCE:Results indicated that POCG-measured glucose concentrations in serum, plasma, and blood were strongly correlated with the ABA-measured serum glucose concentration, even in hyperglycemic samples. Given the time and labor required to harvest serum or plasma from blood samples, we concluded that blood was the preferred sample type for use with this POCG.</w:t>
      </w:r>
    </w:p>
    <w:p/>
    <w:p>
      <w:pPr>
        <w:pStyle w:val="Normal"/>
      </w:pPr>
      <w:r>
        <w:rPr>
          <w:color w:val="323232"/>
        </w:rPr>
        <w:t xml:space="preserve">Am J Vet Res, 2019 vol. 80 (12) pp. 1074-1081.</w:t>
      </w:r>
    </w:p>
    <w:p>
      <w:r>
        <w:rPr>
          <w:rStyle w:val="Hyperlink"/>
        </w:rPr>
        <w:fldChar w:fldCharType="begin"/>
      </w:r>
      <w:r>
        <w:rPr>
          <w:rStyle w:val="Hyperlink"/>
        </w:rPr>
        <w:instrText xml:space="preserve"> HYPERLINK "http://eutils.ncbi.nlm.nih.gov/entrez/eutils/elink.fcgi?dbfrom=pubmed&amp;id=31763942&amp;retmode=ref&amp;cmd=prlinks"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http://eutils.ncbi.nlm.nih.gov/entrez/eutils/elink.fcgi?dbfrom=pubmed&amp;id=31763942&amp;retmode=ref&amp;cmd=prlinks</w:t>
      </w:r>
      <w:r>
        <w:rPr>
          <w:rStyle w:val="Hyperlink"/>
        </w:rPr>
        <w:fldChar w:fldCharType="end"/>
      </w:r>
    </w:p>
    <w:p>
      <w:pPr>
        <w:pStyle w:val="Normal"/>
      </w:pPr>
      <w:r>
        <w:rPr>
          <w:color w:val="323232"/>
        </w:rPr>
        <w:t xml:space="preserve">————————</w:t>
      </w:r>
    </w:p>
    <w:p>
      <w:pPr>
        <w:pStyle w:val="Heading4"/>
      </w:pPr>
      <w:r>
        <w:t xml:space="preserve">Ex vivo evaluation of arytenoid corniculectomy, compared with three other airway interventions, performed on cadaveric equine larynges with simulated recurrent laryngeal neuropathy.</w:t>
      </w:r>
    </w:p>
    <w:p/>
    <w:p>
      <w:pPr>
        <w:pStyle w:val="Normal"/>
      </w:pPr>
      <w:r>
        <w:rPr>
          <w:color w:val="323232"/>
        </w:rPr>
        <w:t xml:space="preserve">Michelle L Tucker, David Sumner, Shawn K Reinink, David G Wilson, and James L Carmalt.</w:t>
      </w:r>
    </w:p>
    <w:p/>
    <w:p>
      <w:pPr>
        <w:pStyle w:val="Normal"/>
      </w:pPr>
      <w:r>
        <w:rPr>
          <w:color w:val="323232"/>
        </w:rPr>
        <w:t xml:space="preserve">OBJECTIVE:To compare laryngeal impedance, in terms of air flow and pressure, following arytenoid corniculectomy (COR) versus 3 other airway interventions (left-sided laryngoplasty with ipsilateral ventriculocordectomy [LLP], LLP combined with COR [LLPCOR], and partial arytenoidectomy [PA]) performed on cadaveric equine larynges with simulated left recurrent laryngeal neuropathy (RLN) and to determine whether relative laryngeal collapse correlated with the interventions performed.</w:t>
      </w:r>
    </w:p>
    <w:p/>
    <w:p>
      <w:pPr>
        <w:pStyle w:val="Normal"/>
      </w:pPr>
      <w:r>
        <w:rPr>
          <w:color w:val="323232"/>
        </w:rPr>
        <w:t xml:space="preserve">SAMPLE:28 cadaveric equine larynges.</w:t>
      </w:r>
    </w:p>
    <w:p/>
    <w:p>
      <w:pPr>
        <w:pStyle w:val="Normal"/>
      </w:pPr>
      <w:r>
        <w:rPr>
          <w:color w:val="323232"/>
        </w:rPr>
        <w:t xml:space="preserve">PROCEDURES:Each larynx in states of simulated left RLN alone and with airway interventions in the order LLP, LLPCOR, COR, and PA was evaluated in a box model construct that replicated upper airway flow mechanics consistent with peak exercise in horses. Results for impedance, calculated from airflow and pressure changes, were compared between states for each larynx. Multivariable mixed-effects analysis controlling for repeated measures within larynx was performed to calculate the predicted mean impedance for each state.</w:t>
      </w:r>
    </w:p>
    <w:p/>
    <w:p>
      <w:pPr>
        <w:pStyle w:val="Normal"/>
      </w:pPr>
      <w:r>
        <w:rPr>
          <w:color w:val="323232"/>
        </w:rPr>
        <w:t xml:space="preserve">RESULTS:Results indicated that tracheal adapter diameter, individual larynx properties, airway intervention, and relative laryngeal collapse affected laryngeal impedance. The LLP and LLPCOR interventions had the lowest impedance, whereas the COR and PA interventions did not differ substantially from the simulated left RLN state. Residual intraclass correlation of the model was 27.6 %.</w:t>
      </w:r>
    </w:p>
    <w:p/>
    <w:p>
      <w:pPr>
        <w:pStyle w:val="Normal"/>
      </w:pPr>
      <w:r>
        <w:rPr>
          <w:color w:val="323232"/>
        </w:rPr>
        <w:t xml:space="preserve">CONCLUSIONS AND CLINICAL RELEVANCE:Although impedance was higher for the simulated left RLN with the COR intervention state than with the LLP intervention state, given the clinical success of PA for treating RLN in horses and the similar results for the COR and PA intervention states in the present study, the use of COR warrants further investigation. The residual interclass correlation suggested that individual laryngeal variation affected impedance and may have a clinical effect.</w:t>
      </w:r>
    </w:p>
    <w:p/>
    <w:p>
      <w:pPr>
        <w:pStyle w:val="Normal"/>
      </w:pPr>
      <w:r>
        <w:rPr>
          <w:color w:val="323232"/>
        </w:rPr>
        <w:t xml:space="preserve">Am J Vet Res, 2019 vol. 80 (12) pp. 1136-1143.</w:t>
      </w:r>
    </w:p>
    <w:p>
      <w:r>
        <w:rPr>
          <w:rStyle w:val="Hyperlink"/>
        </w:rPr>
        <w:fldChar w:fldCharType="begin"/>
      </w:r>
      <w:r>
        <w:rPr>
          <w:rStyle w:val="Hyperlink"/>
        </w:rPr>
        <w:instrText xml:space="preserve"> HYPERLINK "http://eutils.ncbi.nlm.nih.gov/entrez/eutils/elink.fcgi?dbfrom=pubmed&amp;id=31763941&amp;retmode=ref&amp;cmd=prlinks"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http://eutils.ncbi.nlm.nih.gov/entrez/eutils/elink.fcgi?dbfrom=pubmed&amp;id=31763941&amp;retmode=ref&amp;cmd=prlinks</w:t>
      </w:r>
      <w:r>
        <w:rPr>
          <w:rStyle w:val="Hyperlink"/>
        </w:rPr>
        <w:fldChar w:fldCharType="end"/>
      </w:r>
    </w:p>
    <w:p>
      <w:pPr>
        <w:pStyle w:val="Normal"/>
      </w:pPr>
      <w:r>
        <w:rPr>
          <w:color w:val="323232"/>
        </w:rPr>
        <w:t xml:space="preserve">————————</w:t>
      </w:r>
    </w:p>
    <w:p>
      <w:pPr>
        <w:pStyle w:val="Heading4"/>
      </w:pPr>
      <w:r>
        <w:t xml:space="preserve">Retrospective quantitative assessment of liver size by measurement of radiographic liver area in small-breed dogs.</w:t>
      </w:r>
    </w:p>
    <w:p/>
    <w:p>
      <w:pPr>
        <w:pStyle w:val="Normal"/>
      </w:pPr>
      <w:r>
        <w:rPr>
          <w:color w:val="323232"/>
        </w:rPr>
        <w:t xml:space="preserve">Semi Lee, Hakyoung Yoon, and Kidong Eom.</w:t>
      </w:r>
    </w:p>
    <w:p/>
    <w:p>
      <w:pPr>
        <w:pStyle w:val="Normal"/>
      </w:pPr>
      <w:r>
        <w:rPr>
          <w:color w:val="323232"/>
        </w:rPr>
        <w:t xml:space="preserve">OBJECTIVE:To determine the feasibility of radiographic measurement of liver area in small-breed dogs and to assess correlations between CT liver volume measurements (reference standard) and radiographic liver size measurements.</w:t>
      </w:r>
    </w:p>
    <w:p/>
    <w:p>
      <w:pPr>
        <w:pStyle w:val="Normal"/>
      </w:pPr>
      <w:r>
        <w:rPr>
          <w:color w:val="323232"/>
        </w:rPr>
        <w:t xml:space="preserve">ANIMALS:107 small-breed dogs (body weight, ≤ 10 kg) that had previously undergone orthogonal thoracic and abdominal radiography and abdominal CT.</w:t>
      </w:r>
    </w:p>
    <w:p/>
    <w:p>
      <w:pPr>
        <w:pStyle w:val="Normal"/>
      </w:pPr>
      <w:r>
        <w:rPr>
          <w:color w:val="323232"/>
        </w:rPr>
        <w:t xml:space="preserve">PROCEDURES:In a retrospective study design, dogs were allocated to groups (normal liver [n = 36], microhepatia [34], and hepatomegaly [37]) on the basis of radiographic liver size and clinicopathologic findings. Radiographic liver area (RLA) was automatically calculated from archived radiographic images by free-hand outlining of the liver margins by use of DICOM viewer software, and other standard radiographic measurements were performed. Liver volume was measured on CT images. Intraoperator repeatability of RLA and CT measurements was assessed (duplicate measurements 2 weeks apart). To control for various breed conformations, radiographic values were normalized to body weight and T11 area.</w:t>
      </w:r>
    </w:p>
    <w:p/>
    <w:p>
      <w:pPr>
        <w:pStyle w:val="Normal"/>
      </w:pPr>
      <w:r>
        <w:rPr>
          <w:color w:val="323232"/>
        </w:rPr>
        <w:t xml:space="preserve">RESULTS:Mean ± SD ratios of RLA to T11 area and RLA to body weight for dogs with normal livers were 32.7 ± 6.2 and 7.0 ± 1.4, respectively. Excellent intraobserver agreement was observed in RLA measurements within groups (intraclass correlation coefficients, 0.861 to 0.989), and RLA measurements had the highest correlation with CT liver volume measurements (r = 0.94) of all radiographic measurements.</w:t>
      </w:r>
    </w:p>
    <w:p/>
    <w:p>
      <w:pPr>
        <w:pStyle w:val="Normal"/>
      </w:pPr>
      <w:r>
        <w:rPr>
          <w:color w:val="323232"/>
        </w:rPr>
        <w:t xml:space="preserve">CONCLUSIONS AND CLINICAL RELEVANCE:Findings indicated that RLA measurement in small-breed dogs with or without liver disease was useful and accurate for estimation of liver size, compared with CT measurement, and might be particularly useful for monitoring of changes in liver size.</w:t>
      </w:r>
    </w:p>
    <w:p/>
    <w:p>
      <w:pPr>
        <w:pStyle w:val="Normal"/>
      </w:pPr>
      <w:r>
        <w:rPr>
          <w:color w:val="323232"/>
        </w:rPr>
        <w:t xml:space="preserve">Am J Vet Res, 2019 vol. 80 (12) pp. 1122-1128.</w:t>
      </w:r>
    </w:p>
    <w:p>
      <w:r>
        <w:rPr>
          <w:rStyle w:val="Hyperlink"/>
        </w:rPr>
        <w:fldChar w:fldCharType="begin"/>
      </w:r>
      <w:r>
        <w:rPr>
          <w:rStyle w:val="Hyperlink"/>
        </w:rPr>
        <w:instrText xml:space="preserve"> HYPERLINK "http://eutils.ncbi.nlm.nih.gov/entrez/eutils/elink.fcgi?dbfrom=pubmed&amp;id=31763938&amp;retmode=ref&amp;cmd=prlinks"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http://eutils.ncbi.nlm.nih.gov/entrez/eutils/elink.fcgi?dbfrom=pubmed&amp;id=31763938&amp;retmode=ref&amp;cmd=prlinks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