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American Journal of Veterinary Research 2018</w:t>
      </w:r>
    </w:p>
    <w:p>
      <w:pPr>
        <w:pStyle w:val="Heading2"/>
      </w:pPr>
      <w:r>
        <w:t xml:space="preserve">AJVR 2018; Vol 79; Issues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Effect of metoclopramide treatment of bitches during the first week of lactation on serum prolactin concentration, milk composition, and milk yield and on weight gain of their puppies.</w:t>
      </w:r>
    </w:p>
    <w:p/>
    <w:p>
      <w:pPr>
        <w:pStyle w:val="Normal"/>
      </w:pPr>
      <w:r>
        <w:rPr>
          <w:color w:val="323232"/>
        </w:rPr>
        <w:t xml:space="preserve">Stefanie R Keller, Zsolt Abonyi-Tóth, Norbert Sprenger, Sean C Austin, Brigitta A C Wichert, Annette Liesegang, Christine H Y Oei, Orsolya Balogh, and Iris M Reichler.</w:t>
      </w:r>
    </w:p>
    <w:p/>
    <w:p>
      <w:pPr>
        <w:pStyle w:val="Normal"/>
      </w:pPr>
      <w:r>
        <w:rPr>
          <w:color w:val="323232"/>
        </w:rPr>
        <w:t xml:space="preserve">OBJECTIVE To investigate effects of metoclopramide orally administered to healthy bitches on serum prolactin and milk lactose concentrations, gross energy, and dry matter content and on puppy weight gain during early lactation. ANIMALS 20 client-owned bitches and their 121 puppies. PROCEDURES 10 bitches received metoclopramide (0.2 mg/kg, PO, q 6 h for 6 days; treatment group) starting 10 to 24 hours after birth of the last puppy of the litter (day 0), and 10 bitches served as the control group. Blood and milk samples from all bitches were collected on days 0, 1, 2, 4, and 6. Milk samples for days 1 and 2 and days 4 and 6 were pooled because of small volume. Puppies were weighed twice daily. RESULTS Serum prolactin concentration increased significantly over time in both groups, and no treatment effect was detected. When day-to-day changes were analyzed, the prolactin concentration increased from day 0 to day 1 in the treatment group but not in the control group. Milk lactose concentration increased significantly and was higher in the treatment group than in the control group. Milk dry matter content was unchanged, whereas the time course for milk gross energy content differed significantly between treatment and control bitches. Puppy weight gain was not affected by metoclopramide treatment. CONCLUSIONS AND CLINICAL RELEVANCE Oral administration of metoclopramide to healthy bitches after parturition induced a transient increase in serum prolactin concentration and stimulated milk lactose production. It is likely bitches with insufficient or delayed milk production could benefit from metoclopramide treatment.</w:t>
      </w:r>
    </w:p>
    <w:p/>
    <w:p>
      <w:pPr>
        <w:pStyle w:val="Normal"/>
      </w:pPr>
      <w:r>
        <w:rPr>
          <w:color w:val="323232"/>
        </w:rPr>
        <w:t xml:space="preserve">Am J Vet Res, 2018 vol. 79 (2) pp. 233-241.</w:t>
      </w:r>
    </w:p>
    <w:p>
      <w:r>
        <w:rPr>
          <w:rStyle w:val="Hyperlink"/>
        </w:rPr>
        <w:fldChar w:fldCharType="begin"/>
      </w:r>
      <w:r>
        <w:rPr>
          <w:rStyle w:val="Hyperlink"/>
        </w:rPr>
        <w:instrText xml:space="preserve"> HYPERLINK "http://eutils.ncbi.nlm.nih.gov/entrez/eutils/elink.fcgi?dbfrom=pubmed&amp;id=29359978&amp;retmode=ref&amp;cmd=prlinks"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http://eutils.ncbi.nlm.nih.gov/entrez/eutils/elink.fcgi?dbfrom=pubmed&amp;id=29359978&amp;retmode=ref&amp;cmd=prlinks</w:t>
      </w:r>
      <w:r>
        <w:rPr>
          <w:rStyle w:val="Hyperlink"/>
        </w:rPr>
        <w:fldChar w:fldCharType="end"/>
      </w:r>
    </w:p>
    <w:p>
      <w:pPr>
        <w:pStyle w:val="Normal"/>
      </w:pPr>
      <w:r>
        <w:rPr>
          <w:color w:val="323232"/>
        </w:rPr>
        <w:t xml:space="preserve">————————</w:t>
      </w:r>
    </w:p>
    <w:p>
      <w:pPr>
        <w:pStyle w:val="Heading4"/>
      </w:pPr>
      <w:r>
        <w:t xml:space="preserve">Effects of two fractions of inspired oxygen during anesthesia on early postanesthesia oxygenation in healthy dogs.</w:t>
      </w:r>
    </w:p>
    <w:p/>
    <w:p>
      <w:pPr>
        <w:pStyle w:val="Normal"/>
      </w:pPr>
      <w:r>
        <w:rPr>
          <w:color w:val="323232"/>
        </w:rPr>
        <w:t xml:space="preserve">Manuel Martin-Flores, Chia T Tseng, Steven D Robillard, Brittany E Abrams, Luis Campoy, H Jay Harvey, and Robin D Gleed.</w:t>
      </w:r>
    </w:p>
    <w:p/>
    <w:p>
      <w:pPr>
        <w:pStyle w:val="Normal"/>
      </w:pPr>
      <w:r>
        <w:rPr>
          <w:color w:val="323232"/>
        </w:rPr>
        <w:t xml:space="preserve">OBJECTIVE To evaluate the effects of 2 fractions of inspired oxygen (Fio2s) during anesthesia on postanesthesia Pao2 and other measures of oxygen exchange. ANIMALS 22 healthy adult sexually intact female dogs undergoing ovariohysterectomy by ventral midline celiotomy. PROCEDURES Dogs were randomly assigned to receive either oxygen (Fio2 &gt; 0.9 [100% oxygen]; n = 11; control group) or a mixture of nitrogen and oxygen (Fio2 = 0.4; 11; 40% oxygen group) as the carrier gas for isoflurane while anesthetized. All dogs were allowed to breathe spontaneously while anesthetized. For each dog, the Pao2, Paco2, other indices of oxygenation, and extent of sedation were monitored at predetermined times during and for 1 hour after anesthesia. Measured variables were compared between the 2 treatment groups and over time within each treatment group. RESULTS None of the measured variables differed significantly between the control and 40% oxygen groups at any time during the postanesthesia period. Within each treatment group, the Paco2 and extent of sedation decreased over time during the postanesthesia period. CONCLUSIONS AND CLINICAL RELEVANCE Results indicated that indices of oxygenation did not differ significantly between healthy dogs in which the Fio2 was maintained at &gt; 0.9 and those in which the Fio2 was maintained at 0.4 while anesthetized for ovariohysterectomy. Thus, the addition of nitrogen to the carrier gas for an inhalant anesthetic conferred neither an advantage nor disadvantage in regard to oxygenation during the first hour of anesthesia recovery.</w:t>
      </w:r>
    </w:p>
    <w:p/>
    <w:p>
      <w:pPr>
        <w:pStyle w:val="Normal"/>
      </w:pPr>
      <w:r>
        <w:rPr>
          <w:color w:val="323232"/>
        </w:rPr>
        <w:t xml:space="preserve">Am J Vet Res, 2018 vol. 79 (2) pp. 147-153.</w:t>
      </w:r>
    </w:p>
    <w:p>
      <w:r>
        <w:rPr>
          <w:rStyle w:val="Hyperlink"/>
        </w:rPr>
        <w:fldChar w:fldCharType="begin"/>
      </w:r>
      <w:r>
        <w:rPr>
          <w:rStyle w:val="Hyperlink"/>
        </w:rPr>
        <w:instrText xml:space="preserve"> HYPERLINK "http://eutils.ncbi.nlm.nih.gov/entrez/eutils/elink.fcgi?dbfrom=pubmed&amp;id=29359969&amp;retmode=ref&amp;cmd=prlinks"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http://eutils.ncbi.nlm.nih.gov/entrez/eutils/elink.fcgi?dbfrom=pubmed&amp;id=29359969&amp;retmode=ref&amp;cmd=prlinks</w:t>
      </w:r>
      <w:r>
        <w:rPr>
          <w:rStyle w:val="Hyperlink"/>
        </w:rPr>
        <w:fldChar w:fldCharType="end"/>
      </w:r>
    </w:p>
    <w:p>
      <w:pPr>
        <w:pStyle w:val="Normal"/>
      </w:pPr>
      <w:r>
        <w:rPr>
          <w:color w:val="323232"/>
        </w:rPr>
        <w:t xml:space="preserve">————————</w:t>
      </w:r>
    </w:p>
    <w:p>
      <w:pPr>
        <w:pStyle w:val="Heading4"/>
      </w:pPr>
      <w:r>
        <w:t xml:space="preserve">Effects of weight loss with a moderate-protein, high-fiber diet on body composition, voluntary physical activity, and fecal microbiota of obese cats.</w:t>
      </w:r>
    </w:p>
    <w:p/>
    <w:p>
      <w:pPr>
        <w:pStyle w:val="Normal"/>
      </w:pPr>
      <w:r>
        <w:rPr>
          <w:color w:val="323232"/>
        </w:rPr>
        <w:t xml:space="preserve">Marissa R Pallotto, Maria R C de Godoy, Hannah D Holscher, Preston R Buff, and Kelly S Swanson.</w:t>
      </w:r>
    </w:p>
    <w:p/>
    <w:p>
      <w:pPr>
        <w:pStyle w:val="Normal"/>
      </w:pPr>
      <w:r>
        <w:rPr>
          <w:color w:val="323232"/>
        </w:rPr>
        <w:t xml:space="preserve">OBJECTIVE To determine effects of restriction feeding of a moderate-protein, high-fiber diet on loss of body weight (BW), voluntary physical activity, body composition, and fecal microbiota of overweight cats. ANIMALS 8 neutered male adult cats. PROCEDURES After BW maintenance for 4 weeks (week 0 = last week of baseline period), cats were fed to lose approximately 1.5% of BW/wk for 18 weeks. Food intake (daily), BW (twice per week), body condition score (weekly), body composition (every 4 weeks), serum biochemical analysis (weeks 0, 1, 2, 4, 8, 12, and 16), physical activity (every 6 weeks), and fecal microbiota (weeks 0, 1, 2, 4, 8, 12, and 16) were assessed. RESULTS BW, body condition score, serum triglyceride concentration, and body fat mass and percentage decreased significantly over time. Lean mass decreased significantly at weeks 12 and 16. Energy required to maintain BW was 14% less than National Research Council estimates for overweight cats and 16% more than resting energy requirement estimates. Energy required for weight loss was 11% more, 6% less, and 16% less than American Animal Hospital Association recommendations for weight loss (80% of resting energy requirement) at weeks 1 through 4, 5 through 8, and 9 through 18, respectively. Relative abundance of Actinobacteria increased and Bacteroidetes decreased with weight loss. CONCLUSIONS AND CLINICAL RELEVANCE Restricted feeding of a moderate-protein, high-fiber diet appeared to be a safe and effective means for weight loss in cats. Energy requirements for neutered cats may be overestimated and should be reconsidered.</w:t>
      </w:r>
    </w:p>
    <w:p/>
    <w:p>
      <w:pPr>
        <w:pStyle w:val="Normal"/>
      </w:pPr>
      <w:r>
        <w:rPr>
          <w:color w:val="323232"/>
        </w:rPr>
        <w:t xml:space="preserve">Am J Vet Res, 2018 vol. 79 (2) pp. 181-190.</w:t>
      </w:r>
    </w:p>
    <w:p>
      <w:r>
        <w:rPr>
          <w:rStyle w:val="Hyperlink"/>
        </w:rPr>
        <w:fldChar w:fldCharType="begin"/>
      </w:r>
      <w:r>
        <w:rPr>
          <w:rStyle w:val="Hyperlink"/>
        </w:rPr>
        <w:instrText xml:space="preserve"> HYPERLINK "http://eutils.ncbi.nlm.nih.gov/entrez/eutils/elink.fcgi?dbfrom=pubmed&amp;id=29359972&amp;retmode=ref&amp;cmd=prlinks"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http://eutils.ncbi.nlm.nih.gov/entrez/eutils/elink.fcgi?dbfrom=pubmed&amp;id=29359972&amp;retmode=ref&amp;cmd=prlinks</w:t>
      </w:r>
      <w:r>
        <w:rPr>
          <w:rStyle w:val="Hyperlink"/>
        </w:rPr>
        <w:fldChar w:fldCharType="end"/>
      </w:r>
    </w:p>
    <w:p>
      <w:pPr>
        <w:pStyle w:val="Normal"/>
      </w:pPr>
      <w:r>
        <w:rPr>
          <w:color w:val="323232"/>
        </w:rPr>
        <w:t xml:space="preserve">————————</w:t>
      </w:r>
    </w:p>
    <w:p>
      <w:pPr>
        <w:pStyle w:val="Heading4"/>
      </w:pPr>
      <w:r>
        <w:t xml:space="preserve">Effects of dexmedetomidine combined with commonly administered opioids on clinical variables in dogs.</w:t>
      </w:r>
    </w:p>
    <w:p/>
    <w:p>
      <w:pPr>
        <w:pStyle w:val="Normal"/>
      </w:pPr>
      <w:r>
        <w:rPr>
          <w:color w:val="323232"/>
        </w:rPr>
        <w:t xml:space="preserve">Lilian T Nishimura, Adam Auckburally, Juliana Santilli, Beatriz H B Vieira, Debora O Garcia, Cristiane S Honsho, and Ewaldo de Mattos-Junior.</w:t>
      </w:r>
    </w:p>
    <w:p/>
    <w:p>
      <w:pPr>
        <w:pStyle w:val="Normal"/>
      </w:pPr>
      <w:r>
        <w:rPr>
          <w:color w:val="323232"/>
        </w:rPr>
        <w:t xml:space="preserve">OBJECTIVE To evaluate cardiopulmonary, sedative, and antinociceptive effects of dexmedetomidine combined with commonly administered opioids in dogs. ANIMALS 8 healthy Beagles. PROCEDURES Dogs were sedated by IM administration of each of 7 treatments. Treatments comprised dexmedetomidine (0.01 mg</w:t>
      </w:r>
      <w:r>
        <w:rPr>
          <w:i w:val="1"/>
          <w:color w:val="323232"/>
        </w:rPr>
        <w:t xml:space="preserve">kg; Dex) and the same dose of dexmedetomidine plus butorphanol (0.15 mg</w:t>
      </w:r>
      <w:r>
        <w:rPr>
          <w:color w:val="323232"/>
        </w:rPr>
        <w:t xml:space="preserve">kg; Dex-But), meperidine (5 mg</w:t>
      </w:r>
      <w:r>
        <w:rPr>
          <w:i w:val="1"/>
          <w:color w:val="323232"/>
        </w:rPr>
        <w:t xml:space="preserve">kg; Dex-Mep), methadone (0.5 mg</w:t>
      </w:r>
      <w:r>
        <w:rPr>
          <w:color w:val="323232"/>
        </w:rPr>
        <w:t xml:space="preserve">kg; Dex-Meth), morphine (0.5 mg</w:t>
      </w:r>
      <w:r>
        <w:rPr>
          <w:i w:val="1"/>
          <w:color w:val="323232"/>
        </w:rPr>
        <w:t xml:space="preserve">kg; Dex-Mor), nalbuphine (0.5 mg</w:t>
      </w:r>
      <w:r>
        <w:rPr>
          <w:color w:val="323232"/>
        </w:rPr>
        <w:t xml:space="preserve">kg; Dex-Nal), or tramadol (5 mg/kg; Dex-Tram). Cardiorespiratory and arterial blood gas variables and sedative and antinociceptive scores were measured before drug injection (time 0; baseline) and at 15-minute intervals for 120 minutes. RESULTS Heart rate was reduced at all time points after injection of Dex-But, Dex-Mep, Dex-Meth, and Dex-Mor treatments. There was a significant reduction of mean arterial blood pressure for Dex-But, Dex-Mep, and Dex-Mor treatments at all time points, compared with baseline. There was a significant decrease in respiratory rate, compared with the baseline value, for Dex, Dex-But, Dex-Meth, and Dex-Tram treatments from 15 to 120 minutes. A significant decrease in arterial blood pH was detected from baseline to 120 minutes for all treatments, with differences among Dex, Dex-Mep, and Dex-Mor. Reduction in Pao2 was greater for the Dex-Mep treatment than for the other treatments. The highest sedation scores were detected for Dex-Mep and Dex-Meth treatments. Antinociceptive effects were superior for Dex-But, Dex-Meth, Dex-Mor, and Dex-Nal treatments. CONCLUSIONS AND CLINICAL RELEVANCE Drug combinations caused similar cardiorespiratory changes, with greater sedative effects for Dex-Mep and Dex-Meth and superior antinociceptive effects for Dex-But, Dex-Meth, Dex-Mor, and Dex-Nal.</w:t>
      </w:r>
    </w:p>
    <w:p/>
    <w:p>
      <w:pPr>
        <w:pStyle w:val="Normal"/>
      </w:pPr>
      <w:r>
        <w:rPr>
          <w:color w:val="323232"/>
        </w:rPr>
        <w:t xml:space="preserve">Am J Vet Res, 2018 vol. 79 (3) pp. 267-275.</w:t>
      </w:r>
    </w:p>
    <w:p>
      <w:r>
        <w:rPr>
          <w:rStyle w:val="Hyperlink"/>
        </w:rPr>
        <w:fldChar w:fldCharType="begin"/>
      </w:r>
      <w:r>
        <w:rPr>
          <w:rStyle w:val="Hyperlink"/>
        </w:rPr>
        <w:instrText xml:space="preserve"> HYPERLINK "http://eutils.ncbi.nlm.nih.gov/entrez/eutils/elink.fcgi?dbfrom=pubmed&amp;id=29466048&amp;retmode=ref&amp;cmd=prlinks"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http://eutils.ncbi.nlm.nih.gov/entrez/eutils/elink.fcgi?dbfrom=pubmed&amp;id=29466048&amp;retmode=ref&amp;cmd=prlinks</w:t>
      </w:r>
      <w:r>
        <w:rPr>
          <w:rStyle w:val="Hyperlink"/>
        </w:rPr>
        <w:fldChar w:fldCharType="end"/>
      </w:r>
    </w:p>
    <w:p>
      <w:pPr>
        <w:pStyle w:val="Normal"/>
      </w:pPr>
      <w:r>
        <w:rPr>
          <w:color w:val="323232"/>
        </w:rPr>
        <w:t xml:space="preserve">————————</w:t>
      </w:r>
    </w:p>
    <w:p>
      <w:pPr>
        <w:pStyle w:val="Heading4"/>
      </w:pPr>
      <w:r>
        <w:t xml:space="preserve">Associations between dialysate sodium concentration and plasma sodium concentration of dogs receiving intermittent hemodialysis treatments.</w:t>
      </w:r>
    </w:p>
    <w:p/>
    <w:p>
      <w:pPr>
        <w:pStyle w:val="Normal"/>
      </w:pPr>
      <w:r>
        <w:rPr>
          <w:color w:val="323232"/>
        </w:rPr>
        <w:t xml:space="preserve">Jonathan D Foster, Kenneth J Drobatz, and Larry D Cowgill.</w:t>
      </w:r>
    </w:p>
    <w:p/>
    <w:p>
      <w:pPr>
        <w:pStyle w:val="Normal"/>
      </w:pPr>
      <w:r>
        <w:rPr>
          <w:color w:val="323232"/>
        </w:rPr>
        <w:t xml:space="preserve">OBJECTIVE To compare dialysate sodium concentration and patient plasma sodium concentration of dogs during intermittent hemodialysis treatments. SAMPLE 211 intermittent hemodialysis treatments performed on 40 client-owned dogs for the management of dialysis-dependent uremia. PROCEDURES Medical records were reviewed to determine the plasma sodium concentration of each dog before and after routine hemodialysis treatments. Associations between detected changes in plasma sodium concentration and dialysate sodium concentration were evaluated by use of Spearman rank correlations and linear regression analysis. RESULTS Significant linear correlations were found between the dialysate sodium concentration and patient sodium concentration. The starting dialysate-to-patient sodium gradient was associated with the strongest correlation to the change in patient sodium concentration at the end of the dialysis session. Modest correlations existed between the dialysate sodium concentration and postdialysis patient sodium concentration as well as between the predialysis dialysate-to-patient sodium gradient and postdialysis dialysate-to-patient sodium gradient. CONCLUSIONS AND CLINICAL RELEVANCE The dialysate sodium concentration was correlated with the patient sodium concentration in dogs, and the dialysate-to-patient sodium gradient could be used to further refine this association to predict the postdialysis patient sodium concentration and potentially manage dysnatremia during hemodialysis. Prospective studies should be performed to determine how these associations can be used to correct aberrations as well as to avoid unwanted alterations in patient sodium concentrations.</w:t>
      </w:r>
    </w:p>
    <w:p/>
    <w:p>
      <w:pPr>
        <w:pStyle w:val="Normal"/>
      </w:pPr>
      <w:r>
        <w:rPr>
          <w:color w:val="323232"/>
        </w:rPr>
        <w:t xml:space="preserve">Am J Vet Res, 2018 vol. 79 (4) pp. 450-454.</w:t>
      </w:r>
    </w:p>
    <w:p>
      <w:r>
        <w:rPr>
          <w:rStyle w:val="Hyperlink"/>
        </w:rPr>
        <w:fldChar w:fldCharType="begin"/>
      </w:r>
      <w:r>
        <w:rPr>
          <w:rStyle w:val="Hyperlink"/>
        </w:rPr>
        <w:instrText xml:space="preserve"> HYPERLINK "http://eutils.ncbi.nlm.nih.gov/entrez/eutils/elink.fcgi?dbfrom=pubmed&amp;id=29583052&amp;retmode=ref&amp;cmd=prlinks"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http://eutils.ncbi.nlm.nih.gov/entrez/eutils/elink.fcgi?dbfrom=pubmed&amp;id=29583052&amp;retmode=ref&amp;cmd=prlinks</w:t>
      </w:r>
      <w:r>
        <w:rPr>
          <w:rStyle w:val="Hyperlink"/>
        </w:rPr>
        <w:fldChar w:fldCharType="end"/>
      </w:r>
    </w:p>
    <w:p>
      <w:pPr>
        <w:pStyle w:val="Normal"/>
      </w:pPr>
      <w:r>
        <w:rPr>
          <w:color w:val="323232"/>
        </w:rPr>
        <w:t xml:space="preserve">————————</w:t>
      </w:r>
    </w:p>
    <w:p>
      <w:pPr>
        <w:pStyle w:val="Heading4"/>
      </w:pPr>
      <w:r>
        <w:t xml:space="preserve">Effects of short-term anti-inflammatory glucocorticoid treatment on clinicopathologic, echocardiographic, and hemodynamic variables in systemically healthy dogs.</w:t>
      </w:r>
    </w:p>
    <w:p/>
    <w:p>
      <w:pPr>
        <w:pStyle w:val="Normal"/>
      </w:pPr>
      <w:r>
        <w:rPr>
          <w:color w:val="323232"/>
        </w:rPr>
        <w:t xml:space="preserve">Allison K Masters, Darren J Berger, Wendy A Ware, Natalie R Langenfeld, Johann F Coetzee, Jonathan P M Mochel, and Jessica L Ward.</w:t>
      </w:r>
    </w:p>
    <w:p/>
    <w:p>
      <w:pPr>
        <w:pStyle w:val="Normal"/>
      </w:pPr>
      <w:r>
        <w:rPr>
          <w:color w:val="323232"/>
        </w:rPr>
        <w:t xml:space="preserve">OBJECTIVE To investigate mechanisms by which anti-inflammatory doses of orally administered intermediate-acting glucocorticoids (prednisone) could predispose dogs to progression of heart disease or congestive heart failure. ANIMALS 11 client-owned dogs with allergic dermatitis and 11 matched healthy control dogs. PROCEDURES Clinicopathologic, echocardiographic, and hemodynamic variables were measured. Dogs with allergic dermatitis then received prednisone (1 mg/kg, PO) once daily for 14 consecutive days beginning on day 0 (baseline), followed by a tapering and washout period; control dogs received no treatment. Measurements were repeated on days 7, 14, and 35. Linear mixed modeling was used to compare changes in variables across measurement points and between dog groups. RESULTS Prednisone administration caused no significant changes in serum sodium or potassium concentration, blood glucose concentration, or target echocardiographic variables. The change from baseline in systolic arterial blood pressure at day 7 was significantly greater in prednisone-treated dogs than in control dogs. Expected changes in hematologic and serum biochemical values with prednisone administration (neutrophilia, eosinopenia, isosthenuria, and high serum alkaline phosphatase and alanine aminotransferase activities) also occurred in the prednisone-treated dogs. CONCLUSIONS AND CLINICAL RELEVANCE Findings suggested that anti-inflammatory doses of orally administered glucocorticoids have the potential to adversely impact cardiac function in dogs by causing an increase in blood pressure and thus increased cardiac afterload.</w:t>
      </w:r>
    </w:p>
    <w:p/>
    <w:p>
      <w:pPr>
        <w:pStyle w:val="Normal"/>
      </w:pPr>
      <w:r>
        <w:rPr>
          <w:color w:val="323232"/>
        </w:rPr>
        <w:t xml:space="preserve">Am J Vet Res, 2018 vol. 79 (4) pp. 411-423.</w:t>
      </w:r>
    </w:p>
    <w:p>
      <w:r>
        <w:rPr>
          <w:rStyle w:val="Hyperlink"/>
        </w:rPr>
        <w:fldChar w:fldCharType="begin"/>
      </w:r>
      <w:r>
        <w:rPr>
          <w:rStyle w:val="Hyperlink"/>
        </w:rPr>
        <w:instrText xml:space="preserve"> HYPERLINK "http://eutils.ncbi.nlm.nih.gov/entrez/eutils/elink.fcgi?dbfrom=pubmed&amp;id=29583045&amp;retmode=ref&amp;cmd=prlinks"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http://eutils.ncbi.nlm.nih.gov/entrez/eutils/elink.fcgi?dbfrom=pubmed&amp;id=29583045&amp;retmode=ref&amp;cmd=prlinks</w:t>
      </w:r>
      <w:r>
        <w:rPr>
          <w:rStyle w:val="Hyperlink"/>
        </w:rPr>
        <w:fldChar w:fldCharType="end"/>
      </w:r>
    </w:p>
    <w:p>
      <w:pPr>
        <w:pStyle w:val="Normal"/>
      </w:pPr>
      <w:r>
        <w:rPr>
          <w:color w:val="323232"/>
        </w:rPr>
        <w:t xml:space="preserve">————————</w:t>
      </w:r>
    </w:p>
    <w:p>
      <w:pPr>
        <w:pStyle w:val="Heading4"/>
      </w:pPr>
      <w:r>
        <w:t xml:space="preserve">Quantification of right ventricular volume measured by use of real-time three-dimensional echocardiography and electrocardiography-gated 64-slice multidetector computed tomography in healthy dogs.</w:t>
      </w:r>
    </w:p>
    <w:p/>
    <w:p>
      <w:pPr>
        <w:pStyle w:val="Normal"/>
      </w:pPr>
      <w:r>
        <w:rPr>
          <w:color w:val="323232"/>
        </w:rPr>
        <w:t xml:space="preserve">Nicole L LeBlanc and Katherine F Scollan.</w:t>
      </w:r>
    </w:p>
    <w:p/>
    <w:p>
      <w:pPr>
        <w:pStyle w:val="Normal"/>
      </w:pPr>
      <w:r>
        <w:rPr>
          <w:color w:val="323232"/>
        </w:rPr>
        <w:t xml:space="preserve">OBJECTIVE To evaluate accuracy of quantification of right ventricle volume (RVV) by use of 3-D echocardiography (3DE) and ECG-gated multidetector CT (MDCT). ANIMALS 6 healthy hound-cross dogs. PROCEDURES ECG-gated MDCT and complete 3DE examinations were performed on each dog. Right ventricular end-diastolic volumes (EDVs), end-systolic volumes (ESVs), stroke volume (SV), and ejection fraction (EF) were measured for 3DE and MDCT data sets by use of software specific for RVV quantification. Correlation and level of agreement between methods were determined. Intraobserver and interobserver variability were assessed for 3DE. RESULTS No significant differences were detected between SV and EF obtained with MDCT and 3DE. Significant differences were detected between right ventricular EDV and ESV obtained with MDCT and 3DE. No significant difference in heart rate was detected between methods. The correlation between MDCT and 3DE was very good (r = 0.87) for EDV and ESV, moderate (r = 0.60) for EF, and poor (r = 0.31) for SV. Bland-Altman analysis revealed a systematic underestimation of RVV derived by use of 3DE, compared with the RVV derived by use of MDCT (mean bias, 15 and 10.3 mL for EDV and ESV, respectively). Intraobserver (EDV, 12%; ESV, 18%) and interobserver (EDV, 14%; ESV, 11%) variability were acceptable for 3DE. CONCLUSIONS AND CLINICAL RELEVANCE There was substantial variance for RVV measured by use of 3DE in healthy dogs and a significant underestimation of volumes, compared with results for MDCT, despite the fact there were no significant differences in SV and EF.</w:t>
      </w:r>
    </w:p>
    <w:p/>
    <w:p>
      <w:pPr>
        <w:pStyle w:val="Normal"/>
      </w:pPr>
      <w:r>
        <w:rPr>
          <w:color w:val="323232"/>
        </w:rPr>
        <w:t xml:space="preserve">Am J Vet Res, 2018 vol. 79 (4) pp. 404-410.</w:t>
      </w:r>
    </w:p>
    <w:p>
      <w:r>
        <w:rPr>
          <w:rStyle w:val="Hyperlink"/>
        </w:rPr>
        <w:fldChar w:fldCharType="begin"/>
      </w:r>
      <w:r>
        <w:rPr>
          <w:rStyle w:val="Hyperlink"/>
        </w:rPr>
        <w:instrText xml:space="preserve"> HYPERLINK "http://eutils.ncbi.nlm.nih.gov/entrez/eutils/elink.fcgi?dbfrom=pubmed&amp;id=29583050&amp;retmode=ref&amp;cmd=prlinks"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http://eutils.ncbi.nlm.nih.gov/entrez/eutils/elink.fcgi?dbfrom=pubmed&amp;id=29583050&amp;retmode=ref&amp;cmd=prlinks</w:t>
      </w:r>
      <w:r>
        <w:rPr>
          <w:rStyle w:val="Hyperlink"/>
        </w:rPr>
        <w:fldChar w:fldCharType="end"/>
      </w:r>
    </w:p>
    <w:p>
      <w:pPr>
        <w:pStyle w:val="Normal"/>
      </w:pPr>
      <w:r>
        <w:rPr>
          <w:color w:val="323232"/>
        </w:rPr>
        <w:t xml:space="preserve">————————</w:t>
      </w:r>
    </w:p>
    <w:p>
      <w:pPr>
        <w:pStyle w:val="Heading4"/>
      </w:pPr>
      <w:r>
        <w:t xml:space="preserve">Effect of blood contamination on results of dipstick evaluation and urine protein-to-urine creatinine ratio for urine samples from dogs and cats.</w:t>
      </w:r>
    </w:p>
    <w:p/>
    <w:p>
      <w:pPr>
        <w:pStyle w:val="Normal"/>
      </w:pPr>
      <w:r>
        <w:rPr>
          <w:color w:val="323232"/>
        </w:rPr>
        <w:t xml:space="preserve">Aida I Vientós-Plotts, Ellen N Behrend, Elizabeth G Welles, Dennis J Chew, Philippe R Gaillard, Jessica N Busler, and Hollie P Lee.</w:t>
      </w:r>
    </w:p>
    <w:p/>
    <w:p>
      <w:pPr>
        <w:pStyle w:val="Normal"/>
      </w:pPr>
      <w:r>
        <w:rPr>
          <w:color w:val="323232"/>
        </w:rPr>
        <w:t xml:space="preserve">OBJECTIVE To evaluate effects of blood contamination on dipstick results, specific gravity (SG), and urine protein-to-urine creatinine ratio (UPCR) for urine samples from dogs and cats. SAMPLE Urine samples collected from 279 dogs and 120 cats. PROCEDURES Urine pools were made for each species (dogs [n = 60] and cats [30]). Blood was added to an aliquot of a pool, and serial dilutions were prepared with the remaining urine. Color and dipstick variables were recorded, and SG and UPCR were measured. For cats, 1 set of pools was used; for dogs, 2 sets were used. Comparisons were made between undiluted urine and spiked urine samples for individual colors. Repeated-measures ANOVA on ranks was used to compare dipstick scores and UPCR results; χ2 tests were used to compare proteinuria categorizations (nonproteinuric, borderline, or proteinuric). RESULTS Any blood in the urine resulted in significantly increased dipstick scores for blood. In both species, scores for bilirubin and ketones, pH, and SG were affected by visible blood contamination. No significant difference for the dipstick protein reagent results was evident until a sample was visibly hematuric. The UPCR was significantly increased in dark yellow samples of both species. Proteinuria categorizations differed significantly between undiluted urine and urine of all colors, except light yellow. CONCLUSIONS AND CLINICAL RELEVANCE Any degree of blood contamination affected results of dipstick analysis. Effects depended on urine color and the variable measured. Microscopic blood contamination may affect the UPCR; thus, blood contamination may be a differential diagnosis for proteinuria in yellow urine samples.</w:t>
      </w:r>
    </w:p>
    <w:p/>
    <w:p>
      <w:pPr>
        <w:pStyle w:val="Normal"/>
      </w:pPr>
      <w:r>
        <w:rPr>
          <w:color w:val="323232"/>
        </w:rPr>
        <w:t xml:space="preserve">Am J Vet Res, 2018 vol. 79 (5) pp. 525-531.</w:t>
      </w:r>
    </w:p>
    <w:p>
      <w:r>
        <w:rPr>
          <w:rStyle w:val="Hyperlink"/>
        </w:rPr>
        <w:fldChar w:fldCharType="begin"/>
      </w:r>
      <w:r>
        <w:rPr>
          <w:rStyle w:val="Hyperlink"/>
        </w:rPr>
        <w:instrText xml:space="preserve"> HYPERLINK "http://eutils.ncbi.nlm.nih.gov/entrez/eutils/elink.fcgi?dbfrom=pubmed&amp;id=29688781&amp;retmode=ref&amp;cmd=prlinks"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http://eutils.ncbi.nlm.nih.gov/entrez/eutils/elink.fcgi?dbfrom=pubmed&amp;id=29688781&amp;retmode=ref&amp;cmd=prlinks</w:t>
      </w:r>
      <w:r>
        <w:rPr>
          <w:rStyle w:val="Hyperlink"/>
        </w:rPr>
        <w:fldChar w:fldCharType="end"/>
      </w:r>
    </w:p>
    <w:p>
      <w:pPr>
        <w:pStyle w:val="Normal"/>
      </w:pPr>
      <w:r>
        <w:rPr>
          <w:color w:val="323232"/>
        </w:rPr>
        <w:t xml:space="preserve">————————</w:t>
      </w:r>
    </w:p>
    <w:p>
      <w:pPr>
        <w:pStyle w:val="Heading4"/>
      </w:pPr>
      <w:r>
        <w:t xml:space="preserve">Influence of immune-mediated hemolytic anemia on flow velocities in the portal vein and caudal vena cava measured by use of pulsed-wave Doppler ultrasonography in dogs.</w:t>
      </w:r>
    </w:p>
    <w:p/>
    <w:p>
      <w:pPr>
        <w:pStyle w:val="Normal"/>
      </w:pPr>
      <w:r>
        <w:rPr>
          <w:color w:val="323232"/>
        </w:rPr>
        <w:t xml:space="preserve">Rachel Policelli Smith, Amy M Koenigshof, Daniel J Smith, Phillip R Strom, and Nathan C Nelson.</w:t>
      </w:r>
    </w:p>
    <w:p/>
    <w:p>
      <w:pPr>
        <w:pStyle w:val="Normal"/>
      </w:pPr>
      <w:r>
        <w:rPr>
          <w:color w:val="323232"/>
        </w:rPr>
        <w:t xml:space="preserve">OBJECTIVE To compare blood flow velocities of the portal vein (PV) and caudal vena cava (CVC) measured by use of pulsed-wave Doppler ultrasonography in clinically normal dogs and dogs with primary immune-mediated hemolytic anemia (IMHA). ANIMALS 11 client-owned dogs admitted to a veterinary teaching hospital for management of primary IMHA and 21 staff- or student-owned clinically normal dogs. PROCEDURES Flow velocities in the PV and CVC at the porta hepatis were evaluated in conscious unsedated dogs with concurrent ECG monitoring; evaluations were performed before dogs with IMHA received heparin or blood transfusions. Three measurements of peak velocity at end expiration were obtained for each vessel, and the mean was calculated. Results were compared between IMHA and control groups. RESULTS Mean ± SD blood flow velocity in the CVC differed between control (63.0 ± 18.6 cm</w:t>
      </w:r>
      <w:r>
        <w:rPr>
          <w:i w:val="1"/>
          <w:color w:val="323232"/>
        </w:rPr>
        <w:t xml:space="preserve">s) and IMHA (104 ± 36.9 cm</w:t>
      </w:r>
      <w:r>
        <w:rPr>
          <w:color w:val="323232"/>
        </w:rPr>
        <w:t xml:space="preserve">s) groups. Variance in dogs with IMHA was significantly greater than that for the clinically normal dogs. No significant difference in blood flow velocity in the PV was detected between IMHA and control dogs. CONCLUSIONS AND CLINICAL RELEVANCE Higher blood flow velocities were detected by use of pulsed-wave Doppler ultrasonography in the CVC of dogs with naturally occurring IMHA and may be used to predict anemia in patients suspected of having IMHA.</w:t>
      </w:r>
    </w:p>
    <w:p/>
    <w:p>
      <w:pPr>
        <w:pStyle w:val="Normal"/>
      </w:pPr>
      <w:r>
        <w:rPr>
          <w:color w:val="323232"/>
        </w:rPr>
        <w:t xml:space="preserve">Am J Vet Res, 2018 vol. 79 (5) pp. 518-524.</w:t>
      </w:r>
    </w:p>
    <w:p>
      <w:r>
        <w:rPr>
          <w:rStyle w:val="Hyperlink"/>
        </w:rPr>
        <w:fldChar w:fldCharType="begin"/>
      </w:r>
      <w:r>
        <w:rPr>
          <w:rStyle w:val="Hyperlink"/>
        </w:rPr>
        <w:instrText xml:space="preserve"> HYPERLINK "http://eutils.ncbi.nlm.nih.gov/entrez/eutils/elink.fcgi?dbfrom=pubmed&amp;id=29688778&amp;retmode=ref&amp;cmd=prlinks"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http://eutils.ncbi.nlm.nih.gov/entrez/eutils/elink.fcgi?dbfrom=pubmed&amp;id=29688778&amp;retmode=ref&amp;cmd=prlinks</w:t>
      </w:r>
      <w:r>
        <w:rPr>
          <w:rStyle w:val="Hyperlink"/>
        </w:rPr>
        <w:fldChar w:fldCharType="end"/>
      </w:r>
    </w:p>
    <w:p>
      <w:pPr>
        <w:pStyle w:val="Normal"/>
      </w:pPr>
      <w:r>
        <w:rPr>
          <w:color w:val="323232"/>
        </w:rPr>
        <w:t xml:space="preserve">————————</w:t>
      </w:r>
    </w:p>
    <w:p>
      <w:pPr>
        <w:pStyle w:val="Heading4"/>
      </w:pPr>
      <w:r>
        <w:t xml:space="preserve">Respiratory effects of low versus high tidal volume with or without positive end-expiratory pressure in anesthetized dogs with healthy lungs.</w:t>
      </w:r>
    </w:p>
    <w:p/>
    <w:p>
      <w:pPr>
        <w:pStyle w:val="Normal"/>
      </w:pPr>
      <w:r>
        <w:rPr>
          <w:color w:val="323232"/>
        </w:rPr>
        <w:t xml:space="preserve">Valentina De Monte, Antonello Bufalari, Salvatore Grasso, Fabienne Ferrulli, Alberto Maria Crovace, Luca Lacitignola, and Francesco Staffieri.</w:t>
      </w:r>
    </w:p>
    <w:p/>
    <w:p>
      <w:pPr>
        <w:pStyle w:val="Normal"/>
      </w:pPr>
      <w:r>
        <w:rPr>
          <w:color w:val="323232"/>
        </w:rPr>
        <w:t xml:space="preserve">OBJECTIVE To evaluate the impact of 2 tidal volumes (TVs) with or without positive end-expiratory pressure (PEEP) on lung mechanics, aeration, and gas exchange in healthy anesthetized dogs. ANIMALS 40 mixed-breed dogs with healthy lungs. PROCEDURES Anesthetized dogs were randomly assigned to 4 groups (n = 10/group) with different ventilatory settings: TV of 8 mL</w:t>
      </w:r>
      <w:r>
        <w:rPr>
          <w:i w:val="1"/>
          <w:color w:val="323232"/>
        </w:rPr>
        <w:t xml:space="preserve">kg and PEEP of 0 cm H2O (low TV group), TV of 8 mL</w:t>
      </w:r>
      <w:r>
        <w:rPr>
          <w:color w:val="323232"/>
        </w:rPr>
        <w:t xml:space="preserve">kg and PEEP of 5 cm H2O (low TV plus PEEP group), TV of 15 mL</w:t>
      </w:r>
      <w:r>
        <w:rPr>
          <w:i w:val="1"/>
          <w:color w:val="323232"/>
        </w:rPr>
        <w:t xml:space="preserve">kg and PEEP of 0 cm H2O (high TV group), or TV of 15 mL</w:t>
      </w:r>
      <w:r>
        <w:rPr>
          <w:color w:val="323232"/>
        </w:rPr>
        <w:t xml:space="preserve">kg and PEEP of 5 cm H2O (high TV plus PEEP group). Expired CO2 and respiratory rate were titrated on the basis of a predetermined stepwise protocol. Gas exchange, respiratory mechanics, and pulmonary aeration were evaluated by means of CT 30 minutes after starting mechanical ventilation at the assigned setting. RESULTS Partial pressures of arterial and expired CO2 were higher in the low TV and low TV plus PEEP groups than in the high TV and high TV plus PEEP groups. Peak and plateau airway pressures were higher in the PEEP group than in the other groups. Static lung compliance was higher in the high TV plus PEEP group than in the low TV group. Relative percentages of atelectatic and poorly aerated lung were lower in the high TV plus PEEP group than in the other groups. Oxygenation was similar among groups. CONCLUSIONS AND CLINICAL RELEVANCE Differences in TV and PEEP application during mechanical ventilation may affect respiratory function in anesthetized dogs with healthy lungs. Ventilation with a TV of 15 mL/kg and PEEP of 5 cm H2O significantly improved lung compliance and reduced the amount of atelectatic and poorly aerated lung.</w:t>
      </w:r>
    </w:p>
    <w:p/>
    <w:p>
      <w:pPr>
        <w:pStyle w:val="Normal"/>
      </w:pPr>
      <w:r>
        <w:rPr>
          <w:color w:val="323232"/>
        </w:rPr>
        <w:t xml:space="preserve">Am J Vet Res, 2018 vol. 79 (5) pp. 496-504.</w:t>
      </w:r>
    </w:p>
    <w:p>
      <w:r>
        <w:rPr>
          <w:rStyle w:val="Hyperlink"/>
        </w:rPr>
        <w:fldChar w:fldCharType="begin"/>
      </w:r>
      <w:r>
        <w:rPr>
          <w:rStyle w:val="Hyperlink"/>
        </w:rPr>
        <w:instrText xml:space="preserve"> HYPERLINK "http://eutils.ncbi.nlm.nih.gov/entrez/eutils/elink.fcgi?dbfrom=pubmed&amp;id=29688788&amp;retmode=ref&amp;cmd=prlinks"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http://eutils.ncbi.nlm.nih.gov/entrez/eutils/elink.fcgi?dbfrom=pubmed&amp;id=29688788&amp;retmode=ref&amp;cmd=prlinks</w:t>
      </w:r>
      <w:r>
        <w:rPr>
          <w:rStyle w:val="Hyperlink"/>
        </w:rPr>
        <w:fldChar w:fldCharType="end"/>
      </w:r>
    </w:p>
    <w:p>
      <w:pPr>
        <w:pStyle w:val="Normal"/>
      </w:pPr>
      <w:r>
        <w:rPr>
          <w:color w:val="323232"/>
        </w:rPr>
        <w:t xml:space="preserve">————————</w:t>
      </w:r>
    </w:p>
    <w:p>
      <w:pPr>
        <w:pStyle w:val="Heading4"/>
      </w:pPr>
      <w:r>
        <w:t xml:space="preserve">Thromboelastographic evaluation of dogs bitten by rattlesnakes native to southern California.</w:t>
      </w:r>
    </w:p>
    <w:p/>
    <w:p>
      <w:pPr>
        <w:pStyle w:val="Normal"/>
      </w:pPr>
      <w:r>
        <w:rPr>
          <w:color w:val="323232"/>
        </w:rPr>
        <w:t xml:space="preserve">Beth A Lieblick, Philip J Bergman, and Nathan W Peterson.</w:t>
      </w:r>
    </w:p>
    <w:p/>
    <w:p>
      <w:pPr>
        <w:pStyle w:val="Normal"/>
      </w:pPr>
      <w:r>
        <w:rPr>
          <w:color w:val="323232"/>
        </w:rPr>
        <w:t xml:space="preserve">OBJECTIVE To validate that dogs become hypocoagulable following rattlesnake envenomation and to determine whether thromboelastographic abnormalities are correlated with envenomation severity for dogs bitten by rattlesnakes native to southern California. ANIMALS 14 dogs with observed or suspected rattlesnake envenomation (envenomated dogs) and 10 healthy control dogs. PROCEDURES For each dog, a citrate-anticoagulated blood sample underwent kaolin-activated thromboelastography. For each envenomated dog, a snakebite severity score was assigned on the basis of clinical findings, and prothrombin time, activated partial thromboplastin time, and platelet count were determined when the attending clinician deemed it necessary and owner finances allowed. RESULTS For 12 of 14 envenomated dogs, the thromboelastographically determined clot strength was below the 25th percentile for the clot strength of control dogs, which was indicative of a hypocoagulable state. No envenomated dog had thromboelastographic results indicative of a hypercoagulable state. One envenomated dog had a prolonged prothrombin time, but the activated partial thromboplastin time and all thromboelastographic variables were within the respective reference ranges for that dog. Seven of 13 envenomated dogs were thrombocytopenic (platelet count, ≤ 170,000 platelets/μL). Snakebite severity score was negatively correlated with platelet count but was not correlated with any thromboelastographic variable. CONCLUSIONS AND CLINICAL RELEVANCE Results indicated that dogs generally become hypocoagulable following rattlesnake envenomation. Thromboelastography might provide an objective measure of the coagulation status of envenomated dogs and aid in the identification of dogs that are in a hypocoagulable state and in need of antivenin treatment prior to the onset of progressive clinical signs.</w:t>
      </w:r>
    </w:p>
    <w:p/>
    <w:p>
      <w:pPr>
        <w:pStyle w:val="Normal"/>
      </w:pPr>
      <w:r>
        <w:rPr>
          <w:color w:val="323232"/>
        </w:rPr>
        <w:t xml:space="preserve">Am J Vet Res, 2018 vol. 79 (5) pp. 532-537.</w:t>
      </w:r>
    </w:p>
    <w:p>
      <w:r>
        <w:rPr>
          <w:rStyle w:val="Hyperlink"/>
        </w:rPr>
        <w:fldChar w:fldCharType="begin"/>
      </w:r>
      <w:r>
        <w:rPr>
          <w:rStyle w:val="Hyperlink"/>
        </w:rPr>
        <w:instrText xml:space="preserve"> HYPERLINK "http://eutils.ncbi.nlm.nih.gov/entrez/eutils/elink.fcgi?dbfrom=pubmed&amp;id=29688784&amp;retmode=ref&amp;cmd=prlinks"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http://eutils.ncbi.nlm.nih.gov/entrez/eutils/elink.fcgi?dbfrom=pubmed&amp;id=29688784&amp;retmode=ref&amp;cmd=prlinks</w:t>
      </w:r>
      <w:r>
        <w:rPr>
          <w:rStyle w:val="Hyperlink"/>
        </w:rPr>
        <w:fldChar w:fldCharType="end"/>
      </w:r>
    </w:p>
    <w:p>
      <w:pPr>
        <w:pStyle w:val="Normal"/>
      </w:pPr>
      <w:r>
        <w:rPr>
          <w:color w:val="323232"/>
        </w:rPr>
        <w:t xml:space="preserve">————————</w:t>
      </w:r>
    </w:p>
    <w:p>
      <w:pPr>
        <w:pStyle w:val="Heading4"/>
      </w:pPr>
      <w:r>
        <w:t xml:space="preserve">Comparison of ultrasound-guided and landmark-based techniques for central venous catheterization via the external jugular vein in healthy anesthetized dogs.</w:t>
      </w:r>
    </w:p>
    <w:p/>
    <w:p>
      <w:pPr>
        <w:pStyle w:val="Normal"/>
      </w:pPr>
      <w:r>
        <w:rPr>
          <w:color w:val="323232"/>
        </w:rPr>
        <w:t xml:space="preserve">Danielle M Hundley, Aimee C Brooks, Elizabeth J Thomovsky, Paula A Johnson, Lynetta J Freeman, Ryan M Schafbuch, Hock Gan Heng, and George E Moore.</w:t>
      </w:r>
    </w:p>
    <w:p/>
    <w:p>
      <w:pPr>
        <w:pStyle w:val="Normal"/>
      </w:pPr>
      <w:r>
        <w:rPr>
          <w:color w:val="323232"/>
        </w:rPr>
        <w:t xml:space="preserve">OBJECTIVE To compare time to achieve vascular access (TTVA) between an ultrasound-guided technique (UST) and landmark-based technique (LMT) for central venous catheter (CVC) placement in healthy anesthetized dogs. ANIMALS 39 purpose-bred hounds. PROCEDURES Anesthetized dogs that were hemodynamically stable following completion of a terminal surgical exercise were enrolled in the study during 2 phases, with a 45-day intermission between phases. For each dog, a UST and LMT were used for CVC placement via each external jugular vein by 2 operators (criticalist and resident). The TTVA and number of venipuncture attempts and catheter redirections were recorded for each catheterization. Placement of the CVC was confirmed by contrast fluoroscopy. After euthanasia, a gross dissection was performed during which a hematoma score was assigned to the catheter insertion site. For each phase, nonlinear least squares estimation was used for learning curve analysis of the UST. RESULTS Median TTVA, number of venipuncture attempts and catheter redirections, and hematoma score did not differ significantly between the 2 operators for either technique. Median TTVA for the UST (45 seconds) was significantly longer than that for the LMT (7 seconds). Learning curve analysis indicated that 8 and 7 UST catheterizations were required to achieve performance stability in phases 1 and 2, respectively. CONCLUSIONS AND CLINICAL RELEVANCE Results indicated that the UST was comparable to the LMT for CVC placement in healthy dogs. The extra time required to perform the UST was not clinically relevant. Additional studies evaluating the UST for CVC placement in clinically ill dogs are warranted.</w:t>
      </w:r>
    </w:p>
    <w:p/>
    <w:p>
      <w:pPr>
        <w:pStyle w:val="Normal"/>
      </w:pPr>
      <w:r>
        <w:rPr>
          <w:color w:val="323232"/>
        </w:rPr>
        <w:t xml:space="preserve">Am J Vet Res, 2018 vol. 79 (6) pp. 628-636.</w:t>
      </w:r>
    </w:p>
    <w:p>
      <w:r>
        <w:rPr>
          <w:rStyle w:val="Hyperlink"/>
        </w:rPr>
        <w:fldChar w:fldCharType="begin"/>
      </w:r>
      <w:r>
        <w:rPr>
          <w:rStyle w:val="Hyperlink"/>
        </w:rPr>
        <w:instrText xml:space="preserve"> HYPERLINK "http://eutils.ncbi.nlm.nih.gov/entrez/eutils/elink.fcgi?dbfrom=pubmed&amp;id=30085854&amp;retmode=ref&amp;cmd=prlinks"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http://eutils.ncbi.nlm.nih.gov/entrez/eutils/elink.fcgi?dbfrom=pubmed&amp;id=30085854&amp;retmode=ref&amp;cmd=prlinks</w:t>
      </w:r>
      <w:r>
        <w:rPr>
          <w:rStyle w:val="Hyperlink"/>
        </w:rPr>
        <w:fldChar w:fldCharType="end"/>
      </w:r>
    </w:p>
    <w:p>
      <w:pPr>
        <w:pStyle w:val="Normal"/>
      </w:pPr>
      <w:r>
        <w:rPr>
          <w:color w:val="323232"/>
        </w:rPr>
        <w:t xml:space="preserve">————————</w:t>
      </w:r>
    </w:p>
    <w:p>
      <w:pPr>
        <w:pStyle w:val="Heading4"/>
      </w:pPr>
      <w:r>
        <w:t xml:space="preserve">Effects of a nutrient-enriched water on water intake and indices of hydration in healthy domestic cats fed a dry kibble diet.</w:t>
      </w:r>
    </w:p>
    <w:p/>
    <w:p>
      <w:pPr>
        <w:pStyle w:val="Normal"/>
      </w:pPr>
      <w:r>
        <w:rPr>
          <w:color w:val="323232"/>
        </w:rPr>
        <w:t xml:space="preserve">Brian M Zanghi, Lynn Gerheart, and Cari L Gardner.</w:t>
      </w:r>
    </w:p>
    <w:p/>
    <w:p>
      <w:pPr>
        <w:pStyle w:val="Normal"/>
      </w:pPr>
      <w:r>
        <w:rPr>
          <w:color w:val="323232"/>
        </w:rPr>
        <w:t xml:space="preserve">OBJECTIVE To evaluate the effects of drinking nutrient-enriched water (NW) on water intake and indices of hydration in healthy domestic cats fed a dry kibble diet ad libitum. ANIMALS 18 domestic shorthair cats. PROCEDURES Group-housed cats were assigned to tap water (TW; n = 9) or NW (9) groups. All cats received TW at baseline (days -7 to -1). No changes were made to the food-water regimen for the TW group. The NW group received NW instead of TW from days 0 through 10, then received TW and NW in separate bowls (days 11 through 56). Food intake was measured through day 10; liquid consumed by drinking was measured throughout the study. Blood and urine samples were collected at predetermined times for analyses; 48-hour urine collection (days 28 through 30 or 31 through 33) was performed to assess output volume and aid endogenous creatinine-based glomerular filtration rate (GFR) determination. Data were analyzed with linear mixed-effects models. RESULTS Baseline TW and calorie intake were similar between groups. The NW treatment was significantly associated with increased liquid consumption during the treatment phase. Mean urine output was significantly higher in the NW group (15.2 mL</w:t>
      </w:r>
      <w:r>
        <w:rPr>
          <w:i w:val="1"/>
          <w:color w:val="323232"/>
        </w:rPr>
        <w:t xml:space="preserve">kg</w:t>
      </w:r>
      <w:r>
        <w:rPr>
          <w:color w:val="323232"/>
        </w:rPr>
        <w:t xml:space="preserve">d) than in the TW group (10.3 mL</w:t>
      </w:r>
      <w:r>
        <w:rPr>
          <w:i w:val="1"/>
          <w:color w:val="323232"/>
        </w:rPr>
        <w:t xml:space="preserve">kg</w:t>
      </w:r>
      <w:r>
        <w:rPr>
          <w:color w:val="323232"/>
        </w:rPr>
        <w:t xml:space="preserve">d). Mean GFR (1.75 vs 1.87 mL</w:t>
      </w:r>
      <w:r>
        <w:rPr>
          <w:i w:val="1"/>
          <w:color w:val="323232"/>
        </w:rPr>
        <w:t xml:space="preserve">min</w:t>
      </w:r>
      <w:r>
        <w:rPr>
          <w:color w:val="323232"/>
        </w:rPr>
        <w:t xml:space="preserve">kg, respectively) did not differ between groups. Effects of treatment and time were each significant for urine specific gravity and osmolality and urine creatinine, phosphate, and urea nitrogen concentrations, with lower values for the NW group. CONCLUSIONS AND CLINICAL RELEVANCE Results suggested that consumption of the NW can increase liquid intake and improve measures of hydration in healthy cats. These effects may offer health benefits to some cats in need of greater water consumption.</w:t>
      </w:r>
    </w:p>
    <w:p/>
    <w:p>
      <w:pPr>
        <w:pStyle w:val="Normal"/>
      </w:pPr>
      <w:r>
        <w:rPr>
          <w:color w:val="323232"/>
        </w:rPr>
        <w:t xml:space="preserve">Am J Vet Res, 2018 vol. 79 (7) pp. 733-744.</w:t>
      </w:r>
    </w:p>
    <w:p>
      <w:r>
        <w:rPr>
          <w:rStyle w:val="Hyperlink"/>
        </w:rPr>
        <w:fldChar w:fldCharType="begin"/>
      </w:r>
      <w:r>
        <w:rPr>
          <w:rStyle w:val="Hyperlink"/>
        </w:rPr>
        <w:instrText xml:space="preserve"> HYPERLINK "http://eutils.ncbi.nlm.nih.gov/entrez/eutils/elink.fcgi?dbfrom=pubmed&amp;id=29943634&amp;retmode=ref&amp;cmd=prlinks"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http://eutils.ncbi.nlm.nih.gov/entrez/eutils/elink.fcgi?dbfrom=pubmed&amp;id=29943634&amp;retmode=ref&amp;cmd=prlinks</w:t>
      </w:r>
      <w:r>
        <w:rPr>
          <w:rStyle w:val="Hyperlink"/>
        </w:rPr>
        <w:fldChar w:fldCharType="end"/>
      </w:r>
    </w:p>
    <w:p>
      <w:pPr>
        <w:pStyle w:val="Normal"/>
      </w:pPr>
      <w:r>
        <w:rPr>
          <w:color w:val="323232"/>
        </w:rPr>
        <w:t xml:space="preserve">————————</w:t>
      </w:r>
    </w:p>
    <w:p>
      <w:pPr>
        <w:pStyle w:val="Heading4"/>
      </w:pPr>
      <w:r>
        <w:t xml:space="preserve">Evaluation of a fluorescence resonance energy transfer quantitative polymerase chain reaction assay for identification of gyrA mutations conferring enrofloxacin resistance in canine urinary Escherichia coli isolates and canine urine specimens.</w:t>
      </w:r>
    </w:p>
    <w:p/>
    <w:p>
      <w:pPr>
        <w:pStyle w:val="Normal"/>
      </w:pPr>
      <w:r>
        <w:rPr>
          <w:color w:val="323232"/>
        </w:rPr>
        <w:t xml:space="preserve">Megan G Behringer, Dawn M Boothe, and Kamoltip Thungrat.</w:t>
      </w:r>
    </w:p>
    <w:p/>
    <w:p>
      <w:pPr>
        <w:pStyle w:val="Normal"/>
      </w:pPr>
      <w:r>
        <w:rPr>
          <w:color w:val="323232"/>
        </w:rPr>
        <w:t xml:space="preserve">OBJECTIVE To evaluate a fluorescence resonance energy transfer quantitative PCR (FRET-qPCR) assay for detection of gyrA mutations conferring fluoroquinolone resistance in canine urinary Escherichia coli isolates and canine urine specimens. SAMPLE 264 canine urinary E coli isolates and 283 clinical canine urine specimens. PROCEDURES The E coli isolates were used to validate the FRET-qPCR assay. Urine specimens were evaluated by bacterial culture and identification, isolate enrofloxacin susceptibility testing, and FRET-qPCR assay. Sensitivity and specificity of the FRET-qPCR assay for detection of gyrA mutations in urine specimens and in E coli isolated from urine specimens were computed, with results of enrofloxacin susceptibility testing used as the reference standard. RESULTS The validated FRET-qPCR assay discriminated between enrofloxacin-resistant and enrofloxacin-susceptible E coli isolates with an area under the receiver operating characteristic curve of 0.92. The assay accurately identified 25 of 40 urine specimens as containing enrofloxacin-resistant isolates (sensitivity, 62.5%) and 226 of 243 urine specimens as containing enrofloxacin-susceptible isolates (specificity, 93.0%). When the same assay was performed on E coli isolates recovered from these specimens, sensitivity (77.8%) and specificity (94.8%) increased. Moderate agreement was achieved between results of the FRET-qPCR assay and enrofloxacin susceptibility testing for E coli isolates recovered from urine specimens. CONCLUSIONS AND CLINICAL RELEVANCE The FRET-qPCR assay was able to rapidly distinguish between enrofloxacin-resistant and enrofloxacin-susceptible E coli in canine clinical urine specimens through detection of gyrA mutations. Therefore, the assay may be useful in clinical settings to screen such specimens for enrofloxacin-resistant E coli to avoid inappropriate use of enrofloxacin and contributing to antimicrobial resistance.</w:t>
      </w:r>
    </w:p>
    <w:p/>
    <w:p>
      <w:pPr>
        <w:pStyle w:val="Normal"/>
      </w:pPr>
      <w:r>
        <w:rPr>
          <w:color w:val="323232"/>
        </w:rPr>
        <w:t xml:space="preserve">Am J Vet Res, 2018 vol. 79 (7) pp. 755-761.</w:t>
      </w:r>
    </w:p>
    <w:p>
      <w:r>
        <w:rPr>
          <w:rStyle w:val="Hyperlink"/>
        </w:rPr>
        <w:fldChar w:fldCharType="begin"/>
      </w:r>
      <w:r>
        <w:rPr>
          <w:rStyle w:val="Hyperlink"/>
        </w:rPr>
        <w:instrText xml:space="preserve"> HYPERLINK "http://eutils.ncbi.nlm.nih.gov/entrez/eutils/elink.fcgi?dbfrom=pubmed&amp;id=29943633&amp;retmode=ref&amp;cmd=prlinks"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http://eutils.ncbi.nlm.nih.gov/entrez/eutils/elink.fcgi?dbfrom=pubmed&amp;id=29943633&amp;retmode=ref&amp;cmd=prlinks</w:t>
      </w:r>
      <w:r>
        <w:rPr>
          <w:rStyle w:val="Hyperlink"/>
        </w:rPr>
        <w:fldChar w:fldCharType="end"/>
      </w:r>
    </w:p>
    <w:p>
      <w:pPr>
        <w:pStyle w:val="Normal"/>
      </w:pPr>
      <w:r>
        <w:rPr>
          <w:color w:val="323232"/>
        </w:rPr>
        <w:t xml:space="preserve">————————</w:t>
      </w:r>
    </w:p>
    <w:p>
      <w:pPr>
        <w:pStyle w:val="Heading4"/>
      </w:pPr>
      <w:r>
        <w:t xml:space="preserve">Hemodynamic effects of MK-467 following intravenous administration to isoflurane-anesthetized cats concurrently receiving dexmedetomidine.</w:t>
      </w:r>
    </w:p>
    <w:p/>
    <w:p>
      <w:pPr>
        <w:pStyle w:val="Normal"/>
      </w:pPr>
      <w:r>
        <w:rPr>
          <w:color w:val="323232"/>
        </w:rPr>
        <w:t xml:space="preserve">Manuel Martin-Flores, Daniel M Sakai, Juhana Honkavaara, Luis Campoy, Diego A Portela, and Robin D Gleed.</w:t>
      </w:r>
    </w:p>
    <w:p/>
    <w:p>
      <w:pPr>
        <w:pStyle w:val="Normal"/>
      </w:pPr>
      <w:r>
        <w:rPr>
          <w:color w:val="323232"/>
        </w:rPr>
        <w:t xml:space="preserve">OBJECTIVE To evaluate the efficacy of each of 3 incremental doses of MK-467 for alleviation of dexmedetomidine-induced hemodynamic depression in isoflurane-anesthetized cats. ANIMALS 6 healthy adult domestic shorthair cats. PROCEDURES Each cat was anesthetized with isoflurane and received a target-controlled infusion of dexmedetomidine estimated to maintain the plasma dexmedetomidine concentration at 10 ng/ mL throughout the experiment. Heart rate (HR) and direct arterial pressures were measured at baseline (isoflurane administration only), during dexmedetomidine infusion, and before and after IV administration of each of 3 serially increasing doses (15, 30, and 60 μg/ kg) of MK-467. Cardiac index (CI) and systemic vascular resistance (SVR) were recorded at baseline, during dexmedetomidine infusion, and at the mean arterial pressure nadir after administration of the 30- and 60-μg/ kg doses of MK-467. RESULTS Compared with baseline values, the dexmedetomidine infusion significantly decreased HR and increased arterial pressures. Each dose of MK-467 caused a significant decrease in arterial pressures and a significant, albeit clinically irrelevant, increase in HR (≤ 10%). Following administration of the 30- and 60-μg/kg doses of MK-467, all cats developed clinical hypotension (mean arterial pressure, &lt; 60 mm Hg) even though CI and SVR returned to baseline values. CONCLUSIONS AND CLINICAL RELEVANCE Results indicated administration of small doses of MK-467 to isoflurane-anesthetized cats receiving dexmedetomidine restored CI and SVR, but caused a substantial decrease in arterial pressures and only a marginal increase in HR. Therefore, caution should be used when MK-467 is administered to alleviate dexmedetomidine-induced hemodynamic depression in isoflurane-anesthetized cats.</w:t>
      </w:r>
    </w:p>
    <w:p/>
    <w:p>
      <w:pPr>
        <w:pStyle w:val="Normal"/>
      </w:pPr>
      <w:r>
        <w:rPr>
          <w:color w:val="323232"/>
        </w:rPr>
        <w:t xml:space="preserve">Am J Vet Res, 2018 vol. 79 (7) pp. 711-717.</w:t>
      </w:r>
    </w:p>
    <w:p>
      <w:r>
        <w:rPr>
          <w:rStyle w:val="Hyperlink"/>
        </w:rPr>
        <w:fldChar w:fldCharType="begin"/>
      </w:r>
      <w:r>
        <w:rPr>
          <w:rStyle w:val="Hyperlink"/>
        </w:rPr>
        <w:instrText xml:space="preserve"> HYPERLINK "http://eutils.ncbi.nlm.nih.gov/entrez/eutils/elink.fcgi?dbfrom=pubmed&amp;id=29943632&amp;retmode=ref&amp;cmd=prlinks"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http://eutils.ncbi.nlm.nih.gov/entrez/eutils/elink.fcgi?dbfrom=pubmed&amp;id=29943632&amp;retmode=ref&amp;cmd=prlinks</w:t>
      </w:r>
      <w:r>
        <w:rPr>
          <w:rStyle w:val="Hyperlink"/>
        </w:rPr>
        <w:fldChar w:fldCharType="end"/>
      </w:r>
    </w:p>
    <w:p>
      <w:pPr>
        <w:pStyle w:val="Normal"/>
      </w:pPr>
      <w:r>
        <w:rPr>
          <w:color w:val="323232"/>
        </w:rPr>
        <w:t xml:space="preserve">————————</w:t>
      </w:r>
    </w:p>
    <w:p>
      <w:pPr>
        <w:pStyle w:val="Heading4"/>
      </w:pPr>
      <w:r>
        <w:t xml:space="preserve">Effect of body position and time on quantitative computed tomographic measurements of lung volume and attenuation in healthy anesthetized cats.</w:t>
      </w:r>
    </w:p>
    <w:p/>
    <w:p>
      <w:pPr>
        <w:pStyle w:val="Normal"/>
      </w:pPr>
      <w:r>
        <w:rPr>
          <w:color w:val="323232"/>
        </w:rPr>
        <w:t xml:space="preserve">Timothy S Foo, Joanna L Pilton, Evelyn J Hall, Fernando Martinez-Taboada, and Mariano Makara.</w:t>
      </w:r>
    </w:p>
    <w:p/>
    <w:p>
      <w:pPr>
        <w:pStyle w:val="Normal"/>
      </w:pPr>
      <w:r>
        <w:rPr>
          <w:color w:val="323232"/>
        </w:rPr>
        <w:t xml:space="preserve">OBJECTIVE To quantify the effect of time and recumbency on CT measurements of lung volume and attenuation in healthy cats under general anesthesia. ANIMALS 8 healthy research cats. PROCEDURES Anesthetized cats were positioned in sternal recumbency for 20 minutes and then in left, right, and left lateral recumbency (40 minutes/position). Expiratory helical CT scan of the thorax was performed at 0 and 20 minutes in sternal recumbency and at 0, 5, 10, 20, 30, and 40 minutes in each lateral recumbent position. For each lung, CT measurements of lung volume and attenuation and the extent of lung areas that were hyperaerated (-1,000 to -901 Hounsfield units [HU]), normoaerated (-900 to -501 HU), poorly aerated (-500 to -101 HU), or nonaerated (-100 to +100 HU [indicative of atelectasis]) were determined with a semiautomatic threshold-based technique. A restricted maximum likelihood analysis was performed. RESULTS In lateral recumbency, the dependent lung had significantly greater attenuation and a lower volume than the nondependent lung. Within the dependent lung, there was a significantly higher percentage of poorly aerated lung tissue, compared with that in the nondependent lung. These changes were detected immediately after positioning the cats in lateral recumbency and remained static with no further significant time-related change. CONCLUSIONS AND CLINICAL RELEVANCE Results indicated that once anesthetized healthy cats were positioned in lateral recumbency, the dependent lung lobes underwent a rapid reduction in lung volume and increase in lung attenuation that did not progress over time, predominantly attributable to an increase in poorly aerated lung tissue.</w:t>
      </w:r>
    </w:p>
    <w:p/>
    <w:p>
      <w:pPr>
        <w:pStyle w:val="Normal"/>
      </w:pPr>
      <w:r>
        <w:rPr>
          <w:color w:val="323232"/>
        </w:rPr>
        <w:t xml:space="preserve">Am J Vet Res, 2018 vol. 79 (8) pp. 874-883.</w:t>
      </w:r>
    </w:p>
    <w:p>
      <w:r>
        <w:rPr>
          <w:rStyle w:val="Hyperlink"/>
        </w:rPr>
        <w:fldChar w:fldCharType="begin"/>
      </w:r>
      <w:r>
        <w:rPr>
          <w:rStyle w:val="Hyperlink"/>
        </w:rPr>
        <w:instrText xml:space="preserve"> HYPERLINK "http://eutils.ncbi.nlm.nih.gov/entrez/eutils/elink.fcgi?dbfrom=pubmed&amp;id=30058848&amp;retmode=ref&amp;cmd=prlinks"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http://eutils.ncbi.nlm.nih.gov/entrez/eutils/elink.fcgi?dbfrom=pubmed&amp;id=30058848&amp;retmode=ref&amp;cmd=prlinks</w:t>
      </w:r>
      <w:r>
        <w:rPr>
          <w:rStyle w:val="Hyperlink"/>
        </w:rPr>
        <w:fldChar w:fldCharType="end"/>
      </w:r>
    </w:p>
    <w:p>
      <w:pPr>
        <w:pStyle w:val="Normal"/>
      </w:pPr>
      <w:r>
        <w:rPr>
          <w:color w:val="323232"/>
        </w:rPr>
        <w:t xml:space="preserve">————————</w:t>
      </w:r>
    </w:p>
    <w:p>
      <w:pPr>
        <w:pStyle w:val="Heading4"/>
      </w:pPr>
      <w:r>
        <w:t xml:space="preserve">Effects of two levels of partial neuromuscular block with atracurium on the ventilatory response to hypercapnia in anesthetized Beagles.</w:t>
      </w:r>
    </w:p>
    <w:p/>
    <w:p>
      <w:pPr>
        <w:pStyle w:val="Normal"/>
      </w:pPr>
      <w:r>
        <w:rPr>
          <w:color w:val="323232"/>
        </w:rPr>
        <w:t xml:space="preserve">Daniel M Sakai and Manuel Martin-Flores.</w:t>
      </w:r>
    </w:p>
    <w:p/>
    <w:p>
      <w:pPr>
        <w:pStyle w:val="Normal"/>
      </w:pPr>
      <w:r>
        <w:rPr>
          <w:color w:val="323232"/>
        </w:rPr>
        <w:t xml:space="preserve">OBJECTIVE To evaluate effects of 2 levels of partial neuromuscular block on the ventilatory response to a hypercapnic challenge in anesthetized dogs and to evaluate effects of edrophonium for reversing partial neuromuscular block. ANIMALS 6 healthy adult Beagles. PROCEDURES Each dog was anesthetized twice with propofol and dexmedetomidine. End-tidal partial pressure of CO2 (Petco2), tidal volume (Vt), and peak inspiratory flow (PIF) were measured during breathing at rest. Maximal Vt and PIF (VtMAX and PIFMAX, respectively) in response to a hypercapnic challenge consisting of 10% CO2 inhaled for 1 minute were measured. Variables were measured before administration of atracurium (baseline), during moderate (train-of-four [TOF] ratio, 0.3 to 0.5) and mild (TOF ratio, 0.6 to 0.8) atracurium-induced neuromuscular block, and after neuromuscular block recovery (TOF ratio, ≥ 0.9) following administration of edrophonium or saline (0.9% NaCl) solution. Dogs for which any variable returned to &lt; 80% of the baseline value were identified. RESULTS Partial neuromuscular block increased Petco2; it impaired Vt at rest and VtMAX but not PIF at rest and PIFMAX. All variables except Petco2 returned to baseline values when the TOF returned to ≥ 0.9. After recovery from neuromuscular block, significantly more dogs had a VtMAX &lt; 80% of the baseline value when edrophonium was not administered. CONCLUSIONS AND CLINICAL RELEVANCE Partial neuromuscular block in anesthetized Beagles decreased spontaneous ventilation at rest and impaired the response to a hypercapnic challenge. Response to hypercapnic challenge might remain partially impaired after recovery of the TOF ratio to ≥ 0.9.</w:t>
      </w:r>
    </w:p>
    <w:p/>
    <w:p>
      <w:pPr>
        <w:pStyle w:val="Normal"/>
      </w:pPr>
      <w:r>
        <w:rPr>
          <w:color w:val="323232"/>
        </w:rPr>
        <w:t xml:space="preserve">Am J Vet Res, 2018 vol. 79 (9) pp. 915-920.</w:t>
      </w:r>
    </w:p>
    <w:p>
      <w:r>
        <w:rPr>
          <w:rStyle w:val="Hyperlink"/>
        </w:rPr>
        <w:fldChar w:fldCharType="begin"/>
      </w:r>
      <w:r>
        <w:rPr>
          <w:rStyle w:val="Hyperlink"/>
        </w:rPr>
        <w:instrText xml:space="preserve"> HYPERLINK "http://eutils.ncbi.nlm.nih.gov/entrez/eutils/elink.fcgi?dbfrom=pubmed&amp;id=30153055&amp;retmode=ref&amp;cmd=prlinks"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http://eutils.ncbi.nlm.nih.gov/entrez/eutils/elink.fcgi?dbfrom=pubmed&amp;id=30153055&amp;retmode=ref&amp;cmd=prlinks</w:t>
      </w:r>
      <w:r>
        <w:rPr>
          <w:rStyle w:val="Hyperlink"/>
        </w:rPr>
        <w:fldChar w:fldCharType="end"/>
      </w:r>
    </w:p>
    <w:p>
      <w:pPr>
        <w:pStyle w:val="Normal"/>
      </w:pPr>
      <w:r>
        <w:rPr>
          <w:color w:val="323232"/>
        </w:rPr>
        <w:t xml:space="preserve">————————</w:t>
      </w:r>
    </w:p>
    <w:p>
      <w:pPr>
        <w:pStyle w:val="Heading4"/>
      </w:pPr>
      <w:r>
        <w:t xml:space="preserve">Efficacy of application of an alcohol-based antiseptic hand rub or a 2% chlorhexidine gluconate scrub for immediate reduction of the bacterial population on the skin of dogs.</w:t>
      </w:r>
    </w:p>
    <w:p/>
    <w:p>
      <w:pPr>
        <w:pStyle w:val="Normal"/>
      </w:pPr>
      <w:r>
        <w:rPr>
          <w:color w:val="323232"/>
        </w:rPr>
        <w:t xml:space="preserve">Elizabeth A Maxwell, R Avery Bennett, and Mark A Mitchell.</w:t>
      </w:r>
    </w:p>
    <w:p/>
    <w:p>
      <w:pPr>
        <w:pStyle w:val="Normal"/>
      </w:pPr>
      <w:r>
        <w:rPr>
          <w:color w:val="323232"/>
        </w:rPr>
        <w:t xml:space="preserve">OBJECTIVE To compare the efficacy of application of an alcohol-based antiseptic (80% ethyl alcohol) hand rub (ABAHR) with that of a 2% chlorhexidine gluconate scrub (CGS2) for immediate reduction of the bacterial population on the skin of dogs. ANIMALS 50 client-owned dogs with no evidence of skin disease. PROCEDURES On each dog, 2 areas of hair on the ventral aspect of the abdomen were clipped with a No. 40 blade and cleared of debris. A direct contact plate holding tryptic soy agar with polysorbate 80 and lecithin was gently pressed (for 2 seconds) on each skin site (preapplication sample). The CGS2 and ABAHR were each aseptically applied to 1 skin site on each dog. A direct contact plate was subsequently applied to each site in a similar manner (postapplication sample). All plates were cultured, and bacterial isolates were identified and quantified by the number of CFUs per plate. RESULTS Application of the CGS2 and ABAHR significantly decreased skin bacterial colony counts, compared with findings for preapplication samples. The number of CFUs per plate or postapplication percentage reduction in CFUs per plate did not differ between treatments. There were no adverse skin reactions associated with either application. CONCLUSIONS AND CLINICAL RELEVANCE Results indicated that applications of ABAHR and CGS2 were equally effective at immediately reducing the bacterial population on the skin of dogs, and there was no significant difference in percentage reduction in colony counts between the 2 applications.</w:t>
      </w:r>
    </w:p>
    <w:p/>
    <w:p>
      <w:pPr>
        <w:pStyle w:val="Normal"/>
      </w:pPr>
      <w:r>
        <w:rPr>
          <w:color w:val="323232"/>
        </w:rPr>
        <w:t xml:space="preserve">Am J Vet Res, 2018 vol. 79 (9) pp. 1001-1007.</w:t>
      </w:r>
    </w:p>
    <w:p>
      <w:r>
        <w:rPr>
          <w:rStyle w:val="Hyperlink"/>
        </w:rPr>
        <w:fldChar w:fldCharType="begin"/>
      </w:r>
      <w:r>
        <w:rPr>
          <w:rStyle w:val="Hyperlink"/>
        </w:rPr>
        <w:instrText xml:space="preserve"> HYPERLINK "http://eutils.ncbi.nlm.nih.gov/entrez/eutils/elink.fcgi?dbfrom=pubmed&amp;id=30153054&amp;retmode=ref&amp;cmd=prlinks"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http://eutils.ncbi.nlm.nih.gov/entrez/eutils/elink.fcgi?dbfrom=pubmed&amp;id=30153054&amp;retmode=ref&amp;cmd=prlinks</w:t>
      </w:r>
      <w:r>
        <w:rPr>
          <w:rStyle w:val="Hyperlink"/>
        </w:rPr>
        <w:fldChar w:fldCharType="end"/>
      </w:r>
    </w:p>
    <w:p>
      <w:pPr>
        <w:pStyle w:val="Normal"/>
      </w:pPr>
      <w:r>
        <w:rPr>
          <w:color w:val="323232"/>
        </w:rPr>
        <w:t xml:space="preserve">————————</w:t>
      </w:r>
    </w:p>
    <w:p>
      <w:pPr>
        <w:pStyle w:val="Heading4"/>
      </w:pPr>
      <w:r>
        <w:t xml:space="preserve">Effect of prednisolone administration on gallbladder emptying rate and gallbladder bile composition in dogs.</w:t>
      </w:r>
    </w:p>
    <w:p/>
    <w:p>
      <w:pPr>
        <w:pStyle w:val="Normal"/>
      </w:pPr>
      <w:r>
        <w:rPr>
          <w:color w:val="323232"/>
        </w:rPr>
        <w:t xml:space="preserve">Takuro Nagahara, Koichi Ohno, Hideyuki Kanemoto, Toshiaki Kakimoto, Kenjiro Fukushima, Yuko Goto-Koshino, and Hajime Tsujimoto.</w:t>
      </w:r>
    </w:p>
    <w:p/>
    <w:p>
      <w:pPr>
        <w:pStyle w:val="Normal"/>
      </w:pPr>
      <w:r>
        <w:rPr>
          <w:color w:val="323232"/>
        </w:rPr>
        <w:t xml:space="preserve">OBJECTIVE To investigate effects of prednisolone administration on gallbladder emptying rate and gallbladder bile composition in dogs. ANIMALS 6 healthy Beagles. PROCEDURES Prednisolone was administered (2 mg/ kg, SC, once daily for 2 weeks) to each dog and tapered over 2 weeks. Gallbladder emptying rate and bile composition were evaluated before and after administration of prednisolone for 2 weeks as well as 1 week after cessation of prednisolone administration. RESULTS Gallbladder emptying rate decreased significantly after prednisolone administration (median, 27%; range, 0% to 38%), compared with rate before administration (median, 59%; range, 29% to 68%), but then increased 1 week after cessation of administration (median, 45%; range, 23% to 48%). Gallbladder bile mucin concentration decreased significantly after prednisolone administration (median, 8.8 mg</w:t>
      </w:r>
      <w:r>
        <w:rPr>
          <w:i w:val="1"/>
          <w:color w:val="323232"/>
        </w:rPr>
        <w:t xml:space="preserve">dL; range, 6.2 to 11.3 mg</w:t>
      </w:r>
      <w:r>
        <w:rPr>
          <w:color w:val="323232"/>
        </w:rPr>
        <w:t xml:space="preserve"> dL), compared with concentration before administration (median, 13.1 mg/ dL; range, 10.7 to 21.7 mg/ dL), but then increased 1 week after cessation of administration (median, 14.3 mg</w:t>
      </w:r>
      <w:r>
        <w:rPr>
          <w:i w:val="1"/>
          <w:color w:val="323232"/>
        </w:rPr>
        <w:t xml:space="preserve">dL; range, 9.6 to 26.7 mg</w:t>
      </w:r>
      <w:r>
        <w:rPr>
          <w:color w:val="323232"/>
        </w:rPr>
        <w:t xml:space="preserve"> dL). Gallbladder taurochenodeoxycholic acid concentration decreased significantly after prednisolone administration (8.1 mmol/ L; range, 6.8 to 15.2 mmol/ L), compared with concentration before administration (median, 27.2 mmol/ L; range, 22.0 to 31.9 mmol/ L), but then increased 1 week after cessation of administration (median, 26.4 mmol/ L; range, 15.1 to 31.5 mmol/ L). CONCLUSIONS AND CLINICAL RELEVANCE A lower gallbladder emptying rate caused by prednisolone administration may be involved in the pathogenesis of gallbladder disease in dogs. Further studies are required to determine the clinical importance of lower gallbladder bile mucin concentrations caused by glucocorticoid administration in the pathogenesis of gallbladder disease in dogs.</w:t>
      </w:r>
    </w:p>
    <w:p/>
    <w:p>
      <w:pPr>
        <w:pStyle w:val="Normal"/>
      </w:pPr>
      <w:r>
        <w:rPr>
          <w:color w:val="323232"/>
        </w:rPr>
        <w:t xml:space="preserve">Am J Vet Res, 2018 vol. 79 (10) pp. 1050-1056.</w:t>
      </w:r>
    </w:p>
    <w:p>
      <w:r>
        <w:rPr>
          <w:rStyle w:val="Hyperlink"/>
        </w:rPr>
        <w:fldChar w:fldCharType="begin"/>
      </w:r>
      <w:r>
        <w:rPr>
          <w:rStyle w:val="Hyperlink"/>
        </w:rPr>
        <w:instrText xml:space="preserve"> HYPERLINK "http://eutils.ncbi.nlm.nih.gov/entrez/eutils/elink.fcgi?dbfrom=pubmed&amp;id=30256139&amp;retmode=ref&amp;cmd=prlinks"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http://eutils.ncbi.nlm.nih.gov/entrez/eutils/elink.fcgi?dbfrom=pubmed&amp;id=30256139&amp;retmode=ref&amp;cmd=prlinks</w:t>
      </w:r>
      <w:r>
        <w:rPr>
          <w:rStyle w:val="Hyperlink"/>
        </w:rPr>
        <w:fldChar w:fldCharType="end"/>
      </w:r>
    </w:p>
    <w:p>
      <w:pPr>
        <w:pStyle w:val="Normal"/>
      </w:pPr>
      <w:r>
        <w:rPr>
          <w:color w:val="323232"/>
        </w:rPr>
        <w:t xml:space="preserve">————————</w:t>
      </w:r>
    </w:p>
    <w:p>
      <w:pPr>
        <w:pStyle w:val="Heading4"/>
      </w:pPr>
      <w:r>
        <w:t xml:space="preserve">Pharmacokinetics of tranexamic acid in healthy dogs and assessment of its antifibrinolytic properties in canine blood.</w:t>
      </w:r>
    </w:p>
    <w:p/>
    <w:p>
      <w:pPr>
        <w:pStyle w:val="Normal"/>
      </w:pPr>
      <w:r>
        <w:rPr>
          <w:color w:val="323232"/>
        </w:rPr>
        <w:t xml:space="preserve">Katie E Osekavage, Benjamin M Brainard, Selena L Lane, Mohammed Almoslem, Robert D Arnold, and Amie Koenig.</w:t>
      </w:r>
    </w:p>
    <w:p/>
    <w:p>
      <w:pPr>
        <w:pStyle w:val="Normal"/>
      </w:pPr>
      <w:r>
        <w:rPr>
          <w:color w:val="323232"/>
        </w:rPr>
        <w:t xml:space="preserve">OBJECTIVE To assess pharmacokinetics of tranexamic acid (TXA) in dogs and assess antifibrinolytic properties of TXA in canine blood by use of a thromboelastography-based in vitro model of hyperfibrinolysis. ANIMALS 6 healthy adult dogs. PROCEDURES Dogs received each of 4 TXA treatments (10 mg/ kg, IV; 20 mg/ kg, IV; approx 15 mg/ kg, PO; and approx 20 mg/ kg, PO) in a randomized crossover-design study. Blood samples were collected at baseline (time 0; immediately prior to drug administration) and predetermined time points afterward for pharmacokinetic analysis and pharmacodynamic (thromboelastography) analysis by use of an in vitro hyperfibrinolysis model. RESULTS Maximum amplitude (MA [representing maximum clot strength]) significantly increased from baseline at all time points for all treatments. The MA was lower at 360 minutes for the 10-mg/ kg IV treatment than for other treatments. Percentage of clot lysis 30 minutes after MA was detected was significantly decreased from baseline at all time points for all treatments; at 360 minutes, this value was higher for the 10-mg/ kg IV treatment than for other treatments and higher for the 20-mg/ kg IV treatment than for the 20-mg/ kg PO treatment. Maximum plasma TXA concentrations were dose dependent. At 20 mg/ kg, IV, plasma TXA concentrations briefly exceeded concentrations suggested for complete inhibition of fibrinolysis. Oral drug administration resulted in a later peak antifibrinolytic effect than did IV administration. CONCLUSIONS AND CLINICAL RELEVANCE Administration of TXA improved clot strength and decreased fibrinolysis in blood samples from healthy dogs in an in vitro hyperfibrinolysis model. Further research is needed to determine clinical effects of TXA in dogs with hyperfibrinolysis.</w:t>
      </w:r>
    </w:p>
    <w:p/>
    <w:p>
      <w:pPr>
        <w:pStyle w:val="Normal"/>
      </w:pPr>
      <w:r>
        <w:rPr>
          <w:color w:val="323232"/>
        </w:rPr>
        <w:t xml:space="preserve">Am J Vet Res, 2018 vol. 79 (10) pp. 1057-1063.</w:t>
      </w:r>
      <w:r>
        <w:rPr>
          <w:rStyle w:val="Hyperlink"/>
        </w:rPr>
        <w:fldChar w:fldCharType="begin"/>
      </w:r>
      <w:r>
        <w:rPr>
          <w:rStyle w:val="Hyperlink"/>
        </w:rPr>
        <w:instrText xml:space="preserve"> HYPERLINK "http://eutils.ncbi.nlm.nih.gov/entrez/eutils/elink.fcgi?dbfrom=pubmed&amp;id=30256146&amp;retmode=ref&amp;cmd=prlinks" </w:instrText>
      </w:r>
      <w:r>
        <w:rPr>
          <w:rStyle w:val="Hyperlink"/>
        </w:rPr>
      </w:r>
      <w:r>
        <w:rPr>
          <w:rStyle w:val="Hyperlink"/>
        </w:rPr>
        <w:fldChar w:fldCharType="separate"/>
      </w:r>
      <w:r>
        <w:rPr>
          <w:rStyle w:val="Hyperlink"/>
        </w:rPr>
        <w:t xml:space="preserve">http://eutils.ncbi.nlm.nih.gov/entrez/eutils/elink.fcgi?dbfrom=pubmed&amp;id=30256146&amp;retmode=ref&amp;cmd=prlinks</w:t>
      </w:r>
      <w:r>
        <w:rPr>
          <w:rStyle w:val="Hyperlink"/>
        </w:rPr>
        <w:fldChar w:fldCharType="end"/>
      </w:r>
    </w:p>
    <w:p>
      <w:pPr>
        <w:pStyle w:val="Normal"/>
      </w:pPr>
      <w:r>
        <w:rPr>
          <w:color w:val="323232"/>
        </w:rPr>
        <w:t xml:space="preserve">————————</w:t>
      </w:r>
    </w:p>
    <w:p>
      <w:pPr>
        <w:pStyle w:val="Heading4"/>
      </w:pPr>
      <w:r>
        <w:t xml:space="preserve">Comparison of bronchoscopic and nonbronchoscopic bronchoalveolar lavage in healthy cats.</w:t>
      </w:r>
    </w:p>
    <w:p/>
    <w:p>
      <w:pPr>
        <w:pStyle w:val="Normal"/>
      </w:pPr>
      <w:r>
        <w:rPr>
          <w:color w:val="323232"/>
        </w:rPr>
        <w:t xml:space="preserve">Kimberly S Hooi, Alice M Defarges, Andrea L Sanchez, Stephanie G Nykamp, J Scott Weese, Anthony C G Abrams-Ogg, and Dorothee Bienzle.</w:t>
      </w:r>
    </w:p>
    <w:p/>
    <w:p>
      <w:pPr>
        <w:pStyle w:val="Normal"/>
      </w:pPr>
      <w:r>
        <w:rPr>
          <w:color w:val="323232"/>
        </w:rPr>
        <w:t xml:space="preserve">OBJECTIVE To compare bronchoalveolar lavage (BAL) accomplished by use of a bronchoscopic (B-BAL) and a nonbronchoscopic (NB-BAL) technique in healthy cats. ANIMALS 12 healthy cats. PROCEDURES Two BALs were performed in a randomized order 2 weeks apart in each cat. Cats were anesthetized, and a 2.9-mm fiberoptic bronchoscope (B-BAL) or 8F red rubber catheter (NB-BAL) was wedged in a bronchus. Two 5-mL aliquots of saline (0.9% NaCl) solution were infused into the left and right caudal lung fields and aspirated manually with a 20-mL syringe. Proportion of BAL fluid (BALF) retrieved, depth of wedging, and anesthetic complications were recorded. Total nucleated cell count, differential cell count, and semiquantitative scores of cytologic slide quality were determined for all BALF samples. Results were compared with ANOVAs and Wilcoxon signed rank tests. RESULTS Proportion of retrieved BALF and depth of wedging were significantly greater for B-BAL than NB-BAL. Differential cell counts and cytologic slide quality did not differ significantly between techniques. Complications included transient hemoglobin desaturation (24/24 [100%] BALs) and prolonged anesthetic recovery time (4/24 [17%] BALs). Anesthetic recovery scores did not differ significantly between techniques. CONCLUSIONS AND CLINICAL RELEVANCE Results indicated that NB-BAL was noninferior to B-BAL with regard to ease of performance, anesthetic variables, and cytologic slide quality for cats without clinical respiratory tract disease.</w:t>
      </w:r>
    </w:p>
    <w:p/>
    <w:p>
      <w:pPr>
        <w:pStyle w:val="Normal"/>
      </w:pPr>
      <w:r>
        <w:rPr>
          <w:color w:val="323232"/>
        </w:rPr>
        <w:t xml:space="preserve">Am J Vet Res, 2018 vol. 79 (11) pp. 1209-1216.</w:t>
      </w:r>
    </w:p>
    <w:p>
      <w:r>
        <w:rPr>
          <w:rStyle w:val="Hyperlink"/>
        </w:rPr>
        <w:fldChar w:fldCharType="begin"/>
      </w:r>
      <w:r>
        <w:rPr>
          <w:rStyle w:val="Hyperlink"/>
        </w:rPr>
        <w:instrText xml:space="preserve"> HYPERLINK "http://eutils.ncbi.nlm.nih.gov/entrez/eutils/elink.fcgi?dbfrom=pubmed&amp;id=30372158&amp;retmode=ref&amp;cmd=prlinks"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http://eutils.ncbi.nlm.nih.gov/entrez/eutils/elink.fcgi?dbfrom=pubmed&amp;id=30372158&amp;retmode=ref&amp;cmd=prlinks</w:t>
      </w:r>
      <w:r>
        <w:rPr>
          <w:rStyle w:val="Hyperlink"/>
        </w:rPr>
        <w:fldChar w:fldCharType="end"/>
      </w:r>
    </w:p>
    <w:p>
      <w:pPr>
        <w:pStyle w:val="Normal"/>
      </w:pPr>
      <w:r>
        <w:rPr>
          <w:color w:val="323232"/>
        </w:rPr>
        <w:t xml:space="preserve">————————</w:t>
      </w:r>
    </w:p>
    <w:p>
      <w:pPr>
        <w:pStyle w:val="Heading4"/>
      </w:pPr>
      <w:r>
        <w:t xml:space="preserve">Effect of radiographic technique on assessment of liver size in Beagles.</w:t>
      </w:r>
    </w:p>
    <w:p/>
    <w:p>
      <w:pPr>
        <w:pStyle w:val="Normal"/>
      </w:pPr>
      <w:r>
        <w:rPr>
          <w:color w:val="323232"/>
        </w:rPr>
        <w:t xml:space="preserve">Ahyoung Cha, Seungjo Park, Choelhyun Kim, Sooa Yoon, Dahae Lee, Dongeun Kim, Dong Woo Chang, and Jihye Choi.</w:t>
      </w:r>
    </w:p>
    <w:p/>
    <w:p>
      <w:pPr>
        <w:pStyle w:val="Normal"/>
      </w:pPr>
      <w:r>
        <w:rPr>
          <w:color w:val="323232"/>
        </w:rPr>
        <w:t xml:space="preserve">OBJECTIVE To investigate the effects of respiratory phase, body position, beam center location, and gastric distention on radiographic assessment of liver size in dogs. ANIMALS 12 Beagles. PROCEDURES Liver length and the ratio of liver length to T11 length were determined on lateral radiographic views obtained with various techniques. Images were acquired at maximal expiration or maximal inspiration, with dogs in right or left recumbency, with the beam centered on the caudal border of the scapula or the 13th rib, and after food was withheld or with gastric distention. Effects on organs adjacent to the liver were assessed with CT. Changes of the thoracic cavity during the respiratory cycle were investigated with fluoroscopy. RESULTS Liver length was significantly greater on radiographs obtained at maximal expiration than at maximal inspiration, but there was no increase in the ratio of liver length to T11 length. Body position, beam center location, and gastric distention did not significantly affect liver size. For CT, location of the spleen and stomach and location or size of the liver did not change markedly between right and left recumbency. Fluoroscopy revealed that thoracic width was less at maximal expiration than maximal inspiration. CONCLUSIONS AND CLINICAL RELEVANCE Liver length was greater at maximal expiration than at maximal inspiration because of a smaller thoracic width. Body position, beam center location, and gastric distention did not affect liver length. The ratio of liver length to T11 length was not significantly affected by any of the factors investigated.</w:t>
      </w:r>
    </w:p>
    <w:p/>
    <w:p>
      <w:pPr>
        <w:pStyle w:val="Normal"/>
      </w:pPr>
      <w:r>
        <w:rPr>
          <w:color w:val="323232"/>
        </w:rPr>
        <w:t xml:space="preserve">Am J Vet Res, 2018 vol. 79 (11) pp. 1133-1139.</w:t>
      </w:r>
    </w:p>
    <w:p>
      <w:r>
        <w:rPr>
          <w:rStyle w:val="Hyperlink"/>
        </w:rPr>
        <w:fldChar w:fldCharType="begin"/>
      </w:r>
      <w:r>
        <w:rPr>
          <w:rStyle w:val="Hyperlink"/>
        </w:rPr>
        <w:instrText xml:space="preserve"> HYPERLINK "http://eutils.ncbi.nlm.nih.gov/entrez/eutils/elink.fcgi?dbfrom=pubmed&amp;id=30372146&amp;retmode=ref&amp;cmd=prlinks"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http://eutils.ncbi.nlm.nih.gov/entrez/eutils/elink.fcgi?dbfrom=pubmed&amp;id=30372146&amp;retmode=ref&amp;cmd=prlinks</w:t>
      </w:r>
      <w:r>
        <w:rPr>
          <w:rStyle w:val="Hyperlink"/>
        </w:rPr>
        <w:fldChar w:fldCharType="end"/>
      </w:r>
    </w:p>
    <w:p>
      <w:pPr>
        <w:pStyle w:val="Normal"/>
      </w:pPr>
      <w:r>
        <w:rPr>
          <w:color w:val="323232"/>
        </w:rPr>
        <w:t xml:space="preserve">————————</w:t>
      </w:r>
    </w:p>
    <w:p>
      <w:pPr>
        <w:pStyle w:val="Heading4"/>
      </w:pPr>
      <w:r>
        <w:t xml:space="preserve">Quantitation of anti-Pythium insidiosum antibodies before and after administration of an immunotherapeutic product to healthy dogs.</w:t>
      </w:r>
    </w:p>
    <w:p/>
    <w:p>
      <w:pPr>
        <w:pStyle w:val="Normal"/>
      </w:pPr>
      <w:r>
        <w:rPr>
          <w:color w:val="323232"/>
        </w:rPr>
        <w:t xml:space="preserve">Carmen B Arsuaga-Zorrilla, Amy M Grooters, and Cherie M Pucheu-Haston.</w:t>
      </w:r>
    </w:p>
    <w:p/>
    <w:p>
      <w:pPr>
        <w:pStyle w:val="Normal"/>
      </w:pPr>
      <w:r>
        <w:rPr>
          <w:color w:val="323232"/>
        </w:rPr>
        <w:t xml:space="preserve">OBJECTIVE To evaluate the effect of an immunotherapeutic product on concentrations of anti-Pythium insidiosum antibodies in dogs. ANIMALS 7 healthy hound-crossbreds. PROCEDURES Antibody concentrations were evaluated before (day 0) and after administration of the immunotherapeutic product. The immunotherapeutic product was administered on days 0, 7, and 21. Serum was obtained on days 0, 7, 14, 21, 28, 35, 42, 49, and 56. Anti-P insidiosum antibody concentrations were measured and reported as the percentage positivity relative to results for a strongly positive control serum. RESULTS Mean ± SD percentage positivity before administration of the immunotherapeutic product was 7.45 ± 3.02%. There was no significant change in anti-P insidiosum antibody concentrations after administration of the product, with percentage positivity values in all dogs remaining within the range expected for healthy dogs (3% to 15%). CONCLUSIONS AND CLINICAL RELEVANCE Administration of the immunotherapeutic product to healthy dogs in accordance with the manufacturer's suggested protocol did not induce a significant change in anti-P insidiosum antibody concentrations. These results suggested that administration of the immunotherapeutic product may not interfere with postadministration serologic monitoring. However, further investigations will be required to determine whether there is a similar effect in naturally infected dogs.</w:t>
      </w:r>
    </w:p>
    <w:p/>
    <w:p>
      <w:pPr>
        <w:pStyle w:val="Normal"/>
      </w:pPr>
      <w:r>
        <w:rPr>
          <w:color w:val="323232"/>
        </w:rPr>
        <w:t xml:space="preserve">Am J Vet Res, 2018 vol. 79 (11) pp. 1160-1165.</w:t>
      </w:r>
    </w:p>
    <w:p>
      <w:r>
        <w:rPr>
          <w:rStyle w:val="Hyperlink"/>
        </w:rPr>
        <w:fldChar w:fldCharType="begin"/>
      </w:r>
      <w:r>
        <w:rPr>
          <w:rStyle w:val="Hyperlink"/>
        </w:rPr>
        <w:instrText xml:space="preserve"> HYPERLINK "http://eutils.ncbi.nlm.nih.gov/entrez/eutils/elink.fcgi?dbfrom=pubmed&amp;id=30372150&amp;retmode=ref&amp;cmd=prlinks"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http://eutils.ncbi.nlm.nih.gov/entrez/eutils/elink.fcgi?dbfrom=pubmed&amp;id=30372150&amp;retmode=ref&amp;cmd=prlinks</w:t>
      </w:r>
      <w:r>
        <w:rPr>
          <w:rStyle w:val="Hyperlink"/>
        </w:rPr>
        <w:fldChar w:fldCharType="end"/>
      </w:r>
    </w:p>
    <w:p>
      <w:pPr>
        <w:pStyle w:val="Normal"/>
      </w:pPr>
      <w:r>
        <w:rPr>
          <w:color w:val="323232"/>
        </w:rPr>
        <w:t xml:space="preserve">————————</w:t>
      </w:r>
    </w:p>
    <w:p>
      <w:pPr>
        <w:pStyle w:val="Heading4"/>
      </w:pPr>
      <w:r>
        <w:t xml:space="preserve">Effect of a constant rate infusion of remifentanil hydrochloride on left ventricular systolic and diastolic function in propofol-anesthetized dogs.</w:t>
      </w:r>
    </w:p>
    <w:p/>
    <w:p>
      <w:pPr>
        <w:pStyle w:val="Normal"/>
      </w:pPr>
      <w:r>
        <w:rPr>
          <w:color w:val="323232"/>
        </w:rPr>
        <w:t xml:space="preserve">Marcel G Marques, Carlos H B Cancelli, Carollina M S Fernandes, Bruna M M Games, Beatriz P Floriano, Silvia H V Perri, Marlos G Sousa, Wagner L Ferreira, and Paulo S P Santos.</w:t>
      </w:r>
    </w:p>
    <w:p/>
    <w:p>
      <w:pPr>
        <w:pStyle w:val="Normal"/>
      </w:pPr>
      <w:r>
        <w:rPr>
          <w:color w:val="323232"/>
        </w:rPr>
        <w:t xml:space="preserve">OBJECTIVE To assess the effects of a constant rate infusion (CRI) of remifentanil hydrochloride on left ventricular systolic and diastolic function in healthy propofol-anesthetized dogs. ANIMALS 6 healthy Beagles. PROCEDURES Each dog underwent 2 experimental treatments separated by a 7-day interval. In 1 treatment, anesthesia was induced with propofol and maintained with a CRI of propofol (0.6 mg</w:t>
      </w:r>
      <w:r>
        <w:rPr>
          <w:i w:val="1"/>
          <w:color w:val="323232"/>
        </w:rPr>
        <w:t xml:space="preserve">kg</w:t>
      </w:r>
      <w:r>
        <w:rPr>
          <w:color w:val="323232"/>
        </w:rPr>
        <w:t xml:space="preserve">min); dogs also received a CRI of saline (0.9% NaCl) solution. In the other treatment, anesthesia was similarly induced and maintained with propofol; dogs also received a CRI of remifentanil (0.3 μg</w:t>
      </w:r>
      <w:r>
        <w:rPr>
          <w:i w:val="1"/>
          <w:color w:val="323232"/>
        </w:rPr>
        <w:t xml:space="preserve">kg</w:t>
      </w:r>
      <w:r>
        <w:rPr>
          <w:color w:val="323232"/>
        </w:rPr>
        <w:t xml:space="preserve">min). Doppler echocardiographic and hemodynamic variables of interest were determined at baseline (before anesthesia) and at 20, 40, and 60 minutes following the simultaneous start of the 2 CRIs of each treatment; all CRIs were administrated for 60 minutes. RESULTS For the 2 treatments, end-diastolic and end-systolic volume indices did not differ from baseline or at any time point. Peak tissue Doppler-derived mitral annulus systolic velocity decreased from baseline with both treatments; however, no differences were found between treatments at any time point. Mean arterial blood pressure decreased similarly with both treatments. Heart rate and Doppler-determined cardiac index decreased significantly with the propofol-remifentanil treatment, compared with findings for the propofol-saline solution treatment. For the propofol-remifentanil treatment, the ratio of peak velocity flow in early diastole to that in late diastole remained &gt; 1.80, whereas the ratio of early to late Doppler-derived mitral annulus velocity had a normal relaxation pattern. CONCLUSIONS AND CLINICAL RELEVANCE Results of this study indicated that a CRI of remifentanil administered along with a CRI of propofol does not impair left ventricular systolic and diastolic function in healthy dogs.</w:t>
      </w:r>
    </w:p>
    <w:p/>
    <w:p>
      <w:pPr>
        <w:pStyle w:val="Normal"/>
      </w:pPr>
      <w:r>
        <w:rPr>
          <w:color w:val="323232"/>
        </w:rPr>
        <w:t xml:space="preserve">Am J Vet Res, 2018 vol. 79 (12) pp. 1261-1267.</w:t>
      </w:r>
    </w:p>
    <w:p>
      <w:r>
        <w:rPr>
          <w:rStyle w:val="Hyperlink"/>
        </w:rPr>
        <w:fldChar w:fldCharType="begin"/>
      </w:r>
      <w:r>
        <w:rPr>
          <w:rStyle w:val="Hyperlink"/>
        </w:rPr>
        <w:instrText xml:space="preserve"> HYPERLINK "http://eutils.ncbi.nlm.nih.gov/entrez/eutils/elink.fcgi?dbfrom=pubmed&amp;id=30457904&amp;retmode=ref&amp;cmd=prlinks"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http://eutils.ncbi.nlm.nih.gov/entrez/eutils/elink.fcgi?dbfrom=pubmed&amp;id=30457904&amp;retmode=ref&amp;cmd=prlinks</w:t>
      </w:r>
      <w:r>
        <w:rPr>
          <w:rStyle w:val="Hyperlink"/>
        </w:rPr>
        <w:fldChar w:fldCharType="end"/>
      </w:r>
    </w:p>
    <w:p>
      <w:pPr>
        <w:pStyle w:val="Normal"/>
      </w:pPr>
      <w:r>
        <w:rPr>
          <w:color w:val="323232"/>
        </w:rPr>
        <w:t xml:space="preserve">————————</w:t>
      </w:r>
    </w:p>
    <w:p>
      <w:pPr>
        <w:pStyle w:val="Heading4"/>
      </w:pPr>
      <w:r>
        <w:t xml:space="preserve">Effect of pneumoperitoneum with warmed humidified or standard-temperature carbon dioxide during laparoscopy on core body temperature, cardiorespiratory and thromboelastography variables, systemic inflammation, peritoneal response, and signs of postoperative pain in healthy mature dogs.</w:t>
      </w:r>
    </w:p>
    <w:p/>
    <w:p>
      <w:pPr>
        <w:pStyle w:val="Normal"/>
      </w:pPr>
      <w:r>
        <w:rPr>
          <w:color w:val="323232"/>
        </w:rPr>
        <w:t xml:space="preserve">Jacqueline E Scott, Ameet Singh, Alexander Valverde, Shauna L Blois, Robert A Foster, Jessica J Kilkenny, and Alex Zur Linden.</w:t>
      </w:r>
    </w:p>
    <w:p/>
    <w:p>
      <w:pPr>
        <w:pStyle w:val="Normal"/>
      </w:pPr>
      <w:r>
        <w:rPr>
          <w:color w:val="323232"/>
        </w:rPr>
        <w:t xml:space="preserve">OBJECTIVE To evaluate effects of pneumoperitoneum created with warmed humidified CO2 (WHCO2) during laparoscopy on core body temperature, cardiorespiratory and thromboelastography variables, systemic inflammation, peritoneal response, and signs of postoperative pain in healthy mature dogs. ANIMALS 6 mature purpose-bred dogs. PROCEDURES In a randomized crossover study, each dog was anesthetized twice, and pneumoperitoneum was created with standard-temperature CO2 (STCO2; 22°C and 0% relative humidity) and WHCO2 (37°C and 98% relative humidity). Data were collected during each procedure, including core body temperature, cardiorespiratory and thromboelastography variables, and inflammatory biomarkers. Peritoneal biopsy specimens were collected and evaluated with scanning electron microscopy. Dogs were assessed for signs of postoperative pain. RESULTS Mean core body temperature was significantly lower (35.2°C; 95% confidence interval, 34.5° to 35.8°C) with WHCO2 than with STCO2 (35.9°C; 95% confidence interval, 35.3° to 36.6°C) across all time points. Cardiac index increased during the procedure for both treatments but was not significantly different between treatments. Thromboelastography variables did not differ significantly between treatments as indicated by the coagulation index. Subjective evaluation of peritoneal biopsy specimens revealed mesothelial cell loss with STCO2. There was no significant difference in circulating C-reactive protein or interleukin-6 concentrations. There was a significant increase in the number of postoperative pain scores &gt; 0 for the WHCO2 treatment versus the STCO2 treatment. CONCLUSIONS AND CLINICAL RELEVANCE Analysis of these data suggested that effects on evaluated variables attributable to the use of WHCO2 for creating pneumoperitoneum in healthy mature dogs undergoing laparoscopy did not differ from effects for the use of STCO2.</w:t>
      </w:r>
    </w:p>
    <w:p/>
    <w:p>
      <w:pPr>
        <w:pStyle w:val="Normal"/>
      </w:pPr>
      <w:r>
        <w:rPr>
          <w:color w:val="323232"/>
        </w:rPr>
        <w:t xml:space="preserve">Am J Vet Res, 2018 vol. 79 (12) pp. 1321-1334.</w:t>
      </w:r>
    </w:p>
    <w:p>
      <w:r>
        <w:rPr>
          <w:rStyle w:val="Hyperlink"/>
        </w:rPr>
        <w:fldChar w:fldCharType="begin"/>
      </w:r>
      <w:r>
        <w:rPr>
          <w:rStyle w:val="Hyperlink"/>
        </w:rPr>
        <w:instrText xml:space="preserve"> HYPERLINK "http://eutils.ncbi.nlm.nih.gov/entrez/eutils/elink.fcgi?dbfrom=pubmed&amp;id=30457909&amp;retmode=ref&amp;cmd=prlinks"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http://eutils.ncbi.nlm.nih.gov/entrez/eutils/elink.fcgi?dbfrom=pubmed&amp;id=30457909&amp;retmode=ref&amp;cmd=prlinks</w:t>
      </w:r>
      <w:r>
        <w:rPr>
          <w:rStyle w:val="Hyperlink"/>
        </w:rPr>
        <w:fldChar w:fldCharType="end"/>
      </w:r>
    </w:p>
    <w:p>
      <w:pPr>
        <w:pStyle w:val="Normal"/>
      </w:pPr>
      <w:r>
        <w:rPr>
          <w:color w:val="323232"/>
        </w:rPr>
        <w:t xml:space="preserve">————————</w:t>
      </w:r>
    </w:p>
    <w:p>
      <w:pPr>
        <w:pStyle w:val="Heading4"/>
      </w:pPr>
      <w:r>
        <w:t xml:space="preserve">Sedative and cardiopulmonary effects of buccally administered detomidine gel and reversal with atipamezole in dogs.</w:t>
      </w:r>
    </w:p>
    <w:p/>
    <w:p>
      <w:pPr>
        <w:pStyle w:val="Normal"/>
      </w:pPr>
      <w:r>
        <w:rPr>
          <w:color w:val="323232"/>
        </w:rPr>
        <w:t xml:space="preserve">Jennifer I Kasten, Kristen M Messenger, and Nigel B Campbell.</w:t>
      </w:r>
    </w:p>
    <w:p/>
    <w:p>
      <w:pPr>
        <w:pStyle w:val="Normal"/>
      </w:pPr>
      <w:r>
        <w:rPr>
          <w:color w:val="323232"/>
        </w:rPr>
        <w:t xml:space="preserve">OBJECTIVE To evaluate hemodynamic, respiratory, and sedative effects of buccally administered detomidine gel and reversal with atipamezole in dogs. ANIMALS 8 adult purpose-bred dogs. PROCEDURES Arterial and venous catheters were placed. Baseline heart rate, respiratory rate, cardiac output (determined via lithium dilution with pulse contour analysis), oxygen delivery, systemic vascular resistance, arterial blood gas values, and sedation score were obtained. Detomidine gel (2.0 mg</w:t>
      </w:r>
      <w:r>
        <w:rPr>
          <w:i w:val="1"/>
          <w:color w:val="323232"/>
        </w:rPr>
        <w:t xml:space="preserve">m2) was administered on the buccal mucosa. Cardiopulmonary data and sedation scores were obtained at predetermined times over 180 minutes. Atipamezole (0.1 mg</w:t>
      </w:r>
      <w:r>
        <w:rPr>
          <w:color w:val="323232"/>
        </w:rPr>
        <w:t xml:space="preserve">kg) was administered IM at 150 minutes. Reversal of sedation was timed and scored. Data were analyzed with an ANOVA. RESULTS Compared with baseline values, heart rate was lower at 45 to 150 minutes, cardiac output and oxygen delivery were lower at 30 to 150 minutes, and systemic vascular resistance was increased at 30 to 150 minutes. There were no significant changes in Paco2, Pao2, or lactate concentration at any time point, compared with baseline values, except for lactate concentration at 180 minutes. All dogs became sedated; maximum sedation was detected 75 minutes after administration of detomidine. Mean ± SD time to recovery after atipamezole administration was 7.55 ± 1.89 minutes; sedation was completely reversed in all dogs. No adverse events were detected. CONCLUSIONS AND CLINICAL RELEVANCE Buccally administered detomidine gel was associated with reliable and reversible sedation in dogs, with hemodynamic effects similar to those induced by other α2-adrenoceptor agonists. Buccally administered detomidine gel could be an alternative to injectable sedatives in healthy dogs.</w:t>
      </w:r>
    </w:p>
    <w:p/>
    <w:p>
      <w:pPr>
        <w:pStyle w:val="Normal"/>
      </w:pPr>
      <w:r>
        <w:rPr>
          <w:color w:val="323232"/>
        </w:rPr>
        <w:t xml:space="preserve">Am J Vet Res, 2018 vol. 79 (12) pp. 1253-1260.</w:t>
      </w:r>
    </w:p>
    <w:p>
      <w:r>
        <w:rPr>
          <w:rStyle w:val="Hyperlink"/>
        </w:rPr>
        <w:fldChar w:fldCharType="begin"/>
      </w:r>
      <w:r>
        <w:rPr>
          <w:rStyle w:val="Hyperlink"/>
        </w:rPr>
        <w:instrText xml:space="preserve"> HYPERLINK "http://eutils.ncbi.nlm.nih.gov/entrez/eutils/elink.fcgi?dbfrom=pubmed&amp;id=30457910&amp;retmode=ref&amp;cmd=prlinks"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http://eutils.ncbi.nlm.nih.gov/entrez/eutils/elink.fcgi?dbfrom=pubmed&amp;id=30457910&amp;retmode=ref&amp;cmd=prlinks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