
<file path=[Content_Types].xml><?xml version="1.0" encoding="utf-8"?>
<Types xmlns="http://schemas.openxmlformats.org/package/2006/content-types">
  <Override PartName="/word/fontTable.xml" ContentType="application/vnd.openxmlformats-officedocument.wordprocessingml.fontTable+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Default Extension="xml" ContentType="application/xml"/>
  <Default Extension="jpg" ContentType="image/jpeg"/>
  <Default Extension="jpeg" ContentType="image/jpeg"/>
  <Default Extension="png" ContentType="image/png"/>
  <Default Extension="gif" ContentType="image/gif"/>
  <Default Extension="bmp" ContentType="image/bmp"/>
  <Default Extension="rels" ContentType="application/vnd.openxmlformats-package.relationship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10="urn:schemas-microsoft-com:office:word" xmlns:o="urn:schemas-microsoft-com:office:office" xmlns:r="http://schemas.openxmlformats.org/officeDocument/2006/relationships" xmlns:v="urn:schemas-microsoft-com:vml" xmlns:wp="http://schemas.openxmlformats.org/drawingml/2006/wordprocessingDrawing" xmlns:w="http://schemas.openxmlformats.org/wordprocessingml/2006/main">
  <w:body>
    <w:p>
      <w:pPr>
        <w:pStyle w:val="Heading2"/>
      </w:pPr>
      <w:r>
        <w:t xml:space="preserve">American Journal of Veterinary Research 2017</w:t>
      </w:r>
    </w:p>
    <w:p>
      <w:pPr>
        <w:pStyle w:val="Heading2"/>
      </w:pPr>
      <w:r>
        <w:t xml:space="preserve">AJVR 2017; Vol 78; Issue 1-12</w:t>
      </w:r>
    </w:p>
    <w:p/>
    <w:p>
      <w:pPr>
        <w:pStyle w:val="Normal"/>
      </w:pPr>
      <w:r>
        <w:rPr>
          <w:color w:val="323232"/>
        </w:rPr>
        <w:t xml:space="preserve">#</w:t>
      </w:r>
      <w:r>
        <w:rPr>
          <w:color w:val="323232"/>
        </w:rPr>
        <w:t xml:space="preserve">LitReview</w:t>
      </w:r>
    </w:p>
    <w:p>
      <w:pPr>
        <w:pStyle w:val="Normal"/>
      </w:pPr>
      <w:r>
        <w:rPr>
          <w:color w:val="323232"/>
        </w:rPr>
        <w:t xml:space="preserve">————————</w:t>
      </w:r>
    </w:p>
    <w:p>
      <w:pPr>
        <w:pStyle w:val="Heading4"/>
      </w:pPr>
      <w:r>
        <w:t xml:space="preserve">Effect of fentanyl and lidocaine on the end-tidal sevoflurane concentration preventing motor movement in dogs.</w:t>
      </w:r>
    </w:p>
    <w:p/>
    <w:p>
      <w:pPr>
        <w:pStyle w:val="Normal"/>
      </w:pPr>
      <w:r>
        <w:rPr>
          <w:color w:val="323232"/>
        </w:rPr>
        <w:t xml:space="preserve">Martin A Suarez, Reza Seddighi, Christine M Egger, Barton W Rohrbach, Sherry K Cox, Butch K KuKanich, and Thomas J Doherty.</w:t>
      </w:r>
    </w:p>
    <w:p/>
    <w:p>
      <w:pPr>
        <w:pStyle w:val="Normal"/>
      </w:pPr>
      <w:r>
        <w:rPr>
          <w:color w:val="323232"/>
        </w:rPr>
        <w:t xml:space="preserve">OBJECTIVE To determine effects of fentanyl, lidocaine, and a fentanyl-lidocaine combination on the minimum alveolar concentration of sevoflurane preventing motor movement (MACNM) in dogs. ANIMALS 6 adult Beagles. PROCEDURES Dogs were anesthetized with sevoflurane in oxygen 3 times (1-week intervals). Baseline MACNM (MACNM-B) was determined starting 45 minutes after induction of anesthesia. Dogs then received 1 of 3 treatments IV: fentanyl (loading dose, 15 μg/ kg; constant rate infusion [CRI], 6 μg/ kg/ h), lidocaine (loading dose, 2 mg/ kg; CRI, 6 mg</w:t>
      </w:r>
      <w:r>
        <w:rPr>
          <w:i w:val="1"/>
          <w:color w:val="323232"/>
        </w:rPr>
        <w:t xml:space="preserve">kg</w:t>
      </w:r>
      <w:r>
        <w:rPr>
          <w:color w:val="323232"/>
        </w:rPr>
        <w:t xml:space="preserve">h), and the fentanyl-lidocaine combination at the same doses. Determination of treatment MACNM (MACNM-T) was initiated 90 minutes after start of the CRI. Venous blood samples were collected at the time of each treatment MACNM measurement for determination of plasma concentrations of fentanyl and lidocaine. RESULTS Mean ± SEM overall MACNM-B for the 3 treatments was 2.70 ± 0.27 vol%. The MACNM decreased from MACNM-B to MACNM-T by 39%, 21%, and 55% for fentanyl, lidocaine, and the fentanyl-lidocaine combination, respectively. This decrease differed significantly among treatments. Plasma fentanyl concentration was 3.25 and 2.94 ng/ mL for fentanyl and the fentanyl-lidocaine combination, respectively. Plasma lidocaine concentration was 2,570 and 2,417 ng/ mL for lidocaine and the fentanyl-lidocaine combination, respectively. Plasma fentanyl and lidocaine concentrations did not differ significantly between fentanyl and the fentanyl-lidocaine combination or between lidocaine and the fentanyl-lidocaine combination. CONCLUSIONS AND CLINICAL RELEVANCE CRIs of fentanyl, lidocaine, and the fentanyl-lidocaine combination at the doses used were associated with clinically important and significant decreases in the MACNM of sevoflurane in dogs.</w:t>
      </w:r>
    </w:p>
    <w:p/>
    <w:p>
      <w:pPr>
        <w:pStyle w:val="Normal"/>
      </w:pPr>
      <w:r>
        <w:rPr>
          <w:color w:val="323232"/>
        </w:rPr>
        <w:t xml:space="preserve">Am J Vet Res, 2017 vol. 78 (1) pp. 12-16.</w:t>
      </w:r>
    </w:p>
    <w:p>
      <w:r>
        <w:rPr>
          <w:rStyle w:val="Hyperlink"/>
        </w:rPr>
        <w:fldChar w:fldCharType="begin"/>
      </w:r>
      <w:r>
        <w:rPr>
          <w:rStyle w:val="Hyperlink"/>
        </w:rPr>
        <w:instrText xml:space="preserve"> HYPERLINK "http://eutils.ncbi.nlm.nih.gov/entrez/eutils/elink.fcgi?dbfrom=pubmed&amp;id=28029285&amp;retmode=ref&amp;cmd=prlinks"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http://eutils.ncbi.nlm.nih.gov/entrez/eutils/elink.fcgi?dbfrom=pubmed&amp;id=28029285&amp;retmode=ref&amp;cmd=prlinks</w:t>
      </w:r>
      <w:r>
        <w:rPr>
          <w:rStyle w:val="Hyperlink"/>
        </w:rPr>
        <w:fldChar w:fldCharType="end"/>
      </w:r>
    </w:p>
    <w:p>
      <w:pPr>
        <w:pStyle w:val="Normal"/>
      </w:pPr>
      <w:r>
        <w:rPr>
          <w:color w:val="323232"/>
        </w:rPr>
        <w:t xml:space="preserve">————————</w:t>
      </w:r>
    </w:p>
    <w:p>
      <w:pPr>
        <w:pStyle w:val="Heading4"/>
      </w:pPr>
      <w:r>
        <w:t xml:space="preserve">Effectiveness of manual bladder expression in paraplegic dogs.</w:t>
      </w:r>
    </w:p>
    <w:p/>
    <w:p>
      <w:pPr>
        <w:pStyle w:val="Normal"/>
      </w:pPr>
      <w:r>
        <w:rPr>
          <w:color w:val="323232"/>
        </w:rPr>
        <w:t xml:space="preserve">Darren R Carwardine, Jeremy H Rose, Thomas R Harcourt-Brown, and Nicolas Granger.</w:t>
      </w:r>
    </w:p>
    <w:p/>
    <w:p>
      <w:pPr>
        <w:pStyle w:val="Normal"/>
      </w:pPr>
      <w:r>
        <w:rPr>
          <w:color w:val="323232"/>
        </w:rPr>
        <w:t xml:space="preserve">OBJECTIVE To determine the effectiveness of manual bladder expression in paraplegic dogs by comparing urine volumes measured by use of intermittent catheterization and ultrasonography. ANIMALS 36 paraplegic dogs. PROCEDURES 93 measurements of bladder volume were collected for the 36 dogs. Residual urine volume was determined by use of intermittent urethral catheterization and estimated by use of ultrasonography. RESULTS Manual bladder expression voided a mean of 49% of urine from the bladder in this population of dogs. There was no correlation (R2, 0.06) between the effectiveness of manual bladder expression and body weight. Ultrasonographic estimation of bladder volume had good correlation (R2, 0.62) with bladder volume determined by use of intermittent bladder catheterization, but clinically unacceptable variation for predicting actual bladder volume (mean difference, 22 mL; 95% confidence interval, -96 to 139 mL). CONCLUSIONS AND CLINICAL RELEVANCE Manual bladder expression was ineffective at completely emptying urine from the bladder of paraplegic dogs, but the effectiveness of the procedure was not affected by body weight. Manual bladder expression would likely be a useful procedure to prevent increases in pressure within the bladder. Ultrasonographic estimation of bladder volume could be a useful predictor of actual bladder volume, but it was susceptible to wide variations among dogs, and results should therefore be interpreted with caution.</w:t>
      </w:r>
    </w:p>
    <w:p/>
    <w:p>
      <w:pPr>
        <w:pStyle w:val="Normal"/>
      </w:pPr>
      <w:r>
        <w:rPr>
          <w:color w:val="323232"/>
        </w:rPr>
        <w:t xml:space="preserve">Am J Vet Res, 2017 vol. 78 (1) pp. 107-112.</w:t>
      </w:r>
    </w:p>
    <w:p>
      <w:r>
        <w:rPr>
          <w:rStyle w:val="Hyperlink"/>
        </w:rPr>
        <w:fldChar w:fldCharType="begin"/>
      </w:r>
      <w:r>
        <w:rPr>
          <w:rStyle w:val="Hyperlink"/>
        </w:rPr>
        <w:instrText xml:space="preserve"> HYPERLINK "http://eutils.ncbi.nlm.nih.gov/entrez/eutils/elink.fcgi?dbfrom=pubmed&amp;id=28029295&amp;retmode=ref&amp;cmd=prlinks"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http://eutils.ncbi.nlm.nih.gov/entrez/eutils/elink.fcgi?dbfrom=pubmed&amp;id=28029295&amp;retmode=ref&amp;cmd=prlinks</w:t>
      </w:r>
      <w:r>
        <w:rPr>
          <w:rStyle w:val="Hyperlink"/>
        </w:rPr>
        <w:fldChar w:fldCharType="end"/>
      </w:r>
    </w:p>
    <w:p>
      <w:pPr>
        <w:pStyle w:val="Normal"/>
      </w:pPr>
      <w:r>
        <w:rPr>
          <w:color w:val="323232"/>
        </w:rPr>
        <w:t xml:space="preserve">————————</w:t>
      </w:r>
    </w:p>
    <w:p>
      <w:pPr>
        <w:pStyle w:val="Heading4"/>
      </w:pPr>
      <w:r>
        <w:t xml:space="preserve">Effects of prophylactic incisional gastropexy on markers of gastric motility in dogs as determined by use of a novel wireless motility device.</w:t>
      </w:r>
    </w:p>
    <w:p/>
    <w:p>
      <w:pPr>
        <w:pStyle w:val="Normal"/>
      </w:pPr>
      <w:r>
        <w:rPr>
          <w:color w:val="323232"/>
        </w:rPr>
        <w:t xml:space="preserve">Krista M Gazzola, Laura L Nelson, Michele C Fritz, Michelle R Clancy, and Joe G Hauptman.</w:t>
      </w:r>
    </w:p>
    <w:p/>
    <w:p>
      <w:pPr>
        <w:pStyle w:val="Normal"/>
      </w:pPr>
      <w:r>
        <w:rPr>
          <w:color w:val="323232"/>
        </w:rPr>
        <w:t xml:space="preserve">OBJECTIVE To evaluate effects of laparoscopic-assisted incisional gastropexy (LAIG) on gastric motility in dogs by use of a wireless motility device (WMD). ANIMALS 10 healthy client-owned large or giant-breed dogs. PROCEDURES 10 dogs owned by clients interested in prophylactic LAIG were enrolled. To determine effects of LAIG on gastrointestinal motility in dogs during the nonfed state, each dog was evaluated by use of a noninvasive WMD before and &gt; 4 weeks after LAIG. All dogs underwent LAIG, with or without concurrent elective gonadectomy. Data obtained before and after LAIG were analyzed by use of proprietary software to determine the gastric emptying time, small bowel transit time, large bowel transit time, whole bowel transit time, and motility index. RESULTS No changes in variables were detected between measurements obtained before and after prophylactic LAIG. CONCLUSIONS AND CLINICAL RELEVANCE In this study, prophylactic LAIG did not have an effect on gastrointestinal motility. The WMD was tolerated well by all dogs and appeared to be a safe and effective method for evaluating gastrointestinal motility in this population of dogs.</w:t>
      </w:r>
    </w:p>
    <w:p/>
    <w:p>
      <w:pPr>
        <w:pStyle w:val="Normal"/>
      </w:pPr>
      <w:r>
        <w:rPr>
          <w:color w:val="323232"/>
        </w:rPr>
        <w:t xml:space="preserve">Am J Vet Res, 2017 vol. 78 (1) pp. 100-106.</w:t>
      </w:r>
    </w:p>
    <w:p>
      <w:r>
        <w:rPr>
          <w:rStyle w:val="Hyperlink"/>
        </w:rPr>
        <w:fldChar w:fldCharType="begin"/>
      </w:r>
      <w:r>
        <w:rPr>
          <w:rStyle w:val="Hyperlink"/>
        </w:rPr>
        <w:instrText xml:space="preserve"> HYPERLINK "http://eutils.ncbi.nlm.nih.gov/entrez/eutils/elink.fcgi?dbfrom=pubmed&amp;id=28029288&amp;retmode=ref&amp;cmd=prlinks"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http://eutils.ncbi.nlm.nih.gov/entrez/eutils/elink.fcgi?dbfrom=pubmed&amp;id=28029288&amp;retmode=ref&amp;cmd=prlinks</w:t>
      </w:r>
      <w:r>
        <w:rPr>
          <w:rStyle w:val="Hyperlink"/>
        </w:rPr>
        <w:fldChar w:fldCharType="end"/>
      </w:r>
    </w:p>
    <w:p>
      <w:pPr>
        <w:pStyle w:val="Normal"/>
      </w:pPr>
      <w:r>
        <w:rPr>
          <w:color w:val="323232"/>
        </w:rPr>
        <w:t xml:space="preserve">————————</w:t>
      </w:r>
    </w:p>
    <w:p>
      <w:pPr>
        <w:pStyle w:val="Heading4"/>
      </w:pPr>
      <w:r>
        <w:t xml:space="preserve">Evaluation of procoagulant tissue factor expression in canine hemangiosarcoma cell lines.</w:t>
      </w:r>
    </w:p>
    <w:p/>
    <w:p>
      <w:pPr>
        <w:pStyle w:val="Normal"/>
      </w:pPr>
      <w:r>
        <w:rPr>
          <w:color w:val="323232"/>
        </w:rPr>
        <w:t xml:space="preserve">Lauren E Witter, Erika J Gruber, Fabian Z X Lean, and Tracy Stokol.</w:t>
      </w:r>
    </w:p>
    <w:p/>
    <w:p>
      <w:pPr>
        <w:pStyle w:val="Normal"/>
      </w:pPr>
      <w:r>
        <w:rPr>
          <w:color w:val="323232"/>
        </w:rPr>
        <w:t xml:space="preserve">OBJECTIVE To evaluate expression of procoagulant tissue factor (TF) by canine hemangiosarcoma cells in vitro. SAMPLES 4 canine hemangiosarcoma cell lines (SB-HSA [mouse-passaged cutaneous tumor], Emma [primary metastatic brain tumor], and Frog and Dal-1 [primary splenic tumors]) and 1 nonneoplastic canine endothelial cell line (CnAoEC). PROCEDURES TF mRNA and TF antigen expression were evaluated by quantitative real-time PCR assay and flow cytometry, respectively. Thrombin generation was measured in canine plasma and in coagulation factor-replete or specific coagulation factor-deficient human plasma by calibrated automated thrombography. Corn trypsin inhibitor and annexin V were used to examine contributions of contact activation and membrane-bound phosphatidylserine, respectively, to thrombin generation. RESULTS All cell lines expressed TF mRNA and antigen, with significantly greater expression of both products in SB-HSA and Emma cells than in CnAoEC. A greater percentage of SB-HSA cells expressed TF antigen, compared with other hemangiosarcoma cell lines. All hemangiosarcoma cell lines generated significantly more thrombin than did CnAoEC in canine or factor-replete human plasma. Thrombin generation induced by SB-HSA cells was significantly lower in factor VII-deficient plasma than in factor-replete plasma and was abolished in factor X-deficient plasma; residual thrombin generation in factor VII-deficient plasma was abolished by incubation of cells with annexin V. Thrombin generation by SB-HSA cells was unaffected by the addition of corn trypsin inhibitor. CONCLUSIONS AND CLINICAL RELEVANCE Hemangiosarcoma cell lines expressed procoagulant TF in vitro. Further research is needed to determine whether TF can be used as a biomarker for hemostatic dysfunction in dogs with hemangiosarcoma.</w:t>
      </w:r>
    </w:p>
    <w:p/>
    <w:p>
      <w:pPr>
        <w:pStyle w:val="Normal"/>
      </w:pPr>
      <w:r>
        <w:rPr>
          <w:color w:val="323232"/>
        </w:rPr>
        <w:t xml:space="preserve">Am J Vet Res, 2017 vol. 78 (1) pp. 69-79.</w:t>
      </w:r>
    </w:p>
    <w:p>
      <w:r>
        <w:rPr>
          <w:rStyle w:val="Hyperlink"/>
        </w:rPr>
        <w:fldChar w:fldCharType="begin"/>
      </w:r>
      <w:r>
        <w:rPr>
          <w:rStyle w:val="Hyperlink"/>
        </w:rPr>
        <w:instrText xml:space="preserve"> HYPERLINK "http://eutils.ncbi.nlm.nih.gov/entrez/eutils/elink.fcgi?dbfrom=pubmed&amp;id=28029283&amp;retmode=ref&amp;cmd=prlinks"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http://eutils.ncbi.nlm.nih.gov/entrez/eutils/elink.fcgi?dbfrom=pubmed&amp;id=28029283&amp;retmode=ref&amp;cmd=prlinks</w:t>
      </w:r>
      <w:r>
        <w:rPr>
          <w:rStyle w:val="Hyperlink"/>
        </w:rPr>
        <w:fldChar w:fldCharType="end"/>
      </w:r>
    </w:p>
    <w:p>
      <w:pPr>
        <w:pStyle w:val="Normal"/>
      </w:pPr>
      <w:r>
        <w:rPr>
          <w:color w:val="323232"/>
        </w:rPr>
        <w:t xml:space="preserve">————————</w:t>
      </w:r>
    </w:p>
    <w:p>
      <w:pPr>
        <w:pStyle w:val="Heading4"/>
      </w:pPr>
      <w:r>
        <w:t xml:space="preserve">Bile acid composition of gallbladder contents in dogs with gallbladder mucocele and biliary sludge.</w:t>
      </w:r>
    </w:p>
    <w:p/>
    <w:p>
      <w:pPr>
        <w:pStyle w:val="Normal"/>
      </w:pPr>
      <w:r>
        <w:rPr>
          <w:color w:val="323232"/>
        </w:rPr>
        <w:t xml:space="preserve">Toshiaki Kakimoto, Hideyuki Kanemoto, Kenjiro Fukushima, Koichi Ohno, and Hajime Tsujimoto.</w:t>
      </w:r>
    </w:p>
    <w:p/>
    <w:p>
      <w:pPr>
        <w:pStyle w:val="Normal"/>
      </w:pPr>
      <w:r>
        <w:rPr>
          <w:color w:val="323232"/>
        </w:rPr>
        <w:t xml:space="preserve">OBJECTIVE To examine bile acid composition of gallbladder contents in dogs with gallbladder mucocele and biliary sludge. ANIMALS 18 dogs with gallbladder mucocele (GBM group), 8 dogs with immobile biliary sludge (i-BS group), 17 dogs with mobile biliary sludge (m-BS group), and 14 healthy dogs (control group). PROCEDURES Samples of gallbladder contents were obtained by use of percutaneous ultrasound-guided cholecystocentesis or during cholecystectomy or necropsy. Concentrations of 15 bile acids were determined by use of highperformance liquid chromatography, and a bile acid compositional ratio was calculated for each group. RESULTS Concentrations of most bile acids in the GBM group were significantly lower than those in the control and m-BS groups. Compositional ratio of taurodeoxycholic acid, which is 1 of 3 major bile acids in dogs, was significantly lower in the GBM and i-BS groups, compared with ratios for the control and m-BS groups. The compositional ratio of taurocholic acid was significantly higher and that of taurochenodeoxycholic acid significantly lower in the i-BS group than in the control group. CONCLUSIONS AND CLINICAL RELEVANCE In this study, concentrations and fractions of bile acids in gallbladder contents were significantly different in dogs with gallbladder mucocele or immobile biliary sludge, compared with results for healthy control dogs. Studies are needed to determine whether changes in bile acid composition are primary or secondary events of gallbladder abnormalities.</w:t>
      </w:r>
    </w:p>
    <w:p/>
    <w:p>
      <w:pPr>
        <w:pStyle w:val="Normal"/>
      </w:pPr>
      <w:r>
        <w:rPr>
          <w:color w:val="323232"/>
        </w:rPr>
        <w:t xml:space="preserve">Am J Vet Res, 2017 vol. 78 (2) pp. 223-229.</w:t>
      </w:r>
    </w:p>
    <w:p>
      <w:r>
        <w:rPr>
          <w:rStyle w:val="Hyperlink"/>
        </w:rPr>
        <w:fldChar w:fldCharType="begin"/>
      </w:r>
      <w:r>
        <w:rPr>
          <w:rStyle w:val="Hyperlink"/>
        </w:rPr>
        <w:instrText xml:space="preserve"> HYPERLINK "http://eutils.ncbi.nlm.nih.gov/entrez/eutils/elink.fcgi?dbfrom=pubmed&amp;id=28140636&amp;retmode=ref&amp;cmd=prlinks"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http://eutils.ncbi.nlm.nih.gov/entrez/eutils/elink.fcgi?dbfrom=pubmed&amp;id=28140636&amp;retmode=ref&amp;cmd=prlinks</w:t>
      </w:r>
      <w:r>
        <w:rPr>
          <w:rStyle w:val="Hyperlink"/>
        </w:rPr>
        <w:fldChar w:fldCharType="end"/>
      </w:r>
    </w:p>
    <w:p>
      <w:pPr>
        <w:pStyle w:val="Normal"/>
      </w:pPr>
      <w:r>
        <w:rPr>
          <w:color w:val="323232"/>
        </w:rPr>
        <w:t xml:space="preserve">————————</w:t>
      </w:r>
    </w:p>
    <w:p>
      <w:pPr>
        <w:pStyle w:val="Heading4"/>
      </w:pPr>
      <w:r>
        <w:t xml:space="preserve">Effect of the duration of food withholding prior to anesthesia on gastroesophageal reflux and regurgitation in healthy dogs undergoing elective orthopedic surgery.</w:t>
      </w:r>
    </w:p>
    <w:p/>
    <w:p>
      <w:pPr>
        <w:pStyle w:val="Normal"/>
      </w:pPr>
      <w:r>
        <w:rPr>
          <w:color w:val="323232"/>
        </w:rPr>
        <w:t xml:space="preserve">Sivert Viskjer and Lennart Sjöström.</w:t>
      </w:r>
    </w:p>
    <w:p/>
    <w:p>
      <w:pPr>
        <w:pStyle w:val="Normal"/>
      </w:pPr>
      <w:r>
        <w:rPr>
          <w:color w:val="323232"/>
        </w:rPr>
        <w:t xml:space="preserve">OBJECTIVE To compare the incidence of and risk factors for gastroesophageal reflux (GER) and regurgitation associated with preanesthetic food withholding for periods of 18 hours (overnight) and 3 hours in healthy dogs undergoing elective orthopedic surgery. ANIMALS 82 healthy (American Society of Anesthesiologists physical status classification I or II) client-owned dogs. PROCEDURES Food was withheld for 18 hours (18-hour group [n = 41]) or each dog was allowed to consume half its daily ration of canned food approximately 3 hours (3-hour group [n = 41]) prior to induction of anesthesia. In each anesthetized dog, a pH catheter was introduced through the oropharynx into the distal portion of the esophagus; the pH was continuously recorded throughout the period of anesthesia. Gastroesophageal reflux was defined as pH &lt; 4.0. RESULTS Gastroesophageal reflux was significantly associated with age, dorsal recumbency, and duration of preanesthetic food withholding. Regurgitation was significantly associated with duration of GER and duration of preanesthetic food withholding. During anesthesia, 25 (61%) dogs in the 3-hour group had GER and 12 (48%) of those dogs regurgitated gastric content; 18 (43.9%) dogs in the 18-hour group had GER and 2 (11.1%) of those dogs regurgitated gastric content. The mean lowest pH measured in the refluxate in the 3-hour group (2.3) was significantly greater than that in the 18-hour group (1.3). CONCLUSIONS AND CLINICAL RELEVANCE Among the study dogs undergoing orthopedic surgery, consumption of a light meal 3 hours prior to anesthesia was associated with significantly greater odds of reflux and regurgitation, compared with overnight food withholding.</w:t>
      </w:r>
    </w:p>
    <w:p/>
    <w:p>
      <w:pPr>
        <w:pStyle w:val="Normal"/>
      </w:pPr>
      <w:r>
        <w:rPr>
          <w:color w:val="323232"/>
        </w:rPr>
        <w:t xml:space="preserve">Am J Vet Res, 2017 vol. 78 (2) pp. 144-150.</w:t>
      </w:r>
    </w:p>
    <w:p>
      <w:r>
        <w:rPr>
          <w:rStyle w:val="Hyperlink"/>
        </w:rPr>
        <w:fldChar w:fldCharType="begin"/>
      </w:r>
      <w:r>
        <w:rPr>
          <w:rStyle w:val="Hyperlink"/>
        </w:rPr>
        <w:instrText xml:space="preserve"> HYPERLINK "http://eutils.ncbi.nlm.nih.gov/entrez/eutils/elink.fcgi?dbfrom=pubmed&amp;id=28140638&amp;retmode=ref&amp;cmd=prlinks"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http://eutils.ncbi.nlm.nih.gov/entrez/eutils/elink.fcgi?dbfrom=pubmed&amp;id=28140638&amp;retmode=ref&amp;cmd=prlinks</w:t>
      </w:r>
      <w:r>
        <w:rPr>
          <w:rStyle w:val="Hyperlink"/>
        </w:rPr>
        <w:fldChar w:fldCharType="end"/>
      </w:r>
    </w:p>
    <w:p>
      <w:pPr>
        <w:pStyle w:val="Normal"/>
      </w:pPr>
      <w:r>
        <w:rPr>
          <w:color w:val="323232"/>
        </w:rPr>
        <w:t xml:space="preserve">————————</w:t>
      </w:r>
    </w:p>
    <w:p>
      <w:pPr>
        <w:pStyle w:val="Heading4"/>
      </w:pPr>
      <w:r>
        <w:t xml:space="preserve">Effects of a combination of acepromazine maleate and butorphanol tartrate on conventional and two-dimensional speckle tracking echocardiography in healthy dogs.</w:t>
      </w:r>
    </w:p>
    <w:p/>
    <w:p>
      <w:pPr>
        <w:pStyle w:val="Normal"/>
      </w:pPr>
      <w:r>
        <w:rPr>
          <w:color w:val="323232"/>
        </w:rPr>
        <w:t xml:space="preserve">Giorgia Santarelli, Jesús Talavera López, and Josefa Fernández Del Palacio.</w:t>
      </w:r>
    </w:p>
    <w:p/>
    <w:p>
      <w:pPr>
        <w:pStyle w:val="Normal"/>
      </w:pPr>
      <w:r>
        <w:rPr>
          <w:color w:val="323232"/>
        </w:rPr>
        <w:t xml:space="preserve">OBJECTIVE To determine effects of a combination of acepromazine maleate and butorphanol tartrate on conventional echocardiographic variables and on strain values obtained by use of 2-D speckle tracking echocardiography (STE) in healthy dogs. ANIMALS 18 healthy medium- and large-size adult dogs. PROCEDURES Transthoracic echocardiographic examination (2-D, M-mode, color flow, spectral Doppler, and tissue Doppler ultrasonography) and high-definition oscillometric blood pressure measurement were performed before and after dogs were sedated by IM administration of a combination of acepromazine (0.02 mg</w:t>
      </w:r>
      <w:r>
        <w:rPr>
          <w:i w:val="1"/>
          <w:color w:val="323232"/>
        </w:rPr>
        <w:t xml:space="preserve">kg) and butorphanol (0.2 mg</w:t>
      </w:r>
      <w:r>
        <w:rPr>
          <w:color w:val="323232"/>
        </w:rPr>
        <w:t xml:space="preserve">kg). Adequacy of sedation for echocardiographic examination was evaluated. Circumferential and longitudinal global and segmental strains of the left ventricle (LV) were obtained with 2-D STE by use of right parasternal short-axis and left parasternal apical views. Values before and after sedation were compared. RESULTS The sedation combination provided adequate immobilization to facilitate echocardiographic examination. Heart rate and mean and diastolic blood pressures decreased significantly after dogs were sedated. A few conventional echocardiographic variables differed significantly from baseline values after sedation, including decreased end-diastolic LV volume index, peak velocity of late diastolic transmitral flow, and late diastolic septal mitral and tricuspid annulus velocities, increased ejection time, and increased mitral ratio of peak early to late diastolic filling velocity; global strain values were not affected, but 1 segmental (apical lateral) strain value decreased significantly. CONCLUSIONS AND CLINICAL RELEVANCE Results indicated that acepromazine and butorphanol at the doses used in this study provided sedation adequate to facilitate echocardiography, with only mild influences on conventional and 2-D STE variables.</w:t>
      </w:r>
    </w:p>
    <w:p/>
    <w:p>
      <w:pPr>
        <w:pStyle w:val="Normal"/>
      </w:pPr>
      <w:r>
        <w:rPr>
          <w:color w:val="323232"/>
        </w:rPr>
        <w:t xml:space="preserve">Am J Vet Res, 2017 vol. 78 (2) pp. 158-167.</w:t>
      </w:r>
    </w:p>
    <w:p>
      <w:r>
        <w:rPr>
          <w:rStyle w:val="Hyperlink"/>
        </w:rPr>
        <w:fldChar w:fldCharType="begin"/>
      </w:r>
      <w:r>
        <w:rPr>
          <w:rStyle w:val="Hyperlink"/>
        </w:rPr>
        <w:instrText xml:space="preserve"> HYPERLINK "http://eutils.ncbi.nlm.nih.gov/entrez/eutils/elink.fcgi?dbfrom=pubmed&amp;id=28140649&amp;retmode=ref&amp;cmd=prlinks"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http://eutils.ncbi.nlm.nih.gov/entrez/eutils/elink.fcgi?dbfrom=pubmed&amp;id=28140649&amp;retmode=ref&amp;cmd=prlinks</w:t>
      </w:r>
      <w:r>
        <w:rPr>
          <w:rStyle w:val="Hyperlink"/>
        </w:rPr>
        <w:fldChar w:fldCharType="end"/>
      </w:r>
    </w:p>
    <w:p>
      <w:pPr>
        <w:pStyle w:val="Normal"/>
      </w:pPr>
      <w:r>
        <w:rPr>
          <w:color w:val="323232"/>
        </w:rPr>
        <w:t xml:space="preserve">————————</w:t>
      </w:r>
    </w:p>
    <w:p>
      <w:pPr>
        <w:pStyle w:val="Heading4"/>
      </w:pPr>
      <w:r>
        <w:t xml:space="preserve">Preliminary evaluation of the effects of photobiomodulation therapy and physical rehabilitation on early postoperative recovery of dogs undergoing hemilaminectomy for treatment of thoracolumbar intervertebral disk disease.</w:t>
      </w:r>
    </w:p>
    <w:p/>
    <w:p>
      <w:pPr>
        <w:pStyle w:val="Normal"/>
      </w:pPr>
      <w:r>
        <w:rPr>
          <w:color w:val="323232"/>
        </w:rPr>
        <w:t xml:space="preserve">Michael Bennaim, Mathilde Porato, Astrid Jarleton, Martin Hamon, James D Carroll, Kris Gommeren, and Marc Balligand.</w:t>
      </w:r>
    </w:p>
    <w:p/>
    <w:p>
      <w:pPr>
        <w:pStyle w:val="Normal"/>
      </w:pPr>
      <w:r>
        <w:rPr>
          <w:color w:val="323232"/>
        </w:rPr>
        <w:t xml:space="preserve">OBJECTIVE To evaluate the effects of postoperative photobiomodulation therapy and physical rehabilitation on early recovery variables for dogs after hemilaminectomy for treatment of intervertebral disk disease. ANIMALS 32 nonambulatory client-owned dogs. PROCEDURES Dogs received standard postoperative care with photobiomodulation therapy (n = 11), physical rehabilitation with sham photobiomodulation treatment (11), or sham photobiomodulation treatment only (10) after surgery. Neurologic status at admission, diagnostic and surgical variables, duration of postoperative IV analgesic administration, and recovery grades (over 10 days after surgery) were assessed. Time to reach recovery grades B (able to support weight with some help), C (initial limb movements present), and D (ambulatory [≥ 3 steps unassisted]) was compared among groups. Factors associated with ability to ambulate on day 10 or at last follow-up were assessed. RESULTS Time to reach recovery grades B, C, and D and duration of postoperative IV opioid administration did not differ among groups. Neurologic score at admission and surgeon experience were negatively associated with the dogs' ability to ambulate on day 10. The number of disk herniations identified by diagnostic imaging before surgery was negatively associated with ambulatory status at last follow-up. No other significant associations and no adverse treatment-related events were identified. CONCLUSIONS AND CLINICAL RELEVANCE This study found no difference in recovery-related variables among dogs that received photobiomodulation therapy, physical rehabilitation with sham photobiomodulation treatment, or sham photobiomodulation treatment only. Larger studies are needed to better evaluate effects of these postoperative treatments on dogs treated surgically for intervertebral disk disease.</w:t>
      </w:r>
    </w:p>
    <w:p/>
    <w:p>
      <w:pPr>
        <w:pStyle w:val="Normal"/>
      </w:pPr>
      <w:r>
        <w:rPr>
          <w:color w:val="323232"/>
        </w:rPr>
        <w:t xml:space="preserve">Am J Vet Res, 2017 vol. 78 (2) pp. 195-206.</w:t>
      </w:r>
    </w:p>
    <w:p>
      <w:r>
        <w:rPr>
          <w:rStyle w:val="Hyperlink"/>
        </w:rPr>
        <w:fldChar w:fldCharType="begin"/>
      </w:r>
      <w:r>
        <w:rPr>
          <w:rStyle w:val="Hyperlink"/>
        </w:rPr>
        <w:instrText xml:space="preserve"> HYPERLINK "http://eutils.ncbi.nlm.nih.gov/entrez/eutils/elink.fcgi?dbfrom=pubmed&amp;id=28140641&amp;retmode=ref&amp;cmd=prlinks"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http://eutils.ncbi.nlm.nih.gov/entrez/eutils/elink.fcgi?dbfrom=pubmed&amp;id=28140641&amp;retmode=ref&amp;cmd=prlinks</w:t>
      </w:r>
      <w:r>
        <w:rPr>
          <w:rStyle w:val="Hyperlink"/>
        </w:rPr>
        <w:fldChar w:fldCharType="end"/>
      </w:r>
    </w:p>
    <w:p>
      <w:pPr>
        <w:pStyle w:val="Normal"/>
      </w:pPr>
      <w:r>
        <w:rPr>
          <w:color w:val="323232"/>
        </w:rPr>
        <w:t xml:space="preserve">————————</w:t>
      </w:r>
    </w:p>
    <w:p>
      <w:pPr>
        <w:pStyle w:val="Heading4"/>
      </w:pPr>
      <w:r>
        <w:t xml:space="preserve">Radiographic assessment of the cardiac silhouette in clinically normal large- and small-breed dogs.</w:t>
      </w:r>
    </w:p>
    <w:p/>
    <w:p>
      <w:pPr>
        <w:pStyle w:val="Normal"/>
      </w:pPr>
      <w:r>
        <w:rPr>
          <w:color w:val="323232"/>
        </w:rPr>
        <w:t xml:space="preserve">Ayman A Mostafa and Clifford R Berry.</w:t>
      </w:r>
    </w:p>
    <w:p/>
    <w:p>
      <w:pPr>
        <w:pStyle w:val="Normal"/>
      </w:pPr>
      <w:r>
        <w:rPr>
          <w:color w:val="323232"/>
        </w:rPr>
        <w:t xml:space="preserve">OBJECTIVE To determine manubrium heart scores (MHSs) from measurements of cardiac short-axis length (cSAL) and long-axis length (cLAL) relative to the corresponding manubrium length (ML) on thoracic radiographic views of dogs and assess correlation of MHSs with vertebral heart scores (VHSs). ANIMALS 120 clinically normal large-breed dogs (LBDs) and small-breed dogs (SBDs). PROCEDURES On right lateral views (RLVs) and ventrodorsal views (VDVs) for each dog, cSAL and cLAL were measured and expressed as a ratio; the cSAL:ML ratio (short-MHS), cLAL:ML ratio (long-MHS), and cSAL-and-cLAL:ML ratio (overall-MHS) were also calculated. The VHS was determined from the RLV. Correlation of VHS with MHS was assessed. RESULTS On RLVs and VDVs, mean cSAL:cLAL ratios were 0.77 (SD, 0.05) and 0.72 (SD, 0.05), respectively, in 60 LBDs and 0.81 (SD, 0.06) and 0.78 (SD, 0.06), respectively, in 60 SBDs. In LBDs, mean short-MHS, long-MHS, and overall-MHS were 2.1 (SD, 0.22), 2.7 (SD, 0.24), and 4.8 (SD, 0.5), respectively, on RLVs and 2.3 (SD, 0.26), 3.2 (SD, 0.34), and 5.4 (SD, 0.6), respectively, on VDVs. In SBDs, mean short-MHS, long-MHS, and overall-MHS were 2.4 (SD, 0.39), 2.9 (SD, 0.50), and 5.3 (SD, 0.83), respectively, on RLVs and 2.5 (SD, 0.44), 3.2 (SD, 0.51), and 5.8 (SD, 0.92), respectively, on VDVs. Mean VHSs were 10.73 (SD, 0.52) and 10.27 (SD, 0.81) in LBDs and SBDs, respectively. A significant correlation was identified between VHS and each MHS in LBDs. CONCLUSIONS AND CLINICAL RELEVANCE In the dogs evaluated, radiographic cardiac dimensions and MHSs were correlated. Validity of the MHS for cardiac dimension assessment in other healthy dogs and dogs with cardiac disease warrants investigation.</w:t>
      </w:r>
    </w:p>
    <w:p/>
    <w:p>
      <w:pPr>
        <w:pStyle w:val="Normal"/>
      </w:pPr>
      <w:r>
        <w:rPr>
          <w:color w:val="323232"/>
        </w:rPr>
        <w:t xml:space="preserve">Am J Vet Res, 2017 vol. 78 (2) pp. 168-177.</w:t>
      </w:r>
    </w:p>
    <w:p>
      <w:r>
        <w:rPr>
          <w:rStyle w:val="Hyperlink"/>
        </w:rPr>
        <w:fldChar w:fldCharType="begin"/>
      </w:r>
      <w:r>
        <w:rPr>
          <w:rStyle w:val="Hyperlink"/>
        </w:rPr>
        <w:instrText xml:space="preserve"> HYPERLINK "http://eutils.ncbi.nlm.nih.gov/entrez/eutils/elink.fcgi?dbfrom=pubmed&amp;id=28140637&amp;retmode=ref&amp;cmd=prlinks"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http://eutils.ncbi.nlm.nih.gov/entrez/eutils/elink.fcgi?dbfrom=pubmed&amp;id=28140637&amp;retmode=ref&amp;cmd=prlinks</w:t>
      </w:r>
      <w:r>
        <w:rPr>
          <w:rStyle w:val="Hyperlink"/>
        </w:rPr>
        <w:fldChar w:fldCharType="end"/>
      </w:r>
    </w:p>
    <w:p>
      <w:pPr>
        <w:pStyle w:val="Normal"/>
      </w:pPr>
      <w:r>
        <w:rPr>
          <w:color w:val="323232"/>
        </w:rPr>
        <w:t xml:space="preserve">————————</w:t>
      </w:r>
    </w:p>
    <w:p>
      <w:pPr>
        <w:pStyle w:val="Heading4"/>
      </w:pPr>
      <w:r>
        <w:t xml:space="preserve">Effect of position and time held in that position on ground-glass opacity in computed tomography images of dogs.</w:t>
      </w:r>
    </w:p>
    <w:p/>
    <w:p>
      <w:pPr>
        <w:pStyle w:val="Normal"/>
      </w:pPr>
      <w:r>
        <w:rPr>
          <w:color w:val="323232"/>
        </w:rPr>
        <w:t xml:space="preserve">Sang-Kwon Lee, Seungjo Park, Byunggyu Cheon, Sohyeon Moon, Sunghwa Hong, Hyun Cho, Dongwoo Chang, and Jihye Choi.</w:t>
      </w:r>
    </w:p>
    <w:p/>
    <w:p>
      <w:pPr>
        <w:pStyle w:val="Normal"/>
      </w:pPr>
      <w:r>
        <w:rPr>
          <w:color w:val="323232"/>
        </w:rPr>
        <w:t xml:space="preserve">OBJECTIVE To evaluate effects of position, time in that position, and positive end-expiratory pressure on ground-glass opacity caused by physiologic atelectasis on lung CT images and to determine effects of recumbency position before CT. ANIMALS 6 healthy Beagles. PROCEDURES In a crossover study, dogs were placed in 4 positions (sternal, dorsal, right lateral, and left lateral recumbency) for 2 holding times (30 and 60 minutes). Dogs were then repositioned in sternal recumbency, and CT was performed at 2 positive end-expiratory pressures (0 and 15 mm Hg). Location, distribution, and degree of ground-glass opacities were evaluated on lung CT images. Volume and mean density of the lungs and ground-glass opacities as well as maximum density of ground-glass opacities were evaluated. RESULTS Ground-glass opacities were mainly observed in parts of the lungs that were dependent during the various positions before CT, except for sternal recumbency. Opacities were reversible and decreased or disappeared after lung inflation. Ground-glass opacities were observed most frequently and had greatest severity when dogs were positioned in left lateral recumbency before CT. Ground-glass opacities were negligible for dogs positioned in sternal recumbency before CT. CONCLUSIONS AND CLINICAL RELEVANCE Location and reversibility of ground-glass opacities may help clinicians distinguish whether they are attributable to atelectasis or a result of pathological changes. Dogs should be positioned in sternal recumbency to minimize the occurrence of ground-glass opacities, particularly when several procedures are performed before CT, which increases the time that a dog will remain in the same position.</w:t>
      </w:r>
    </w:p>
    <w:p/>
    <w:p>
      <w:pPr>
        <w:pStyle w:val="Normal"/>
      </w:pPr>
      <w:r>
        <w:rPr>
          <w:color w:val="323232"/>
        </w:rPr>
        <w:t xml:space="preserve">Am J Vet Res, 2017 vol. 78 (3) pp. 279-288.</w:t>
      </w:r>
    </w:p>
    <w:p>
      <w:r>
        <w:rPr>
          <w:rStyle w:val="Hyperlink"/>
        </w:rPr>
        <w:fldChar w:fldCharType="begin"/>
      </w:r>
      <w:r>
        <w:rPr>
          <w:rStyle w:val="Hyperlink"/>
        </w:rPr>
        <w:instrText xml:space="preserve"> HYPERLINK "http://eutils.ncbi.nlm.nih.gov/entrez/eutils/elink.fcgi?dbfrom=pubmed&amp;id=28240951&amp;retmode=ref&amp;cmd=prlinks"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http://eutils.ncbi.nlm.nih.gov/entrez/eutils/elink.fcgi?dbfrom=pubmed&amp;id=28240951&amp;retmode=ref&amp;cmd=prlinks</w:t>
      </w:r>
      <w:r>
        <w:rPr>
          <w:rStyle w:val="Hyperlink"/>
        </w:rPr>
        <w:fldChar w:fldCharType="end"/>
      </w:r>
    </w:p>
    <w:p>
      <w:pPr>
        <w:pStyle w:val="Normal"/>
      </w:pPr>
      <w:r>
        <w:rPr>
          <w:color w:val="323232"/>
        </w:rPr>
        <w:t xml:space="preserve">————————</w:t>
      </w:r>
    </w:p>
    <w:p>
      <w:pPr>
        <w:pStyle w:val="Heading4"/>
      </w:pPr>
      <w:r>
        <w:t xml:space="preserve">Assessment of contrast-enhanced ultrasonography of the hepatic vein for detection of hemodynamic changes associated with experimentally induced portal hypertension in dogs.</w:t>
      </w:r>
    </w:p>
    <w:p/>
    <w:p>
      <w:pPr>
        <w:pStyle w:val="Normal"/>
      </w:pPr>
      <w:r>
        <w:rPr>
          <w:color w:val="323232"/>
        </w:rPr>
        <w:t xml:space="preserve">Keitaro Morishita, Akira Hiramoto, Asuka Michishita, Satoshi Takagi, Yuki Hoshino, Takaharu Itami, Sue Yee Lim, Tatsuyuki Osuga, Sayuri Nakamura, Kenji Ochiai, Kensuke Nakamura, Hiroshi Ohta, Masahiro Yamasaki, and Mitsuyoshi Takiguchi.</w:t>
      </w:r>
    </w:p>
    <w:p/>
    <w:p>
      <w:pPr>
        <w:pStyle w:val="Normal"/>
      </w:pPr>
      <w:r>
        <w:rPr>
          <w:color w:val="323232"/>
        </w:rPr>
        <w:t xml:space="preserve">OBJECTIVE To assess the use of contrast-enhanced ultrasonography (CEUS) of the hepatic vein for the detection of hemodynamic changes associated with experimentally induced portal hypertension in dogs. ANIMALS 6 healthy Beagles. PROCEDURES A prospective study was conducted. A catheter was surgically placed in the portal vein of each dog. Hypertension was induced by intraportal injection of microspheres (10 to 15 mg/kg) at 5-day intervals via the catheter. Microsphere injections were continued until multiple acquired portosystemic shunts were created. Portal vein pressure (PVP) was measured through the catheter. Contrast-enhanced ultrasonography was performed before and after establishment of hypertension. Time-intensity curves were generated from the region of interest in the hepatic vein. Perfusion variables measured for statistical analysis were hepatic vein arrival time, time to peak, time to peak phase (TTPP), and washout ratio. The correlation between CEUS variables and PVP was assessed by use of simple regression analysis. RESULTS Time to peak and TTPP were significantly less after induction of portal hypertension. Simple regression analysis revealed a significant negative correlation between TTPP and PVP. CONCLUSIONS AND CLINICAL RELEVANCE CEUS was useful for detecting hemodynamic changes associated with experimentally induced portal hypertension in dogs, which was characterized by a rapid increase in the intensity of the hepatic vein. Furthermore, TTPP, a time-dependent variable, provided useful complementary information for predicting portal hypertension. IMPACT FOR HUMAN MEDICINE Because the method described here induced presinusoidal portal hypertension, these results can be applied to idiopathic portal hypertension in humans.</w:t>
      </w:r>
    </w:p>
    <w:p/>
    <w:p>
      <w:pPr>
        <w:pStyle w:val="Normal"/>
      </w:pPr>
      <w:r>
        <w:rPr>
          <w:color w:val="323232"/>
        </w:rPr>
        <w:t xml:space="preserve">Am J Vet Res, 2017 vol. 78 (4) pp. 465-471.</w:t>
      </w:r>
    </w:p>
    <w:p>
      <w:r>
        <w:rPr>
          <w:rStyle w:val="Hyperlink"/>
        </w:rPr>
        <w:fldChar w:fldCharType="begin"/>
      </w:r>
      <w:r>
        <w:rPr>
          <w:rStyle w:val="Hyperlink"/>
        </w:rPr>
        <w:instrText xml:space="preserve"> HYPERLINK "http://eutils.ncbi.nlm.nih.gov/entrez/eutils/elink.fcgi?dbfrom=pubmed&amp;id=28346001&amp;retmode=ref&amp;cmd=prlinks"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http://eutils.ncbi.nlm.nih.gov/entrez/eutils/elink.fcgi?dbfrom=pubmed&amp;id=28346001&amp;retmode=ref&amp;cmd=prlinks</w:t>
      </w:r>
      <w:r>
        <w:rPr>
          <w:rStyle w:val="Hyperlink"/>
        </w:rPr>
        <w:fldChar w:fldCharType="end"/>
      </w:r>
    </w:p>
    <w:p>
      <w:pPr>
        <w:pStyle w:val="Normal"/>
      </w:pPr>
      <w:r>
        <w:rPr>
          <w:color w:val="323232"/>
        </w:rPr>
        <w:t xml:space="preserve">————————</w:t>
      </w:r>
    </w:p>
    <w:p>
      <w:pPr>
        <w:pStyle w:val="Heading4"/>
      </w:pPr>
      <w:r>
        <w:t xml:space="preserve">Plasma coenzyme Q10 concentration, antioxidant status, and serum N-terminal pro-brain natriuretic peptide concentration in dogs with various cardiovascular diseases and the effect of cardiac treatment on measured variables.</w:t>
      </w:r>
    </w:p>
    <w:p/>
    <w:p>
      <w:pPr>
        <w:pStyle w:val="Normal"/>
      </w:pPr>
      <w:r>
        <w:rPr>
          <w:color w:val="323232"/>
        </w:rPr>
        <w:t xml:space="preserve">Alenka Nemec Svete, Barbara Verk, Alenka Seliškar, Katerina Tomsič, Petra Jazbec Križman, and Aleksandra Domanjko Petrič.</w:t>
      </w:r>
    </w:p>
    <w:p/>
    <w:p>
      <w:pPr>
        <w:pStyle w:val="Normal"/>
      </w:pPr>
      <w:r>
        <w:rPr>
          <w:color w:val="323232"/>
        </w:rPr>
        <w:t xml:space="preserve">OBJECTIVE To determine the plasma total antioxidant capacity, erythrocyte superoxide dismutase activity, whole blood glutathione peroxidase activity, and plasma coenzyme Q10 (CoQ10) concentration in dogs with various stages of cardiovascular diseases and in healthy dogs; assess the influence of cardiac treatment on the levels of antioxidant variables, plasma CoQ10 concentration, and serum N-terminal pro-brain natriuretic peptide (NT-proBNP) concentration, and determine any correlation between the disease severity (NT-proBNP concentration) and antioxidant variables or CoQ10 concentration. ANIMALS 43 dogs with various types and stages of cardiovascular diseases (congenital and acquired) and 29 healthy dogs. PROCEDURES Blood samples were collected from all dogs for spectrophotometric assessment of antioxidant variables. Plasma CoQ10 concentration was determined with a high-performance liquid chromatography-atmospheric pressure chemical ionization-tandem mass spectrometry method. Serum NT-proBNP concentration was measured with an ELISA. RESULTS Values for antioxidant variables did not differ among groups of dogs with cardiovascular diseases, regardless of disease stage or treatment. Plasma CoQ10 concentration was significantly increased in treated dogs with congestive heart failure (CHF), compared with untreated patients. However, plasma CoQ10 concentration did not differ among heart failure classes. A significant, negative correlation between serum NT-proBNP and plasma CoQ10 concentrations was identified in treated CHF-affected dogs, suggesting that low plasma CoQ10 concentration may be associated with increased severity of CHF. CONCLUSIONS AND CLINICAL RELEVANCE The antioxidant variables evaluated were not altered in dogs with CHF, regardless of cardiac disease stage or treatment. Further investigation into the possible effects of CoQ10 supplementation in dogs with advanced stages of CHF is warranted.</w:t>
      </w:r>
    </w:p>
    <w:p/>
    <w:p>
      <w:pPr>
        <w:pStyle w:val="Normal"/>
      </w:pPr>
      <w:r>
        <w:rPr>
          <w:color w:val="323232"/>
        </w:rPr>
        <w:t xml:space="preserve">Am J Vet Res, 2017 vol. 78 (4) pp. 447-457.</w:t>
      </w:r>
    </w:p>
    <w:p>
      <w:r>
        <w:rPr>
          <w:rStyle w:val="Hyperlink"/>
        </w:rPr>
        <w:fldChar w:fldCharType="begin"/>
      </w:r>
      <w:r>
        <w:rPr>
          <w:rStyle w:val="Hyperlink"/>
        </w:rPr>
        <w:instrText xml:space="preserve"> HYPERLINK "http://eutils.ncbi.nlm.nih.gov/entrez/eutils/elink.fcgi?dbfrom=pubmed&amp;id=28346005&amp;retmode=ref&amp;cmd=prlinks"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http://eutils.ncbi.nlm.nih.gov/entrez/eutils/elink.fcgi?dbfrom=pubmed&amp;id=28346005&amp;retmode=ref&amp;cmd=prlinks</w:t>
      </w:r>
      <w:r>
        <w:rPr>
          <w:rStyle w:val="Hyperlink"/>
        </w:rPr>
        <w:fldChar w:fldCharType="end"/>
      </w:r>
    </w:p>
    <w:p>
      <w:pPr>
        <w:pStyle w:val="Normal"/>
      </w:pPr>
      <w:r>
        <w:rPr>
          <w:color w:val="323232"/>
        </w:rPr>
        <w:t xml:space="preserve">————————</w:t>
      </w:r>
    </w:p>
    <w:p>
      <w:pPr>
        <w:pStyle w:val="Heading4"/>
      </w:pPr>
      <w:r>
        <w:t xml:space="preserve">Comparison of platelet function and viscoelastic test results between healthy dogs and dogs with naturally occurring chronic kidney disease.</w:t>
      </w:r>
    </w:p>
    <w:p/>
    <w:p>
      <w:pPr>
        <w:pStyle w:val="Normal"/>
      </w:pPr>
      <w:r>
        <w:rPr>
          <w:color w:val="323232"/>
        </w:rPr>
        <w:t xml:space="preserve">Alicia Dudley, Julie K Byron, Mary Jo Burkhard, Emma Warry, and Julien Guillaumin.</w:t>
      </w:r>
    </w:p>
    <w:p/>
    <w:p>
      <w:pPr>
        <w:pStyle w:val="Normal"/>
      </w:pPr>
      <w:r>
        <w:rPr>
          <w:color w:val="323232"/>
        </w:rPr>
        <w:t xml:space="preserve">OBJECTIVE To compare platelet function and viscoelastic test results between healthy dogs and dogs with chronic kidney disease (CKD) to assess whether dogs with CKD have platelet dysfunction and altered blood coagulation. ANIMALS 10 healthy control dogs and 11 dogs with naturally occurring CKD. PROCEDURES Blood and urine were collected once from each dog for a CBC, serum biochemical analysis, urinalysis, and determination of the urine protein-to-creatinine ratio, prothrombin time, activated partial thromboplastin time, plasma fibrinogen concentration, and antithrombin activity. Closure time was determined by use of a platelet function analyzer and a collagen-ADP platelet agonist. Thromboelastography (TEG) variables (reaction time, clotting time, α angle, maximum amplitude, and global clot strength [G value]) were determined by use of recalcified nonactivated TEG. Platelet expression of glycoprotein Ib (GPIb; receptor for von Willebrand factor), integrin αIIbβ3 (αIIbβ3; receptor for fibrinogen), and P-selectin (marker for platelet activation) was assessed by flow cytometry. RESULTS Compared with healthy control dogs, the median closure time was prolonged, the median maximum amplitude and G value were increased, and the median clotting time was decreased for dogs with CKD. Platelet expression of both αIIbβ3 and P-selectin was also significantly increased for dogs with CKD, compared with that for control dogs. Platelet expression of GPIb, αIIbβ3, and P-selectin was not correlated with closure time or any TEG variable. CONCLUSIONS AND CLINICAL RELEVANCE Results indicated that dogs with CKD frequently had evidence of platelet dysfunction and hypercoagulability that were not totally attributable to alterations in platelet surface expression of GPIb, αIIbβ3, and P-selectin.</w:t>
      </w:r>
    </w:p>
    <w:p/>
    <w:p>
      <w:pPr>
        <w:pStyle w:val="Normal"/>
      </w:pPr>
      <w:r>
        <w:rPr>
          <w:color w:val="323232"/>
        </w:rPr>
        <w:t xml:space="preserve">Am J Vet Res, 2017 vol. 78 (5) pp. 589-600.</w:t>
      </w:r>
    </w:p>
    <w:p>
      <w:r>
        <w:rPr>
          <w:rStyle w:val="Hyperlink"/>
        </w:rPr>
        <w:fldChar w:fldCharType="begin"/>
      </w:r>
      <w:r>
        <w:rPr>
          <w:rStyle w:val="Hyperlink"/>
        </w:rPr>
        <w:instrText xml:space="preserve"> HYPERLINK "http://eutils.ncbi.nlm.nih.gov/entrez/eutils/elink.fcgi?dbfrom=pubmed&amp;id=28441050&amp;retmode=ref&amp;cmd=prlinks"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http://eutils.ncbi.nlm.nih.gov/entrez/eutils/elink.fcgi?dbfrom=pubmed&amp;id=28441050&amp;retmode=ref&amp;cmd=prlinks</w:t>
      </w:r>
      <w:r>
        <w:rPr>
          <w:rStyle w:val="Hyperlink"/>
        </w:rPr>
        <w:fldChar w:fldCharType="end"/>
      </w:r>
    </w:p>
    <w:p>
      <w:pPr>
        <w:pStyle w:val="Normal"/>
      </w:pPr>
      <w:r>
        <w:rPr>
          <w:color w:val="323232"/>
        </w:rPr>
        <w:t xml:space="preserve">————————</w:t>
      </w:r>
    </w:p>
    <w:p>
      <w:pPr>
        <w:pStyle w:val="Heading4"/>
      </w:pPr>
      <w:r>
        <w:t xml:space="preserve">Evaluation of gastric emptying time, gastrointestinal transit time, sedation score, and nausea score associated with intravenous constant rate infusion of lidocaine hydrochloride in clinically normal dogs.</w:t>
      </w:r>
    </w:p>
    <w:p/>
    <w:p>
      <w:pPr>
        <w:pStyle w:val="Normal"/>
      </w:pPr>
      <w:r>
        <w:rPr>
          <w:color w:val="323232"/>
        </w:rPr>
        <w:t xml:space="preserve">Rebecca A Johnson, Katharine R Kierski, and Brian G Jones.</w:t>
      </w:r>
    </w:p>
    <w:p/>
    <w:p>
      <w:pPr>
        <w:pStyle w:val="Normal"/>
      </w:pPr>
      <w:r>
        <w:rPr>
          <w:color w:val="323232"/>
        </w:rPr>
        <w:t xml:space="preserve">OBJECTIVE To quantify nausea and sedation scores, gastric emptying time, and gastrointestinal transit time after IV administration of a lidocaine hydrochloride bolus followed by a constant rate infusion (CRI) in clinically normal dogs. ANIMALS 6 Beagles. PROCEDURES In a crossover study, dogs were fed thirty 1.5-mm barium-impregnated spheres (BIPS) and received a saline (0.9% NaCl) solution bolus (0.05 mL/ kg) IV (time 0) followed by a CRI at 10 mL/ h, a lidocaine bolus (1 mg/ kg) IV followed by a CRI at 25 μg/ kg/ min, or a lidocaine bolus (1 mg/ kg) IV followed by a CRI at 50 μg/ kg/ min; CRIs were for 12 hours. Nausea and sedation scores were assessed and abdominal radiographs obtained immediately after feeding of BIPS and every hour for 12 hours and again 16 hours after CRI start. Percentage of BIPSs in the small and large intestines, gastric emptying time, and gastrointestinal transit time were assessed. RESULTS Gastric emptying time did not differ significantly among treatments. Significantly more BIPS were in the large intestine 4 to 7 hours after treatment start for the 50-μg</w:t>
      </w:r>
      <w:r>
        <w:rPr>
          <w:i w:val="1"/>
          <w:color w:val="323232"/>
        </w:rPr>
        <w:t xml:space="preserve">kg</w:t>
      </w:r>
      <w:r>
        <w:rPr>
          <w:color w:val="323232"/>
        </w:rPr>
        <w:t xml:space="preserve">min treatment than for the other 2 treatments. Six hours after treatment start, significantly more BIPS were in the large intestine for the 25-μg</w:t>
      </w:r>
      <w:r>
        <w:rPr>
          <w:i w:val="1"/>
          <w:color w:val="323232"/>
        </w:rPr>
        <w:t xml:space="preserve">kg</w:t>
      </w:r>
      <w:r>
        <w:rPr>
          <w:color w:val="323232"/>
        </w:rPr>
        <w:t xml:space="preserve">min treatment than for the saline solution treatment. Higher sedation and nausea scores were associated with the 50-μg</w:t>
      </w:r>
      <w:r>
        <w:rPr>
          <w:i w:val="1"/>
          <w:color w:val="323232"/>
        </w:rPr>
        <w:t xml:space="preserve">kg</w:t>
      </w:r>
      <w:r>
        <w:rPr>
          <w:color w:val="323232"/>
        </w:rPr>
        <w:t xml:space="preserve">min CRI. CONCLUSIONS AND CLINICAL RELEVANCE In clinically normal dogs, lidocaine CRI did not significantly affect gastric emptying. However, gastrointestinal transit time was mildly decreased and sedation and nausea scores increased in dogs administered a lidocaine CRI at clinically used doses.</w:t>
      </w:r>
    </w:p>
    <w:p/>
    <w:p>
      <w:pPr>
        <w:pStyle w:val="Normal"/>
      </w:pPr>
      <w:r>
        <w:rPr>
          <w:color w:val="323232"/>
        </w:rPr>
        <w:t xml:space="preserve">Am J Vet Res, 2017 vol. 78 (5) pp. 550-557.</w:t>
      </w:r>
    </w:p>
    <w:p>
      <w:r>
        <w:rPr>
          <w:rStyle w:val="Hyperlink"/>
        </w:rPr>
        <w:fldChar w:fldCharType="begin"/>
      </w:r>
      <w:r>
        <w:rPr>
          <w:rStyle w:val="Hyperlink"/>
        </w:rPr>
        <w:instrText xml:space="preserve"> HYPERLINK "http://eutils.ncbi.nlm.nih.gov/entrez/eutils/elink.fcgi?dbfrom=pubmed&amp;id=28441056&amp;retmode=ref&amp;cmd=prlinks"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http://eutils.ncbi.nlm.nih.gov/entrez/eutils/elink.fcgi?dbfrom=pubmed&amp;id=28441056&amp;retmode=ref&amp;cmd=prlinks</w:t>
      </w:r>
      <w:r>
        <w:rPr>
          <w:rStyle w:val="Hyperlink"/>
        </w:rPr>
        <w:fldChar w:fldCharType="end"/>
      </w:r>
    </w:p>
    <w:p>
      <w:pPr>
        <w:pStyle w:val="Normal"/>
      </w:pPr>
      <w:r>
        <w:rPr>
          <w:color w:val="323232"/>
        </w:rPr>
        <w:t xml:space="preserve">————————</w:t>
      </w:r>
    </w:p>
    <w:p>
      <w:pPr>
        <w:pStyle w:val="Heading4"/>
      </w:pPr>
      <w:r>
        <w:t xml:space="preserve">Evaluation of oxygen administration with a high-flow nasal cannula to clinically normal dogs.</w:t>
      </w:r>
    </w:p>
    <w:p/>
    <w:p>
      <w:pPr>
        <w:pStyle w:val="Normal"/>
      </w:pPr>
      <w:r>
        <w:rPr>
          <w:color w:val="323232"/>
        </w:rPr>
        <w:t xml:space="preserve">Jennifer L Daly, Christine L Guenther, Jamie M Haggerty, and Iain Keir.</w:t>
      </w:r>
    </w:p>
    <w:p/>
    <w:p>
      <w:pPr>
        <w:pStyle w:val="Normal"/>
      </w:pPr>
      <w:r>
        <w:rPr>
          <w:color w:val="323232"/>
        </w:rPr>
        <w:t xml:space="preserve">OBJECTIVE To evaluate the safety and efficacy of oxygen administration by use of a high-flow nasal cannula (HFNC) in sedated clinically normal dogs. ANIMALS 6 healthy adult dogs undergoing routine dental prophylaxis. PROCEDURES Dogs were sedated with butorphanol tartrate and dexmedetomidine. An esophageal balloon catheter was inserted into the esophagus, a double-pronged nasal cannula was inserted into the nares, and a catheter was inserted into the dorsal pedal artery. Dogs were positioned in right lateral recumbency. After a 6-minute acclimation period, baseline blood gas values and transpulmonary pressure were measured. Dogs then received supplemental oxygen via conventional oxygen therapy (COT) at a rate of 100 mL/ kg/ min (COT-100 treatment) and an HFNC at a rate of 20 L/ min (HF-20 treatment) and 30 L/ min (HF-30 treatment). Arterial blood gas and transpulmonary pressure were measured after a 6-minute acclimation period for each oxygen delivery method. Radiographs were obtained before and after oxygen administration to evaluate gastric distension. RESULTS Median Pao2 was significantly higher for HF-20 (519.9 mm Hg) and HF-30 (538.1 mm Hg) treatments, compared with median Pao2 for the COT-100 treatment (202.9 mm Hg). The Pao2 did not differ significantly between the HF-20 and HF-30 treatments. There was no significant difference in Paco2 or change in transpulmonary pressure between baseline and any oxygen delivery method. CONCLUSIONS AND CLINICAL RELEVANCE In this study, HFNC appeared to be a safe and effective method for oxygen delivery to sedated healthy dogs. Further studies are needed to evaluate use of HFNCs for oxygen administration to hypoxemic patients.</w:t>
      </w:r>
    </w:p>
    <w:p/>
    <w:p>
      <w:pPr>
        <w:pStyle w:val="Normal"/>
      </w:pPr>
      <w:r>
        <w:rPr>
          <w:color w:val="323232"/>
        </w:rPr>
        <w:t xml:space="preserve">American Journal of Veterinary Research, 2017 vol. 78 (5) pp. 624-630.</w:t>
      </w:r>
    </w:p>
    <w:p>
      <w:r>
        <w:rPr>
          <w:rStyle w:val="Hyperlink"/>
        </w:rPr>
        <w:fldChar w:fldCharType="begin"/>
      </w:r>
      <w:r>
        <w:rPr>
          <w:rStyle w:val="Hyperlink"/>
        </w:rPr>
        <w:instrText xml:space="preserve"> HYPERLINK "http://eutils.ncbi.nlm.nih.gov/entrez/eutils/elink.fcgi?dbfrom=pubmed&amp;id=28441053&amp;retmode=ref&amp;cmd=prlinks"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http://eutils.ncbi.nlm.nih.gov/entrez/eutils/elink.fcgi?dbfrom=pubmed&amp;id=28441053&amp;retmode=ref&amp;cmd=prlinks</w:t>
      </w:r>
      <w:r>
        <w:rPr>
          <w:rStyle w:val="Hyperlink"/>
        </w:rPr>
        <w:fldChar w:fldCharType="end"/>
      </w:r>
    </w:p>
    <w:p>
      <w:pPr>
        <w:pStyle w:val="Normal"/>
      </w:pPr>
      <w:r>
        <w:rPr>
          <w:color w:val="323232"/>
        </w:rPr>
        <w:t xml:space="preserve">————————</w:t>
      </w:r>
    </w:p>
    <w:p>
      <w:pPr>
        <w:pStyle w:val="Heading4"/>
      </w:pPr>
      <w:r>
        <w:t xml:space="preserve">Characterization of aminoaciduria and hypoaminoacidemia in dogs with hepatocutaneous syndrome.</w:t>
      </w:r>
    </w:p>
    <w:p/>
    <w:p>
      <w:pPr>
        <w:pStyle w:val="Normal"/>
      </w:pPr>
      <w:r>
        <w:rPr>
          <w:color w:val="323232"/>
        </w:rPr>
        <w:t xml:space="preserve">John P Loftus, Sharon A Center, John M Lucy, Julie A Stanton, Sean P McDonough, Jeanine Peters-Kennedy, Kenneth A Arceneaux, Molly A Bechtold, Courtney L Bennett, Christina A Bradbury, Martha G Cline, Deborah L Hall-Fonte, Julie F Hammer-Landrum, Janice L Huntingford, Jennifer Marshall, Kristopher S Sharpe, Jessica L Redin, Samuel T Selva, and Tomasina A Lucia.</w:t>
      </w:r>
    </w:p>
    <w:p/>
    <w:p>
      <w:pPr>
        <w:pStyle w:val="Normal"/>
      </w:pPr>
      <w:r>
        <w:rPr>
          <w:color w:val="323232"/>
        </w:rPr>
        <w:t xml:space="preserve">OBJECTIVE To characterize aminoaciduria and plasma amino acid concentrations in dogs with hepatocutaneous syndrome (HCS). ANIMALS 20 client-owned dogs of various breeds and ages. PROCEDURES HCS was definitively diagnosed on the basis of liver biopsy specimens (n = 12), gross and histologic appearance of skin lesions (4), and examination of skin and liver biopsy specimens (2) and presumptively diagnosed on the basis of cutaneous lesions with compatible clinicopathologic and hepatic ultrasonographic (honeycomb or Swiss cheese pattern) findings (2). Amino acid concentrations in heparinized plasma and urine (samples obtained within 8 hours of each other) were measured by use of ion exchange chromatography. Urine creatinine concentration was used to normalize urine amino acid concentrations. Plasma amino acid values were compared relative to mean reference values; urine-corrected amino acid values were compared relative to maximal reference values. RESULTS All dogs had generalized hypoaminoacidemia, with numerous amino acid concentrations &lt; 50% of mean reference values. The most consistent and severe abnormalities involved glutamine, proline, cysteine, and hydroxyproline, and all dogs had marked lysinuria. Urine amino acids exceeding maximum reference values (value &gt; 1.0) included lysine, 1-methylhistidine, and proline. CONCLUSIONS AND CLINICAL RELEVANCE Hypoaminoacidemia in dogs with HCS prominently involved amino acids associated with the urea cycle and synthesis of glutathione and collagen. Marked lysinuria and prolinuria implicated dysfunction of specific amino acid transporters and wasting of amino acids essential for collagen synthesis. These findings may provide a means for tailoring nutritional support and for facilitating HCS diagnosis.</w:t>
      </w:r>
    </w:p>
    <w:p/>
    <w:p>
      <w:pPr>
        <w:pStyle w:val="Normal"/>
      </w:pPr>
      <w:r>
        <w:rPr>
          <w:color w:val="323232"/>
        </w:rPr>
        <w:t xml:space="preserve">Am J Vet Res, 2017 vol. 78 (6) pp. 735-744.</w:t>
      </w:r>
    </w:p>
    <w:p>
      <w:r>
        <w:rPr>
          <w:rStyle w:val="Hyperlink"/>
        </w:rPr>
        <w:fldChar w:fldCharType="begin"/>
      </w:r>
      <w:r>
        <w:rPr>
          <w:rStyle w:val="Hyperlink"/>
        </w:rPr>
        <w:instrText xml:space="preserve"> HYPERLINK "http://eutils.ncbi.nlm.nih.gov/entrez/eutils/elink.fcgi?dbfrom=pubmed&amp;id=28541155&amp;retmode=ref&amp;cmd=prlinks"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http://eutils.ncbi.nlm.nih.gov/entrez/eutils/elink.fcgi?dbfrom=pubmed&amp;id=28541155&amp;retmode=ref&amp;cmd=prlinks</w:t>
      </w:r>
      <w:r>
        <w:rPr>
          <w:rStyle w:val="Hyperlink"/>
        </w:rPr>
        <w:fldChar w:fldCharType="end"/>
      </w:r>
    </w:p>
    <w:p>
      <w:pPr>
        <w:pStyle w:val="Normal"/>
      </w:pPr>
      <w:r>
        <w:rPr>
          <w:color w:val="323232"/>
        </w:rPr>
        <w:t xml:space="preserve">————————</w:t>
      </w:r>
    </w:p>
    <w:p>
      <w:pPr>
        <w:pStyle w:val="Heading4"/>
      </w:pPr>
      <w:r>
        <w:t xml:space="preserve">Cardiac output measured by use of electrocardiogram-gated 64-slice multidector computed tomography, echocardiography, and thermodilution in healthy dogs.</w:t>
      </w:r>
    </w:p>
    <w:p/>
    <w:p>
      <w:pPr>
        <w:pStyle w:val="Normal"/>
      </w:pPr>
      <w:r>
        <w:rPr>
          <w:color w:val="323232"/>
        </w:rPr>
        <w:t xml:space="preserve">Nicole L LeBlanc, Katherine F Scollan, and Susanne M Stieger-Vanegas.</w:t>
      </w:r>
    </w:p>
    <w:p/>
    <w:p>
      <w:pPr>
        <w:pStyle w:val="Normal"/>
      </w:pPr>
      <w:r>
        <w:rPr>
          <w:color w:val="323232"/>
        </w:rPr>
        <w:t xml:space="preserve">OBJECTIVE To evaluate the accuracy of cardiac output (CO) estimated by use of ECG-gated multidetector CT (MDCT) and 1-, 2-, and 3-D echocardiography and by use of thermodilution. ANIMALS 6 healthy hound-cross dogs. PROCEDURES Electrocardiogram-gated contrast-enhanced 64-slice MDCT and 1-, 2-, and 3-D echocardiography were performed on each dog. The CO for ECG-gated MDCT was calculated as volumetric measurements of stroke volume multiplied by mean heart rate. Echocardiographic left ventricle end-diastolic volumes and end-systolic volumes were measured by use of the Teichholz method (1-D echocardiography) and a single-plane method of disks (2-D echocardiography). Real-time 3-D echocardiographic left ventricle volumes were measured with 3-D functional analysis software on right long-axis and left apical views. The CO of each dog was measured in triplicate by use of thermodilution. Mean CO values, correlations, and limits of agreement for MDCT, echocardiographic modalities, and thermodilution were compared. RESULTS CO measured by use of MDCT, 2-D echocardiography, and 3-D echocardiography had the strongest correlations with CO measured by use of thermodilution. No significant difference in CO was detected between MDCT, any echocardiographic method, and thermodilution. Bland-Altman analysis revealed a systematic underestimation of CO derived by use of MDCT, 2-D echocardiography, and 3-D echocardiography. CONCLUSIONS AND CLINICAL RELEVANCE Use of MDCT, 2-D echocardiography, and 3-D echocardiography to measure CO in healthy dogs was feasible. Measures of CO determined by use of 3-D echocardiography on the right long-axis view were strongly correlated with CO determined by use of thermodilution, with little variance and slight underestimation.</w:t>
      </w:r>
    </w:p>
    <w:p/>
    <w:p>
      <w:pPr>
        <w:pStyle w:val="Normal"/>
      </w:pPr>
      <w:r>
        <w:rPr>
          <w:color w:val="323232"/>
        </w:rPr>
        <w:t xml:space="preserve">Am J Vet Res, 2017 vol. 78 (7) pp. 818-827.</w:t>
      </w:r>
    </w:p>
    <w:p>
      <w:r>
        <w:rPr>
          <w:rStyle w:val="Hyperlink"/>
        </w:rPr>
        <w:fldChar w:fldCharType="begin"/>
      </w:r>
      <w:r>
        <w:rPr>
          <w:rStyle w:val="Hyperlink"/>
        </w:rPr>
        <w:instrText xml:space="preserve"> HYPERLINK "http://eutils.ncbi.nlm.nih.gov/entrez/eutils/elink.fcgi?dbfrom=pubmed&amp;id=28650244&amp;retmode=ref&amp;cmd=prlinks"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http://eutils.ncbi.nlm.nih.gov/entrez/eutils/elink.fcgi?dbfrom=pubmed&amp;id=28650244&amp;retmode=ref&amp;cmd=prlinks</w:t>
      </w:r>
      <w:r>
        <w:rPr>
          <w:rStyle w:val="Hyperlink"/>
        </w:rPr>
        <w:fldChar w:fldCharType="end"/>
      </w:r>
    </w:p>
    <w:p>
      <w:pPr>
        <w:pStyle w:val="Normal"/>
      </w:pPr>
      <w:r>
        <w:rPr>
          <w:color w:val="323232"/>
        </w:rPr>
        <w:t xml:space="preserve">————————</w:t>
      </w:r>
    </w:p>
    <w:p>
      <w:pPr>
        <w:pStyle w:val="Heading4"/>
      </w:pPr>
      <w:r>
        <w:t xml:space="preserve">Associations between gastric dilatation-volvulus in Great Danes and specific alleles of the canine immune-system genes DLA88, DRB1, and TLR5.</w:t>
      </w:r>
    </w:p>
    <w:p/>
    <w:p>
      <w:pPr>
        <w:pStyle w:val="Normal"/>
      </w:pPr>
      <w:r>
        <w:rPr>
          <w:color w:val="323232"/>
        </w:rPr>
        <w:t xml:space="preserve">Michael A Harkey, Alexandra M Villagran, Gopalakrishnan M Venkataraman, Wendy M Leisenring, Meredith A J Hullar, and Beverly J Torok-Storb.</w:t>
      </w:r>
    </w:p>
    <w:p/>
    <w:p>
      <w:pPr>
        <w:pStyle w:val="Normal"/>
      </w:pPr>
      <w:r>
        <w:rPr>
          <w:color w:val="323232"/>
        </w:rPr>
        <w:t xml:space="preserve">OBJECTIVE To determine whether specific alleles of candidate genes of the major histocompatibility complex (MHC) and innate immune system were associated with gastric dilatation-volvulus (GDV) in Great Danes. ANIMALS 42 healthy Great Danes (control group) and 39 Great Danes with ≥ 1 GDV episode. PROCEDURES Variable regions of the 2 most polymorphic MHC genes (DLA88 and DRB1) were amplified and sequenced from the dogs in each group. Similarly, regions of 3 genes associated with the innate immune system (TLR5, NOD2, and ATG16L1), which have been linked to inflammatory bowel disease, were amplified and sequenced. Alleles were evaluated for associations with GDV, controlling for age and dog family. RESULTS Specific alleles of genes DLA88, DRB1, and TLR5 were significantly associated with GDV. One allele of each gene had an OR &gt; 2 in the unadjusted univariate analyses and retained a hazard ratio &gt; 2 after controlling for temperament, age, and familial association in the multivariate analysis. CONCLUSIONS AND CLINICAL RELEVANCE The 3 GDV-associated alleles identified in this study may serve as diagnostic markers for identification of Great Danes at risk for GDV. Additional research is needed to determine whether other dog breeds have the same genetic associations. These findings also provided a new target for research into the etiology of, and potential treatments for, GDV in dogs.</w:t>
      </w:r>
    </w:p>
    <w:p/>
    <w:p>
      <w:pPr>
        <w:pStyle w:val="Normal"/>
      </w:pPr>
      <w:r>
        <w:rPr>
          <w:color w:val="323232"/>
        </w:rPr>
        <w:t xml:space="preserve">Am J Vet Res, 2017 vol. 78 (8) pp. 934-945.</w:t>
      </w:r>
    </w:p>
    <w:p>
      <w:r>
        <w:rPr>
          <w:rStyle w:val="Hyperlink"/>
        </w:rPr>
        <w:fldChar w:fldCharType="begin"/>
      </w:r>
      <w:r>
        <w:rPr>
          <w:rStyle w:val="Hyperlink"/>
        </w:rPr>
        <w:instrText xml:space="preserve"> HYPERLINK "http://eutils.ncbi.nlm.nih.gov/entrez/eutils/elink.fcgi?dbfrom=pubmed&amp;id=28738011&amp;retmode=ref&amp;cmd=prlinks"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http://eutils.ncbi.nlm.nih.gov/entrez/eutils/elink.fcgi?dbfrom=pubmed&amp;id=28738011&amp;retmode=ref&amp;cmd=prlinks</w:t>
      </w:r>
      <w:r>
        <w:rPr>
          <w:rStyle w:val="Hyperlink"/>
        </w:rPr>
        <w:fldChar w:fldCharType="end"/>
      </w:r>
    </w:p>
    <w:p>
      <w:pPr>
        <w:pStyle w:val="Normal"/>
      </w:pPr>
      <w:r>
        <w:rPr>
          <w:color w:val="323232"/>
        </w:rPr>
        <w:t xml:space="preserve">————————</w:t>
      </w:r>
    </w:p>
    <w:p>
      <w:pPr>
        <w:pStyle w:val="Heading4"/>
      </w:pPr>
      <w:r>
        <w:t xml:space="preserve">Comparison of cardiac output measured by use of computed tomography and thermodilution in dogs.</w:t>
      </w:r>
    </w:p>
    <w:p/>
    <w:p>
      <w:pPr>
        <w:pStyle w:val="Normal"/>
      </w:pPr>
      <w:r>
        <w:rPr>
          <w:color w:val="323232"/>
        </w:rPr>
        <w:t xml:space="preserve">Sharon Tenenbaum, Fernando L Garcia-Pereira, Clifford R Berry, and Tori Obert.</w:t>
      </w:r>
    </w:p>
    <w:p/>
    <w:p>
      <w:pPr>
        <w:pStyle w:val="Normal"/>
      </w:pPr>
      <w:r>
        <w:rPr>
          <w:color w:val="323232"/>
        </w:rPr>
        <w:t xml:space="preserve">OBJECTIVE To compare cardiac output (CO) measured by use of CT coronary angiography and thermodilution (criterion-referenced standard) at various CO values, record adverse effects, and determine the time needed to measure CO. ANIMALS 5 healthy purpose-bred Beagles (2 males and 3 females). PROCEDURES A prospective nonrandomized crossover study was conducted. Dogs were premedicated with butorphanol tartrate (0.2 mg•kg-1, IM). Anesthesia was induced by IV administration of etomidate (1 to 2 mg•kg-1) and midazolam (0.25 mg•kg-1). Orotracheal intubation was performed, and anesthesia was maintained by administration of isoflurane. The CO was determined by use of thermodilution and by use of CT at 3 CO values. Dobutamine was infused at various rates to obtain the 3 CO values. RESULTS 13 values were obtained and analyzed. The mean ± SD difference between methods was 0.09 ± 0.71 L•min-1 (95% confidence interval [CI], 0.52 to -0.34 L•min-1). Only 1 of 13 values was located on the 100% agreement line (ie, 0 line), 7 of 13 values were located within the 95% CI, and 5 of 13 values were outside the 95% CI. CONCLUSIONS AND CLINICAL RELEVANCE For this study, there was poor agreement between the 2 methods. The 95% CI interval was 0.52 to -0.34 L•min-1, and 5 of 13 values were outside the 95% CI. Therefore, results for the CT method appeared to be inappropriate for use in making clinical decisions.</w:t>
      </w:r>
    </w:p>
    <w:p/>
    <w:p>
      <w:pPr>
        <w:pStyle w:val="Normal"/>
      </w:pPr>
      <w:r>
        <w:rPr>
          <w:color w:val="323232"/>
        </w:rPr>
        <w:t xml:space="preserve">Am J Vet Res, 2017 vol. 78 (8) pp. 906-909.</w:t>
      </w:r>
    </w:p>
    <w:p>
      <w:r>
        <w:rPr>
          <w:rStyle w:val="Hyperlink"/>
        </w:rPr>
        <w:fldChar w:fldCharType="begin"/>
      </w:r>
      <w:r>
        <w:rPr>
          <w:rStyle w:val="Hyperlink"/>
        </w:rPr>
        <w:instrText xml:space="preserve"> HYPERLINK "http://eutils.ncbi.nlm.nih.gov/entrez/eutils/elink.fcgi?dbfrom=pubmed&amp;id=28738000&amp;retmode=ref&amp;cmd=prlinks"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http://eutils.ncbi.nlm.nih.gov/entrez/eutils/elink.fcgi?dbfrom=pubmed&amp;id=28738000&amp;retmode=ref&amp;cmd=prlinks</w:t>
      </w:r>
      <w:r>
        <w:rPr>
          <w:rStyle w:val="Hyperlink"/>
        </w:rPr>
        <w:fldChar w:fldCharType="end"/>
      </w:r>
    </w:p>
    <w:p>
      <w:pPr>
        <w:pStyle w:val="Normal"/>
      </w:pPr>
      <w:r>
        <w:rPr>
          <w:color w:val="323232"/>
        </w:rPr>
        <w:t xml:space="preserve">————————</w:t>
      </w:r>
    </w:p>
    <w:p>
      <w:pPr>
        <w:pStyle w:val="Heading4"/>
      </w:pPr>
      <w:r>
        <w:t xml:space="preserve">Effect of laparotomy on the pituitary-adrenal axis in dogs.</w:t>
      </w:r>
    </w:p>
    <w:p/>
    <w:p>
      <w:pPr>
        <w:pStyle w:val="Normal"/>
      </w:pPr>
      <w:r>
        <w:rPr>
          <w:color w:val="323232"/>
        </w:rPr>
        <w:t xml:space="preserve">Emily J Skovira, Ellen N Behrend, Linda G Martin, Lee E Palmer, Robert J Kemppainen, and Hollie P Lee.</w:t>
      </w:r>
    </w:p>
    <w:p/>
    <w:p>
      <w:pPr>
        <w:pStyle w:val="Normal"/>
      </w:pPr>
      <w:r>
        <w:rPr>
          <w:color w:val="323232"/>
        </w:rPr>
        <w:t xml:space="preserve">OBJECTIVE To assess effects of major abdominal surgery on serum cortisol and aldosterone and plasma canine ACTH (cACTH) concentrations. ANIMALS 39 healthy dogs undergoing laparotomy during veterinary student surgical laboratories. PROCEDURES Blood samples were obtained before and at completion of surgery. Serum cortisol and aldosterone and plasma cACTH concentrations were measured by use of validated radioimmunoassays. Changes in concentrations (postoperative concentration minus preoperative concentration) were calculated. Data were analyzed by use of the Wilcoxon signed rank test, Pearson correlation analysis, and Mann-Whitney rank sum test. RESULTS Cortisol, aldosterone, and cACTH concentrations increased significantly from before to after surgery. Although cortisol and aldosterone concentrations increased in almost all dogs, cACTH concentrations decreased in 6 of 32 (19%) dogs. All dogs had preoperative cortisol concentrations within the reference range, but 24 of 39 (62%) dogs had postoperative concentrations above the reference range. A correlation between the change in cACTH concentration and the change in cortisol concentration was not detected. CONCLUSIONS AND CLINICAL RELEVANCE Laparotomy caused a significant increase in serum cortisol and aldosterone concentrations. In most dogs, but not all dogs, plasma cACTH concentrations increased. Lack of correlation between the change in cACTH concentration and the change in cortisol concentration suggested that increased postoperative cortisol concentrations may have been attributable to ACTH-independent mechanisms, an early ACTH increase that caused a sustained cortisol release, or decreased cortisol clearance. Further studies are indicated to evaluate the effects of various anesthetic protocols and minimally invasive surgical techniques on the stress response.</w:t>
      </w:r>
    </w:p>
    <w:p/>
    <w:p>
      <w:pPr>
        <w:pStyle w:val="Normal"/>
      </w:pPr>
      <w:r>
        <w:rPr>
          <w:color w:val="323232"/>
        </w:rPr>
        <w:t xml:space="preserve">Am J Vet Res, 2017 vol. 78 (8) pp. 919-925.</w:t>
      </w:r>
    </w:p>
    <w:p>
      <w:r>
        <w:rPr>
          <w:rStyle w:val="Hyperlink"/>
        </w:rPr>
        <w:fldChar w:fldCharType="begin"/>
      </w:r>
      <w:r>
        <w:rPr>
          <w:rStyle w:val="Hyperlink"/>
        </w:rPr>
        <w:instrText xml:space="preserve"> HYPERLINK "http://eutils.ncbi.nlm.nih.gov/entrez/eutils/elink.fcgi?dbfrom=pubmed&amp;id=28737999&amp;retmode=ref&amp;cmd=prlinks"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http://eutils.ncbi.nlm.nih.gov/entrez/eutils/elink.fcgi?dbfrom=pubmed&amp;id=28737999&amp;retmode=ref&amp;cmd=prlinks</w:t>
      </w:r>
      <w:r>
        <w:rPr>
          <w:rStyle w:val="Hyperlink"/>
        </w:rPr>
        <w:fldChar w:fldCharType="end"/>
      </w:r>
    </w:p>
    <w:p>
      <w:pPr>
        <w:pStyle w:val="Normal"/>
      </w:pPr>
      <w:r>
        <w:rPr>
          <w:color w:val="323232"/>
        </w:rPr>
        <w:t xml:space="preserve">————————</w:t>
      </w:r>
    </w:p>
    <w:p>
      <w:pPr>
        <w:pStyle w:val="Heading4"/>
      </w:pPr>
      <w:r>
        <w:t xml:space="preserve">Effects of the α2-adrenoceptor agonist medetomidine on the distribution and clearance of alfaxalone during coadministration by constant rate infusion in dogs.</w:t>
      </w:r>
    </w:p>
    <w:p/>
    <w:p>
      <w:pPr>
        <w:pStyle w:val="Normal"/>
      </w:pPr>
      <w:r>
        <w:rPr>
          <w:color w:val="323232"/>
        </w:rPr>
        <w:t xml:space="preserve">Rachel C Bennett, Kati M Salla, Marja R Raekallio, Mika Scheinin, and Outi M Vainio.</w:t>
      </w:r>
    </w:p>
    <w:p/>
    <w:p>
      <w:pPr>
        <w:pStyle w:val="Normal"/>
      </w:pPr>
      <w:r>
        <w:rPr>
          <w:color w:val="323232"/>
        </w:rPr>
        <w:t xml:space="preserve">OBJECTIVE To assess the possible impact of medetomidine on concentrations of alfaxalone in plasma, when coadministered as a constant rate infusion (CRI) to dogs, and to determine the possible impact of medetomidine on the cardiopulmonary effects of alfaxalone during CRI. ANIMALS 8 healthy adult Beagles. PROCEDURES 3 treatments were administered in a randomized crossover design as follows: 1 = saline (0.9% NaCl) solution injection, followed in 10 minutes by induction of anesthesia with alfaxalone (loading dose, 2.4 mg/ kg; CRI, 3.6 mg/ kg/ h, for 60 minutes); 2 = medetomidine premedication (loading dose, 4.0 μg/ kg; CRI, 4.0 μg/ kg/ h), followed by alfaxalone (as in treatment 1); and, 3 = medetomidine (as in treatment 2) and MK-467 (loading dose, 150 μg/ kg; CRI, 120 μg/ kg/ h), followed by alfaxalone (as in treatment 1). The peripherally acting α2-adrenoceptor antagonist MK-467 was used to distinguish between the peripheral and central effects of medetomidine. Drugs were administered IV via cephalic catheters, and there was a minimum of 14 days between treatments. Cardiopulmonary parameters were measured for 70 minutes, and jugular venous blood samples were collected until 130 minutes after premedication. Drug concentrations in plasma were analyzed with liquid chromatography-tandem mass spectrometry. RESULTS The characteristic cardiovascular effects of medetomidine, such as bradycardia, hypertension, and reduction in cardiac index, were obtunded by MK-467. The concentrations of alfaxalone in plasma were significantly increased in the presence of medetomidine, indicative of impaired drug distribution and clearance. This was counteracted by MK-467. CONCLUSIONS AND CLINICAL RELEVANCE The alteration in alfaxalone clearance when coadministered with medetomidine may be attributed to the systemic vasoconstrictive and bradycardic effects of the α2-adrenoceptor agonist. This could be clinically important because the use of α2-adrenoceptor agonists may increase the risk of adverse effects if standard doses of alfaxalone are used.</w:t>
      </w:r>
    </w:p>
    <w:p/>
    <w:p>
      <w:pPr>
        <w:pStyle w:val="Normal"/>
      </w:pPr>
      <w:r>
        <w:rPr>
          <w:color w:val="323232"/>
        </w:rPr>
        <w:t xml:space="preserve">Am J Vet Res, 2017 vol. 78 (8) pp. 956-964.</w:t>
      </w:r>
    </w:p>
    <w:p>
      <w:r>
        <w:rPr>
          <w:rStyle w:val="Hyperlink"/>
        </w:rPr>
        <w:fldChar w:fldCharType="begin"/>
      </w:r>
      <w:r>
        <w:rPr>
          <w:rStyle w:val="Hyperlink"/>
        </w:rPr>
        <w:instrText xml:space="preserve"> HYPERLINK "http://eutils.ncbi.nlm.nih.gov/entrez/eutils/elink.fcgi?dbfrom=pubmed&amp;id=28738010&amp;retmode=ref&amp;cmd=prlinks"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http://eutils.ncbi.nlm.nih.gov/entrez/eutils/elink.fcgi?dbfrom=pubmed&amp;id=28738010&amp;retmode=ref&amp;cmd=prlinks</w:t>
      </w:r>
      <w:r>
        <w:rPr>
          <w:rStyle w:val="Hyperlink"/>
        </w:rPr>
        <w:fldChar w:fldCharType="end"/>
      </w:r>
    </w:p>
    <w:p>
      <w:pPr>
        <w:pStyle w:val="Normal"/>
      </w:pPr>
      <w:r>
        <w:rPr>
          <w:color w:val="323232"/>
        </w:rPr>
        <w:t xml:space="preserve">————————</w:t>
      </w:r>
    </w:p>
    <w:p>
      <w:pPr>
        <w:pStyle w:val="Heading4"/>
      </w:pPr>
      <w:r>
        <w:t xml:space="preserve">Body weight, blood pressure, and systemic changes following low-dosage prednisolone administration in dogs.</w:t>
      </w:r>
    </w:p>
    <w:p/>
    <w:p>
      <w:pPr>
        <w:pStyle w:val="Normal"/>
      </w:pPr>
      <w:r>
        <w:rPr>
          <w:color w:val="323232"/>
        </w:rPr>
        <w:t xml:space="preserve">Sang-Kwon Lee, Seungjo Park, Byunggyu Cheon, Hyun Woo Kim, Dohyeon Yu, and Jihye Choi.</w:t>
      </w:r>
    </w:p>
    <w:p/>
    <w:p>
      <w:pPr>
        <w:pStyle w:val="Normal"/>
      </w:pPr>
      <w:r>
        <w:rPr>
          <w:color w:val="323232"/>
        </w:rPr>
        <w:t xml:space="preserve">OBJECTIVE To investigate systemic changes following low-dosage prednisolone administration in dogs. ANIMALS 4 healthy purpose-bred adult male Beagles. PROCEDURES Dogs were administered prednisolone PO at a dosage of 2 mg</w:t>
      </w:r>
      <w:r>
        <w:rPr>
          <w:i w:val="1"/>
          <w:color w:val="323232"/>
        </w:rPr>
        <w:t xml:space="preserve">kg</w:t>
      </w:r>
      <w:r>
        <w:rPr>
          <w:color w:val="323232"/>
        </w:rPr>
        <w:t xml:space="preserve">d for 2 weeks, 1 mg</w:t>
      </w:r>
      <w:r>
        <w:rPr>
          <w:i w:val="1"/>
          <w:color w:val="323232"/>
        </w:rPr>
        <w:t xml:space="preserve">kg</w:t>
      </w:r>
      <w:r>
        <w:rPr>
          <w:color w:val="323232"/>
        </w:rPr>
        <w:t xml:space="preserve">d for 4 weeks, and 0.5 mg</w:t>
      </w:r>
      <w:r>
        <w:rPr>
          <w:i w:val="1"/>
          <w:color w:val="323232"/>
        </w:rPr>
        <w:t xml:space="preserve">kg</w:t>
      </w:r>
      <w:r>
        <w:rPr>
          <w:color w:val="323232"/>
        </w:rPr>
        <w:t xml:space="preserve">d for 3 weeks. Body weight, blood pressure, hepatic size and echogenicity, percentage of vacuolated hepatocytes, serum hepatic enzyme activities and glucose concentration, adrenal gland size, and pancreatic echogenicity were evaluated weekly for 9 weeks. RESULTS The only significant change identified was an increase in hepatic echogenicity, assessed by measuring liver-kidney contrast on ultrasonographic images. Increases in hepatic size and percentage of vacuolated hepatocytes were identified, but values did not differ from baseline values. Similarly, serum hepatic enzyme activities increased, but changes were mild and not significantly different from baseline values. Body weight, pancreatic echogenicity, and serum glucose concentration did not show noticeable changes. Mild systemic hypertension was seen, but blood pressure was not significantly different from the baseline value. Similarly, adrenal gland size steadily decreased during the first 6 weeks and increased again after the prednisolone dosage was decreased to 0.5 mg</w:t>
      </w:r>
      <w:r>
        <w:rPr>
          <w:i w:val="1"/>
          <w:color w:val="323232"/>
        </w:rPr>
        <w:t xml:space="preserve">kg</w:t>
      </w:r>
      <w:r>
        <w:rPr>
          <w:color w:val="323232"/>
        </w:rPr>
        <w:t xml:space="preserve">d. However, mean adrenal gland size was not significantly different from the baseline value at any time. CONCLUSIONS AND CLINICAL RELEVANCE Results suggested that in dogs, administration of prednisolone at a low dosage was associated with minimal systemic effects.</w:t>
      </w:r>
    </w:p>
    <w:p/>
    <w:p>
      <w:pPr>
        <w:pStyle w:val="Normal"/>
      </w:pPr>
      <w:r>
        <w:rPr>
          <w:color w:val="323232"/>
        </w:rPr>
        <w:t xml:space="preserve">Am J Vet Res, 2017 vol. 78 (9) pp. 1091-1097.</w:t>
      </w:r>
    </w:p>
    <w:p>
      <w:r>
        <w:rPr>
          <w:rStyle w:val="Hyperlink"/>
        </w:rPr>
        <w:fldChar w:fldCharType="begin"/>
      </w:r>
      <w:r>
        <w:rPr>
          <w:rStyle w:val="Hyperlink"/>
        </w:rPr>
        <w:instrText xml:space="preserve"> HYPERLINK "http://eutils.ncbi.nlm.nih.gov/entrez/eutils/elink.fcgi?dbfrom=pubmed&amp;id=28836849&amp;retmode=ref&amp;cmd=prlinks"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http://eutils.ncbi.nlm.nih.gov/entrez/eutils/elink.fcgi?dbfrom=pubmed&amp;id=28836849&amp;retmode=ref&amp;cmd=prlinks</w:t>
      </w:r>
      <w:r>
        <w:rPr>
          <w:rStyle w:val="Hyperlink"/>
        </w:rPr>
        <w:fldChar w:fldCharType="end"/>
      </w:r>
    </w:p>
    <w:p>
      <w:pPr>
        <w:pStyle w:val="Normal"/>
      </w:pPr>
      <w:r>
        <w:rPr>
          <w:color w:val="323232"/>
        </w:rPr>
        <w:t xml:space="preserve">————————</w:t>
      </w:r>
    </w:p>
    <w:p>
      <w:pPr>
        <w:pStyle w:val="Heading4"/>
      </w:pPr>
      <w:r>
        <w:t xml:space="preserve">Computed tomographic findings in dogs with head trauma and development of a novel prognostic computed tomography-based scoring system.</w:t>
      </w:r>
    </w:p>
    <w:p/>
    <w:p>
      <w:pPr>
        <w:pStyle w:val="Normal"/>
      </w:pPr>
      <w:r>
        <w:rPr>
          <w:color w:val="323232"/>
        </w:rPr>
        <w:t xml:space="preserve">Orit Chai, Dana Peery, Tali Bdolah-Abram, Efrat Moscovich, Efrat Kelmer, Sigal Klainbart, Joshua Milgram, and Merav H Shamir.</w:t>
      </w:r>
    </w:p>
    <w:p/>
    <w:p>
      <w:pPr>
        <w:pStyle w:val="Normal"/>
      </w:pPr>
      <w:r>
        <w:rPr>
          <w:color w:val="323232"/>
        </w:rPr>
        <w:t xml:space="preserve">OBJECTIVE To characterize CT findings and outcomes in dogs with head trauma and design a prognostic scale. ANIMALS 27 dogs admitted to the Koret School Veterinary Teaching Hospital within 72 hours after traumatic head injury that underwent CT imaging of the head. PROCEDURES Data were extracted from medical records regarding dog signalment, history, physical and neurologic examination findings, and modified Glasgow coma scale scores. All CT images were retrospectively evaluated by a radiologist unaware of dog status. Short-term (10 days after trauma) and long-term (≥ 6 months after trauma) outcomes were determined, and CT findings and other variables were analyzed for associations with outcome. A prognostic CT-based scale was developed on the basis of the results. RESULTS Cranial vault fractures, parenchymal abnormalities, or both were identified via CT in 24 of 27 (89%) dogs. Three (11%) dogs had only facial bone fractures. Intracranial hemorrhage was identified in 16 (59%) dogs, cranial vault fractures in 15 (56%), midline shift in 14 (52%), lateral ventricle asymmetry in 12 (44%), and hydrocephalus in 7 (26%). Hemorrhage and ventricular asymmetry were significantly and negatively associated with short- and long-term survival, respectively. The developed 7-point prognostic scale included points for hemorrhage, midline shift or lateral ventricle asymmetry, cranial vault fracture, and depressed fracture (1 point each) and infratentorial lesion (3 points). CONCLUSIONS AND CLINICAL RELEVANCE The findings reported here may assist in determining prognoses for other dogs with head trauma. The developed scale may be useful for outcome assessment of dogs with head trauma; however, it must be validated before clinical application.</w:t>
      </w:r>
    </w:p>
    <w:p/>
    <w:p>
      <w:pPr>
        <w:pStyle w:val="Normal"/>
      </w:pPr>
      <w:r>
        <w:rPr>
          <w:color w:val="323232"/>
        </w:rPr>
        <w:t xml:space="preserve">Am J Vet Res, 2017 vol. 78 (9) pp. 1085-1090.</w:t>
      </w:r>
    </w:p>
    <w:p>
      <w:r>
        <w:rPr>
          <w:rStyle w:val="Hyperlink"/>
        </w:rPr>
        <w:fldChar w:fldCharType="begin"/>
      </w:r>
      <w:r>
        <w:rPr>
          <w:rStyle w:val="Hyperlink"/>
        </w:rPr>
        <w:instrText xml:space="preserve"> HYPERLINK "http://eutils.ncbi.nlm.nih.gov/entrez/eutils/elink.fcgi?dbfrom=pubmed&amp;id=28836840&amp;retmode=ref&amp;cmd=prlinks"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http://eutils.ncbi.nlm.nih.gov/entrez/eutils/elink.fcgi?dbfrom=pubmed&amp;id=28836840&amp;retmode=ref&amp;cmd=prlinks</w:t>
      </w:r>
      <w:r>
        <w:rPr>
          <w:rStyle w:val="Hyperlink"/>
        </w:rPr>
        <w:fldChar w:fldCharType="end"/>
      </w:r>
    </w:p>
    <w:p>
      <w:pPr>
        <w:pStyle w:val="Normal"/>
      </w:pPr>
      <w:r>
        <w:rPr>
          <w:color w:val="323232"/>
        </w:rPr>
        <w:t xml:space="preserve">————————</w:t>
      </w:r>
    </w:p>
    <w:p>
      <w:pPr>
        <w:pStyle w:val="Heading4"/>
      </w:pPr>
      <w:r>
        <w:t xml:space="preserve">Fluoroscopic evaluation of diaphragmatic excursion during spontaneous breathing in healthy Beagles.</w:t>
      </w:r>
    </w:p>
    <w:p/>
    <w:p>
      <w:pPr>
        <w:pStyle w:val="Normal"/>
      </w:pPr>
      <w:r>
        <w:rPr>
          <w:color w:val="323232"/>
        </w:rPr>
        <w:t xml:space="preserve">Sohyeon Moon, Seungjo Park, Sang-Kwon Lee, Byunggyu Cheon, and Jihye Choi.</w:t>
      </w:r>
    </w:p>
    <w:p/>
    <w:p>
      <w:pPr>
        <w:pStyle w:val="Normal"/>
      </w:pPr>
      <w:r>
        <w:rPr>
          <w:color w:val="323232"/>
        </w:rPr>
        <w:t xml:space="preserve">OBJECTIVE To evaluate dynamic movement of the diaphragm of clinically normal dogs by use of fluoroscopy and to obtain quantitative data of diaphragmatic excursion during spontaneous breathing. ANIMALS 8 healthy male Beagles with no history of respiratory tract disease. PROCEDURES Fluoroscopy was performed during stabilized respiratory conditions. The beam center was located at the level of the diaphragm, and diaphragmatic motion was recorded during 3 respiratory cycles in dogs positioned in left lateral, right lateral, and dorsal recumbency. Extent of excursion of the diaphragmatic cupula and both crura, difference in excursion between the left and right crura, and ratios of the excursions of the diaphragmatic cupula and left and right crura to the length of the eighth thoracic vertebra were determined. RESULTS Diaphragmatic crural excursion was symmetric for dogs in right lateral recumbency, and the crural excursion was approximately three-quarters of the vertebral length; however, crural excursion appeared to be asymmetric for dogs in left lateral recumbency. Mean ± SD difference in excursion between the right and left crura was 22.68 ± 8.68% for left lateral recumbency, 16.63 ± 9.22% for right lateral recumbency, and 18.11 ± 12.96% for dorsal recumbency. CONCLUSIONS AND CLINICAL RELEVANCE Results indicated that the fluoroscopic view of a dog positioned in right lateral recumbency may allow better evaluation of the symmetry of diaphragmatic excursion, compared with results for other recumbency positions. This study provided quantitative data on the excursion of diaphragmatic movement observed by use of fluoroscopy in clinically normal Beagles.</w:t>
      </w:r>
    </w:p>
    <w:p/>
    <w:p>
      <w:pPr>
        <w:pStyle w:val="Normal"/>
      </w:pPr>
      <w:r>
        <w:rPr>
          <w:color w:val="323232"/>
        </w:rPr>
        <w:t xml:space="preserve">Am J Vet Res, 2017 vol. 78 (9) pp. 1043-1048.</w:t>
      </w:r>
    </w:p>
    <w:p>
      <w:r>
        <w:rPr>
          <w:rStyle w:val="Hyperlink"/>
        </w:rPr>
        <w:fldChar w:fldCharType="begin"/>
      </w:r>
      <w:r>
        <w:rPr>
          <w:rStyle w:val="Hyperlink"/>
        </w:rPr>
        <w:instrText xml:space="preserve"> HYPERLINK "http://eutils.ncbi.nlm.nih.gov/entrez/eutils/elink.fcgi?dbfrom=pubmed&amp;id=28836841&amp;retmode=ref&amp;cmd=prlinks"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http://eutils.ncbi.nlm.nih.gov/entrez/eutils/elink.fcgi?dbfrom=pubmed&amp;id=28836841&amp;retmode=ref&amp;cmd=prlinks</w:t>
      </w:r>
      <w:r>
        <w:rPr>
          <w:rStyle w:val="Hyperlink"/>
        </w:rPr>
        <w:fldChar w:fldCharType="end"/>
      </w:r>
    </w:p>
    <w:p>
      <w:pPr>
        <w:pStyle w:val="Normal"/>
      </w:pPr>
      <w:r>
        <w:rPr>
          <w:color w:val="323232"/>
        </w:rPr>
        <w:t xml:space="preserve">————————</w:t>
      </w:r>
    </w:p>
    <w:p>
      <w:pPr>
        <w:pStyle w:val="Heading4"/>
      </w:pPr>
      <w:r>
        <w:t xml:space="preserve">Comparison of left and right ventricular stroke volume of dogs calculated on the basis of morphology and blood flow determined by use of cardiac magnetic resonance imaging.</w:t>
      </w:r>
    </w:p>
    <w:p/>
    <w:p>
      <w:pPr>
        <w:pStyle w:val="Normal"/>
      </w:pPr>
      <w:r>
        <w:rPr>
          <w:color w:val="323232"/>
        </w:rPr>
        <w:t xml:space="preserve">Matthias Dennler, Henning Richter, José Novo Matos, Marco Baron Toaldo, Ivo U Campagna, Tony M Glaus, and Patrick R Kircher.</w:t>
      </w:r>
    </w:p>
    <w:p/>
    <w:p>
      <w:pPr>
        <w:pStyle w:val="Normal"/>
      </w:pPr>
      <w:r>
        <w:rPr>
          <w:color w:val="323232"/>
        </w:rPr>
        <w:t xml:space="preserve">OBJECTIVE To compare stroke volume (SV) calculated on the basis of cardiac morphology determined by MRI and results of phase-contrast angiography (PCA) of ventricular inflow and outflow in dogs. ANIMALS 10 healthy Beagles. PROCEDURES Cardiac MRI was performed twice on each Beagle. Cine gradient echo sequences of both ventricles in short-axis planes were used for morphological quantification of SVs by assessment of myocardial contours. From the long-axis plane, SVs in 4-chamber and left ventricular 2-chamber views were acquired at end diastole and end systole. For calculation of SV on the basis of blood flow, PCA was performed for cardiac valves. RESULTS Mean ± SD values for SV quantified on the basis of blood flow were similar in all valves (aortic, 17.8 ± 4.1 mL; pulmonary, 17.2 ± 5.4 mL; mitral, 17.2 ± 3.9 mL; and tricuspid, 16.9 ± 5.1 mL). Morphological quantification of SV in the short-axis plane yielded significant differences between left (13.4 ± 2.7 mL) and right (8.6 ± 2.4 mL) sides. Morphological quantification of left ventricular SV in the long-axis plane (15.2 ± 3.3 mL and 20.7 ± 3.8 mL in the 4- and 2-chamber views) yielded variable results, which differed significantly from values for flow-based quantification, except for values for the morphological 4-chamber view and PCA for the atrioventricular valves, for which no significant differences were identified. CONCLUSIONS AND CLINICAL RELEVANCE In contrast to quantification based on blood flow, calculation on the basis of morphology for the short-axis plane significantly underestimated SV, probably because of through-plane motion and complex right ventricular anatomy.</w:t>
      </w:r>
    </w:p>
    <w:p/>
    <w:p>
      <w:pPr>
        <w:pStyle w:val="Normal"/>
      </w:pPr>
      <w:r>
        <w:rPr>
          <w:color w:val="323232"/>
        </w:rPr>
        <w:t xml:space="preserve">Am J Vet Res, 2017 vol. 78 (10) pp. 1163-1170.</w:t>
      </w:r>
    </w:p>
    <w:p>
      <w:r>
        <w:rPr>
          <w:rStyle w:val="Hyperlink"/>
        </w:rPr>
        <w:fldChar w:fldCharType="begin"/>
      </w:r>
      <w:r>
        <w:rPr>
          <w:rStyle w:val="Hyperlink"/>
        </w:rPr>
        <w:instrText xml:space="preserve"> HYPERLINK "http://eutils.ncbi.nlm.nih.gov/entrez/eutils/elink.fcgi?dbfrom=pubmed&amp;id=28945128&amp;retmode=ref&amp;cmd=prlinks"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http://eutils.ncbi.nlm.nih.gov/entrez/eutils/elink.fcgi?dbfrom=pubmed&amp;id=28945128&amp;retmode=ref&amp;cmd=prlinks</w:t>
      </w:r>
      <w:r>
        <w:rPr>
          <w:rStyle w:val="Hyperlink"/>
        </w:rPr>
        <w:fldChar w:fldCharType="end"/>
      </w:r>
    </w:p>
    <w:p>
      <w:pPr>
        <w:pStyle w:val="Normal"/>
      </w:pPr>
      <w:r>
        <w:rPr>
          <w:color w:val="323232"/>
        </w:rPr>
        <w:t xml:space="preserve">————————</w:t>
      </w:r>
    </w:p>
    <w:p>
      <w:pPr>
        <w:pStyle w:val="Heading4"/>
      </w:pPr>
      <w:r>
        <w:t xml:space="preserve">Pulmonary hemodynamics and alveolar oxygenation in healthy dogs anesthetized with propofol or isoflurane during one-lung ventilation in a closed-thoracic experimental model.</w:t>
      </w:r>
    </w:p>
    <w:p/>
    <w:p>
      <w:pPr>
        <w:pStyle w:val="Normal"/>
      </w:pPr>
      <w:r>
        <w:rPr>
          <w:color w:val="323232"/>
        </w:rPr>
        <w:t xml:space="preserve">Beatriz P Floriano, Thomas A Trein, Juliana T Wagatsuma, Joana Z Ferreira, Renata H Pinho, Paulo S P Santos, and Valéria N L S Oliva.</w:t>
      </w:r>
    </w:p>
    <w:p/>
    <w:p>
      <w:pPr>
        <w:pStyle w:val="Normal"/>
      </w:pPr>
      <w:r>
        <w:rPr>
          <w:color w:val="323232"/>
        </w:rPr>
        <w:t xml:space="preserve">OBJECTIVE To assess pulmonary hemodynamics and alveolar oxygenation in dogs anesthetized with propofol or isoflurane during one-lung ventilation (OLV) in a closed-thoracic experimental model. ANIMALS 6 healthy Beagles. PROCEDURES Dogs were anesthetized with each of 3 protocols (constant rate IV infusion of propofol [0.4 to 1.0 mg</w:t>
      </w:r>
      <w:r>
        <w:rPr>
          <w:i w:val="1"/>
          <w:color w:val="323232"/>
        </w:rPr>
        <w:t xml:space="preserve">kg</w:t>
      </w:r>
      <w:r>
        <w:rPr>
          <w:color w:val="323232"/>
        </w:rPr>
        <w:t xml:space="preserve">min], isoflurane at the minimum alveolar concentration [MAC], and isoflurane 1.5 MAC), with a 7-day washout period between anesthetic sessions. During each session, dogs were intubated with a double-lumen endotracheal tube, positioned in right lateral recumbency, and administered atracurium (0.1 to 0.2 mg/kg, IV, q 30 min) to allow mechanical ventilation throughout a 2-hour observation period. Dogs underwent two-lung ventilation for 30 minutes, OLV of the right lung for 1 hour, and two-lung ventilation for another 30 minutes. Pulmonary hemodynamic and blood gas variables were evaluated at predetermined times and compared among protocols and over time within each protocol. RESULTS Alveolar oxygenation was not impaired, and mean heart rate and pulmonary artery pressure and occlusion pressure were similar among the 3 protocols. One-lung ventilation caused a significant increase in the arteriovenous shunt fraction only when dogs were anesthetized with isoflurane at 1.5 MAC. Dogs developed respiratory acidosis, which was exacerbated by OLV, during all anesthetic sessions. CONCLUSIONS AND CLINICAL RELEVANCE Results indicated pulmonary hemodynamics and alveolar oxygenation during OLV in a closed-thoracic model were similar regardless of whether dogs were anesthetized with propofol or isoflurane. One-lung ventilation can be successfully performed in dogs by use of a double-lumen endotracheal tube and either propofol or isoflurane.</w:t>
      </w:r>
    </w:p>
    <w:p/>
    <w:p>
      <w:pPr>
        <w:pStyle w:val="Normal"/>
      </w:pPr>
      <w:r>
        <w:rPr>
          <w:color w:val="323232"/>
        </w:rPr>
        <w:t xml:space="preserve">Am J Vet Res, 2017 vol. 78 (10) pp. 1117-1125.</w:t>
      </w:r>
    </w:p>
    <w:p>
      <w:r>
        <w:rPr>
          <w:rStyle w:val="Hyperlink"/>
        </w:rPr>
        <w:fldChar w:fldCharType="begin"/>
      </w:r>
      <w:r>
        <w:rPr>
          <w:rStyle w:val="Hyperlink"/>
        </w:rPr>
        <w:instrText xml:space="preserve"> HYPERLINK "http://eutils.ncbi.nlm.nih.gov/entrez/eutils/elink.fcgi?dbfrom=pubmed&amp;id=28945122&amp;retmode=ref&amp;cmd=prlinks"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http://eutils.ncbi.nlm.nih.gov/entrez/eutils/elink.fcgi?dbfrom=pubmed&amp;id=28945122&amp;retmode=ref&amp;cmd=prlinks</w:t>
      </w:r>
      <w:r>
        <w:rPr>
          <w:rStyle w:val="Hyperlink"/>
        </w:rPr>
        <w:fldChar w:fldCharType="end"/>
      </w:r>
    </w:p>
    <w:p>
      <w:pPr>
        <w:pStyle w:val="Normal"/>
      </w:pPr>
      <w:r>
        <w:rPr>
          <w:color w:val="323232"/>
        </w:rPr>
        <w:t xml:space="preserve">————————</w:t>
      </w:r>
    </w:p>
    <w:p>
      <w:pPr>
        <w:pStyle w:val="Heading4"/>
      </w:pPr>
      <w:r>
        <w:t xml:space="preserve">Ammonia concentrations in arterial blood, venous blood, and cerebrospinal fluid of dogs with and without congenital extrahepatic portosystemic shunts.</w:t>
      </w:r>
    </w:p>
    <w:p/>
    <w:p>
      <w:pPr>
        <w:pStyle w:val="Normal"/>
      </w:pPr>
      <w:r>
        <w:rPr>
          <w:color w:val="323232"/>
        </w:rPr>
        <w:t xml:space="preserve">Matan Or, Nausikaa Devriendt, Adriaan M Kitshoff, Kathelijne Peremans, Eva Vandermeulen, Dominique Paepe, Ingeborgh Polis, Valentine Martlé, and Hilde de Rooster.</w:t>
      </w:r>
    </w:p>
    <w:p/>
    <w:p>
      <w:pPr>
        <w:pStyle w:val="Normal"/>
      </w:pPr>
      <w:r>
        <w:rPr>
          <w:color w:val="323232"/>
        </w:rPr>
        <w:t xml:space="preserve">OBJECTIVE To compare ammonia concentrations in arterial blood, venous blood, and CSF samples of dogs with and without extrahepatic portosystemic shunts (EHPSS). ANIMALS 19 dogs with congenital EHPSS and 6 healthy control dogs. PROCEDURES All dogs underwent a physical examination and then were anesthetized for transsplenic portal scintigraphy to confirm the presence or absence of EHPSS. While dogs were anesthetized, arterial and venous blood samples and a CSF sample were simultaneously collected for determination of ammonia concentration, which was measured by use of a portable blood ammonia analyzer (device A) and a nonportable biochemical analyzer (device B). Results were compared between dogs with EHPSS and control dogs. RESULTS Arterial, venous, and CSF ammonia concentrations for dogs with EHPSS were significantly greater than those for control dogs. For dogs with EHPSS, ammonia concentrations in both arterial and venous blood samples were markedly increased from the reference range. There was a strong positive correlation between arterial and venous ammonia concentrations and between blood (arterial or venous) and CSF ammonia concentrations. CONCLUSIONS AND CLINICAL RELEVANCE Results indicated that blood and CSF ammonia concentrations in dogs with EHPSS were greater than those for healthy dogs and were strongly and positively correlated, albeit in a nonlinear manner. This suggested that the permeability of the blood-brain barrier to ammonia may be abnormally increased in dogs with EHPSS, but further investigation of the relationship between blood or CSF ammonia concentration and clinical signs of hepatic encephalopathy or the surgical outcome for dogs with EHPSS is warranted.</w:t>
      </w:r>
    </w:p>
    <w:p/>
    <w:p>
      <w:pPr>
        <w:pStyle w:val="Normal"/>
      </w:pPr>
      <w:r>
        <w:rPr>
          <w:color w:val="323232"/>
        </w:rPr>
        <w:t xml:space="preserve">Am J Vet Res, 2017 vol. 78 (11) pp. 1313-1318.</w:t>
      </w:r>
    </w:p>
    <w:p>
      <w:r>
        <w:rPr>
          <w:rStyle w:val="Hyperlink"/>
        </w:rPr>
        <w:fldChar w:fldCharType="begin"/>
      </w:r>
      <w:r>
        <w:rPr>
          <w:rStyle w:val="Hyperlink"/>
        </w:rPr>
        <w:instrText xml:space="preserve"> HYPERLINK "http://eutils.ncbi.nlm.nih.gov/entrez/eutils/elink.fcgi?dbfrom=pubmed&amp;id=29076370&amp;retmode=ref&amp;cmd=prlinks"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http://eutils.ncbi.nlm.nih.gov/entrez/eutils/elink.fcgi?dbfrom=pubmed&amp;id=29076370&amp;retmode=ref&amp;cmd=prlinks</w:t>
      </w:r>
      <w:r>
        <w:rPr>
          <w:rStyle w:val="Hyperlink"/>
        </w:rPr>
        <w:fldChar w:fldCharType="end"/>
      </w:r>
    </w:p>
    <w:p>
      <w:pPr>
        <w:pStyle w:val="Normal"/>
      </w:pPr>
      <w:r>
        <w:rPr>
          <w:color w:val="323232"/>
        </w:rPr>
        <w:t xml:space="preserve">————————</w:t>
      </w:r>
    </w:p>
    <w:p>
      <w:pPr>
        <w:pStyle w:val="Heading4"/>
      </w:pPr>
      <w:r>
        <w:t xml:space="preserve">Ammonia concentrations in canine whole blood, EDTA-anticoagulated whole blood, and plasma measured by use of a point-of-care ammonia meter.</w:t>
      </w:r>
    </w:p>
    <w:p/>
    <w:p>
      <w:pPr>
        <w:pStyle w:val="Normal"/>
      </w:pPr>
      <w:r>
        <w:rPr>
          <w:color w:val="323232"/>
        </w:rPr>
        <w:t xml:space="preserve">Adesola Odunayo, Karen M Tobias, Chika C Okafor, and Bente Flatland.</w:t>
      </w:r>
    </w:p>
    <w:p/>
    <w:p>
      <w:pPr>
        <w:pStyle w:val="Normal"/>
      </w:pPr>
      <w:r>
        <w:rPr>
          <w:color w:val="323232"/>
        </w:rPr>
        <w:t xml:space="preserve">OBJECTIVE To investigate the use of canine whole blood (WB) for measurement of ammonia concentration by use of a point-of-care ammonia meter and to compare results of measuring ammonia concentrations in WB, EDTA-anticoagulated WB, and plasma. ANIMALS 40 client-owned dogs. PROCEDURES A blood sample (2 mL) was obtained from each dog. One drop of WB was immediately applied to a test strip for evaluation with an ammonia meter. The remainder of the blood sample was placed in an EDTA-containing tube, and 1 drop of EDTA-anticoagulated WB was applied to a test strip. The remaining EDTA-anticoagulated WB sample was centrifuged, and the plasma was harvested and placed on ice. One drop of plasma was applied to a test strip; the remainder of the plasma sample was transported on ice and used for ammonia measurement with a reference laboratory instrument. All samples were tested within 1 hour after sample collection. Results were evaluated to detect significant differences in ammonia concentration. RESULTS Ammonia concentrations did not differ significantly between WB and EDTA-anticoagulated WB and between plasma samples measured with the meter and reference laboratory instrument. However, median ammonia concentration was significantly higher in plasma than in WB or EDTA-anti-coagulated WB. CONCLUSIONS AND CLINICAL RELEVANCE Anticoagulant-free WB was a valid sample for measurement by use of the ammonia meter. Plasma samples had higher ammonia concentrations than did WB samples. Results for each sample type should be interpreted by use of specimen- and method-specific reference intervals.</w:t>
      </w:r>
    </w:p>
    <w:p/>
    <w:p>
      <w:pPr>
        <w:pStyle w:val="Normal"/>
      </w:pPr>
      <w:r>
        <w:rPr>
          <w:color w:val="323232"/>
        </w:rPr>
        <w:t xml:space="preserve">Am J Vet Res, 2017 vol. 78 (11) pp. 1239-1244.</w:t>
      </w:r>
    </w:p>
    <w:p>
      <w:r>
        <w:rPr>
          <w:rStyle w:val="Hyperlink"/>
        </w:rPr>
        <w:fldChar w:fldCharType="begin"/>
      </w:r>
      <w:r>
        <w:rPr>
          <w:rStyle w:val="Hyperlink"/>
        </w:rPr>
        <w:instrText xml:space="preserve"> HYPERLINK "http://eutils.ncbi.nlm.nih.gov/entrez/eutils/elink.fcgi?dbfrom=pubmed&amp;id=29076371&amp;retmode=ref&amp;cmd=prlinks"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http://eutils.ncbi.nlm.nih.gov/entrez/eutils/elink.fcgi?dbfrom=pubmed&amp;id=29076371&amp;retmode=ref&amp;cmd=prlinks</w:t>
      </w:r>
      <w:r>
        <w:rPr>
          <w:rStyle w:val="Hyperlink"/>
        </w:rPr>
        <w:fldChar w:fldCharType="end"/>
      </w:r>
    </w:p>
    <w:p>
      <w:pPr>
        <w:pStyle w:val="Normal"/>
      </w:pPr>
      <w:r>
        <w:rPr>
          <w:color w:val="323232"/>
        </w:rPr>
        <w:t xml:space="preserve">————————</w:t>
      </w:r>
    </w:p>
    <w:p>
      <w:pPr>
        <w:pStyle w:val="Heading4"/>
      </w:pPr>
      <w:r>
        <w:t xml:space="preserve">Cardiovascular effects of premedication with medetomidine alone and in combination with MK-467 or glycopyrrolate in dogs subsequently anesthetized with isoflurane.</w:t>
      </w:r>
    </w:p>
    <w:p/>
    <w:p>
      <w:pPr>
        <w:pStyle w:val="Normal"/>
      </w:pPr>
      <w:r>
        <w:rPr>
          <w:color w:val="323232"/>
        </w:rPr>
        <w:t xml:space="preserve">Kati M Salla, Cosmin I Tuns, Rachel C Bennett, Marja R Raekallio, Mika Scheinin, Erja Kuusela, and Outi M Vainio.</w:t>
      </w:r>
    </w:p>
    <w:p/>
    <w:p>
      <w:pPr>
        <w:pStyle w:val="Normal"/>
      </w:pPr>
      <w:r>
        <w:rPr>
          <w:color w:val="323232"/>
        </w:rPr>
        <w:t xml:space="preserve">OBJECTIVE To compare cardiovascular effects of premedication with medetomidine alone and with each of 3 doses of MK-467 or after glycopyrrolate in dogs subsequently anesthetized with isoflurane. ANIMALS 8 healthy purpose-bred 5-year-old Beagles. PROCEDURES In a randomized crossover study, each dog received 5 premedication protocols (medetomidine [10 μg/ kg, IV] alone [MED] and in combination with MK-467 at doses of 50 [MMK50], 100 [MMK100], and 150 [MMK150] μg/ kg and 15 minutes after glycopyrrolate [10 μg/ kg, SC; MGP]), with at least 14 days between treatments. Twenty minutes after medetomidine administration, anesthesia was induced with ketamine (0.5 mg/ kg, IV) and midazolam (0.1 mg/ kg, IV) increments given to effect and maintained with isoflurane (1.2%) for 50 minutes. Cardiovascular variables were recorded, and blood samples for determination of plasma dexmedetomidine, levomedetomidine, and MK-467 concentrations were collected at predetermined times. Variables were compared among the 5 treatments. RESULTS The mean arterial pressure and systemic vascular resistance index increased following the MED treatment, and those increases were augmented and obtunded following the MGP and MMK150 treatments, respectively. Mean cardiac index for the MMK100 and MMK150 treatments was significantly greater than that for the MGP treatment. The area under the time-concentration curve to the last sampling point for dexmedetomidine for the MMK150 treatment was significantly lower than that for the MED treatment. CONCLUSIONS AND CLINICAL RELEVANCE Results indicated concurrent administration of MK-467 with medetomidine alleviated medetomidine-induced hemodynamic changes in a dose-dependent manner prior to isoflurane anesthesia. Following MK-467 administration to healthy dogs, mean arterial pressure was sustained at acceptable levels during isoflurane anesthesia.</w:t>
      </w:r>
    </w:p>
    <w:p/>
    <w:p>
      <w:pPr>
        <w:pStyle w:val="Normal"/>
      </w:pPr>
      <w:r>
        <w:rPr>
          <w:color w:val="323232"/>
        </w:rPr>
        <w:t xml:space="preserve">Am J Vet Res, 2017 vol. 78 (11) pp. 1245-1254.</w:t>
      </w:r>
    </w:p>
    <w:p>
      <w:r>
        <w:rPr>
          <w:rStyle w:val="Hyperlink"/>
        </w:rPr>
        <w:fldChar w:fldCharType="begin"/>
      </w:r>
      <w:r>
        <w:rPr>
          <w:rStyle w:val="Hyperlink"/>
        </w:rPr>
        <w:instrText xml:space="preserve"> HYPERLINK "http://eutils.ncbi.nlm.nih.gov/entrez/eutils/elink.fcgi?dbfrom=pubmed&amp;id=29076369&amp;retmode=ref&amp;cmd=prlinks"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http://eutils.ncbi.nlm.nih.gov/entrez/eutils/elink.fcgi?dbfrom=pubmed&amp;id=29076369&amp;retmode=ref&amp;cmd=prlinks</w:t>
      </w:r>
      <w:r>
        <w:rPr>
          <w:rStyle w:val="Hyperlink"/>
        </w:rPr>
        <w:fldChar w:fldCharType="end"/>
      </w:r>
    </w:p>
    <w:p>
      <w:pPr>
        <w:pStyle w:val="Normal"/>
      </w:pPr>
      <w:r>
        <w:rPr>
          <w:color w:val="323232"/>
        </w:rPr>
        <w:t xml:space="preserve">————————</w:t>
      </w:r>
    </w:p>
    <w:p>
      <w:pPr>
        <w:pStyle w:val="Heading4"/>
      </w:pPr>
      <w:r>
        <w:t xml:space="preserve">Effect of a high-fat-high-cholesterol diet on gallbladder bile acid composition and gallbladder motility in dogs.</w:t>
      </w:r>
    </w:p>
    <w:p/>
    <w:p>
      <w:pPr>
        <w:pStyle w:val="Normal"/>
      </w:pPr>
      <w:r>
        <w:rPr>
          <w:color w:val="323232"/>
        </w:rPr>
        <w:t xml:space="preserve">Toshiaki Kakimoto, Hideyuki Kanemoto, Kenjiro Fukushima, Koichi Ohno, and Hajime Tsujimoto.</w:t>
      </w:r>
    </w:p>
    <w:p/>
    <w:p>
      <w:pPr>
        <w:pStyle w:val="Normal"/>
      </w:pPr>
      <w:r>
        <w:rPr>
          <w:color w:val="323232"/>
        </w:rPr>
        <w:t xml:space="preserve">OBJCTIVE To investigate the effects of dietary lipid overload on bile acid metabolism and gallbladder motility in healthy dogs. ANIMALS 7 healthy Beagles. PROCEDURES In a crossover study, dogs were fed a high-fat-high-cholesterol diet (HFCD) or a low-fat diet (LFD) for a period of 2 weeks. After a 4-month washout period, dogs were fed the other diet for 2 weeks. Before and at the end of each feeding period, the concentrations of each of the gallbladder bile acids, cholecystokinin (CCK)-induced gallbladder motility, and bile acid metabolism-related hepatic gene expression were examined in all dogs. RESULTS The HFCD significantly increased plasma total cholesterol concentrations. The HFCD also increased the concentration of taurochenodeoxycholic acid and decreased the concentration of taurocholic acid in bile and reduced gallbladder contractility, whereas the LFD significantly decreased the concentration of taurodeoxycholic acid in bile. Gene expression analysis revealed significant elevation of cholesterol 7α-hydroxylase mRNA expression after feeding the HFCD for 2 weeks, but the expression of other genes was unchanged. CONCLUSIONS AND CLINICAL RELEVANCE Feeding the HFCD and LFD for 2 weeks induced changes in gallbladder bile acid composition and gallbladder motility in dogs. In particular, feeding the HFCD caused an increase in plasma total cholesterol concentration, an increase of hydrophobic bile acid concentration in bile, and a decrease in gallbladder sensitivity to CCK. These results suggested that similar bile acid compositional changes and gallbladder hypomotility might be evident in dogs with hyperlipidemia.</w:t>
      </w:r>
    </w:p>
    <w:p/>
    <w:p>
      <w:pPr>
        <w:pStyle w:val="Normal"/>
      </w:pPr>
      <w:r>
        <w:rPr>
          <w:color w:val="323232"/>
        </w:rPr>
        <w:t xml:space="preserve">Am J Vet Res, 2017 vol. 78 (12) pp. 1406-1413.</w:t>
      </w:r>
    </w:p>
    <w:p>
      <w:r>
        <w:rPr>
          <w:rStyle w:val="Hyperlink"/>
        </w:rPr>
        <w:fldChar w:fldCharType="begin"/>
      </w:r>
      <w:r>
        <w:rPr>
          <w:rStyle w:val="Hyperlink"/>
        </w:rPr>
        <w:instrText xml:space="preserve"> HYPERLINK "http://eutils.ncbi.nlm.nih.gov/entrez/eutils/elink.fcgi?dbfrom=pubmed&amp;id=29182389&amp;retmode=ref&amp;cmd=prlinks"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http://eutils.ncbi.nlm.nih.gov/entrez/eutils/elink.fcgi?dbfrom=pubmed&amp;id=29182389&amp;retmode=ref&amp;cmd=prlinks</w:t>
      </w:r>
      <w:r>
        <w:rPr>
          <w:rStyle w:val="Hyperlink"/>
        </w:rPr>
        <w:fldChar w:fldCharType="end"/>
      </w:r>
    </w:p>
    <w:p>
      <w:pPr>
        <w:pStyle w:val="Normal"/>
      </w:pPr>
      <w:r>
        <w:rPr>
          <w:color w:val="323232"/>
        </w:rPr>
        <w:t xml:space="preserve">————————</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mo="http://schemas.microsoft.com/office/mac/office/2008/main" xmlns:mv="urn:schemas-microsoft-com:vml" xmlns:w10="urn:schemas-microsoft-com:office:word" xmlns:w="http://schemas.openxmlformats.org/wordprocessingml/2006/main" xmlns:wne="http://schemas.microsoft.com/office/word/2006/wordml" xmlns:wp="http://schemas.openxmlformats.org/drawingml/2006/wordprocessingDrawing" xmlns:wp14="http://schemas.microsoft.com/office/word/2010/wordprocessingDrawing" xmlns:wpc="http://schemas.microsoft.com/office/word/2010/wordprocessingCanvas"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embedSystemFonts/>
  <w:activeWritingStyle w:appName="MSWord" w:lang="en-US" w:vendorID="64" w:dllVersion="131078" w:nlCheck="1" w:checkStyle="0"/>
  <w:defaultTabStop w:val="720"/>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7A55"/>
    <w:rsid w:val="00017BBC"/>
    <w:rsid w:val="000B0D42"/>
    <w:rsid w:val="00185B30"/>
    <w:rsid w:val="002B7A55"/>
    <w:rsid w:val="002D272D"/>
    <w:rsid w:val="0032417C"/>
    <w:rsid w:val="003A634A"/>
    <w:rsid w:val="003B458B"/>
    <w:rsid w:val="003F7B03"/>
    <w:rsid w:val="00403EF4"/>
    <w:rsid w:val="004A3A54"/>
    <w:rsid w:val="00573674"/>
    <w:rsid w:val="0057740A"/>
    <w:rsid w:val="00583CB3"/>
    <w:rsid w:val="00595F40"/>
    <w:rsid w:val="005F2A4D"/>
    <w:rsid w:val="006B37E3"/>
    <w:rsid w:val="006C3F6A"/>
    <w:rsid w:val="007C6E76"/>
    <w:rsid w:val="00813340"/>
    <w:rsid w:val="00837830"/>
    <w:rsid w:val="00933990"/>
    <w:rsid w:val="00B230FC"/>
    <w:rsid w:val="00B808CD"/>
    <w:rsid w:val="00BF5279"/>
    <w:rsid w:val="00F129A8"/>
    <w:rsid w:val="00F50F40"/>
    <w:rsid w:val="00FA1E7F"/>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5996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it-IT" w:bidi="ar-SA"/>
      </w:rPr>
    </w:rPrDefault>
    <w:pPrDefault/>
  </w:docDefaults>
  <w:latentStyles w:defLockedState="0" w:defUIPriority="0" w:defSemiHidden="0" w:defUnhideWhenUsed="0" w:defQFormat="0" w:count="380">
    <w:lsdException w:name="Normal" w:qFormat="1"/>
    <w:lsdException w:name="heading 1" w:qFormat="1"/>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3674"/>
    <w:pPr>
      <w:suppressAutoHyphens/>
    </w:pPr>
    <w:rPr>
      <w:rFonts w:ascii="Arial" w:eastAsia="Arial Unicode MS" w:hAnsi="Arial" w:cs="Cambria"/>
      <w:lang w:eastAsia="en-US"/>
    </w:rPr>
  </w:style>
  <w:style w:type="paragraph" w:styleId="Heading1">
    <w:name w:val="heading 1"/>
    <w:basedOn w:val="Header"/>
    <w:next w:val="Header"/>
    <w:link w:val="Heading1Char"/>
    <w:qFormat/>
    <w:rsid w:val="007C6E76"/>
    <w:pPr>
      <w:keepNext/>
      <w:keepLines/>
      <w:spacing w:before="240"/>
      <w:outlineLvl w:val="0"/>
    </w:pPr>
    <w:rPr>
      <w:rFonts w:eastAsiaTheme="majorEastAsia" w:cstheme="majorBidi"/>
      <w:color w:val="323232"/>
      <w:sz w:val="42"/>
      <w:szCs w:val="32"/>
    </w:rPr>
  </w:style>
  <w:style w:type="paragraph" w:styleId="Heading2">
    <w:name w:val="heading 2"/>
    <w:basedOn w:val="Header"/>
    <w:link w:val="Heading2Char"/>
    <w:qFormat/>
    <w:rsid w:val="007C6E76"/>
    <w:pPr>
      <w:keepNext/>
      <w:keepLines/>
      <w:spacing w:before="40"/>
      <w:outlineLvl w:val="1"/>
    </w:pPr>
    <w:rPr>
      <w:rFonts w:eastAsiaTheme="majorEastAsia" w:cstheme="majorBidi"/>
      <w:color w:val="323232"/>
      <w:sz w:val="36"/>
      <w:szCs w:val="26"/>
    </w:rPr>
  </w:style>
  <w:style w:type="paragraph" w:styleId="Heading3">
    <w:name w:val="heading 3"/>
    <w:basedOn w:val="Header"/>
    <w:link w:val="Heading3Char"/>
    <w:qFormat/>
    <w:rsid w:val="007C6E76"/>
    <w:pPr>
      <w:keepNext/>
      <w:keepLines/>
      <w:spacing w:before="40"/>
      <w:outlineLvl w:val="2"/>
    </w:pPr>
    <w:rPr>
      <w:rFonts w:eastAsiaTheme="majorEastAsia" w:cstheme="majorBidi"/>
      <w:color w:val="323232"/>
      <w:sz w:val="30"/>
    </w:rPr>
  </w:style>
  <w:style w:type="paragraph" w:styleId="Heading4">
    <w:name w:val="heading 4"/>
    <w:basedOn w:val="Header"/>
    <w:link w:val="Heading4Char"/>
    <w:rsid w:val="007C6E76"/>
    <w:pPr>
      <w:keepNext/>
      <w:keepLines/>
      <w:spacing w:before="40"/>
      <w:outlineLvl w:val="3"/>
    </w:pPr>
    <w:rPr>
      <w:rFonts w:eastAsiaTheme="majorEastAsia" w:cstheme="majorBidi"/>
      <w:iCs/>
      <w:color w:val="323232"/>
      <w:sz w:val="28"/>
    </w:rPr>
  </w:style>
  <w:style w:type="paragraph" w:styleId="Heading5">
    <w:name w:val="heading 5"/>
    <w:basedOn w:val="Header"/>
    <w:link w:val="Heading5Char"/>
    <w:rsid w:val="007C6E76"/>
    <w:pPr>
      <w:keepNext/>
      <w:keepLines/>
      <w:spacing w:before="40"/>
      <w:outlineLvl w:val="4"/>
    </w:pPr>
    <w:rPr>
      <w:rFonts w:eastAsiaTheme="majorEastAsia" w:cstheme="majorBidi"/>
      <w:color w:val="323232"/>
      <w:sz w:val="28"/>
    </w:rPr>
  </w:style>
  <w:style w:type="paragraph" w:styleId="Heading6">
    <w:name w:val="heading 6"/>
    <w:basedOn w:val="Header"/>
    <w:link w:val="Heading6Char"/>
    <w:rsid w:val="007C6E76"/>
    <w:pPr>
      <w:keepNext/>
      <w:keepLines/>
      <w:spacing w:before="40"/>
      <w:outlineLvl w:val="5"/>
    </w:pPr>
    <w:rPr>
      <w:rFonts w:eastAsiaTheme="majorEastAsia" w:cstheme="majorBidi"/>
      <w:color w:val="323232"/>
      <w:sz w:val="28"/>
    </w:rPr>
  </w:style>
  <w:style w:type="paragraph" w:styleId="Heading7">
    <w:name w:val="heading 7"/>
    <w:basedOn w:val="Normal"/>
    <w:next w:val="Normal"/>
    <w:link w:val="Heading7Char"/>
    <w:unhideWhenUsed/>
    <w:rsid w:val="007C6E76"/>
    <w:pPr>
      <w:keepNext/>
      <w:keepLines/>
      <w:spacing w:before="40"/>
      <w:outlineLvl w:val="6"/>
    </w:pPr>
    <w:rPr>
      <w:rFonts w:eastAsiaTheme="majorEastAsia" w:cstheme="majorBidi"/>
      <w:iCs/>
      <w:color w:val="323232"/>
    </w:rPr>
  </w:style>
  <w:style w:type="paragraph" w:styleId="Heading8">
    <w:name w:val="heading 8"/>
    <w:basedOn w:val="Header"/>
    <w:next w:val="Heading7"/>
    <w:link w:val="Heading8Char"/>
    <w:semiHidden/>
    <w:unhideWhenUsed/>
    <w:rsid w:val="007C6E76"/>
    <w:pPr>
      <w:keepNext/>
      <w:keepLines/>
      <w:spacing w:before="40"/>
      <w:outlineLvl w:val="7"/>
    </w:pPr>
    <w:rPr>
      <w:rFonts w:eastAsiaTheme="majorEastAsia" w:cstheme="majorBidi"/>
      <w:color w:val="323232"/>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7C6E76"/>
    <w:rPr>
      <w:rFonts w:ascii="Arial" w:eastAsiaTheme="majorEastAsia" w:hAnsi="Arial" w:cstheme="majorBidi"/>
      <w:color w:val="323232"/>
      <w:sz w:val="30"/>
      <w:lang w:eastAsia="en-US"/>
    </w:rPr>
  </w:style>
  <w:style w:type="paragraph" w:customStyle="1" w:styleId="CodeBlock">
    <w:name w:val="Code Block"/>
    <w:basedOn w:val="Normal"/>
    <w:qFormat/>
    <w:rsid w:val="00813340"/>
    <w:rPr>
      <w:rFonts w:eastAsia="Arial" w:cs="Arial"/>
      <w:color w:val="424242"/>
    </w:rPr>
  </w:style>
  <w:style w:type="character" w:customStyle="1" w:styleId="Heading4Char">
    <w:name w:val="Heading 4 Char"/>
    <w:basedOn w:val="DefaultParagraphFont"/>
    <w:link w:val="Heading4"/>
    <w:rsid w:val="007C6E76"/>
    <w:rPr>
      <w:rFonts w:ascii="Arial" w:eastAsiaTheme="majorEastAsia" w:hAnsi="Arial" w:cstheme="majorBidi"/>
      <w:iCs/>
      <w:color w:val="323232"/>
      <w:sz w:val="28"/>
      <w:lang w:eastAsia="en-US"/>
    </w:rPr>
  </w:style>
  <w:style w:type="paragraph" w:customStyle="1" w:styleId="Index">
    <w:name w:val="Index"/>
    <w:basedOn w:val="Normal"/>
    <w:rsid w:val="002B7A55"/>
    <w:pPr>
      <w:suppressLineNumbers/>
    </w:pPr>
  </w:style>
  <w:style w:type="paragraph" w:styleId="Header">
    <w:name w:val="header"/>
    <w:basedOn w:val="Normal"/>
    <w:link w:val="HeaderChar"/>
    <w:semiHidden/>
    <w:unhideWhenUsed/>
    <w:rsid w:val="00017BBC"/>
    <w:pPr>
      <w:tabs>
        <w:tab w:val="center" w:pos="4819"/>
        <w:tab w:val="right" w:pos="9638"/>
      </w:tabs>
    </w:pPr>
  </w:style>
  <w:style w:type="character" w:customStyle="1" w:styleId="HeaderChar">
    <w:name w:val="Header Char"/>
    <w:basedOn w:val="DefaultParagraphFont"/>
    <w:link w:val="Header"/>
    <w:semiHidden/>
    <w:rsid w:val="00017BBC"/>
    <w:rPr>
      <w:rFonts w:ascii="Cambria" w:eastAsia="Arial Unicode MS" w:hAnsi="Cambria" w:cs="Cambria"/>
      <w:lang w:eastAsia="en-US"/>
    </w:rPr>
  </w:style>
  <w:style w:type="character" w:customStyle="1" w:styleId="Heading5Char">
    <w:name w:val="Heading 5 Char"/>
    <w:basedOn w:val="DefaultParagraphFont"/>
    <w:link w:val="Heading5"/>
    <w:rsid w:val="007C6E76"/>
    <w:rPr>
      <w:rFonts w:ascii="Arial" w:eastAsiaTheme="majorEastAsia" w:hAnsi="Arial" w:cstheme="majorBidi"/>
      <w:color w:val="323232"/>
      <w:sz w:val="28"/>
      <w:lang w:eastAsia="en-US"/>
    </w:rPr>
  </w:style>
  <w:style w:type="character" w:customStyle="1" w:styleId="Heading2Char">
    <w:name w:val="Heading 2 Char"/>
    <w:basedOn w:val="DefaultParagraphFont"/>
    <w:link w:val="Heading2"/>
    <w:rsid w:val="007C6E76"/>
    <w:rPr>
      <w:rFonts w:ascii="Arial" w:eastAsiaTheme="majorEastAsia" w:hAnsi="Arial" w:cstheme="majorBidi"/>
      <w:color w:val="323232"/>
      <w:sz w:val="36"/>
      <w:szCs w:val="26"/>
      <w:lang w:eastAsia="en-US"/>
    </w:rPr>
  </w:style>
  <w:style w:type="character" w:customStyle="1" w:styleId="Heading1Char">
    <w:name w:val="Heading 1 Char"/>
    <w:basedOn w:val="DefaultParagraphFont"/>
    <w:link w:val="Heading1"/>
    <w:rsid w:val="007C6E76"/>
    <w:rPr>
      <w:rFonts w:ascii="Arial" w:eastAsiaTheme="majorEastAsia" w:hAnsi="Arial" w:cstheme="majorBidi"/>
      <w:color w:val="323232"/>
      <w:sz w:val="42"/>
      <w:szCs w:val="32"/>
      <w:lang w:eastAsia="en-US"/>
    </w:rPr>
  </w:style>
  <w:style w:type="character" w:customStyle="1" w:styleId="Heading6Char">
    <w:name w:val="Heading 6 Char"/>
    <w:basedOn w:val="DefaultParagraphFont"/>
    <w:link w:val="Heading6"/>
    <w:rsid w:val="007C6E76"/>
    <w:rPr>
      <w:rFonts w:ascii="Arial" w:eastAsiaTheme="majorEastAsia" w:hAnsi="Arial" w:cstheme="majorBidi"/>
      <w:color w:val="323232"/>
      <w:sz w:val="28"/>
      <w:lang w:eastAsia="en-US"/>
    </w:rPr>
  </w:style>
  <w:style w:type="character" w:customStyle="1" w:styleId="Heading7Char">
    <w:name w:val="Heading 7 Char"/>
    <w:basedOn w:val="DefaultParagraphFont"/>
    <w:link w:val="Heading7"/>
    <w:rsid w:val="007C6E76"/>
    <w:rPr>
      <w:rFonts w:ascii="Arial" w:eastAsiaTheme="majorEastAsia" w:hAnsi="Arial" w:cstheme="majorBidi"/>
      <w:iCs/>
      <w:color w:val="323232"/>
      <w:lang w:eastAsia="en-US"/>
    </w:rPr>
  </w:style>
  <w:style w:type="character" w:customStyle="1" w:styleId="Heading8Char">
    <w:name w:val="Heading 8 Char"/>
    <w:basedOn w:val="DefaultParagraphFont"/>
    <w:link w:val="Heading8"/>
    <w:semiHidden/>
    <w:rsid w:val="007C6E76"/>
    <w:rPr>
      <w:rFonts w:ascii="Arial" w:eastAsiaTheme="majorEastAsia" w:hAnsi="Arial" w:cstheme="majorBidi"/>
      <w:color w:val="323232"/>
      <w:sz w:val="21"/>
      <w:szCs w:val="21"/>
      <w:lang w:eastAsia="en-US"/>
    </w:rPr>
  </w:style>
  <w:style w:type="character" w:styleId="Hyperlink">
    <w:name w:val="Hyperlink"/>
    <w:basedOn w:val="DefaultParagraphFont"/>
    <w:qFormat/>
    <w:rsid w:val="0057740A"/>
    <w:rPr>
      <w:color w:val="0000FF" w:themeColor="hyperlink"/>
      <w:u w:val="single"/>
    </w:rPr>
  </w:style>
  <w:style w:type="paragraph" w:styleId="ListParagraph">
    <w:name w:val="List Paragraph"/>
    <w:basedOn w:val="Normal"/>
    <w:rsid w:val="00B808CD"/>
    <w:pPr>
      <w:ind w:left="720"/>
      <w:contextualSpacing/>
    </w:pPr>
  </w:style>
  <w:style w:type="paragraph" w:styleId="Quote">
    <w:name w:val="Quote"/>
    <w:basedOn w:val="Normal"/>
    <w:next w:val="Normal"/>
    <w:link w:val="QuoteChar"/>
    <w:rsid w:val="00595F40"/>
    <w:pPr>
      <w:spacing w:before="200" w:after="160"/>
      <w:ind w:left="864" w:right="864"/>
      <w:jc w:val="center"/>
    </w:pPr>
    <w:rPr>
      <w:i/>
      <w:iCs/>
      <w:color w:val="404040" w:themeColor="text1" w:themeTint="BF"/>
    </w:rPr>
  </w:style>
  <w:style w:type="character" w:customStyle="1" w:styleId="QuoteChar">
    <w:name w:val="Quote Char"/>
    <w:basedOn w:val="DefaultParagraphFont"/>
    <w:link w:val="Quote"/>
    <w:rsid w:val="00595F40"/>
    <w:rPr>
      <w:rFonts w:ascii="Arial" w:eastAsia="Arial Unicode MS" w:hAnsi="Arial" w:cs="Cambria"/>
      <w:i/>
      <w:iCs/>
      <w:color w:val="404040" w:themeColor="text1" w:themeTint="BF"/>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doNotSaveAsSingleFile/>
</w:webSettings>
</file>

<file path=word/_rels/document.xml.rels><?xml version="1.0"?>
<Relationships xmlns="http://schemas.openxmlformats.org/package/2006/relationships"><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6" Type="http://schemas.openxmlformats.org/officeDocument/2006/relationships/numbering" Target="numbering.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295</Words>
  <Characters>1683</Characters>
  <Application>Microsoft Macintosh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8</cp:revision>
  <dcterms:created xsi:type="dcterms:W3CDTF">2017-01-18T09:28:00Z</dcterms:created>
  <dcterms:modified xsi:type="dcterms:W3CDTF">2018-05-18T10:38:00Z</dcterms:modified>
</cp:coreProperties>
</file>