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B751388" w14:textId="6751B125" w:rsidR="00AA674F" w:rsidRDefault="00DB7646" w:rsidP="0087668C">
      <w:pPr>
        <w:jc w:val="center"/>
      </w:pPr>
      <w:r>
        <w:rPr>
          <w:noProof/>
        </w:rPr>
        <w:drawing>
          <wp:inline distT="0" distB="0" distL="0" distR="0" wp14:anchorId="199494B5" wp14:editId="76DD621C">
            <wp:extent cx="5038531" cy="1227334"/>
            <wp:effectExtent l="0" t="0" r="381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 Shot 2019-10-30 at 12.54.41 PM.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077979" cy="1236943"/>
                    </a:xfrm>
                    <a:prstGeom prst="rect">
                      <a:avLst/>
                    </a:prstGeom>
                  </pic:spPr>
                </pic:pic>
              </a:graphicData>
            </a:graphic>
          </wp:inline>
        </w:drawing>
      </w:r>
      <w:r w:rsidRPr="00906DD0">
        <w:rPr>
          <w:noProof/>
        </w:rPr>
        <w:drawing>
          <wp:inline distT="0" distB="0" distL="0" distR="0" wp14:anchorId="5E996795" wp14:editId="1D48E370">
            <wp:extent cx="4800491" cy="5467739"/>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9-10-30 at 12.54.26 PM.png"/>
                    <pic:cNvPicPr/>
                  </pic:nvPicPr>
                  <pic:blipFill>
                    <a:blip r:embed="rId8">
                      <a:extLst>
                        <a:ext uri="{28A0092B-C50C-407E-A947-70E740481C1C}">
                          <a14:useLocalDpi xmlns:a14="http://schemas.microsoft.com/office/drawing/2010/main" val="0"/>
                        </a:ext>
                      </a:extLst>
                    </a:blip>
                    <a:stretch>
                      <a:fillRect/>
                    </a:stretch>
                  </pic:blipFill>
                  <pic:spPr>
                    <a:xfrm>
                      <a:off x="0" y="0"/>
                      <a:ext cx="4805751" cy="5473730"/>
                    </a:xfrm>
                    <a:prstGeom prst="rect">
                      <a:avLst/>
                    </a:prstGeom>
                  </pic:spPr>
                </pic:pic>
              </a:graphicData>
            </a:graphic>
          </wp:inline>
        </w:drawing>
      </w:r>
    </w:p>
    <w:p w14:paraId="32F4EDE6" w14:textId="77777777" w:rsidR="0087668C" w:rsidRDefault="0087668C" w:rsidP="00906DD0">
      <w:r>
        <w:t xml:space="preserve">Results: </w:t>
      </w:r>
    </w:p>
    <w:p w14:paraId="3E454BDC" w14:textId="79575EB4" w:rsidR="0087668C" w:rsidRDefault="0087668C" w:rsidP="0087668C">
      <w:pPr>
        <w:pStyle w:val="ListParagraph"/>
        <w:numPr>
          <w:ilvl w:val="0"/>
          <w:numId w:val="1"/>
        </w:numPr>
      </w:pPr>
      <w:r>
        <w:t xml:space="preserve">Stable serum albumin, moderate decrease in serum fibrinogen concentration, substantial decreased serum bilirubin with dos with markedly increased values before treatment. Electrolytes, VBG, and other biochemistry values were relatively stable. </w:t>
      </w:r>
    </w:p>
    <w:p w14:paraId="49F7D65F" w14:textId="77777777" w:rsidR="0087668C" w:rsidRDefault="0087668C" w:rsidP="00906DD0"/>
    <w:p w14:paraId="4405BE92" w14:textId="037C132A" w:rsidR="0087668C" w:rsidRDefault="0087668C" w:rsidP="0087668C">
      <w:pPr>
        <w:pStyle w:val="ListParagraph"/>
        <w:numPr>
          <w:ilvl w:val="0"/>
          <w:numId w:val="1"/>
        </w:numPr>
      </w:pPr>
      <w:r>
        <w:t xml:space="preserve">All dogs showed citrate accumulation but rare clinical signs of hypocalcemia. Higher citrate accumulation seen in dogs with renal impairment but not dogs with liver impairment. </w:t>
      </w:r>
    </w:p>
    <w:p w14:paraId="47FCCCA9" w14:textId="4844578B" w:rsidR="0087668C" w:rsidRDefault="0087668C" w:rsidP="00906DD0"/>
    <w:p w14:paraId="00DF5BC6" w14:textId="67AAEA79" w:rsidR="0087668C" w:rsidRDefault="0087668C" w:rsidP="0087668C">
      <w:pPr>
        <w:pStyle w:val="ListParagraph"/>
        <w:numPr>
          <w:ilvl w:val="0"/>
          <w:numId w:val="1"/>
        </w:numPr>
      </w:pPr>
      <w:r>
        <w:t xml:space="preserve">1/3 of treatments showed signs of complication, but most were mild and self-limiting. </w:t>
      </w:r>
    </w:p>
    <w:p w14:paraId="2EC86793" w14:textId="20D30388" w:rsidR="00DB7646" w:rsidRDefault="00DB7646" w:rsidP="0087668C">
      <w:pPr>
        <w:jc w:val="center"/>
      </w:pPr>
      <w:r>
        <w:rPr>
          <w:noProof/>
        </w:rPr>
        <w:lastRenderedPageBreak/>
        <w:drawing>
          <wp:inline distT="0" distB="0" distL="0" distR="0" wp14:anchorId="53B60702" wp14:editId="25ECCE72">
            <wp:extent cx="5943600" cy="14382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 Shot 2019-10-30 at 12.55.25 PM.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43600" cy="1438275"/>
                    </a:xfrm>
                    <a:prstGeom prst="rect">
                      <a:avLst/>
                    </a:prstGeom>
                  </pic:spPr>
                </pic:pic>
              </a:graphicData>
            </a:graphic>
          </wp:inline>
        </w:drawing>
      </w:r>
      <w:r>
        <w:rPr>
          <w:noProof/>
        </w:rPr>
        <w:drawing>
          <wp:inline distT="0" distB="0" distL="0" distR="0" wp14:anchorId="01A6EA51" wp14:editId="32772BAB">
            <wp:extent cx="5943600" cy="5763260"/>
            <wp:effectExtent l="0" t="0" r="0"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 Shot 2019-10-30 at 12.55.36 PM.png"/>
                    <pic:cNvPicPr/>
                  </pic:nvPicPr>
                  <pic:blipFill>
                    <a:blip r:embed="rId10">
                      <a:extLst>
                        <a:ext uri="{28A0092B-C50C-407E-A947-70E740481C1C}">
                          <a14:useLocalDpi xmlns:a14="http://schemas.microsoft.com/office/drawing/2010/main" val="0"/>
                        </a:ext>
                      </a:extLst>
                    </a:blip>
                    <a:stretch>
                      <a:fillRect/>
                    </a:stretch>
                  </pic:blipFill>
                  <pic:spPr>
                    <a:xfrm>
                      <a:off x="0" y="0"/>
                      <a:ext cx="5943600" cy="5763260"/>
                    </a:xfrm>
                    <a:prstGeom prst="rect">
                      <a:avLst/>
                    </a:prstGeom>
                  </pic:spPr>
                </pic:pic>
              </a:graphicData>
            </a:graphic>
          </wp:inline>
        </w:drawing>
      </w:r>
    </w:p>
    <w:p w14:paraId="18C3413A" w14:textId="77777777" w:rsidR="0087668C" w:rsidRDefault="0087668C" w:rsidP="0087668C">
      <w:pPr>
        <w:rPr>
          <w:rFonts w:ascii="Times" w:eastAsia="Times New Roman" w:hAnsi="Times" w:cs="Times New Roman"/>
          <w:color w:val="000000"/>
          <w:sz w:val="27"/>
          <w:szCs w:val="27"/>
        </w:rPr>
      </w:pPr>
    </w:p>
    <w:p w14:paraId="217CD5FE" w14:textId="1DD53E49" w:rsidR="0087668C" w:rsidRDefault="0087668C" w:rsidP="0087668C">
      <w:pPr>
        <w:rPr>
          <w:rFonts w:ascii="Times" w:eastAsia="Times New Roman" w:hAnsi="Times" w:cs="Times New Roman"/>
          <w:color w:val="000000"/>
          <w:sz w:val="27"/>
          <w:szCs w:val="27"/>
        </w:rPr>
      </w:pPr>
      <w:r w:rsidRPr="0087668C">
        <w:rPr>
          <w:rFonts w:ascii="Times" w:eastAsia="Times New Roman" w:hAnsi="Times" w:cs="Times New Roman"/>
          <w:color w:val="000000"/>
          <w:sz w:val="27"/>
          <w:szCs w:val="27"/>
        </w:rPr>
        <w:t>Carbapenems</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 xml:space="preserve">broad spectrum of activity against gram-positive and gram-negative aerobes and anaerobes. </w:t>
      </w:r>
      <w:r>
        <w:rPr>
          <w:rFonts w:ascii="Times" w:eastAsia="Times New Roman" w:hAnsi="Times" w:cs="Times New Roman"/>
          <w:color w:val="000000"/>
          <w:sz w:val="27"/>
          <w:szCs w:val="27"/>
        </w:rPr>
        <w:t>T</w:t>
      </w:r>
      <w:r w:rsidRPr="0087668C">
        <w:rPr>
          <w:rFonts w:ascii="Times" w:eastAsia="Times New Roman" w:hAnsi="Times" w:cs="Times New Roman"/>
          <w:color w:val="000000"/>
          <w:sz w:val="27"/>
          <w:szCs w:val="27"/>
        </w:rPr>
        <w:t>reat multidrug resistant (MDR)</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Enterobacteriaceae</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infections, including</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Escherichia coli</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and</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Salmonella</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and their effectiveness in treating</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resistant organisms is largely because of their resistance to destruction by beta-lactamases.</w:t>
      </w:r>
    </w:p>
    <w:p w14:paraId="7D4A1359" w14:textId="77777777" w:rsidR="0087668C" w:rsidRDefault="0087668C" w:rsidP="0087668C">
      <w:pPr>
        <w:rPr>
          <w:rFonts w:ascii="Times" w:eastAsia="Times New Roman" w:hAnsi="Times" w:cs="Times New Roman"/>
          <w:color w:val="000000"/>
          <w:sz w:val="27"/>
          <w:szCs w:val="27"/>
        </w:rPr>
      </w:pPr>
    </w:p>
    <w:p w14:paraId="7C97F2B0" w14:textId="15AA0538" w:rsidR="0087668C" w:rsidRDefault="0087668C" w:rsidP="0087668C">
      <w:pPr>
        <w:rPr>
          <w:rFonts w:ascii="Times" w:eastAsia="Times New Roman" w:hAnsi="Times" w:cs="Times New Roman"/>
          <w:color w:val="000000"/>
          <w:sz w:val="27"/>
          <w:szCs w:val="27"/>
        </w:rPr>
      </w:pPr>
      <w:r w:rsidRPr="0087668C">
        <w:rPr>
          <w:rFonts w:ascii="Times" w:eastAsia="Times New Roman" w:hAnsi="Times" w:cs="Times New Roman"/>
          <w:color w:val="000000"/>
          <w:sz w:val="27"/>
          <w:szCs w:val="27"/>
        </w:rPr>
        <w:t>Because of their importance in treating life-threatening infections in human and veterinary medicine, judicious</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use of carbapenems is recommended, and there are multiple sets of</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guidelines for appropriate use in humans.</w:t>
      </w:r>
      <w:r>
        <w:rPr>
          <w:rFonts w:ascii="Times" w:eastAsia="Times New Roman" w:hAnsi="Times" w:cs="Times New Roman"/>
          <w:color w:val="000000"/>
          <w:sz w:val="27"/>
          <w:szCs w:val="27"/>
        </w:rPr>
        <w:t xml:space="preserve"> In</w:t>
      </w:r>
      <w:r w:rsidRPr="0087668C">
        <w:rPr>
          <w:rFonts w:ascii="Times" w:eastAsia="Times New Roman" w:hAnsi="Times" w:cs="Times New Roman"/>
          <w:color w:val="000000"/>
          <w:sz w:val="27"/>
          <w:szCs w:val="27"/>
        </w:rPr>
        <w:t xml:space="preserve"> human medicine, imipenem-</w:t>
      </w:r>
      <w:proofErr w:type="spellStart"/>
      <w:r w:rsidRPr="0087668C">
        <w:rPr>
          <w:rFonts w:ascii="Times" w:eastAsia="Times New Roman" w:hAnsi="Times" w:cs="Times New Roman"/>
          <w:color w:val="000000"/>
          <w:sz w:val="27"/>
          <w:szCs w:val="27"/>
        </w:rPr>
        <w:t>cilastatin</w:t>
      </w:r>
      <w:proofErr w:type="spellEnd"/>
      <w:r w:rsidRPr="0087668C">
        <w:rPr>
          <w:rFonts w:ascii="Times" w:eastAsia="Times New Roman" w:hAnsi="Times" w:cs="Times New Roman"/>
          <w:color w:val="000000"/>
          <w:sz w:val="27"/>
          <w:szCs w:val="27"/>
        </w:rPr>
        <w:t xml:space="preserve"> is used primarily for</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lastRenderedPageBreak/>
        <w:t>hospital-acquired and healthcare-associated pneumonia, intra-abdominal infections, neutropenic fever, complicated UTIs, polymicrobial necrotizing fasciitis, severe diabetic</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foot infections, and osteomyelitis.</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Meropenem is primarily used for</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skin and soft tissue infections, intra-abdominal infections, acute pancreatitis, obstetric and gynecologic infections, respiratory infections,</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bacterial meningitis, and febrile neutropenia.</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Many of the human</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clinical conditions for which these drugs are used are characterized by</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high rates of drug resistance or by complicated mixed infections.</w:t>
      </w:r>
    </w:p>
    <w:p w14:paraId="36970332" w14:textId="5A626470" w:rsidR="0087668C" w:rsidRDefault="0087668C" w:rsidP="0087668C">
      <w:pPr>
        <w:rPr>
          <w:rFonts w:ascii="Times" w:eastAsia="Times New Roman" w:hAnsi="Times" w:cs="Times New Roman"/>
          <w:color w:val="000000"/>
          <w:sz w:val="27"/>
          <w:szCs w:val="27"/>
        </w:rPr>
      </w:pPr>
    </w:p>
    <w:p w14:paraId="76225954" w14:textId="692031C7" w:rsidR="0087668C" w:rsidRDefault="0087668C" w:rsidP="0087668C">
      <w:pPr>
        <w:rPr>
          <w:rFonts w:ascii="Times" w:eastAsia="Times New Roman" w:hAnsi="Times" w:cs="Times New Roman"/>
          <w:color w:val="000000"/>
          <w:sz w:val="27"/>
          <w:szCs w:val="27"/>
        </w:rPr>
      </w:pPr>
      <w:r w:rsidRPr="0087668C">
        <w:rPr>
          <w:rFonts w:ascii="Times" w:eastAsia="Times New Roman" w:hAnsi="Times" w:cs="Times New Roman"/>
          <w:color w:val="000000"/>
          <w:sz w:val="27"/>
          <w:szCs w:val="27"/>
        </w:rPr>
        <w:t>The goal of this retrospective study was to review cases over the</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course of 1 year at a veterinary tertiary care hospital in which either</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imipenem or meropenem was prescribed to cats and dogs, to determine the type of infection they were used to treat and whether the</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infection was cultured before prescribing a carbapenem, duration of</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 xml:space="preserve">treatment, if antimicrobial treatment was de-escalated with </w:t>
      </w:r>
      <w:r>
        <w:rPr>
          <w:rFonts w:ascii="Times" w:eastAsia="Times New Roman" w:hAnsi="Times" w:cs="Times New Roman"/>
          <w:color w:val="000000"/>
          <w:sz w:val="27"/>
          <w:szCs w:val="27"/>
        </w:rPr>
        <w:t>culture r</w:t>
      </w:r>
      <w:r w:rsidRPr="0087668C">
        <w:rPr>
          <w:rFonts w:ascii="Times" w:eastAsia="Times New Roman" w:hAnsi="Times" w:cs="Times New Roman"/>
          <w:color w:val="000000"/>
          <w:sz w:val="27"/>
          <w:szCs w:val="27"/>
        </w:rPr>
        <w:t>esults, and survival statistics for dogs and cats in which carbapenems</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were used. Understanding current prescribing patterns is a first step</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in providing guidance for and targeting stewardship interventions</w:t>
      </w:r>
    </w:p>
    <w:p w14:paraId="13228E44" w14:textId="2FB87A8E" w:rsidR="0087668C" w:rsidRDefault="0087668C" w:rsidP="0087668C">
      <w:pPr>
        <w:rPr>
          <w:rFonts w:ascii="Times" w:eastAsia="Times New Roman" w:hAnsi="Times" w:cs="Times New Roman"/>
          <w:color w:val="000000"/>
          <w:sz w:val="27"/>
          <w:szCs w:val="27"/>
        </w:rPr>
      </w:pPr>
    </w:p>
    <w:p w14:paraId="1E14C5CC" w14:textId="28234691" w:rsidR="0087668C" w:rsidRDefault="0087668C" w:rsidP="0087668C">
      <w:pPr>
        <w:rPr>
          <w:rFonts w:ascii="Times" w:eastAsia="Times New Roman" w:hAnsi="Times" w:cs="Times New Roman"/>
          <w:color w:val="000000"/>
          <w:sz w:val="27"/>
          <w:szCs w:val="27"/>
        </w:rPr>
      </w:pPr>
      <w:r w:rsidRPr="0087668C">
        <w:rPr>
          <w:rFonts w:ascii="Times" w:eastAsia="Times New Roman" w:hAnsi="Times" w:cs="Times New Roman"/>
          <w:color w:val="000000"/>
          <w:sz w:val="27"/>
          <w:szCs w:val="27"/>
        </w:rPr>
        <w:t>The International</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Society for Companion Animal Infectious Diseases (ISCAID) guidelines</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for carbapenem use in UTIs state that the use of critically important</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antimicrobials in companion animals is only justified if (1) infection is</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documented based on clinical culture and cytological abnormalities,(2) resistance to all other reasonable options and susceptibility to the</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carbapenem chosen is documented, (3) the infection is potentially</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treatable (the animal will likely survive and the infection will likely be</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eventually cleared), and (4) consultation with an expert in infectious</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disease and antimicrobial treatment is sought.</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For both imipenem</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and meropenem, guidelines from ISCAID for respiratory tract infections in companion animals state that they should be reserved</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“for the</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treatment of multidrug-resistant infections, particularly those caused</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by</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Enterobacteriaceae</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or</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P. aeruginosa</w:t>
      </w:r>
      <w:r w:rsidR="00C22D46">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consultation with an infectious</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disease veterinary specialist or veterinary pharmacologist before use</w:t>
      </w:r>
      <w:r>
        <w:rPr>
          <w:rFonts w:ascii="Times" w:eastAsia="Times New Roman" w:hAnsi="Times" w:cs="Times New Roman"/>
          <w:color w:val="000000"/>
          <w:sz w:val="27"/>
          <w:szCs w:val="27"/>
        </w:rPr>
        <w:t xml:space="preserve"> </w:t>
      </w:r>
      <w:r w:rsidRPr="0087668C">
        <w:rPr>
          <w:rFonts w:ascii="Times" w:eastAsia="Times New Roman" w:hAnsi="Times" w:cs="Times New Roman"/>
          <w:color w:val="000000"/>
          <w:sz w:val="27"/>
          <w:szCs w:val="27"/>
        </w:rPr>
        <w:t>is recommended.</w:t>
      </w:r>
    </w:p>
    <w:p w14:paraId="6C56E464" w14:textId="5C84D31D" w:rsidR="00C22D46" w:rsidRDefault="00C22D46" w:rsidP="0087668C">
      <w:pPr>
        <w:rPr>
          <w:rFonts w:ascii="Times" w:eastAsia="Times New Roman" w:hAnsi="Times" w:cs="Times New Roman"/>
          <w:color w:val="000000"/>
          <w:sz w:val="27"/>
          <w:szCs w:val="27"/>
        </w:rPr>
      </w:pPr>
    </w:p>
    <w:p w14:paraId="63A5FE41" w14:textId="6011F3FB" w:rsidR="00C22D46" w:rsidRPr="00C22D46" w:rsidRDefault="00C22D46" w:rsidP="00C22D46">
      <w:pPr>
        <w:rPr>
          <w:rFonts w:ascii="Times New Roman" w:eastAsia="Times New Roman" w:hAnsi="Times New Roman" w:cs="Times New Roman"/>
        </w:rPr>
      </w:pPr>
      <w:r w:rsidRPr="00C22D46">
        <w:rPr>
          <w:rFonts w:ascii="Times" w:eastAsia="Times New Roman" w:hAnsi="Times" w:cs="Times New Roman"/>
          <w:color w:val="000000"/>
          <w:sz w:val="27"/>
          <w:szCs w:val="27"/>
        </w:rPr>
        <w:t xml:space="preserve">This retrospective study showed that clinicians </w:t>
      </w:r>
      <w:r>
        <w:rPr>
          <w:rFonts w:ascii="Times" w:eastAsia="Times New Roman" w:hAnsi="Times" w:cs="Times New Roman"/>
          <w:color w:val="000000"/>
          <w:sz w:val="27"/>
          <w:szCs w:val="27"/>
        </w:rPr>
        <w:t>were mostly</w:t>
      </w:r>
      <w:r w:rsidRPr="00C22D46">
        <w:rPr>
          <w:rFonts w:ascii="Times" w:eastAsia="Times New Roman" w:hAnsi="Times" w:cs="Times New Roman"/>
          <w:color w:val="000000"/>
          <w:sz w:val="27"/>
          <w:szCs w:val="27"/>
        </w:rPr>
        <w:t xml:space="preserve"> compliant with the recommendations by ISCAID to obtain cultures</w:t>
      </w:r>
      <w:r>
        <w:rPr>
          <w:rFonts w:ascii="Times" w:eastAsia="Times New Roman" w:hAnsi="Times" w:cs="Times New Roman"/>
          <w:color w:val="000000"/>
          <w:sz w:val="27"/>
          <w:szCs w:val="27"/>
        </w:rPr>
        <w:t xml:space="preserve"> (80%)</w:t>
      </w:r>
      <w:r w:rsidRPr="00C22D46">
        <w:rPr>
          <w:rFonts w:ascii="Times" w:eastAsia="Times New Roman" w:hAnsi="Times" w:cs="Times New Roman"/>
          <w:color w:val="000000"/>
          <w:sz w:val="27"/>
          <w:szCs w:val="27"/>
        </w:rPr>
        <w:t xml:space="preserve"> before carbapenem use and to use these drugs in dogs and cats with a high likelihood of survival. There is room for improvement in reduction of HAIs, duration of treatment, and actively de-escalating treatment regimens that have options other than carbapenems available. Implementation of hospital-level guidelines is effective in reducing the number of antimicrobial prescriptions without influencing patient outcomes. This could be particularly useful in reducing the duration of use of carbapenems in both humans and animals, which might help curb the development of resistance to this crucial drug class.</w:t>
      </w:r>
    </w:p>
    <w:p w14:paraId="6EA3EEA7" w14:textId="77777777" w:rsidR="00C22D46" w:rsidRPr="0087668C" w:rsidRDefault="00C22D46" w:rsidP="0087668C">
      <w:pPr>
        <w:rPr>
          <w:rFonts w:ascii="Times New Roman" w:eastAsia="Times New Roman" w:hAnsi="Times New Roman" w:cs="Times New Roman"/>
        </w:rPr>
      </w:pPr>
    </w:p>
    <w:p w14:paraId="534267BC" w14:textId="77777777" w:rsidR="0087668C" w:rsidRPr="0087668C" w:rsidRDefault="0087668C" w:rsidP="0087668C">
      <w:pPr>
        <w:rPr>
          <w:rFonts w:ascii="Times New Roman" w:eastAsia="Times New Roman" w:hAnsi="Times New Roman" w:cs="Times New Roman"/>
        </w:rPr>
      </w:pPr>
    </w:p>
    <w:p w14:paraId="0BB3FD46" w14:textId="77777777" w:rsidR="0087668C" w:rsidRPr="0087668C" w:rsidRDefault="0087668C" w:rsidP="0087668C">
      <w:pPr>
        <w:rPr>
          <w:rFonts w:ascii="Times New Roman" w:eastAsia="Times New Roman" w:hAnsi="Times New Roman" w:cs="Times New Roman"/>
        </w:rPr>
      </w:pPr>
    </w:p>
    <w:p w14:paraId="5A3B4C06" w14:textId="5213F981" w:rsidR="00DB7646" w:rsidRDefault="00DB7646"/>
    <w:p w14:paraId="771F199E" w14:textId="51447555" w:rsidR="00DB7646" w:rsidRDefault="00DB7646" w:rsidP="0085585E">
      <w:pPr>
        <w:jc w:val="center"/>
      </w:pPr>
      <w:bookmarkStart w:id="0" w:name="_GoBack"/>
      <w:r>
        <w:rPr>
          <w:noProof/>
        </w:rPr>
        <w:lastRenderedPageBreak/>
        <w:drawing>
          <wp:inline distT="0" distB="0" distL="0" distR="0" wp14:anchorId="149C99FB" wp14:editId="0E282BE7">
            <wp:extent cx="5943600" cy="14097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 Shot 2019-10-30 at 12.56.03 PM.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43600" cy="1409700"/>
                    </a:xfrm>
                    <a:prstGeom prst="rect">
                      <a:avLst/>
                    </a:prstGeom>
                  </pic:spPr>
                </pic:pic>
              </a:graphicData>
            </a:graphic>
          </wp:inline>
        </w:drawing>
      </w:r>
      <w:bookmarkEnd w:id="0"/>
      <w:r>
        <w:rPr>
          <w:noProof/>
        </w:rPr>
        <w:drawing>
          <wp:inline distT="0" distB="0" distL="0" distR="0" wp14:anchorId="1080CE90" wp14:editId="36290347">
            <wp:extent cx="5943600" cy="66325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 Shot 2019-10-30 at 12.56.20 PM.png"/>
                    <pic:cNvPicPr/>
                  </pic:nvPicPr>
                  <pic:blipFill>
                    <a:blip r:embed="rId12">
                      <a:extLst>
                        <a:ext uri="{28A0092B-C50C-407E-A947-70E740481C1C}">
                          <a14:useLocalDpi xmlns:a14="http://schemas.microsoft.com/office/drawing/2010/main" val="0"/>
                        </a:ext>
                      </a:extLst>
                    </a:blip>
                    <a:stretch>
                      <a:fillRect/>
                    </a:stretch>
                  </pic:blipFill>
                  <pic:spPr>
                    <a:xfrm>
                      <a:off x="0" y="0"/>
                      <a:ext cx="5943600" cy="6632575"/>
                    </a:xfrm>
                    <a:prstGeom prst="rect">
                      <a:avLst/>
                    </a:prstGeom>
                  </pic:spPr>
                </pic:pic>
              </a:graphicData>
            </a:graphic>
          </wp:inline>
        </w:drawing>
      </w:r>
    </w:p>
    <w:p w14:paraId="1EAFB335" w14:textId="16D02480" w:rsidR="00DB7646" w:rsidRDefault="00DB7646" w:rsidP="0085585E">
      <w:pPr>
        <w:jc w:val="center"/>
      </w:pPr>
      <w:r>
        <w:rPr>
          <w:noProof/>
        </w:rPr>
        <w:lastRenderedPageBreak/>
        <w:drawing>
          <wp:inline distT="0" distB="0" distL="0" distR="0" wp14:anchorId="17A08D0F" wp14:editId="3540FD35">
            <wp:extent cx="5943600" cy="173291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 Shot 2019-10-30 at 12.57.01 PM.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3600" cy="1732915"/>
                    </a:xfrm>
                    <a:prstGeom prst="rect">
                      <a:avLst/>
                    </a:prstGeom>
                  </pic:spPr>
                </pic:pic>
              </a:graphicData>
            </a:graphic>
          </wp:inline>
        </w:drawing>
      </w:r>
      <w:r w:rsidRPr="00906DD0">
        <w:rPr>
          <w:noProof/>
          <w:highlight w:val="yellow"/>
        </w:rPr>
        <w:drawing>
          <wp:inline distT="0" distB="0" distL="0" distR="0" wp14:anchorId="056788C9" wp14:editId="7EBA6DB3">
            <wp:extent cx="5747657" cy="6332248"/>
            <wp:effectExtent l="0" t="0" r="5715" b="50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reen Shot 2019-10-30 at 12.57.11 PM.png"/>
                    <pic:cNvPicPr/>
                  </pic:nvPicPr>
                  <pic:blipFill>
                    <a:blip r:embed="rId14">
                      <a:extLst>
                        <a:ext uri="{28A0092B-C50C-407E-A947-70E740481C1C}">
                          <a14:useLocalDpi xmlns:a14="http://schemas.microsoft.com/office/drawing/2010/main" val="0"/>
                        </a:ext>
                      </a:extLst>
                    </a:blip>
                    <a:stretch>
                      <a:fillRect/>
                    </a:stretch>
                  </pic:blipFill>
                  <pic:spPr>
                    <a:xfrm>
                      <a:off x="0" y="0"/>
                      <a:ext cx="5749949" cy="6334773"/>
                    </a:xfrm>
                    <a:prstGeom prst="rect">
                      <a:avLst/>
                    </a:prstGeom>
                  </pic:spPr>
                </pic:pic>
              </a:graphicData>
            </a:graphic>
          </wp:inline>
        </w:drawing>
      </w:r>
    </w:p>
    <w:p w14:paraId="4A14F826" w14:textId="2180A5BE" w:rsidR="00E92E99" w:rsidRDefault="00E92E99"/>
    <w:p w14:paraId="5F633EFE" w14:textId="7D746F5C" w:rsidR="00E92E99" w:rsidRDefault="00E92E99"/>
    <w:p w14:paraId="76E11B7F" w14:textId="34E8D9BD" w:rsidR="00E92E99" w:rsidRDefault="00E92E99"/>
    <w:p w14:paraId="63F5F236" w14:textId="77777777" w:rsidR="00E92E99" w:rsidRDefault="00E92E99"/>
    <w:p w14:paraId="38130229" w14:textId="06545E71" w:rsidR="00C22D46" w:rsidRDefault="00C22D46" w:rsidP="00C22D46">
      <w:pPr>
        <w:rPr>
          <w:rFonts w:ascii="Times" w:eastAsia="Times New Roman" w:hAnsi="Times" w:cs="Times New Roman"/>
          <w:color w:val="000000"/>
          <w:sz w:val="27"/>
          <w:szCs w:val="27"/>
        </w:rPr>
      </w:pPr>
      <w:r w:rsidRPr="00C22D46">
        <w:rPr>
          <w:rFonts w:ascii="Times" w:eastAsia="Times New Roman" w:hAnsi="Times" w:cs="Times New Roman"/>
          <w:color w:val="000000"/>
          <w:sz w:val="27"/>
          <w:szCs w:val="27"/>
        </w:rPr>
        <w:lastRenderedPageBreak/>
        <w:t xml:space="preserve">A study using an aspirin dose of 0.5 mg/kg q24h </w:t>
      </w:r>
      <w:r w:rsidR="00E92E99">
        <w:rPr>
          <w:rFonts w:ascii="Times" w:eastAsia="Times New Roman" w:hAnsi="Times" w:cs="Times New Roman"/>
          <w:color w:val="000000"/>
          <w:sz w:val="27"/>
          <w:szCs w:val="27"/>
        </w:rPr>
        <w:t>found</w:t>
      </w:r>
      <w:r w:rsidRPr="00C22D46">
        <w:rPr>
          <w:rFonts w:ascii="Times" w:eastAsia="Times New Roman" w:hAnsi="Times" w:cs="Times New Roman"/>
          <w:color w:val="000000"/>
          <w:sz w:val="27"/>
          <w:szCs w:val="27"/>
        </w:rPr>
        <w:t xml:space="preserve"> no significant difference in endoscopically identified gastric mucosal lesions between healthy dogs administered prednisone alone and prednisone with aspirin. However, the use of an aspirin dose that achieves consistent antiplatelet effects might increase GI bleeding due to additive inhibition of prostaglandin formation and potential local effects on the gastric mucosa</w:t>
      </w:r>
      <w:r>
        <w:rPr>
          <w:rFonts w:ascii="Times" w:eastAsia="Times New Roman" w:hAnsi="Times" w:cs="Times New Roman"/>
          <w:color w:val="000000"/>
          <w:sz w:val="27"/>
          <w:szCs w:val="27"/>
        </w:rPr>
        <w:t xml:space="preserve">. Therefore, this study looks at 2mg/kg </w:t>
      </w:r>
      <w:r w:rsidR="00E92E99">
        <w:rPr>
          <w:rFonts w:ascii="Times" w:eastAsia="Times New Roman" w:hAnsi="Times" w:cs="Times New Roman"/>
          <w:color w:val="000000"/>
          <w:sz w:val="27"/>
          <w:szCs w:val="27"/>
        </w:rPr>
        <w:t xml:space="preserve">q24 </w:t>
      </w:r>
      <w:r>
        <w:rPr>
          <w:rFonts w:ascii="Times" w:eastAsia="Times New Roman" w:hAnsi="Times" w:cs="Times New Roman"/>
          <w:color w:val="000000"/>
          <w:sz w:val="27"/>
          <w:szCs w:val="27"/>
        </w:rPr>
        <w:t>aspirin dose.</w:t>
      </w:r>
    </w:p>
    <w:p w14:paraId="4DD2C0F2" w14:textId="2940EA7E" w:rsidR="00E92E99" w:rsidRDefault="00E92E99" w:rsidP="00C22D46">
      <w:pPr>
        <w:rPr>
          <w:rFonts w:ascii="Times" w:eastAsia="Times New Roman" w:hAnsi="Times" w:cs="Times New Roman"/>
          <w:color w:val="000000"/>
          <w:sz w:val="27"/>
          <w:szCs w:val="27"/>
        </w:rPr>
      </w:pPr>
    </w:p>
    <w:p w14:paraId="3A70B0CD" w14:textId="63CE6850" w:rsidR="00E92E99" w:rsidRDefault="00E92E99" w:rsidP="00C22D46">
      <w:pPr>
        <w:rPr>
          <w:rFonts w:ascii="Times" w:eastAsia="Times New Roman" w:hAnsi="Times" w:cs="Times New Roman"/>
          <w:color w:val="000000"/>
          <w:sz w:val="27"/>
          <w:szCs w:val="27"/>
        </w:rPr>
      </w:pPr>
      <w:r>
        <w:rPr>
          <w:rFonts w:ascii="Times" w:eastAsia="Times New Roman" w:hAnsi="Times" w:cs="Times New Roman"/>
          <w:color w:val="000000"/>
          <w:sz w:val="27"/>
          <w:szCs w:val="27"/>
        </w:rPr>
        <w:t>Discussion:</w:t>
      </w:r>
    </w:p>
    <w:p w14:paraId="2F8767CD" w14:textId="7048C6C4" w:rsidR="00E92E99" w:rsidRDefault="00E92E99" w:rsidP="00E92E99">
      <w:pPr>
        <w:rPr>
          <w:rFonts w:ascii="Times" w:eastAsia="Times New Roman" w:hAnsi="Times" w:cs="Times New Roman"/>
          <w:color w:val="000000"/>
          <w:sz w:val="27"/>
          <w:szCs w:val="27"/>
        </w:rPr>
      </w:pPr>
      <w:r w:rsidRPr="00E92E99">
        <w:rPr>
          <w:rFonts w:ascii="Times" w:eastAsia="Times New Roman" w:hAnsi="Times" w:cs="Times New Roman"/>
          <w:color w:val="000000"/>
          <w:sz w:val="27"/>
          <w:szCs w:val="27"/>
        </w:rPr>
        <w:t>Total gastric endoscopic mucosal lesion scores increased significantly in</w:t>
      </w:r>
      <w:r>
        <w:rPr>
          <w:rFonts w:ascii="Times" w:eastAsia="Times New Roman" w:hAnsi="Times" w:cs="Times New Roman"/>
          <w:color w:val="000000"/>
          <w:sz w:val="27"/>
          <w:szCs w:val="27"/>
        </w:rPr>
        <w:t xml:space="preserve"> </w:t>
      </w:r>
      <w:r w:rsidRPr="00E92E99">
        <w:rPr>
          <w:rFonts w:ascii="Times" w:eastAsia="Times New Roman" w:hAnsi="Times" w:cs="Times New Roman"/>
          <w:color w:val="000000"/>
          <w:sz w:val="27"/>
          <w:szCs w:val="27"/>
        </w:rPr>
        <w:t>dogs administered aspirin (day 14 only), prednisone, and prednisone/aspirin combination treatment in this study. Increases were primarily</w:t>
      </w:r>
      <w:r>
        <w:rPr>
          <w:rFonts w:ascii="Times" w:eastAsia="Times New Roman" w:hAnsi="Times" w:cs="Times New Roman"/>
          <w:color w:val="000000"/>
          <w:sz w:val="27"/>
          <w:szCs w:val="27"/>
        </w:rPr>
        <w:t xml:space="preserve"> </w:t>
      </w:r>
      <w:r w:rsidRPr="00E92E99">
        <w:rPr>
          <w:rFonts w:ascii="Times" w:eastAsia="Times New Roman" w:hAnsi="Times" w:cs="Times New Roman"/>
          <w:color w:val="000000"/>
          <w:sz w:val="27"/>
          <w:szCs w:val="27"/>
        </w:rPr>
        <w:t xml:space="preserve">due to increased numbers of punctate and invasive erosions, </w:t>
      </w:r>
      <w:proofErr w:type="spellStart"/>
      <w:r w:rsidRPr="00E92E99">
        <w:rPr>
          <w:rFonts w:ascii="Times" w:eastAsia="Times New Roman" w:hAnsi="Times" w:cs="Times New Roman"/>
          <w:color w:val="000000"/>
          <w:sz w:val="27"/>
          <w:szCs w:val="27"/>
        </w:rPr>
        <w:t>although</w:t>
      </w:r>
      <w:r>
        <w:rPr>
          <w:rFonts w:ascii="Times" w:eastAsia="Times New Roman" w:hAnsi="Times" w:cs="Times New Roman"/>
          <w:color w:val="000000"/>
          <w:sz w:val="27"/>
          <w:szCs w:val="27"/>
        </w:rPr>
        <w:t xml:space="preserve"> </w:t>
      </w:r>
      <w:r w:rsidRPr="00E92E99">
        <w:rPr>
          <w:rFonts w:ascii="Times" w:eastAsia="Times New Roman" w:hAnsi="Times" w:cs="Times New Roman"/>
          <w:color w:val="000000"/>
          <w:sz w:val="27"/>
          <w:szCs w:val="27"/>
        </w:rPr>
        <w:t>ulcer</w:t>
      </w:r>
      <w:proofErr w:type="spellEnd"/>
      <w:r w:rsidRPr="00E92E99">
        <w:rPr>
          <w:rFonts w:ascii="Times" w:eastAsia="Times New Roman" w:hAnsi="Times" w:cs="Times New Roman"/>
          <w:color w:val="000000"/>
          <w:sz w:val="27"/>
          <w:szCs w:val="27"/>
        </w:rPr>
        <w:t>s developed in 10 dogs over the course of the study. Both numbers</w:t>
      </w:r>
      <w:r>
        <w:rPr>
          <w:rFonts w:ascii="Times" w:eastAsia="Times New Roman" w:hAnsi="Times" w:cs="Times New Roman"/>
          <w:color w:val="000000"/>
          <w:sz w:val="27"/>
          <w:szCs w:val="27"/>
        </w:rPr>
        <w:t xml:space="preserve"> </w:t>
      </w:r>
      <w:r w:rsidRPr="00E92E99">
        <w:rPr>
          <w:rFonts w:ascii="Times" w:eastAsia="Times New Roman" w:hAnsi="Times" w:cs="Times New Roman"/>
          <w:color w:val="000000"/>
          <w:sz w:val="27"/>
          <w:szCs w:val="27"/>
        </w:rPr>
        <w:t>of lesions and endoscopic lesion scores were higher on day 14 than</w:t>
      </w:r>
      <w:r>
        <w:rPr>
          <w:rFonts w:ascii="Times" w:eastAsia="Times New Roman" w:hAnsi="Times" w:cs="Times New Roman"/>
          <w:color w:val="000000"/>
          <w:sz w:val="27"/>
          <w:szCs w:val="27"/>
        </w:rPr>
        <w:t xml:space="preserve"> </w:t>
      </w:r>
      <w:r w:rsidRPr="00E92E99">
        <w:rPr>
          <w:rFonts w:ascii="Times" w:eastAsia="Times New Roman" w:hAnsi="Times" w:cs="Times New Roman"/>
          <w:color w:val="000000"/>
          <w:sz w:val="27"/>
          <w:szCs w:val="27"/>
        </w:rPr>
        <w:t>28, with significantly higher values in the aspirin and prednisone/aspirin</w:t>
      </w:r>
      <w:r>
        <w:rPr>
          <w:rFonts w:ascii="Times" w:eastAsia="Times New Roman" w:hAnsi="Times" w:cs="Times New Roman"/>
          <w:color w:val="000000"/>
          <w:sz w:val="27"/>
          <w:szCs w:val="27"/>
        </w:rPr>
        <w:t xml:space="preserve"> </w:t>
      </w:r>
      <w:r w:rsidRPr="00E92E99">
        <w:rPr>
          <w:rFonts w:ascii="Times" w:eastAsia="Times New Roman" w:hAnsi="Times" w:cs="Times New Roman"/>
          <w:color w:val="000000"/>
          <w:sz w:val="27"/>
          <w:szCs w:val="27"/>
        </w:rPr>
        <w:t>group on day 14 compared to day 28. However, a number of dogs had</w:t>
      </w:r>
      <w:r>
        <w:rPr>
          <w:rFonts w:ascii="Times" w:eastAsia="Times New Roman" w:hAnsi="Times" w:cs="Times New Roman"/>
          <w:color w:val="000000"/>
          <w:sz w:val="27"/>
          <w:szCs w:val="27"/>
        </w:rPr>
        <w:t xml:space="preserve"> </w:t>
      </w:r>
      <w:r w:rsidRPr="00E92E99">
        <w:rPr>
          <w:rFonts w:ascii="Times" w:eastAsia="Times New Roman" w:hAnsi="Times" w:cs="Times New Roman"/>
          <w:color w:val="000000"/>
          <w:sz w:val="27"/>
          <w:szCs w:val="27"/>
        </w:rPr>
        <w:t>new lesions, such as ulcers, identified on day 28, suggesting ongoing primary disease. Dogs receiving prednisone and prednisone/aspirin combination treatment had 11.1 times and 31.5 times higher odds to have</w:t>
      </w:r>
      <w:r>
        <w:rPr>
          <w:rFonts w:ascii="Times" w:eastAsia="Times New Roman" w:hAnsi="Times" w:cs="Times New Roman"/>
          <w:color w:val="000000"/>
          <w:sz w:val="27"/>
          <w:szCs w:val="27"/>
        </w:rPr>
        <w:t xml:space="preserve"> </w:t>
      </w:r>
      <w:r w:rsidRPr="00E92E99">
        <w:rPr>
          <w:rFonts w:ascii="Times" w:eastAsia="Times New Roman" w:hAnsi="Times" w:cs="Times New Roman"/>
          <w:color w:val="000000"/>
          <w:sz w:val="27"/>
          <w:szCs w:val="27"/>
        </w:rPr>
        <w:t>endoscopic lesions scores≥4 (</w:t>
      </w:r>
      <w:proofErr w:type="spellStart"/>
      <w:r w:rsidRPr="00E92E99">
        <w:rPr>
          <w:rFonts w:ascii="Times" w:eastAsia="Times New Roman" w:hAnsi="Times" w:cs="Times New Roman"/>
          <w:color w:val="000000"/>
          <w:sz w:val="27"/>
          <w:szCs w:val="27"/>
        </w:rPr>
        <w:t>eg</w:t>
      </w:r>
      <w:proofErr w:type="spellEnd"/>
      <w:r w:rsidRPr="00E92E99">
        <w:rPr>
          <w:rFonts w:ascii="Times" w:eastAsia="Times New Roman" w:hAnsi="Times" w:cs="Times New Roman"/>
          <w:color w:val="000000"/>
          <w:sz w:val="27"/>
          <w:szCs w:val="27"/>
        </w:rPr>
        <w:t xml:space="preserve">, &gt;25 punctate </w:t>
      </w:r>
      <w:proofErr w:type="gramStart"/>
      <w:r w:rsidRPr="00E92E99">
        <w:rPr>
          <w:rFonts w:ascii="Times" w:eastAsia="Times New Roman" w:hAnsi="Times" w:cs="Times New Roman"/>
          <w:color w:val="000000"/>
          <w:sz w:val="27"/>
          <w:szCs w:val="27"/>
        </w:rPr>
        <w:t>erosions,≥</w:t>
      </w:r>
      <w:proofErr w:type="gramEnd"/>
      <w:r w:rsidRPr="00E92E99">
        <w:rPr>
          <w:rFonts w:ascii="Times" w:eastAsia="Times New Roman" w:hAnsi="Times" w:cs="Times New Roman"/>
          <w:color w:val="000000"/>
          <w:sz w:val="27"/>
          <w:szCs w:val="27"/>
        </w:rPr>
        <w:t>1invasiveerosion,≥1 ulcer, or all) than dogs administered placebo</w:t>
      </w:r>
    </w:p>
    <w:p w14:paraId="32FE4FA8" w14:textId="61429CA6" w:rsidR="00E92E99" w:rsidRDefault="00E92E99" w:rsidP="00E92E99">
      <w:pPr>
        <w:rPr>
          <w:rFonts w:ascii="Times" w:eastAsia="Times New Roman" w:hAnsi="Times" w:cs="Times New Roman"/>
          <w:color w:val="000000"/>
          <w:sz w:val="27"/>
          <w:szCs w:val="27"/>
        </w:rPr>
      </w:pPr>
    </w:p>
    <w:p w14:paraId="637A747E" w14:textId="7C8F5EAB" w:rsidR="00E92E99" w:rsidRPr="00E92E99" w:rsidRDefault="00E92E99" w:rsidP="00E92E99">
      <w:pPr>
        <w:rPr>
          <w:rFonts w:ascii="Times New Roman" w:eastAsia="Times New Roman" w:hAnsi="Times New Roman" w:cs="Times New Roman"/>
        </w:rPr>
      </w:pPr>
      <w:r w:rsidRPr="00E92E99">
        <w:rPr>
          <w:rFonts w:ascii="Times" w:eastAsia="Times New Roman" w:hAnsi="Times" w:cs="Times New Roman"/>
          <w:color w:val="000000"/>
          <w:sz w:val="27"/>
          <w:szCs w:val="27"/>
        </w:rPr>
        <w:t>Although gastric mucosal damage was marked and often severe, it</w:t>
      </w:r>
      <w:r>
        <w:rPr>
          <w:rFonts w:ascii="Times" w:eastAsia="Times New Roman" w:hAnsi="Times" w:cs="Times New Roman"/>
          <w:color w:val="000000"/>
          <w:sz w:val="27"/>
          <w:szCs w:val="27"/>
        </w:rPr>
        <w:t xml:space="preserve"> </w:t>
      </w:r>
      <w:r w:rsidRPr="00E92E99">
        <w:rPr>
          <w:rFonts w:ascii="Times" w:eastAsia="Times New Roman" w:hAnsi="Times" w:cs="Times New Roman"/>
          <w:color w:val="000000"/>
          <w:sz w:val="27"/>
          <w:szCs w:val="27"/>
        </w:rPr>
        <w:t>was not accompanied by changes in food intake, vomiting, fecal score,</w:t>
      </w:r>
      <w:r>
        <w:rPr>
          <w:rFonts w:ascii="Times" w:eastAsia="Times New Roman" w:hAnsi="Times" w:cs="Times New Roman"/>
          <w:color w:val="000000"/>
          <w:sz w:val="27"/>
          <w:szCs w:val="27"/>
        </w:rPr>
        <w:t xml:space="preserve"> </w:t>
      </w:r>
      <w:r w:rsidRPr="00E92E99">
        <w:rPr>
          <w:rFonts w:ascii="Times" w:eastAsia="Times New Roman" w:hAnsi="Times" w:cs="Times New Roman"/>
          <w:color w:val="000000"/>
          <w:sz w:val="27"/>
          <w:szCs w:val="27"/>
        </w:rPr>
        <w:t xml:space="preserve">or weight. </w:t>
      </w:r>
      <w:r>
        <w:rPr>
          <w:rFonts w:ascii="Times" w:eastAsia="Times New Roman" w:hAnsi="Times" w:cs="Times New Roman"/>
          <w:color w:val="000000"/>
          <w:sz w:val="27"/>
          <w:szCs w:val="27"/>
        </w:rPr>
        <w:t xml:space="preserve">Neither hematemesis </w:t>
      </w:r>
      <w:proofErr w:type="gramStart"/>
      <w:r>
        <w:rPr>
          <w:rFonts w:ascii="Times" w:eastAsia="Times New Roman" w:hAnsi="Times" w:cs="Times New Roman"/>
          <w:color w:val="000000"/>
          <w:sz w:val="27"/>
          <w:szCs w:val="27"/>
        </w:rPr>
        <w:t>or</w:t>
      </w:r>
      <w:proofErr w:type="gramEnd"/>
      <w:r>
        <w:rPr>
          <w:rFonts w:ascii="Times" w:eastAsia="Times New Roman" w:hAnsi="Times" w:cs="Times New Roman"/>
          <w:color w:val="000000"/>
          <w:sz w:val="27"/>
          <w:szCs w:val="27"/>
        </w:rPr>
        <w:t xml:space="preserve"> melena was noted. </w:t>
      </w:r>
      <w:r w:rsidRPr="00E92E99">
        <w:rPr>
          <w:rFonts w:ascii="Times" w:eastAsia="Times New Roman" w:hAnsi="Times" w:cs="Times New Roman"/>
          <w:color w:val="000000"/>
          <w:sz w:val="27"/>
          <w:szCs w:val="27"/>
        </w:rPr>
        <w:t>Furthermore, many clinicopathologic changes associated with</w:t>
      </w:r>
      <w:r>
        <w:rPr>
          <w:rFonts w:ascii="Times" w:eastAsia="Times New Roman" w:hAnsi="Times" w:cs="Times New Roman"/>
          <w:color w:val="000000"/>
          <w:sz w:val="27"/>
          <w:szCs w:val="27"/>
        </w:rPr>
        <w:t xml:space="preserve"> </w:t>
      </w:r>
      <w:r w:rsidRPr="00E92E99">
        <w:rPr>
          <w:rFonts w:ascii="Times" w:eastAsia="Times New Roman" w:hAnsi="Times" w:cs="Times New Roman"/>
          <w:color w:val="000000"/>
          <w:sz w:val="27"/>
          <w:szCs w:val="27"/>
        </w:rPr>
        <w:t>GI bleeding were not identified</w:t>
      </w:r>
      <w:r>
        <w:rPr>
          <w:rFonts w:ascii="Times" w:eastAsia="Times New Roman" w:hAnsi="Times" w:cs="Times New Roman"/>
          <w:color w:val="000000"/>
          <w:sz w:val="27"/>
          <w:szCs w:val="27"/>
        </w:rPr>
        <w:t xml:space="preserve">. </w:t>
      </w:r>
      <w:r w:rsidRPr="00E92E99">
        <w:rPr>
          <w:rFonts w:ascii="Times" w:eastAsia="Times New Roman" w:hAnsi="Times" w:cs="Times New Roman"/>
          <w:color w:val="000000"/>
          <w:sz w:val="27"/>
          <w:szCs w:val="27"/>
        </w:rPr>
        <w:t xml:space="preserve">The </w:t>
      </w:r>
      <w:proofErr w:type="spellStart"/>
      <w:r w:rsidRPr="00E92E99">
        <w:rPr>
          <w:rFonts w:ascii="Times" w:eastAsia="Times New Roman" w:hAnsi="Times" w:cs="Times New Roman"/>
          <w:color w:val="000000"/>
          <w:sz w:val="27"/>
          <w:szCs w:val="27"/>
        </w:rPr>
        <w:t>BUN:creatinine</w:t>
      </w:r>
      <w:proofErr w:type="spellEnd"/>
      <w:r w:rsidRPr="00E92E99">
        <w:rPr>
          <w:rFonts w:ascii="Times" w:eastAsia="Times New Roman" w:hAnsi="Times" w:cs="Times New Roman"/>
          <w:color w:val="000000"/>
          <w:sz w:val="27"/>
          <w:szCs w:val="27"/>
        </w:rPr>
        <w:t xml:space="preserve"> ratio detects changes consistent with GI bleeding in absence of increases in BUN concentration, given the latter's</w:t>
      </w:r>
      <w:r>
        <w:rPr>
          <w:rFonts w:ascii="Times" w:eastAsia="Times New Roman" w:hAnsi="Times" w:cs="Times New Roman"/>
          <w:color w:val="000000"/>
          <w:sz w:val="27"/>
          <w:szCs w:val="27"/>
        </w:rPr>
        <w:t xml:space="preserve"> </w:t>
      </w:r>
      <w:r w:rsidRPr="00E92E99">
        <w:rPr>
          <w:rFonts w:ascii="Times" w:eastAsia="Times New Roman" w:hAnsi="Times" w:cs="Times New Roman"/>
          <w:color w:val="000000"/>
          <w:sz w:val="27"/>
          <w:szCs w:val="27"/>
        </w:rPr>
        <w:t>poor sensitivity for bleeding.</w:t>
      </w:r>
    </w:p>
    <w:p w14:paraId="2D42D7FC" w14:textId="0BCB819C" w:rsidR="00E92E99" w:rsidRPr="00E92E99" w:rsidRDefault="00E92E99" w:rsidP="00E92E99">
      <w:pPr>
        <w:rPr>
          <w:rFonts w:ascii="Times New Roman" w:eastAsia="Times New Roman" w:hAnsi="Times New Roman" w:cs="Times New Roman"/>
        </w:rPr>
      </w:pPr>
    </w:p>
    <w:p w14:paraId="5380641F" w14:textId="77777777" w:rsidR="00E92E99" w:rsidRPr="00E92E99" w:rsidRDefault="00E92E99" w:rsidP="00E92E99">
      <w:pPr>
        <w:rPr>
          <w:rFonts w:ascii="Times New Roman" w:eastAsia="Times New Roman" w:hAnsi="Times New Roman" w:cs="Times New Roman"/>
        </w:rPr>
      </w:pPr>
    </w:p>
    <w:p w14:paraId="0084AC3E" w14:textId="77777777" w:rsidR="00E92E99" w:rsidRPr="00C22D46" w:rsidRDefault="00E92E99" w:rsidP="00C22D46">
      <w:pPr>
        <w:rPr>
          <w:rFonts w:ascii="Times New Roman" w:eastAsia="Times New Roman" w:hAnsi="Times New Roman" w:cs="Times New Roman"/>
        </w:rPr>
      </w:pPr>
    </w:p>
    <w:p w14:paraId="7576D1DB" w14:textId="5615899D" w:rsidR="00DB7646" w:rsidRDefault="00DB7646"/>
    <w:p w14:paraId="600B5285" w14:textId="2B40B934" w:rsidR="00C22D46" w:rsidRDefault="00DB7646" w:rsidP="0085585E">
      <w:pPr>
        <w:jc w:val="center"/>
      </w:pPr>
      <w:r>
        <w:rPr>
          <w:noProof/>
        </w:rPr>
        <w:lastRenderedPageBreak/>
        <w:drawing>
          <wp:inline distT="0" distB="0" distL="0" distR="0" wp14:anchorId="58C5C046" wp14:editId="19AEEBC4">
            <wp:extent cx="5281127" cy="1376140"/>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reen Shot 2019-10-30 at 12.57.33 PM.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357154" cy="1395951"/>
                    </a:xfrm>
                    <a:prstGeom prst="rect">
                      <a:avLst/>
                    </a:prstGeom>
                  </pic:spPr>
                </pic:pic>
              </a:graphicData>
            </a:graphic>
          </wp:inline>
        </w:drawing>
      </w:r>
      <w:r>
        <w:rPr>
          <w:noProof/>
        </w:rPr>
        <w:drawing>
          <wp:inline distT="0" distB="0" distL="0" distR="0" wp14:anchorId="0EBAFF8E" wp14:editId="42F77B24">
            <wp:extent cx="5526660" cy="5430416"/>
            <wp:effectExtent l="0" t="0" r="0" b="571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creen Shot 2019-10-30 at 12.57.41 PM.png"/>
                    <pic:cNvPicPr/>
                  </pic:nvPicPr>
                  <pic:blipFill>
                    <a:blip r:embed="rId16">
                      <a:extLst>
                        <a:ext uri="{28A0092B-C50C-407E-A947-70E740481C1C}">
                          <a14:useLocalDpi xmlns:a14="http://schemas.microsoft.com/office/drawing/2010/main" val="0"/>
                        </a:ext>
                      </a:extLst>
                    </a:blip>
                    <a:stretch>
                      <a:fillRect/>
                    </a:stretch>
                  </pic:blipFill>
                  <pic:spPr>
                    <a:xfrm>
                      <a:off x="0" y="0"/>
                      <a:ext cx="5528628" cy="5432350"/>
                    </a:xfrm>
                    <a:prstGeom prst="rect">
                      <a:avLst/>
                    </a:prstGeom>
                  </pic:spPr>
                </pic:pic>
              </a:graphicData>
            </a:graphic>
          </wp:inline>
        </w:drawing>
      </w:r>
    </w:p>
    <w:p w14:paraId="6D0DD442" w14:textId="4694D60C" w:rsidR="0014331A" w:rsidRDefault="0014331A"/>
    <w:p w14:paraId="1310B3F2" w14:textId="46CF5D47" w:rsidR="0014331A" w:rsidRDefault="0014331A" w:rsidP="0014331A">
      <w:pPr>
        <w:rPr>
          <w:rFonts w:ascii="Times" w:eastAsia="Times New Roman" w:hAnsi="Times" w:cs="Times New Roman"/>
          <w:color w:val="000000"/>
          <w:sz w:val="27"/>
          <w:szCs w:val="27"/>
        </w:rPr>
      </w:pPr>
      <w:r w:rsidRPr="0014331A">
        <w:rPr>
          <w:rFonts w:ascii="Times" w:eastAsia="Times New Roman" w:hAnsi="Times" w:cs="Times New Roman"/>
          <w:color w:val="000000"/>
          <w:sz w:val="27"/>
          <w:szCs w:val="27"/>
        </w:rPr>
        <w:t xml:space="preserve">In the present study, </w:t>
      </w:r>
      <w:r>
        <w:rPr>
          <w:rFonts w:ascii="Times" w:eastAsia="Times New Roman" w:hAnsi="Times" w:cs="Times New Roman"/>
          <w:color w:val="000000"/>
          <w:sz w:val="27"/>
          <w:szCs w:val="27"/>
        </w:rPr>
        <w:t>they</w:t>
      </w:r>
      <w:r w:rsidRPr="0014331A">
        <w:rPr>
          <w:rFonts w:ascii="Times" w:eastAsia="Times New Roman" w:hAnsi="Times" w:cs="Times New Roman"/>
          <w:color w:val="000000"/>
          <w:sz w:val="27"/>
          <w:szCs w:val="27"/>
        </w:rPr>
        <w:t xml:space="preserve"> evaluated the effect of famotidine when</w:t>
      </w:r>
      <w:r>
        <w:rPr>
          <w:rFonts w:ascii="Times" w:eastAsia="Times New Roman" w:hAnsi="Times" w:cs="Times New Roman"/>
          <w:color w:val="000000"/>
          <w:sz w:val="27"/>
          <w:szCs w:val="27"/>
        </w:rPr>
        <w:t xml:space="preserve"> </w:t>
      </w:r>
      <w:r w:rsidRPr="0014331A">
        <w:rPr>
          <w:rFonts w:ascii="Times" w:eastAsia="Times New Roman" w:hAnsi="Times" w:cs="Times New Roman"/>
          <w:color w:val="000000"/>
          <w:sz w:val="27"/>
          <w:szCs w:val="27"/>
        </w:rPr>
        <w:t>administered as an intravenous CRI for a consecutive 72 hours in</w:t>
      </w:r>
      <w:r>
        <w:rPr>
          <w:rFonts w:ascii="Times" w:eastAsia="Times New Roman" w:hAnsi="Times" w:cs="Times New Roman"/>
          <w:color w:val="000000"/>
          <w:sz w:val="27"/>
          <w:szCs w:val="27"/>
        </w:rPr>
        <w:t xml:space="preserve"> </w:t>
      </w:r>
      <w:r w:rsidRPr="0014331A">
        <w:rPr>
          <w:rFonts w:ascii="Times" w:eastAsia="Times New Roman" w:hAnsi="Times" w:cs="Times New Roman"/>
          <w:color w:val="000000"/>
          <w:sz w:val="27"/>
          <w:szCs w:val="27"/>
        </w:rPr>
        <w:t>healthy dogs. In humans, the treatment goals for duodenal ulceration</w:t>
      </w:r>
      <w:r>
        <w:rPr>
          <w:rFonts w:ascii="Times" w:eastAsia="Times New Roman" w:hAnsi="Times" w:cs="Times New Roman"/>
          <w:color w:val="000000"/>
          <w:sz w:val="27"/>
          <w:szCs w:val="27"/>
        </w:rPr>
        <w:t xml:space="preserve"> </w:t>
      </w:r>
      <w:r w:rsidRPr="0014331A">
        <w:rPr>
          <w:rFonts w:ascii="Times" w:eastAsia="Times New Roman" w:hAnsi="Times" w:cs="Times New Roman"/>
          <w:color w:val="000000"/>
          <w:sz w:val="27"/>
          <w:szCs w:val="27"/>
        </w:rPr>
        <w:t xml:space="preserve">and </w:t>
      </w:r>
      <w:r>
        <w:rPr>
          <w:rFonts w:ascii="Times" w:eastAsia="Times New Roman" w:hAnsi="Times" w:cs="Times New Roman"/>
          <w:color w:val="000000"/>
          <w:sz w:val="27"/>
          <w:szCs w:val="27"/>
        </w:rPr>
        <w:t>GERD</w:t>
      </w:r>
      <w:r w:rsidRPr="0014331A">
        <w:rPr>
          <w:rFonts w:ascii="Times" w:eastAsia="Times New Roman" w:hAnsi="Times" w:cs="Times New Roman"/>
          <w:color w:val="000000"/>
          <w:sz w:val="27"/>
          <w:szCs w:val="27"/>
        </w:rPr>
        <w:t xml:space="preserve"> include maintaining an intragastric</w:t>
      </w:r>
      <w:r>
        <w:rPr>
          <w:rFonts w:ascii="Times" w:eastAsia="Times New Roman" w:hAnsi="Times" w:cs="Times New Roman"/>
          <w:color w:val="000000"/>
          <w:sz w:val="27"/>
          <w:szCs w:val="27"/>
        </w:rPr>
        <w:t xml:space="preserve"> </w:t>
      </w:r>
      <w:r w:rsidRPr="0014331A">
        <w:rPr>
          <w:rFonts w:ascii="Times" w:eastAsia="Times New Roman" w:hAnsi="Times" w:cs="Times New Roman"/>
          <w:color w:val="000000"/>
          <w:sz w:val="27"/>
          <w:szCs w:val="27"/>
        </w:rPr>
        <w:t>pH≥3 for at least 75% of a 24-hour period and a pH≥4 for at least</w:t>
      </w:r>
      <w:r>
        <w:rPr>
          <w:rFonts w:ascii="Times" w:eastAsia="Times New Roman" w:hAnsi="Times" w:cs="Times New Roman"/>
          <w:color w:val="000000"/>
          <w:sz w:val="27"/>
          <w:szCs w:val="27"/>
        </w:rPr>
        <w:t xml:space="preserve"> </w:t>
      </w:r>
      <w:r w:rsidRPr="0014331A">
        <w:rPr>
          <w:rFonts w:ascii="Times" w:eastAsia="Times New Roman" w:hAnsi="Times" w:cs="Times New Roman"/>
          <w:color w:val="000000"/>
          <w:sz w:val="27"/>
          <w:szCs w:val="27"/>
        </w:rPr>
        <w:t>67% of the day.</w:t>
      </w:r>
      <w:r>
        <w:rPr>
          <w:rFonts w:ascii="Times" w:eastAsia="Times New Roman" w:hAnsi="Times" w:cs="Times New Roman"/>
          <w:color w:val="000000"/>
          <w:sz w:val="27"/>
          <w:szCs w:val="27"/>
        </w:rPr>
        <w:t xml:space="preserve"> </w:t>
      </w:r>
      <w:r w:rsidRPr="0014331A">
        <w:rPr>
          <w:rFonts w:ascii="Times" w:eastAsia="Times New Roman" w:hAnsi="Times" w:cs="Times New Roman"/>
          <w:color w:val="000000"/>
          <w:sz w:val="27"/>
          <w:szCs w:val="27"/>
        </w:rPr>
        <w:t>On all treatment days, the CRI treatment group met or exceeded these clinical goals whereas the standard</w:t>
      </w:r>
      <w:r>
        <w:rPr>
          <w:rFonts w:ascii="Times" w:eastAsia="Times New Roman" w:hAnsi="Times" w:cs="Times New Roman"/>
          <w:color w:val="000000"/>
          <w:sz w:val="27"/>
          <w:szCs w:val="27"/>
        </w:rPr>
        <w:t xml:space="preserve"> </w:t>
      </w:r>
      <w:r w:rsidRPr="0014331A">
        <w:rPr>
          <w:rFonts w:ascii="Times" w:eastAsia="Times New Roman" w:hAnsi="Times" w:cs="Times New Roman"/>
          <w:color w:val="000000"/>
          <w:sz w:val="27"/>
          <w:szCs w:val="27"/>
        </w:rPr>
        <w:t>twice-daily famotidine treatment group did not meet the clinical goals</w:t>
      </w:r>
      <w:r>
        <w:rPr>
          <w:rFonts w:ascii="Times" w:eastAsia="Times New Roman" w:hAnsi="Times" w:cs="Times New Roman"/>
          <w:color w:val="000000"/>
          <w:sz w:val="27"/>
          <w:szCs w:val="27"/>
        </w:rPr>
        <w:t xml:space="preserve"> </w:t>
      </w:r>
      <w:r w:rsidRPr="0014331A">
        <w:rPr>
          <w:rFonts w:ascii="Times" w:eastAsia="Times New Roman" w:hAnsi="Times" w:cs="Times New Roman"/>
          <w:color w:val="000000"/>
          <w:sz w:val="27"/>
          <w:szCs w:val="27"/>
        </w:rPr>
        <w:t>on any day of treatment</w:t>
      </w:r>
      <w:r>
        <w:rPr>
          <w:rFonts w:ascii="Times" w:eastAsia="Times New Roman" w:hAnsi="Times" w:cs="Times New Roman"/>
          <w:color w:val="000000"/>
          <w:sz w:val="27"/>
          <w:szCs w:val="27"/>
        </w:rPr>
        <w:t>.</w:t>
      </w:r>
    </w:p>
    <w:p w14:paraId="7983E280" w14:textId="53954FF8" w:rsidR="0014331A" w:rsidRDefault="0014331A" w:rsidP="0014331A">
      <w:pPr>
        <w:rPr>
          <w:rFonts w:ascii="Times" w:eastAsia="Times New Roman" w:hAnsi="Times" w:cs="Times New Roman"/>
          <w:color w:val="000000"/>
          <w:sz w:val="27"/>
          <w:szCs w:val="27"/>
        </w:rPr>
      </w:pPr>
    </w:p>
    <w:p w14:paraId="56E45DC1" w14:textId="66977F04" w:rsidR="0014331A" w:rsidRPr="0014331A" w:rsidRDefault="0014331A">
      <w:pPr>
        <w:rPr>
          <w:rFonts w:ascii="Times New Roman" w:eastAsia="Times New Roman" w:hAnsi="Times New Roman" w:cs="Times New Roman"/>
        </w:rPr>
      </w:pPr>
      <w:r w:rsidRPr="0014331A">
        <w:rPr>
          <w:rFonts w:ascii="Times" w:eastAsia="Times New Roman" w:hAnsi="Times" w:cs="Times New Roman"/>
          <w:color w:val="000000"/>
          <w:sz w:val="27"/>
          <w:szCs w:val="27"/>
        </w:rPr>
        <w:t>The administration of famotidine CRI did appear to be associated with vomiting, as more vomiting events were noted in this treatment group; however, the study was underpowered to detect a significant difference between groups</w:t>
      </w:r>
      <w:r>
        <w:rPr>
          <w:rFonts w:ascii="Times" w:eastAsia="Times New Roman" w:hAnsi="Times" w:cs="Times New Roman"/>
          <w:color w:val="000000"/>
          <w:sz w:val="27"/>
          <w:szCs w:val="27"/>
        </w:rPr>
        <w:t>.</w:t>
      </w:r>
    </w:p>
    <w:p w14:paraId="134D280D" w14:textId="7118D0B3" w:rsidR="00DB7646" w:rsidRDefault="00C22D46" w:rsidP="0085585E">
      <w:pPr>
        <w:jc w:val="center"/>
      </w:pPr>
      <w:r>
        <w:rPr>
          <w:noProof/>
        </w:rPr>
        <w:lastRenderedPageBreak/>
        <w:drawing>
          <wp:inline distT="0" distB="0" distL="0" distR="0" wp14:anchorId="7FD1EF57" wp14:editId="33D7DE9B">
            <wp:extent cx="5943600" cy="169481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 Shot 2019-10-30 at 11.52.02 AM.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3600" cy="1694815"/>
                    </a:xfrm>
                    <a:prstGeom prst="rect">
                      <a:avLst/>
                    </a:prstGeom>
                  </pic:spPr>
                </pic:pic>
              </a:graphicData>
            </a:graphic>
          </wp:inline>
        </w:drawing>
      </w:r>
      <w:r>
        <w:rPr>
          <w:noProof/>
        </w:rPr>
        <w:drawing>
          <wp:inline distT="0" distB="0" distL="0" distR="0" wp14:anchorId="44070161" wp14:editId="5BCCC3AC">
            <wp:extent cx="5943600" cy="5966460"/>
            <wp:effectExtent l="0" t="0" r="0" b="254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9-10-30 at 11.51.38 AM.png"/>
                    <pic:cNvPicPr/>
                  </pic:nvPicPr>
                  <pic:blipFill>
                    <a:blip r:embed="rId18">
                      <a:extLst>
                        <a:ext uri="{28A0092B-C50C-407E-A947-70E740481C1C}">
                          <a14:useLocalDpi xmlns:a14="http://schemas.microsoft.com/office/drawing/2010/main" val="0"/>
                        </a:ext>
                      </a:extLst>
                    </a:blip>
                    <a:stretch>
                      <a:fillRect/>
                    </a:stretch>
                  </pic:blipFill>
                  <pic:spPr>
                    <a:xfrm>
                      <a:off x="0" y="0"/>
                      <a:ext cx="5943600" cy="5966460"/>
                    </a:xfrm>
                    <a:prstGeom prst="rect">
                      <a:avLst/>
                    </a:prstGeom>
                  </pic:spPr>
                </pic:pic>
              </a:graphicData>
            </a:graphic>
          </wp:inline>
        </w:drawing>
      </w:r>
      <w:r>
        <w:rPr>
          <w:noProof/>
        </w:rPr>
        <w:lastRenderedPageBreak/>
        <w:drawing>
          <wp:inline distT="0" distB="0" distL="0" distR="0" wp14:anchorId="0F556BBF" wp14:editId="5B132D11">
            <wp:extent cx="5943600" cy="154305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 Shot 2019-10-30 at 11.55.03 AM.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943600" cy="1543050"/>
                    </a:xfrm>
                    <a:prstGeom prst="rect">
                      <a:avLst/>
                    </a:prstGeom>
                  </pic:spPr>
                </pic:pic>
              </a:graphicData>
            </a:graphic>
          </wp:inline>
        </w:drawing>
      </w:r>
    </w:p>
    <w:p w14:paraId="66CC402C" w14:textId="68D9CEDD" w:rsidR="00C22D46" w:rsidRDefault="00C22D46" w:rsidP="0085585E">
      <w:pPr>
        <w:jc w:val="center"/>
      </w:pPr>
      <w:r>
        <w:rPr>
          <w:noProof/>
        </w:rPr>
        <w:drawing>
          <wp:inline distT="0" distB="0" distL="0" distR="0" wp14:anchorId="06E1EBCD" wp14:editId="241FC016">
            <wp:extent cx="5943600" cy="651891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 Shot 2019-10-30 at 11.54.22 AM.png"/>
                    <pic:cNvPicPr/>
                  </pic:nvPicPr>
                  <pic:blipFill>
                    <a:blip r:embed="rId20">
                      <a:extLst>
                        <a:ext uri="{28A0092B-C50C-407E-A947-70E740481C1C}">
                          <a14:useLocalDpi xmlns:a14="http://schemas.microsoft.com/office/drawing/2010/main" val="0"/>
                        </a:ext>
                      </a:extLst>
                    </a:blip>
                    <a:stretch>
                      <a:fillRect/>
                    </a:stretch>
                  </pic:blipFill>
                  <pic:spPr>
                    <a:xfrm>
                      <a:off x="0" y="0"/>
                      <a:ext cx="5943600" cy="6518910"/>
                    </a:xfrm>
                    <a:prstGeom prst="rect">
                      <a:avLst/>
                    </a:prstGeom>
                  </pic:spPr>
                </pic:pic>
              </a:graphicData>
            </a:graphic>
          </wp:inline>
        </w:drawing>
      </w:r>
    </w:p>
    <w:sectPr w:rsidR="00C22D46" w:rsidSect="0087668C">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8C640F" w14:textId="77777777" w:rsidR="00FD737F" w:rsidRDefault="00FD737F" w:rsidP="0087668C">
      <w:r>
        <w:separator/>
      </w:r>
    </w:p>
  </w:endnote>
  <w:endnote w:type="continuationSeparator" w:id="0">
    <w:p w14:paraId="66EB9D7D" w14:textId="77777777" w:rsidR="00FD737F" w:rsidRDefault="00FD737F" w:rsidP="008766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027F32" w14:textId="77777777" w:rsidR="00FD737F" w:rsidRDefault="00FD737F" w:rsidP="0087668C">
      <w:r>
        <w:separator/>
      </w:r>
    </w:p>
  </w:footnote>
  <w:footnote w:type="continuationSeparator" w:id="0">
    <w:p w14:paraId="0B51540B" w14:textId="77777777" w:rsidR="00FD737F" w:rsidRDefault="00FD737F" w:rsidP="0087668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C756AC4"/>
    <w:multiLevelType w:val="hybridMultilevel"/>
    <w:tmpl w:val="4C5486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7646"/>
    <w:rsid w:val="001005C4"/>
    <w:rsid w:val="0014331A"/>
    <w:rsid w:val="003F4CFD"/>
    <w:rsid w:val="008308E9"/>
    <w:rsid w:val="0085585E"/>
    <w:rsid w:val="0087668C"/>
    <w:rsid w:val="00906DD0"/>
    <w:rsid w:val="00C22D46"/>
    <w:rsid w:val="00DB7646"/>
    <w:rsid w:val="00E92E99"/>
    <w:rsid w:val="00FD73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3F9AD4C"/>
  <w15:chartTrackingRefBased/>
  <w15:docId w15:val="{A9E66256-5AAC-8940-AE73-AEF7140BCB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7668C"/>
    <w:pPr>
      <w:ind w:left="720"/>
      <w:contextualSpacing/>
    </w:pPr>
  </w:style>
  <w:style w:type="paragraph" w:styleId="Header">
    <w:name w:val="header"/>
    <w:basedOn w:val="Normal"/>
    <w:link w:val="HeaderChar"/>
    <w:uiPriority w:val="99"/>
    <w:unhideWhenUsed/>
    <w:rsid w:val="0087668C"/>
    <w:pPr>
      <w:tabs>
        <w:tab w:val="center" w:pos="4680"/>
        <w:tab w:val="right" w:pos="9360"/>
      </w:tabs>
    </w:pPr>
  </w:style>
  <w:style w:type="character" w:customStyle="1" w:styleId="HeaderChar">
    <w:name w:val="Header Char"/>
    <w:basedOn w:val="DefaultParagraphFont"/>
    <w:link w:val="Header"/>
    <w:uiPriority w:val="99"/>
    <w:rsid w:val="0087668C"/>
  </w:style>
  <w:style w:type="paragraph" w:styleId="Footer">
    <w:name w:val="footer"/>
    <w:basedOn w:val="Normal"/>
    <w:link w:val="FooterChar"/>
    <w:uiPriority w:val="99"/>
    <w:unhideWhenUsed/>
    <w:rsid w:val="0087668C"/>
    <w:pPr>
      <w:tabs>
        <w:tab w:val="center" w:pos="4680"/>
        <w:tab w:val="right" w:pos="9360"/>
      </w:tabs>
    </w:pPr>
  </w:style>
  <w:style w:type="character" w:customStyle="1" w:styleId="FooterChar">
    <w:name w:val="Footer Char"/>
    <w:basedOn w:val="DefaultParagraphFont"/>
    <w:link w:val="Footer"/>
    <w:uiPriority w:val="99"/>
    <w:rsid w:val="008766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7453820">
      <w:bodyDiv w:val="1"/>
      <w:marLeft w:val="0"/>
      <w:marRight w:val="0"/>
      <w:marTop w:val="0"/>
      <w:marBottom w:val="0"/>
      <w:divBdr>
        <w:top w:val="none" w:sz="0" w:space="0" w:color="auto"/>
        <w:left w:val="none" w:sz="0" w:space="0" w:color="auto"/>
        <w:bottom w:val="none" w:sz="0" w:space="0" w:color="auto"/>
        <w:right w:val="none" w:sz="0" w:space="0" w:color="auto"/>
      </w:divBdr>
    </w:div>
    <w:div w:id="290088144">
      <w:bodyDiv w:val="1"/>
      <w:marLeft w:val="0"/>
      <w:marRight w:val="0"/>
      <w:marTop w:val="0"/>
      <w:marBottom w:val="0"/>
      <w:divBdr>
        <w:top w:val="none" w:sz="0" w:space="0" w:color="auto"/>
        <w:left w:val="none" w:sz="0" w:space="0" w:color="auto"/>
        <w:bottom w:val="none" w:sz="0" w:space="0" w:color="auto"/>
        <w:right w:val="none" w:sz="0" w:space="0" w:color="auto"/>
      </w:divBdr>
    </w:div>
    <w:div w:id="447508610">
      <w:bodyDiv w:val="1"/>
      <w:marLeft w:val="0"/>
      <w:marRight w:val="0"/>
      <w:marTop w:val="0"/>
      <w:marBottom w:val="0"/>
      <w:divBdr>
        <w:top w:val="none" w:sz="0" w:space="0" w:color="auto"/>
        <w:left w:val="none" w:sz="0" w:space="0" w:color="auto"/>
        <w:bottom w:val="none" w:sz="0" w:space="0" w:color="auto"/>
        <w:right w:val="none" w:sz="0" w:space="0" w:color="auto"/>
      </w:divBdr>
    </w:div>
    <w:div w:id="486287394">
      <w:bodyDiv w:val="1"/>
      <w:marLeft w:val="0"/>
      <w:marRight w:val="0"/>
      <w:marTop w:val="0"/>
      <w:marBottom w:val="0"/>
      <w:divBdr>
        <w:top w:val="none" w:sz="0" w:space="0" w:color="auto"/>
        <w:left w:val="none" w:sz="0" w:space="0" w:color="auto"/>
        <w:bottom w:val="none" w:sz="0" w:space="0" w:color="auto"/>
        <w:right w:val="none" w:sz="0" w:space="0" w:color="auto"/>
      </w:divBdr>
    </w:div>
    <w:div w:id="546336361">
      <w:bodyDiv w:val="1"/>
      <w:marLeft w:val="0"/>
      <w:marRight w:val="0"/>
      <w:marTop w:val="0"/>
      <w:marBottom w:val="0"/>
      <w:divBdr>
        <w:top w:val="none" w:sz="0" w:space="0" w:color="auto"/>
        <w:left w:val="none" w:sz="0" w:space="0" w:color="auto"/>
        <w:bottom w:val="none" w:sz="0" w:space="0" w:color="auto"/>
        <w:right w:val="none" w:sz="0" w:space="0" w:color="auto"/>
      </w:divBdr>
    </w:div>
    <w:div w:id="1088843019">
      <w:bodyDiv w:val="1"/>
      <w:marLeft w:val="0"/>
      <w:marRight w:val="0"/>
      <w:marTop w:val="0"/>
      <w:marBottom w:val="0"/>
      <w:divBdr>
        <w:top w:val="none" w:sz="0" w:space="0" w:color="auto"/>
        <w:left w:val="none" w:sz="0" w:space="0" w:color="auto"/>
        <w:bottom w:val="none" w:sz="0" w:space="0" w:color="auto"/>
        <w:right w:val="none" w:sz="0" w:space="0" w:color="auto"/>
      </w:divBdr>
    </w:div>
    <w:div w:id="1409381258">
      <w:bodyDiv w:val="1"/>
      <w:marLeft w:val="0"/>
      <w:marRight w:val="0"/>
      <w:marTop w:val="0"/>
      <w:marBottom w:val="0"/>
      <w:divBdr>
        <w:top w:val="none" w:sz="0" w:space="0" w:color="auto"/>
        <w:left w:val="none" w:sz="0" w:space="0" w:color="auto"/>
        <w:bottom w:val="none" w:sz="0" w:space="0" w:color="auto"/>
        <w:right w:val="none" w:sz="0" w:space="0" w:color="auto"/>
      </w:divBdr>
    </w:div>
    <w:div w:id="1431315187">
      <w:bodyDiv w:val="1"/>
      <w:marLeft w:val="0"/>
      <w:marRight w:val="0"/>
      <w:marTop w:val="0"/>
      <w:marBottom w:val="0"/>
      <w:divBdr>
        <w:top w:val="none" w:sz="0" w:space="0" w:color="auto"/>
        <w:left w:val="none" w:sz="0" w:space="0" w:color="auto"/>
        <w:bottom w:val="none" w:sz="0" w:space="0" w:color="auto"/>
        <w:right w:val="none" w:sz="0" w:space="0" w:color="auto"/>
      </w:divBdr>
    </w:div>
    <w:div w:id="1466115933">
      <w:bodyDiv w:val="1"/>
      <w:marLeft w:val="0"/>
      <w:marRight w:val="0"/>
      <w:marTop w:val="0"/>
      <w:marBottom w:val="0"/>
      <w:divBdr>
        <w:top w:val="none" w:sz="0" w:space="0" w:color="auto"/>
        <w:left w:val="none" w:sz="0" w:space="0" w:color="auto"/>
        <w:bottom w:val="none" w:sz="0" w:space="0" w:color="auto"/>
        <w:right w:val="none" w:sz="0" w:space="0" w:color="auto"/>
      </w:divBdr>
    </w:div>
    <w:div w:id="1525485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51</TotalTime>
  <Pages>9</Pages>
  <Words>1002</Words>
  <Characters>5716</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Victoria Chu</dc:creator>
  <cp:keywords/>
  <dc:description/>
  <cp:lastModifiedBy>Victoria Chu</cp:lastModifiedBy>
  <cp:revision>5</cp:revision>
  <dcterms:created xsi:type="dcterms:W3CDTF">2019-10-30T16:53:00Z</dcterms:created>
  <dcterms:modified xsi:type="dcterms:W3CDTF">2019-11-07T04:41:00Z</dcterms:modified>
</cp:coreProperties>
</file>