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9E00C7" w:rsidR="00DF542E" w:rsidP="009E00C7" w:rsidRDefault="00E94831" w14:paraId="5F742C97" wp14:textId="77777777">
      <w:pPr>
        <w:pStyle w:val="NoSpacing"/>
        <w:rPr>
          <w:b/>
        </w:rPr>
      </w:pPr>
      <w:proofErr w:type="spellStart"/>
      <w:r w:rsidRPr="009E00C7">
        <w:rPr>
          <w:b/>
        </w:rPr>
        <w:t>LibGuides</w:t>
      </w:r>
      <w:proofErr w:type="spellEnd"/>
      <w:r w:rsidRPr="009E00C7">
        <w:rPr>
          <w:b/>
        </w:rPr>
        <w:t xml:space="preserve"> and Canvas I</w:t>
      </w:r>
      <w:r w:rsidRPr="009E00C7" w:rsidR="00DF542E">
        <w:rPr>
          <w:b/>
        </w:rPr>
        <w:t>ntegration</w:t>
      </w:r>
      <w:r w:rsidRPr="009E00C7">
        <w:rPr>
          <w:b/>
        </w:rPr>
        <w:t xml:space="preserve"> Options</w:t>
      </w:r>
    </w:p>
    <w:p xmlns:wp14="http://schemas.microsoft.com/office/word/2010/wordml" w:rsidR="00E94831" w:rsidP="009E00C7" w:rsidRDefault="00E94831" w14:paraId="70F580B3" wp14:textId="77777777">
      <w:pPr>
        <w:pStyle w:val="NoSpacing"/>
      </w:pPr>
      <w:r>
        <w:t xml:space="preserve">Document prepared by PSEC Instruction Committee, </w:t>
      </w:r>
      <w:proofErr w:type="spellStart"/>
      <w:r>
        <w:t>LibGuides</w:t>
      </w:r>
      <w:proofErr w:type="spellEnd"/>
      <w:r>
        <w:t xml:space="preserve"> Sub-team</w:t>
      </w:r>
      <w:r w:rsidR="009E00C7">
        <w:t xml:space="preserve">: </w:t>
      </w:r>
    </w:p>
    <w:p xmlns:wp14="http://schemas.microsoft.com/office/word/2010/wordml" w:rsidR="00E94831" w:rsidP="009E00C7" w:rsidRDefault="00E94831" w14:paraId="2041B94C" wp14:textId="77777777">
      <w:pPr>
        <w:pStyle w:val="NoSpacing"/>
        <w:ind w:left="720"/>
      </w:pPr>
      <w:r>
        <w:t xml:space="preserve">Aliqae Geraci, Jeremy Cusker, </w:t>
      </w:r>
      <w:proofErr w:type="spellStart"/>
      <w:r>
        <w:t>Zöe</w:t>
      </w:r>
      <w:proofErr w:type="spellEnd"/>
      <w:r>
        <w:t xml:space="preserve"> Wilkinson </w:t>
      </w:r>
      <w:proofErr w:type="spellStart"/>
      <w:r>
        <w:t>Saldaña</w:t>
      </w:r>
      <w:proofErr w:type="spellEnd"/>
      <w:r>
        <w:t>, Lynn Thitchener, Mel Jensen</w:t>
      </w:r>
    </w:p>
    <w:p xmlns:wp14="http://schemas.microsoft.com/office/word/2010/wordml" w:rsidR="004743AD" w:rsidP="009E00C7" w:rsidRDefault="004743AD" w14:paraId="7B252D3A" wp14:textId="77777777">
      <w:pPr>
        <w:pStyle w:val="NoSpacing"/>
      </w:pPr>
      <w:r>
        <w:t>November 12, 2018</w:t>
      </w:r>
    </w:p>
    <w:p xmlns:wp14="http://schemas.microsoft.com/office/word/2010/wordml" w:rsidR="00D13783" w:rsidP="00D13783" w:rsidRDefault="00D13783" w14:paraId="672A6659" wp14:textId="77777777">
      <w:bookmarkStart w:name="_GoBack" w:id="0"/>
      <w:bookmarkEnd w:id="0"/>
    </w:p>
    <w:p xmlns:wp14="http://schemas.microsoft.com/office/word/2010/wordml" w:rsidR="00AD5A72" w:rsidP="00D13783" w:rsidRDefault="004743AD" w14:paraId="36A15E29" wp14:textId="0CE151E5">
      <w:r>
        <w:rPr/>
        <w:t xml:space="preserve">By request of Assistant University Librarian </w:t>
      </w:r>
      <w:proofErr w:type="spellStart"/>
      <w:r>
        <w:rPr/>
        <w:t xml:space="preserve">Danianne</w:t>
      </w:r>
      <w:proofErr w:type="spellEnd"/>
      <w:r>
        <w:rPr/>
        <w:t xml:space="preserve"> </w:t>
      </w:r>
      <w:proofErr w:type="spellStart"/>
      <w:r>
        <w:rPr/>
        <w:t xml:space="preserve">Mizzy</w:t>
      </w:r>
      <w:proofErr w:type="spellEnd"/>
      <w:r>
        <w:rPr/>
        <w:t xml:space="preserve">, the </w:t>
      </w:r>
      <w:proofErr w:type="spellStart"/>
      <w:r>
        <w:rPr/>
        <w:t>LibGuides</w:t>
      </w:r>
      <w:proofErr w:type="spellEnd"/>
      <w:r>
        <w:rPr/>
        <w:t xml:space="preserve"> </w:t>
      </w:r>
      <w:proofErr w:type="spellStart"/>
      <w:r>
        <w:rPr/>
        <w:t>Subteam</w:t>
      </w:r>
      <w:proofErr w:type="spellEnd"/>
      <w:r>
        <w:rPr/>
        <w:t xml:space="preserve"> of the PSEC Instruction Committee investigated </w:t>
      </w:r>
      <w:proofErr w:type="spellStart"/>
      <w:r>
        <w:rPr/>
        <w:t>LibGuide</w:t>
      </w:r>
      <w:proofErr w:type="spellEnd"/>
      <w:r>
        <w:rPr/>
        <w:t xml:space="preserve"> integration in the Canvas LMS. We have confirmed that t</w:t>
      </w:r>
      <w:r w:rsidR="00D13783">
        <w:rPr/>
        <w:t xml:space="preserve">hrough </w:t>
      </w:r>
      <w:proofErr w:type="spellStart"/>
      <w:r w:rsidR="00D13783">
        <w:rPr/>
        <w:t>Springshare’s</w:t>
      </w:r>
      <w:proofErr w:type="spellEnd"/>
      <w:r w:rsidR="00D13783">
        <w:rPr/>
        <w:t xml:space="preserve"> </w:t>
      </w:r>
      <w:proofErr w:type="spellStart"/>
      <w:r w:rsidR="00DF542E">
        <w:rPr/>
        <w:t>Lib</w:t>
      </w:r>
      <w:r w:rsidR="009E00C7">
        <w:rPr/>
        <w:t>Apps</w:t>
      </w:r>
      <w:proofErr w:type="spellEnd"/>
      <w:r w:rsidR="00DF542E">
        <w:rPr/>
        <w:t xml:space="preserve"> LTI</w:t>
      </w:r>
      <w:r w:rsidR="00D13783">
        <w:rPr/>
        <w:t xml:space="preserve"> </w:t>
      </w:r>
      <w:r w:rsidR="00664C80">
        <w:rPr/>
        <w:t>tools</w:t>
      </w:r>
      <w:r w:rsidR="00D13783">
        <w:rPr/>
        <w:t xml:space="preserve">, we can integrate </w:t>
      </w:r>
      <w:proofErr w:type="spellStart"/>
      <w:r w:rsidR="00DF542E">
        <w:rPr/>
        <w:t>Lib</w:t>
      </w:r>
      <w:r w:rsidR="00E94831">
        <w:rPr/>
        <w:t>Guide</w:t>
      </w:r>
      <w:r w:rsidR="00DF542E">
        <w:rPr/>
        <w:t>s</w:t>
      </w:r>
      <w:proofErr w:type="spellEnd"/>
      <w:r w:rsidR="00D13783">
        <w:rPr/>
        <w:t xml:space="preserve"> </w:t>
      </w:r>
      <w:r w:rsidR="00DF542E">
        <w:rPr/>
        <w:t xml:space="preserve">or any other content from the </w:t>
      </w:r>
      <w:proofErr w:type="spellStart"/>
      <w:r w:rsidR="00DF542E">
        <w:rPr/>
        <w:t>Lib</w:t>
      </w:r>
      <w:r w:rsidR="00664C80">
        <w:rPr/>
        <w:t>Apps</w:t>
      </w:r>
      <w:proofErr w:type="spellEnd"/>
      <w:r w:rsidR="00DF542E">
        <w:rPr/>
        <w:t xml:space="preserve"> system</w:t>
      </w:r>
      <w:r w:rsidR="00D13783">
        <w:rPr/>
        <w:t xml:space="preserve"> into Canvas</w:t>
      </w:r>
      <w:r w:rsidR="00664C80">
        <w:rPr>
          <w:rStyle w:val="EndnoteReference"/>
        </w:rPr>
        <w:endnoteReference w:id="1"/>
      </w:r>
      <w:r w:rsidR="00D13783">
        <w:rPr/>
        <w:t>. CUL already has</w:t>
      </w:r>
      <w:r w:rsidR="00AD5A72">
        <w:rPr/>
        <w:t xml:space="preserve"> access</w:t>
      </w:r>
      <w:r>
        <w:rPr/>
        <w:t xml:space="preserve"> to LTI</w:t>
      </w:r>
      <w:r w:rsidR="00AD5A72">
        <w:rPr/>
        <w:t xml:space="preserve"> through our </w:t>
      </w:r>
      <w:proofErr w:type="spellStart"/>
      <w:r w:rsidR="00AD5A72">
        <w:rPr/>
        <w:t>Lib</w:t>
      </w:r>
      <w:r w:rsidR="00E94831">
        <w:rPr/>
        <w:t>Guide</w:t>
      </w:r>
      <w:r w:rsidR="00AD5A72">
        <w:rPr/>
        <w:t>s</w:t>
      </w:r>
      <w:proofErr w:type="spellEnd"/>
      <w:r w:rsidR="00AD5A72">
        <w:rPr/>
        <w:t xml:space="preserve"> CMS subscription</w:t>
      </w:r>
      <w:r w:rsidR="00AA7CB4">
        <w:rPr/>
        <w:t xml:space="preserve">, </w:t>
      </w:r>
      <w:r w:rsidR="00D13783">
        <w:rPr/>
        <w:t xml:space="preserve">and </w:t>
      </w:r>
      <w:r w:rsidR="00AA7CB4">
        <w:rPr/>
        <w:t xml:space="preserve">no further </w:t>
      </w:r>
      <w:r w:rsidR="00D13783">
        <w:rPr/>
        <w:t>payment or access is</w:t>
      </w:r>
      <w:r w:rsidR="00AA7CB4">
        <w:rPr/>
        <w:t xml:space="preserve"> </w:t>
      </w:r>
      <w:r w:rsidR="00D13783">
        <w:rPr/>
        <w:t>required.</w:t>
      </w:r>
      <w:r w:rsidR="00664C80">
        <w:rPr/>
        <w:t xml:space="preserve"> </w:t>
      </w:r>
      <w:r w:rsidRPr="75E8D74F" w:rsidR="00664C80">
        <w:rPr>
          <w:rFonts w:eastAsia="Times New Roman" w:cs="Calibri" w:cstheme="minorAscii"/>
          <w:color w:val="000000" w:themeColor="text1"/>
        </w:rPr>
        <w:t xml:space="preserve">In order for the LTI tools to </w:t>
      </w:r>
      <w:r w:rsidRPr="75E8D74F" w:rsidR="00664C80">
        <w:rPr>
          <w:rFonts w:eastAsia="Times New Roman" w:cs="Calibri" w:cstheme="minorAscii"/>
          <w:color w:val="000000" w:themeColor="text1"/>
        </w:rPr>
        <w:t>be integrated</w:t>
      </w:r>
      <w:r w:rsidRPr="75E8D74F" w:rsidR="00664C80">
        <w:rPr>
          <w:rFonts w:eastAsia="Times New Roman" w:cs="Calibri" w:cstheme="minorAscii"/>
          <w:color w:val="000000" w:themeColor="text1"/>
        </w:rPr>
        <w:t xml:space="preserve"> in Canvas, Canvas administrators must add the LTI consumer key</w:t>
      </w:r>
      <w:r w:rsidRPr="75E8D74F" w:rsidR="00664C80">
        <w:rPr>
          <w:rFonts w:eastAsia="Times New Roman" w:cs="Calibri" w:cstheme="minorAscii"/>
          <w:color w:val="000000" w:themeColor="text1"/>
        </w:rPr>
        <w:t xml:space="preserve"> </w:t>
      </w:r>
      <w:r w:rsidRPr="75E8D74F" w:rsidR="00664C80">
        <w:rPr>
          <w:rFonts w:eastAsia="Times New Roman" w:cs="Calibri" w:cstheme="minorAscii"/>
          <w:color w:val="000000" w:themeColor="text1"/>
        </w:rPr>
        <w:t xml:space="preserve">and </w:t>
      </w:r>
      <w:r w:rsidRPr="75E8D74F" w:rsidR="00664C80">
        <w:rPr>
          <w:rFonts w:eastAsia="Times New Roman" w:cs="Calibri" w:cstheme="minorAscii"/>
          <w:color w:val="000000" w:themeColor="text1"/>
        </w:rPr>
        <w:t>config</w:t>
      </w:r>
      <w:r w:rsidRPr="75E8D74F" w:rsidR="00664C80">
        <w:rPr>
          <w:rFonts w:eastAsia="Times New Roman" w:cs="Calibri" w:cstheme="minorAscii"/>
          <w:color w:val="000000" w:themeColor="text1"/>
        </w:rPr>
        <w:t xml:space="preserve">ure the </w:t>
      </w:r>
      <w:r w:rsidRPr="75E8D74F" w:rsidR="00664C80">
        <w:rPr>
          <w:rFonts w:eastAsia="Times New Roman" w:cs="Calibri" w:cstheme="minorAscii"/>
          <w:color w:val="000000" w:themeColor="text1"/>
        </w:rPr>
        <w:t xml:space="preserve">Canvas </w:t>
      </w:r>
      <w:r w:rsidRPr="75E8D74F" w:rsidR="00664C80">
        <w:rPr>
          <w:rFonts w:eastAsia="Times New Roman" w:cs="Calibri" w:cstheme="minorAscii"/>
          <w:color w:val="000000" w:themeColor="text1"/>
        </w:rPr>
        <w:t xml:space="preserve">administrator </w:t>
      </w:r>
      <w:r w:rsidRPr="75E8D74F" w:rsidR="00664C80">
        <w:rPr>
          <w:rFonts w:eastAsia="Times New Roman" w:cs="Calibri" w:cstheme="minorAscii"/>
          <w:color w:val="000000" w:themeColor="text1"/>
        </w:rPr>
        <w:t>settings.</w:t>
      </w:r>
    </w:p>
    <w:p xmlns:wp14="http://schemas.microsoft.com/office/word/2010/wordml" w:rsidR="00E94831" w:rsidP="00E94831" w:rsidRDefault="00D13783" w14:paraId="67545E3F" wp14:textId="54A879F2">
      <w:r w:rsidR="75E8D74F">
        <w:rPr/>
        <w:t xml:space="preserve">Auto-population of </w:t>
      </w:r>
      <w:proofErr w:type="spellStart"/>
      <w:r w:rsidR="75E8D74F">
        <w:rPr/>
        <w:t>LibGuides</w:t>
      </w:r>
      <w:proofErr w:type="spellEnd"/>
      <w:r w:rsidR="75E8D74F">
        <w:rPr/>
        <w:t xml:space="preserve"> (“Guides”) </w:t>
      </w:r>
      <w:r w:rsidR="75E8D74F">
        <w:rPr/>
        <w:t xml:space="preserve">content into </w:t>
      </w:r>
      <w:r w:rsidR="75E8D74F">
        <w:rPr/>
        <w:t xml:space="preserve">Canvas </w:t>
      </w:r>
      <w:r w:rsidR="75E8D74F">
        <w:rPr/>
        <w:t xml:space="preserve">pages </w:t>
      </w:r>
      <w:r w:rsidR="75E8D74F">
        <w:rPr/>
        <w:t xml:space="preserve">can be achieved by enabling the LTI </w:t>
      </w:r>
      <w:proofErr w:type="spellStart"/>
      <w:r w:rsidR="75E8D74F">
        <w:rPr/>
        <w:t>Automagic</w:t>
      </w:r>
      <w:proofErr w:type="spellEnd"/>
      <w:r w:rsidR="75E8D74F">
        <w:rPr/>
        <w:t xml:space="preserve"> tool. </w:t>
      </w:r>
      <w:proofErr w:type="spellStart"/>
      <w:r w:rsidR="75E8D74F">
        <w:rPr/>
        <w:t>Automagic</w:t>
      </w:r>
      <w:proofErr w:type="spellEnd"/>
      <w:r w:rsidR="75E8D74F">
        <w:rPr/>
        <w:t xml:space="preserve"> matches existing Guides to course title</w:t>
      </w:r>
      <w:r w:rsidR="75E8D74F">
        <w:rPr/>
        <w:t xml:space="preserve"> in Canvas</w:t>
      </w:r>
      <w:r w:rsidR="75E8D74F">
        <w:rPr/>
        <w:t xml:space="preserve">, based on defined Guide metadata. According to Springshare, </w:t>
      </w:r>
    </w:p>
    <w:p xmlns:wp14="http://schemas.microsoft.com/office/word/2010/wordml" w:rsidR="00AD5A72" w:rsidP="00D414F6" w:rsidRDefault="00E94831" w14:paraId="2550A9AE" wp14:textId="77777777">
      <w:pPr>
        <w:ind w:left="720"/>
        <w:rPr>
          <w:rFonts w:eastAsia="Times New Roman" w:cstheme="minorHAnsi"/>
          <w:bCs/>
          <w:i/>
          <w:color w:val="000000" w:themeColor="text1"/>
          <w:szCs w:val="21"/>
        </w:rPr>
      </w:pPr>
      <w:r w:rsidRPr="00D414F6">
        <w:rPr>
          <w:rFonts w:eastAsia="Times New Roman" w:cstheme="minorHAnsi"/>
          <w:bCs/>
          <w:i/>
          <w:color w:val="000000" w:themeColor="text1"/>
          <w:szCs w:val="21"/>
        </w:rPr>
        <w:t>“[t]</w:t>
      </w:r>
      <w:r w:rsidRPr="00D414F6" w:rsidR="00AD5A72">
        <w:rPr>
          <w:rFonts w:eastAsia="Times New Roman" w:cstheme="minorHAnsi"/>
          <w:bCs/>
          <w:i/>
          <w:color w:val="000000" w:themeColor="text1"/>
          <w:szCs w:val="21"/>
        </w:rPr>
        <w:t xml:space="preserve">he tool, once created in your LMS, matches </w:t>
      </w:r>
      <w:proofErr w:type="spellStart"/>
      <w:r w:rsidRPr="00D414F6" w:rsidR="00AD5A72">
        <w:rPr>
          <w:rFonts w:eastAsia="Times New Roman" w:cstheme="minorHAnsi"/>
          <w:bCs/>
          <w:i/>
          <w:color w:val="000000" w:themeColor="text1"/>
          <w:szCs w:val="21"/>
        </w:rPr>
        <w:t>Lib</w:t>
      </w:r>
      <w:r w:rsidRPr="00D414F6">
        <w:rPr>
          <w:rFonts w:eastAsia="Times New Roman" w:cstheme="minorHAnsi"/>
          <w:bCs/>
          <w:i/>
          <w:color w:val="000000" w:themeColor="text1"/>
          <w:szCs w:val="21"/>
        </w:rPr>
        <w:t>Guide</w:t>
      </w:r>
      <w:r w:rsidRPr="00D414F6" w:rsidR="00AD5A72">
        <w:rPr>
          <w:rFonts w:eastAsia="Times New Roman" w:cstheme="minorHAnsi"/>
          <w:bCs/>
          <w:i/>
          <w:color w:val="000000" w:themeColor="text1"/>
          <w:szCs w:val="21"/>
        </w:rPr>
        <w:t>s</w:t>
      </w:r>
      <w:proofErr w:type="spellEnd"/>
      <w:r w:rsidRPr="00D414F6" w:rsidR="00AD5A72">
        <w:rPr>
          <w:rFonts w:eastAsia="Times New Roman" w:cstheme="minorHAnsi"/>
          <w:bCs/>
          <w:i/>
          <w:color w:val="000000" w:themeColor="text1"/>
          <w:szCs w:val="21"/>
        </w:rPr>
        <w:t xml:space="preserve"> metadata against the parameter your LMS sends back. </w:t>
      </w:r>
      <w:proofErr w:type="gramStart"/>
      <w:r w:rsidRPr="00D414F6" w:rsidR="00AD5A72">
        <w:rPr>
          <w:rFonts w:eastAsia="Times New Roman" w:cstheme="minorHAnsi"/>
          <w:bCs/>
          <w:i/>
          <w:color w:val="000000" w:themeColor="text1"/>
          <w:szCs w:val="21"/>
        </w:rPr>
        <w:t>So</w:t>
      </w:r>
      <w:proofErr w:type="gramEnd"/>
      <w:r w:rsidRPr="00D414F6" w:rsidR="00AD5A72">
        <w:rPr>
          <w:rFonts w:eastAsia="Times New Roman" w:cstheme="minorHAnsi"/>
          <w:bCs/>
          <w:i/>
          <w:color w:val="000000" w:themeColor="text1"/>
          <w:szCs w:val="21"/>
        </w:rPr>
        <w:t xml:space="preserve"> you could have BIO432 match a specific </w:t>
      </w:r>
      <w:r w:rsidRPr="00D414F6">
        <w:rPr>
          <w:rFonts w:eastAsia="Times New Roman" w:cstheme="minorHAnsi"/>
          <w:bCs/>
          <w:i/>
          <w:color w:val="000000" w:themeColor="text1"/>
          <w:szCs w:val="21"/>
        </w:rPr>
        <w:t>Guide</w:t>
      </w:r>
      <w:r w:rsidRPr="00D414F6" w:rsidR="00AD5A72">
        <w:rPr>
          <w:rFonts w:eastAsia="Times New Roman" w:cstheme="minorHAnsi"/>
          <w:bCs/>
          <w:i/>
          <w:color w:val="000000" w:themeColor="text1"/>
          <w:szCs w:val="21"/>
        </w:rPr>
        <w:t xml:space="preserve"> like invertebrate anatomy, while BIO333 might only match the general biology </w:t>
      </w:r>
      <w:r w:rsidRPr="00D414F6">
        <w:rPr>
          <w:rFonts w:eastAsia="Times New Roman" w:cstheme="minorHAnsi"/>
          <w:bCs/>
          <w:i/>
          <w:color w:val="000000" w:themeColor="text1"/>
          <w:szCs w:val="21"/>
        </w:rPr>
        <w:t>Guide</w:t>
      </w:r>
      <w:r w:rsidRPr="00D414F6" w:rsidR="00AD5A72">
        <w:rPr>
          <w:rFonts w:eastAsia="Times New Roman" w:cstheme="minorHAnsi"/>
          <w:bCs/>
          <w:i/>
          <w:color w:val="000000" w:themeColor="text1"/>
          <w:szCs w:val="21"/>
        </w:rPr>
        <w:t xml:space="preserve"> you've created because there's no metadata match for BIO333, but there is a match for the general biology </w:t>
      </w:r>
      <w:r w:rsidRPr="00D414F6">
        <w:rPr>
          <w:rFonts w:eastAsia="Times New Roman" w:cstheme="minorHAnsi"/>
          <w:bCs/>
          <w:i/>
          <w:color w:val="000000" w:themeColor="text1"/>
          <w:szCs w:val="21"/>
        </w:rPr>
        <w:t>Guide</w:t>
      </w:r>
      <w:r w:rsidRPr="00D414F6" w:rsidR="00AD5A72">
        <w:rPr>
          <w:rFonts w:eastAsia="Times New Roman" w:cstheme="minorHAnsi"/>
          <w:bCs/>
          <w:i/>
          <w:color w:val="000000" w:themeColor="text1"/>
          <w:szCs w:val="21"/>
        </w:rPr>
        <w:t>'s BIO metadata item. It is flexible based on the metadata you create in </w:t>
      </w:r>
      <w:proofErr w:type="spellStart"/>
      <w:r w:rsidRPr="00D414F6" w:rsidR="00AD5A72">
        <w:rPr>
          <w:rFonts w:eastAsia="Times New Roman" w:cstheme="minorHAnsi"/>
          <w:bCs/>
          <w:i/>
          <w:color w:val="000000" w:themeColor="text1"/>
          <w:szCs w:val="21"/>
        </w:rPr>
        <w:t>Lib</w:t>
      </w:r>
      <w:r w:rsidRPr="00D414F6">
        <w:rPr>
          <w:rFonts w:eastAsia="Times New Roman" w:cstheme="minorHAnsi"/>
          <w:bCs/>
          <w:i/>
          <w:color w:val="000000" w:themeColor="text1"/>
          <w:szCs w:val="21"/>
        </w:rPr>
        <w:t>Guide</w:t>
      </w:r>
      <w:r w:rsidRPr="00D414F6" w:rsidR="00AD5A72">
        <w:rPr>
          <w:rFonts w:eastAsia="Times New Roman" w:cstheme="minorHAnsi"/>
          <w:bCs/>
          <w:i/>
          <w:color w:val="000000" w:themeColor="text1"/>
          <w:szCs w:val="21"/>
        </w:rPr>
        <w:t>s</w:t>
      </w:r>
      <w:proofErr w:type="spellEnd"/>
      <w:r w:rsidRPr="00D414F6" w:rsidR="00AD5A72">
        <w:rPr>
          <w:rFonts w:eastAsia="Times New Roman" w:cstheme="minorHAnsi"/>
          <w:bCs/>
          <w:i/>
          <w:color w:val="000000" w:themeColor="text1"/>
          <w:szCs w:val="21"/>
        </w:rPr>
        <w:t>.”</w:t>
      </w:r>
    </w:p>
    <w:p xmlns:wp14="http://schemas.microsoft.com/office/word/2010/wordml" w:rsidR="00AD5A72" w:rsidP="00E94831" w:rsidRDefault="00E94831" w14:paraId="304818D4" wp14:textId="77777777">
      <w:r>
        <w:rPr>
          <w:color w:val="000000" w:themeColor="text1"/>
        </w:rPr>
        <w:t xml:space="preserve">The </w:t>
      </w:r>
      <w:proofErr w:type="spellStart"/>
      <w:r>
        <w:rPr>
          <w:color w:val="000000" w:themeColor="text1"/>
        </w:rPr>
        <w:t>Automagic</w:t>
      </w:r>
      <w:proofErr w:type="spellEnd"/>
      <w:r>
        <w:rPr>
          <w:color w:val="000000" w:themeColor="text1"/>
        </w:rPr>
        <w:t xml:space="preserve"> feature would allow CUL </w:t>
      </w:r>
      <w:proofErr w:type="gramStart"/>
      <w:r>
        <w:rPr>
          <w:color w:val="000000" w:themeColor="text1"/>
        </w:rPr>
        <w:t xml:space="preserve">to successfully </w:t>
      </w:r>
      <w:r>
        <w:t>match</w:t>
      </w:r>
      <w:proofErr w:type="gramEnd"/>
      <w:r>
        <w:t xml:space="preserve"> a </w:t>
      </w:r>
      <w:r w:rsidR="00DF542E">
        <w:t xml:space="preserve">specific </w:t>
      </w:r>
      <w:r>
        <w:t>Guide</w:t>
      </w:r>
      <w:r w:rsidR="00DF542E">
        <w:t xml:space="preserve"> to </w:t>
      </w:r>
      <w:r>
        <w:t xml:space="preserve">semester </w:t>
      </w:r>
      <w:r w:rsidR="00DF542E">
        <w:t>course</w:t>
      </w:r>
      <w:r>
        <w:t xml:space="preserve">, with limited faculty or librarian intervention required. For example, a metadata match between an existing ILRLR 2010 Guide and current semester ILRLR 2010 section for the ILR School. Given that the relatively large number of course guides does not </w:t>
      </w:r>
      <w:r w:rsidR="009E00C7">
        <w:t>approach</w:t>
      </w:r>
      <w:r>
        <w:t xml:space="preserve"> the </w:t>
      </w:r>
      <w:r w:rsidR="009E00C7">
        <w:t xml:space="preserve">much </w:t>
      </w:r>
      <w:r>
        <w:t xml:space="preserve">larger number of offered courses per semester, librarian effort could be targeted at prioritizing correct and relevant metadata for existing and regularly updated library-supported courses with custom Guides, or </w:t>
      </w:r>
      <w:r>
        <w:t>core/required classes with library research component</w:t>
      </w:r>
      <w:r>
        <w:t xml:space="preserve">. </w:t>
      </w:r>
      <w:r w:rsidR="00AD5A72">
        <w:t xml:space="preserve">Librarians could </w:t>
      </w:r>
      <w:r>
        <w:t xml:space="preserve">then incorporate </w:t>
      </w:r>
      <w:r w:rsidR="009E00C7">
        <w:t xml:space="preserve">metadata creation </w:t>
      </w:r>
      <w:r>
        <w:t>into</w:t>
      </w:r>
      <w:r w:rsidR="009E00C7">
        <w:t xml:space="preserve"> pre-</w:t>
      </w:r>
      <w:r>
        <w:t>semester planning</w:t>
      </w:r>
      <w:r w:rsidR="00AD5A72">
        <w:t xml:space="preserve"> by reviewing course roster</w:t>
      </w:r>
      <w:r>
        <w:t>,</w:t>
      </w:r>
      <w:r w:rsidR="009E00C7">
        <w:t xml:space="preserve"> and highlighting Guide inclusion through</w:t>
      </w:r>
      <w:r w:rsidR="00AD5A72">
        <w:t xml:space="preserve"> </w:t>
      </w:r>
      <w:r w:rsidR="00AA7CB4">
        <w:t>communication</w:t>
      </w:r>
      <w:r w:rsidR="00AD5A72">
        <w:t xml:space="preserve"> with faculty</w:t>
      </w:r>
      <w:r>
        <w:t>.</w:t>
      </w:r>
    </w:p>
    <w:p xmlns:wp14="http://schemas.microsoft.com/office/word/2010/wordml" w:rsidR="00AA7CB4" w:rsidP="00D414F6" w:rsidRDefault="00DF542E" w14:paraId="735CEBCE" wp14:textId="7193AD46">
      <w:r w:rsidR="75E8D74F">
        <w:rPr/>
        <w:t xml:space="preserve">When enabling the </w:t>
      </w:r>
      <w:proofErr w:type="spellStart"/>
      <w:r w:rsidR="75E8D74F">
        <w:rPr/>
        <w:t>Automagic</w:t>
      </w:r>
      <w:proofErr w:type="spellEnd"/>
      <w:r w:rsidR="75E8D74F">
        <w:rPr/>
        <w:t xml:space="preserve"> feature, CUL can configure the </w:t>
      </w:r>
      <w:proofErr w:type="spellStart"/>
      <w:r w:rsidR="75E8D74F">
        <w:rPr/>
        <w:t>LibApps</w:t>
      </w:r>
      <w:proofErr w:type="spellEnd"/>
      <w:r w:rsidR="75E8D74F">
        <w:rPr/>
        <w:t xml:space="preserve"> LTI builder to match to a default Guide, or a configurable LTI landing page, if there is not a good match between Guide and course </w:t>
      </w:r>
      <w:proofErr w:type="spellStart"/>
      <w:r w:rsidR="75E8D74F">
        <w:rPr/>
        <w:t>metatada</w:t>
      </w:r>
      <w:proofErr w:type="spellEnd"/>
      <w:r w:rsidR="75E8D74F">
        <w:rPr/>
        <w:t xml:space="preserve">. This could be the default for courses without integrated library instruction, and might be preferable to an “incorrect” Guide match. Available options include setting up sub-groups within the LTI builder to more finely tune </w:t>
      </w:r>
      <w:proofErr w:type="spellStart"/>
      <w:r w:rsidR="75E8D74F">
        <w:rPr/>
        <w:t>automatch</w:t>
      </w:r>
      <w:proofErr w:type="spellEnd"/>
      <w:r w:rsidR="75E8D74F">
        <w:rPr/>
        <w:t xml:space="preserve"> (i.e. ILRLR 2050 course without a course metadata match would then be matched with the general Collective Bargaining Guide). Additional exploration and experimentation would be necessary to evaluate this option. Initial introduction of the feature might be best enabled with direct Guide</w:t>
      </w:r>
      <w:r w:rsidR="75E8D74F">
        <w:rPr/>
        <w:t>-to-</w:t>
      </w:r>
      <w:r w:rsidR="75E8D74F">
        <w:rPr/>
        <w:t xml:space="preserve">Course metadata matching, accompanied with a very basic library or </w:t>
      </w:r>
      <w:r w:rsidR="75E8D74F">
        <w:rPr/>
        <w:t>s</w:t>
      </w:r>
      <w:r w:rsidR="75E8D74F">
        <w:rPr/>
        <w:t xml:space="preserve">chool research Guide as </w:t>
      </w:r>
      <w:r w:rsidR="75E8D74F">
        <w:rPr/>
        <w:t>a d</w:t>
      </w:r>
      <w:r w:rsidR="75E8D74F">
        <w:rPr/>
        <w:t xml:space="preserve">efault. We may even want to consider that </w:t>
      </w:r>
      <w:r w:rsidRPr="75E8D74F" w:rsidR="75E8D74F">
        <w:rPr>
          <w:i w:val="1"/>
          <w:iCs w:val="1"/>
        </w:rPr>
        <w:t>no</w:t>
      </w:r>
      <w:r w:rsidR="75E8D74F">
        <w:rPr/>
        <w:t xml:space="preserve"> default Guide be included, at the risk of a very general Guide being perceived by faculty as irrelevant or counter to course objectives.</w:t>
      </w:r>
    </w:p>
    <w:p xmlns:wp14="http://schemas.microsoft.com/office/word/2010/wordml" w:rsidR="00DF542E" w:rsidP="004743AD" w:rsidRDefault="004743AD" w14:paraId="48BBFCED" wp14:textId="77777777">
      <w:r>
        <w:t>We also compared opt-in and opt-out possibilities. An o</w:t>
      </w:r>
      <w:r w:rsidR="00DF542E">
        <w:t xml:space="preserve">pt-in model </w:t>
      </w:r>
      <w:r>
        <w:t xml:space="preserve">is </w:t>
      </w:r>
      <w:r w:rsidR="00DF542E">
        <w:t>available</w:t>
      </w:r>
      <w:r>
        <w:t xml:space="preserve"> to institutions</w:t>
      </w:r>
      <w:r w:rsidR="00DF542E">
        <w:t>, but appears complex</w:t>
      </w:r>
      <w:r>
        <w:t xml:space="preserve"> and cumbersome</w:t>
      </w:r>
      <w:r w:rsidR="00DF542E">
        <w:t xml:space="preserve">. See </w:t>
      </w:r>
      <w:hyperlink w:history="1" r:id="rId8">
        <w:r w:rsidRPr="00DF542E" w:rsidR="00DF542E">
          <w:rPr>
            <w:rStyle w:val="Hyperlink"/>
          </w:rPr>
          <w:t>BGSU tutorial</w:t>
        </w:r>
      </w:hyperlink>
      <w:r>
        <w:t xml:space="preserve"> for process descriptions and faculty outreach language. If </w:t>
      </w:r>
      <w:r w:rsidR="009E00C7">
        <w:t>enabling</w:t>
      </w:r>
      <w:r>
        <w:t xml:space="preserve"> the </w:t>
      </w:r>
      <w:proofErr w:type="spellStart"/>
      <w:r>
        <w:t>Automagic</w:t>
      </w:r>
      <w:proofErr w:type="spellEnd"/>
      <w:r>
        <w:t xml:space="preserve"> feature, </w:t>
      </w:r>
      <w:r w:rsidR="009E00C7">
        <w:t xml:space="preserve">faculty will encounter </w:t>
      </w:r>
      <w:r>
        <w:t>an o</w:t>
      </w:r>
      <w:r w:rsidR="00DF542E">
        <w:t xml:space="preserve">pt-out </w:t>
      </w:r>
      <w:r>
        <w:t xml:space="preserve">opportunity when </w:t>
      </w:r>
      <w:r>
        <w:lastRenderedPageBreak/>
        <w:t>building their Canvas. When setting up the module, p</w:t>
      </w:r>
      <w:r w:rsidR="00AD5A72">
        <w:t xml:space="preserve">rofessors are able to edit course navigation to remove </w:t>
      </w:r>
      <w:r w:rsidR="00E94831">
        <w:t>Guide</w:t>
      </w:r>
      <w:r>
        <w:t xml:space="preserve"> or any other tab.</w:t>
      </w:r>
    </w:p>
    <w:p xmlns:wp14="http://schemas.microsoft.com/office/word/2010/wordml" w:rsidR="00DF542E" w:rsidP="00D414F6" w:rsidRDefault="00D414F6" w14:paraId="7F172C6C" wp14:textId="777D9BF8">
      <w:r w:rsidR="589AEEA7">
        <w:rPr/>
        <w:t xml:space="preserve">Concerns have been shared with CUL administration regarding past Guide/Blackboard integration experiences. </w:t>
      </w:r>
      <w:proofErr w:type="spellStart"/>
      <w:r w:rsidR="589AEEA7">
        <w:rPr/>
        <w:t>Subteam</w:t>
      </w:r>
      <w:proofErr w:type="spellEnd"/>
      <w:r w:rsidR="589AEEA7">
        <w:rPr/>
        <w:t xml:space="preserve"> members did reach out to unit staff for further information, but were unable to identify any instances of past automatic Guide/Blackboard integration, </w:t>
      </w:r>
      <w:r w:rsidR="589AEEA7">
        <w:rPr/>
        <w:t>although a manual integration</w:t>
      </w:r>
      <w:r w:rsidR="589AEEA7">
        <w:rPr/>
        <w:t xml:space="preserve"> feature </w:t>
      </w:r>
      <w:r w:rsidR="589AEEA7">
        <w:rPr/>
        <w:t xml:space="preserve">was </w:t>
      </w:r>
      <w:r w:rsidR="589AEEA7">
        <w:rPr/>
        <w:t>available in Blackboard for a brief period</w:t>
      </w:r>
      <w:r w:rsidR="589AEEA7">
        <w:rPr/>
        <w:t xml:space="preserve">, </w:t>
      </w:r>
      <w:r w:rsidR="589AEEA7">
        <w:rPr/>
        <w:t>until</w:t>
      </w:r>
      <w:r w:rsidR="589AEEA7">
        <w:rPr/>
        <w:t xml:space="preserve"> 2011</w:t>
      </w:r>
      <w:r w:rsidR="589AEEA7">
        <w:rPr/>
        <w:t>. However, staff across units have experiences of Guide links added to Blackboard by a faculty member as a result of instructional support or liaison outreach, and consider Guide access and findability greatly facilitated by this link inclusion.</w:t>
      </w:r>
    </w:p>
    <w:p xmlns:wp14="http://schemas.microsoft.com/office/word/2010/wordml" w:rsidR="009E00C7" w:rsidP="009E00C7" w:rsidRDefault="009E00C7" w14:paraId="165D31E9" wp14:textId="05461B86">
      <w:r w:rsidR="589AEEA7">
        <w:rPr/>
        <w:t xml:space="preserve">The </w:t>
      </w:r>
      <w:proofErr w:type="spellStart"/>
      <w:r w:rsidR="589AEEA7">
        <w:rPr/>
        <w:t>LibGuides</w:t>
      </w:r>
      <w:proofErr w:type="spellEnd"/>
      <w:r w:rsidR="589AEEA7">
        <w:rPr/>
        <w:t xml:space="preserve"> </w:t>
      </w:r>
      <w:proofErr w:type="spellStart"/>
      <w:r w:rsidR="589AEEA7">
        <w:rPr/>
        <w:t>Subteam</w:t>
      </w:r>
      <w:proofErr w:type="spellEnd"/>
      <w:r w:rsidR="589AEEA7">
        <w:rPr/>
        <w:t xml:space="preserve"> concludes that ideal conditions for use of </w:t>
      </w:r>
      <w:proofErr w:type="spellStart"/>
      <w:r w:rsidR="589AEEA7">
        <w:rPr/>
        <w:t>Automagic</w:t>
      </w:r>
      <w:proofErr w:type="spellEnd"/>
      <w:r w:rsidR="589AEEA7">
        <w:rPr/>
        <w:t xml:space="preserve"> exist when:</w:t>
      </w:r>
    </w:p>
    <w:p xmlns:wp14="http://schemas.microsoft.com/office/word/2010/wordml" w:rsidR="009E00C7" w:rsidP="009E00C7" w:rsidRDefault="009E00C7" w14:paraId="34B5FE63" wp14:textId="77777777">
      <w:pPr>
        <w:pStyle w:val="ListParagraph"/>
        <w:numPr>
          <w:ilvl w:val="0"/>
          <w:numId w:val="3"/>
        </w:numPr>
      </w:pPr>
      <w:r>
        <w:t>Excellent metadata are attached to course Guides</w:t>
      </w:r>
    </w:p>
    <w:p xmlns:wp14="http://schemas.microsoft.com/office/word/2010/wordml" w:rsidR="009E00C7" w:rsidP="009E00C7" w:rsidRDefault="009E00C7" w14:paraId="241C2609" wp14:textId="77777777">
      <w:pPr>
        <w:pStyle w:val="ListParagraph"/>
        <w:numPr>
          <w:ilvl w:val="0"/>
          <w:numId w:val="3"/>
        </w:numPr>
      </w:pPr>
      <w:r>
        <w:t>Existing course Guides reflect the implementation of web accessibility guidelines</w:t>
      </w:r>
    </w:p>
    <w:p xmlns:wp14="http://schemas.microsoft.com/office/word/2010/wordml" w:rsidR="009E00C7" w:rsidP="009E00C7" w:rsidRDefault="009E00C7" w14:paraId="356AAD0E" wp14:textId="77777777">
      <w:pPr>
        <w:pStyle w:val="ListParagraph"/>
        <w:numPr>
          <w:ilvl w:val="0"/>
          <w:numId w:val="3"/>
        </w:numPr>
      </w:pPr>
      <w:r>
        <w:t>Existing course Guides reflect UX (</w:t>
      </w:r>
      <w:hyperlink w:history="1" r:id="rId9">
        <w:r w:rsidRPr="004743AD">
          <w:rPr>
            <w:rStyle w:val="Hyperlink"/>
          </w:rPr>
          <w:t>Guides best practices</w:t>
        </w:r>
      </w:hyperlink>
      <w:r>
        <w:t>)</w:t>
      </w:r>
    </w:p>
    <w:p xmlns:wp14="http://schemas.microsoft.com/office/word/2010/wordml" w:rsidR="009E00C7" w:rsidP="009E00C7" w:rsidRDefault="009E00C7" w14:paraId="4052B081" wp14:textId="77777777">
      <w:pPr>
        <w:pStyle w:val="ListParagraph"/>
        <w:numPr>
          <w:ilvl w:val="0"/>
          <w:numId w:val="3"/>
        </w:numPr>
      </w:pPr>
      <w:r>
        <w:t>A current (regularly maintained) course Guide matches the offered course</w:t>
      </w:r>
    </w:p>
    <w:p xmlns:wp14="http://schemas.microsoft.com/office/word/2010/wordml" w:rsidR="009E00C7" w:rsidP="009E00C7" w:rsidRDefault="009E00C7" w14:paraId="218B5D70" wp14:textId="77777777">
      <w:pPr>
        <w:pStyle w:val="ListParagraph"/>
        <w:numPr>
          <w:ilvl w:val="0"/>
          <w:numId w:val="3"/>
        </w:numPr>
      </w:pPr>
      <w:r>
        <w:t>Liaison outreach accompanies Guide auto-integration (acknowledgement in ongoing communication with faculty regarding course instruction)</w:t>
      </w:r>
    </w:p>
    <w:p xmlns:wp14="http://schemas.microsoft.com/office/word/2010/wordml" w:rsidR="009E00C7" w:rsidP="00D414F6" w:rsidRDefault="009E00C7" w14:paraId="0A37501D" wp14:textId="77777777"/>
    <w:p xmlns:wp14="http://schemas.microsoft.com/office/word/2010/wordml" w:rsidR="00133271" w:rsidRDefault="00133271" w14:paraId="5DAB6C7B" wp14:textId="77777777"/>
    <w:sectPr w:rsidR="0013327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E928C7" w:rsidP="00664C80" w:rsidRDefault="00E928C7" w14:paraId="02EB378F" wp14:textId="77777777">
      <w:pPr>
        <w:spacing w:after="0" w:line="240" w:lineRule="auto"/>
      </w:pPr>
      <w:r>
        <w:separator/>
      </w:r>
    </w:p>
  </w:endnote>
  <w:endnote w:type="continuationSeparator" w:id="0">
    <w:p xmlns:wp14="http://schemas.microsoft.com/office/word/2010/wordml" w:rsidR="00E928C7" w:rsidP="00664C80" w:rsidRDefault="00E928C7" w14:paraId="6A05A809" wp14:textId="77777777">
      <w:pPr>
        <w:spacing w:after="0" w:line="240" w:lineRule="auto"/>
      </w:pPr>
      <w:r>
        <w:continuationSeparator/>
      </w:r>
    </w:p>
  </w:endnote>
  <w:endnote w:id="1">
    <w:p xmlns:wp14="http://schemas.microsoft.com/office/word/2010/wordml" w:rsidRPr="00664C80" w:rsidR="00664C80" w:rsidP="00664C80" w:rsidRDefault="00664C80" w14:paraId="0BDEFE9B" wp14:textId="77777777">
      <w:pPr>
        <w:pStyle w:val="EndnoteText"/>
      </w:pPr>
      <w:r>
        <w:rPr>
          <w:rStyle w:val="EndnoteReference"/>
        </w:rPr>
        <w:endnoteRef/>
      </w:r>
      <w:r>
        <w:t xml:space="preserve"> </w:t>
      </w:r>
      <w:r w:rsidRPr="00664C80">
        <w:t xml:space="preserve">Further information about the </w:t>
      </w:r>
      <w:proofErr w:type="spellStart"/>
      <w:r w:rsidRPr="00664C80">
        <w:t>LibApps</w:t>
      </w:r>
      <w:proofErr w:type="spellEnd"/>
      <w:r w:rsidRPr="00664C80">
        <w:t xml:space="preserve"> LTI tool is available from Springshare at </w:t>
      </w:r>
      <w:hyperlink w:history="1" r:id="rId1">
        <w:r w:rsidRPr="00664C80">
          <w:rPr>
            <w:rStyle w:val="Hyperlink"/>
          </w:rPr>
          <w:t>https://ask.springshare.com/a.php?gid=14&amp;qid=6</w:t>
        </w:r>
        <w:r w:rsidRPr="00664C80">
          <w:rPr>
            <w:rStyle w:val="Hyperlink"/>
          </w:rPr>
          <w:t>5</w:t>
        </w:r>
        <w:r w:rsidRPr="00664C80">
          <w:rPr>
            <w:rStyle w:val="Hyperlink"/>
          </w:rPr>
          <w:t>6</w:t>
        </w:r>
      </w:hyperlink>
    </w:p>
    <w:p xmlns:wp14="http://schemas.microsoft.com/office/word/2010/wordml" w:rsidR="00664C80" w:rsidRDefault="00664C80" w14:paraId="5A39BBE3" wp14:textId="7777777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E928C7" w:rsidP="00664C80" w:rsidRDefault="00E928C7" w14:paraId="41C8F396" wp14:textId="77777777">
      <w:pPr>
        <w:spacing w:after="0" w:line="240" w:lineRule="auto"/>
      </w:pPr>
      <w:r>
        <w:separator/>
      </w:r>
    </w:p>
  </w:footnote>
  <w:footnote w:type="continuationSeparator" w:id="0">
    <w:p xmlns:wp14="http://schemas.microsoft.com/office/word/2010/wordml" w:rsidR="00E928C7" w:rsidP="00664C80" w:rsidRDefault="00E928C7" w14:paraId="72A3D3EC"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6120E"/>
    <w:multiLevelType w:val="multilevel"/>
    <w:tmpl w:val="9E828A6A"/>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D557B55"/>
    <w:multiLevelType w:val="multilevel"/>
    <w:tmpl w:val="8AB6E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DA6CB0"/>
    <w:multiLevelType w:val="hybridMultilevel"/>
    <w:tmpl w:val="B05683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42E"/>
    <w:rsid w:val="00133271"/>
    <w:rsid w:val="004743AD"/>
    <w:rsid w:val="00664C80"/>
    <w:rsid w:val="009E00C7"/>
    <w:rsid w:val="00AA7CB4"/>
    <w:rsid w:val="00AD5A72"/>
    <w:rsid w:val="00D13783"/>
    <w:rsid w:val="00D414F6"/>
    <w:rsid w:val="00DF542E"/>
    <w:rsid w:val="00E928C7"/>
    <w:rsid w:val="00E94831"/>
    <w:rsid w:val="589AEEA7"/>
    <w:rsid w:val="75E8D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2150D"/>
  <w15:chartTrackingRefBased/>
  <w15:docId w15:val="{DB795B33-9B9F-448F-8D88-8CEECE7AC1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DF542E"/>
    <w:rPr>
      <w:color w:val="0563C1" w:themeColor="hyperlink"/>
      <w:u w:val="single"/>
    </w:rPr>
  </w:style>
  <w:style w:type="character" w:styleId="Strong">
    <w:name w:val="Strong"/>
    <w:basedOn w:val="DefaultParagraphFont"/>
    <w:uiPriority w:val="22"/>
    <w:qFormat/>
    <w:rsid w:val="00AD5A72"/>
    <w:rPr>
      <w:b/>
      <w:bCs/>
    </w:rPr>
  </w:style>
  <w:style w:type="paragraph" w:styleId="ListParagraph">
    <w:name w:val="List Paragraph"/>
    <w:basedOn w:val="Normal"/>
    <w:uiPriority w:val="34"/>
    <w:qFormat/>
    <w:rsid w:val="009E00C7"/>
    <w:pPr>
      <w:ind w:left="720"/>
      <w:contextualSpacing/>
    </w:pPr>
  </w:style>
  <w:style w:type="paragraph" w:styleId="NoSpacing">
    <w:name w:val="No Spacing"/>
    <w:uiPriority w:val="1"/>
    <w:qFormat/>
    <w:rsid w:val="009E00C7"/>
    <w:pPr>
      <w:spacing w:after="0" w:line="240" w:lineRule="auto"/>
    </w:pPr>
  </w:style>
  <w:style w:type="character" w:styleId="FollowedHyperlink">
    <w:name w:val="FollowedHyperlink"/>
    <w:basedOn w:val="DefaultParagraphFont"/>
    <w:uiPriority w:val="99"/>
    <w:semiHidden/>
    <w:unhideWhenUsed/>
    <w:rsid w:val="009E00C7"/>
    <w:rPr>
      <w:color w:val="954F72" w:themeColor="followedHyperlink"/>
      <w:u w:val="single"/>
    </w:rPr>
  </w:style>
  <w:style w:type="paragraph" w:styleId="EndnoteText">
    <w:name w:val="endnote text"/>
    <w:basedOn w:val="Normal"/>
    <w:link w:val="EndnoteTextChar"/>
    <w:uiPriority w:val="99"/>
    <w:semiHidden/>
    <w:unhideWhenUsed/>
    <w:rsid w:val="00664C80"/>
    <w:pPr>
      <w:spacing w:after="0" w:line="240" w:lineRule="auto"/>
    </w:pPr>
    <w:rPr>
      <w:sz w:val="20"/>
      <w:szCs w:val="20"/>
    </w:rPr>
  </w:style>
  <w:style w:type="character" w:styleId="EndnoteTextChar" w:customStyle="1">
    <w:name w:val="Endnote Text Char"/>
    <w:basedOn w:val="DefaultParagraphFont"/>
    <w:link w:val="EndnoteText"/>
    <w:uiPriority w:val="99"/>
    <w:semiHidden/>
    <w:rsid w:val="00664C80"/>
    <w:rPr>
      <w:sz w:val="20"/>
      <w:szCs w:val="20"/>
    </w:rPr>
  </w:style>
  <w:style w:type="character" w:styleId="EndnoteReference">
    <w:name w:val="endnote reference"/>
    <w:basedOn w:val="DefaultParagraphFont"/>
    <w:uiPriority w:val="99"/>
    <w:semiHidden/>
    <w:unhideWhenUsed/>
    <w:rsid w:val="00664C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3504">
      <w:bodyDiv w:val="1"/>
      <w:marLeft w:val="0"/>
      <w:marRight w:val="0"/>
      <w:marTop w:val="0"/>
      <w:marBottom w:val="0"/>
      <w:divBdr>
        <w:top w:val="none" w:sz="0" w:space="0" w:color="auto"/>
        <w:left w:val="none" w:sz="0" w:space="0" w:color="auto"/>
        <w:bottom w:val="none" w:sz="0" w:space="0" w:color="auto"/>
        <w:right w:val="none" w:sz="0" w:space="0" w:color="auto"/>
      </w:divBdr>
    </w:div>
    <w:div w:id="86968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ibguides.bgsu.edu/Canvas/libguides"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yperlink" Target="https://confluence.cornell.edu/display/refoutreach/Forums+-+2015?preview=%2F298419137%2F327620522%2Flibguides+best+practices.docx" TargetMode="External" Id="rId9" /></Relationships>
</file>

<file path=word/_rels/endnotes.xml.rels><?xml version="1.0" encoding="UTF-8" standalone="yes"?>
<Relationships xmlns="http://schemas.openxmlformats.org/package/2006/relationships"><Relationship Id="rId1" Type="http://schemas.openxmlformats.org/officeDocument/2006/relationships/hyperlink" Target="https://ask.springshare.com/a.php?gid=14&amp;qid=6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95CE2-7FE1-4B86-B22A-18B6F72DAF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Cornell University</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Aliqae Geraci</dc:creator>
  <keywords/>
  <dc:description/>
  <lastModifiedBy>Aliqae Geraci</lastModifiedBy>
  <revision>4</revision>
  <dcterms:created xsi:type="dcterms:W3CDTF">2018-11-12T21:46:00.0000000Z</dcterms:created>
  <dcterms:modified xsi:type="dcterms:W3CDTF">2018-11-13T21:46:13.6383457Z</dcterms:modified>
</coreProperties>
</file>