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641DC" w14:textId="5AD95A14" w:rsidR="00FE73D0" w:rsidRDefault="00CC4C96">
      <w:r>
        <w:t>NEJM Nov 2018 – February 2019</w:t>
      </w:r>
    </w:p>
    <w:p w14:paraId="5F61A434" w14:textId="77777777" w:rsidR="00FE73D0" w:rsidRDefault="00FE73D0"/>
    <w:p w14:paraId="749CDBC4" w14:textId="77F1D005" w:rsidR="00CC4C96" w:rsidRDefault="00FE73D0">
      <w:r>
        <w:rPr>
          <w:noProof/>
        </w:rPr>
        <w:drawing>
          <wp:inline distT="0" distB="0" distL="0" distR="0" wp14:anchorId="3A30D13D" wp14:editId="2ED9E34D">
            <wp:extent cx="5943600" cy="42741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2-13 at 2.32.00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C03E9" w14:textId="167B3C1F" w:rsidR="00CC4C96" w:rsidRDefault="00CC4C96"/>
    <w:p w14:paraId="10BE1EAC" w14:textId="510257B4" w:rsidR="00CC4C96" w:rsidRDefault="00CC4C96" w:rsidP="00CC4C96">
      <w:pPr>
        <w:pStyle w:val="ListParagraph"/>
        <w:numPr>
          <w:ilvl w:val="0"/>
          <w:numId w:val="1"/>
        </w:numPr>
      </w:pPr>
      <w:r>
        <w:t xml:space="preserve">In acquired thrombotic thrombocytopenic purpura (TTP), an immune mediated deficiency of von Willebrand factor-cleaving protease ADAMTS13 allows unrestrained adhesion of </w:t>
      </w:r>
      <w:proofErr w:type="spellStart"/>
      <w:r>
        <w:t>vWF</w:t>
      </w:r>
      <w:proofErr w:type="spellEnd"/>
      <w:r>
        <w:t xml:space="preserve"> multimers to platelets and </w:t>
      </w:r>
      <w:proofErr w:type="spellStart"/>
      <w:r>
        <w:t>microthrombosis</w:t>
      </w:r>
      <w:proofErr w:type="spellEnd"/>
      <w:r>
        <w:t xml:space="preserve"> </w:t>
      </w:r>
    </w:p>
    <w:p w14:paraId="61EB6FCD" w14:textId="4DE19DE2" w:rsidR="00CC4C96" w:rsidRDefault="00CC4C96" w:rsidP="00CC4C96">
      <w:pPr>
        <w:pStyle w:val="ListParagraph"/>
        <w:numPr>
          <w:ilvl w:val="0"/>
          <w:numId w:val="1"/>
        </w:numPr>
      </w:pPr>
      <w:r>
        <w:t>Calpacizumab is an anti-</w:t>
      </w:r>
      <w:proofErr w:type="spellStart"/>
      <w:r>
        <w:t>vWF</w:t>
      </w:r>
      <w:proofErr w:type="spellEnd"/>
      <w:r>
        <w:t xml:space="preserve"> Ig fragment that inhibits interaction between </w:t>
      </w:r>
      <w:proofErr w:type="spellStart"/>
      <w:r>
        <w:t>vWF</w:t>
      </w:r>
      <w:proofErr w:type="spellEnd"/>
      <w:r>
        <w:t xml:space="preserve"> multimers and platelets </w:t>
      </w:r>
    </w:p>
    <w:p w14:paraId="6372CC54" w14:textId="7A56D864" w:rsidR="00CC4C96" w:rsidRDefault="00CC4C96" w:rsidP="00CC4C96">
      <w:pPr>
        <w:pStyle w:val="ListParagraph"/>
        <w:numPr>
          <w:ilvl w:val="0"/>
          <w:numId w:val="1"/>
        </w:numPr>
      </w:pPr>
      <w:r>
        <w:t xml:space="preserve">Double blind controlled trial </w:t>
      </w:r>
    </w:p>
    <w:p w14:paraId="5D5551CB" w14:textId="66887A60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145 calpacizumab or placebo during plasma exchange (PE) and for 30 days after </w:t>
      </w:r>
    </w:p>
    <w:p w14:paraId="2A5DD74E" w14:textId="43E972F8" w:rsidR="00CC4C96" w:rsidRDefault="00CC4C96" w:rsidP="00CC4C96">
      <w:pPr>
        <w:pStyle w:val="ListParagraph"/>
        <w:numPr>
          <w:ilvl w:val="1"/>
          <w:numId w:val="1"/>
        </w:numPr>
      </w:pPr>
      <w:r>
        <w:t>Primary outcome: time to normalization of pla</w:t>
      </w:r>
      <w:r w:rsidR="00FE73D0">
        <w:t>telet</w:t>
      </w:r>
      <w:r>
        <w:t xml:space="preserve"> count with D/C PE 5 days after </w:t>
      </w:r>
    </w:p>
    <w:p w14:paraId="4A5F5AEF" w14:textId="217344CF" w:rsidR="00CC4C96" w:rsidRDefault="00FE73D0" w:rsidP="00CC4C96">
      <w:pPr>
        <w:pStyle w:val="ListParagraph"/>
        <w:numPr>
          <w:ilvl w:val="1"/>
          <w:numId w:val="1"/>
        </w:numPr>
      </w:pPr>
      <w:r>
        <w:t>Secondary</w:t>
      </w:r>
      <w:r w:rsidR="00CC4C96">
        <w:t xml:space="preserve"> outcomes (composite)</w:t>
      </w:r>
    </w:p>
    <w:p w14:paraId="085267D3" w14:textId="142E9316" w:rsidR="00CC4C96" w:rsidRDefault="00CC4C96" w:rsidP="00CC4C96">
      <w:pPr>
        <w:pStyle w:val="ListParagraph"/>
        <w:numPr>
          <w:ilvl w:val="2"/>
          <w:numId w:val="1"/>
        </w:numPr>
      </w:pPr>
      <w:r>
        <w:t xml:space="preserve">TTP related death </w:t>
      </w:r>
    </w:p>
    <w:p w14:paraId="59CD72C1" w14:textId="1F18BE08" w:rsidR="00CC4C96" w:rsidRDefault="00CC4C96" w:rsidP="00CC4C96">
      <w:pPr>
        <w:pStyle w:val="ListParagraph"/>
        <w:numPr>
          <w:ilvl w:val="2"/>
          <w:numId w:val="1"/>
        </w:numPr>
      </w:pPr>
      <w:r>
        <w:t xml:space="preserve">TTP recurrence </w:t>
      </w:r>
    </w:p>
    <w:p w14:paraId="133EF3A7" w14:textId="59EB6438" w:rsidR="00CC4C96" w:rsidRDefault="00CC4C96" w:rsidP="00CC4C96">
      <w:pPr>
        <w:pStyle w:val="ListParagraph"/>
        <w:numPr>
          <w:ilvl w:val="2"/>
          <w:numId w:val="1"/>
        </w:numPr>
      </w:pPr>
      <w:r>
        <w:t xml:space="preserve">Thromboembolic event during treatment </w:t>
      </w:r>
    </w:p>
    <w:p w14:paraId="3670A0DF" w14:textId="6FD37BB1" w:rsidR="00CC4C96" w:rsidRDefault="00CC4C96" w:rsidP="00CC4C96">
      <w:pPr>
        <w:pStyle w:val="ListParagraph"/>
        <w:numPr>
          <w:ilvl w:val="2"/>
          <w:numId w:val="1"/>
        </w:numPr>
      </w:pPr>
      <w:r>
        <w:t xml:space="preserve">Refractory TTP </w:t>
      </w:r>
    </w:p>
    <w:p w14:paraId="1F3D2133" w14:textId="1B457909" w:rsidR="00CC4C96" w:rsidRDefault="00FE73D0" w:rsidP="00CC4C96">
      <w:pPr>
        <w:pStyle w:val="ListParagraph"/>
        <w:numPr>
          <w:ilvl w:val="2"/>
          <w:numId w:val="1"/>
        </w:numPr>
      </w:pPr>
      <w:r>
        <w:t>Normalization</w:t>
      </w:r>
      <w:r w:rsidR="00CC4C96">
        <w:t xml:space="preserve"> of organ damage markers </w:t>
      </w:r>
    </w:p>
    <w:p w14:paraId="4E9E1F2B" w14:textId="3017F50A" w:rsidR="00CC4C96" w:rsidRDefault="00CC4C96" w:rsidP="00CC4C96">
      <w:pPr>
        <w:pStyle w:val="ListParagraph"/>
        <w:numPr>
          <w:ilvl w:val="0"/>
          <w:numId w:val="1"/>
        </w:numPr>
      </w:pPr>
      <w:r>
        <w:t xml:space="preserve">Results </w:t>
      </w:r>
    </w:p>
    <w:p w14:paraId="222060C5" w14:textId="581021B5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Median time to normalization of platelet count was shorter with calpacizumab than placebo (2.69 days vs 2.88 days) </w:t>
      </w:r>
    </w:p>
    <w:p w14:paraId="7DEA12C3" w14:textId="1FA8D8FD" w:rsidR="00CC4C96" w:rsidRDefault="00FE73D0" w:rsidP="00CC4C96">
      <w:pPr>
        <w:pStyle w:val="ListParagraph"/>
        <w:numPr>
          <w:ilvl w:val="1"/>
          <w:numId w:val="1"/>
        </w:numPr>
      </w:pPr>
      <w:r>
        <w:lastRenderedPageBreak/>
        <w:t>Patients</w:t>
      </w:r>
      <w:r w:rsidR="00CC4C96">
        <w:t xml:space="preserve"> who </w:t>
      </w:r>
      <w:r>
        <w:t>received</w:t>
      </w:r>
      <w:r w:rsidR="00CC4C96">
        <w:t xml:space="preserve"> calpacizumab were 1.55 times as likely to normalize platelet count vs placebo </w:t>
      </w:r>
    </w:p>
    <w:p w14:paraId="188B25F9" w14:textId="2B991E4E" w:rsidR="00CC4C96" w:rsidRDefault="00CC4C96" w:rsidP="00CC4C96">
      <w:pPr>
        <w:pStyle w:val="ListParagraph"/>
        <w:numPr>
          <w:ilvl w:val="1"/>
          <w:numId w:val="1"/>
        </w:numPr>
      </w:pPr>
      <w:r>
        <w:t>% with composite</w:t>
      </w:r>
      <w:r w:rsidR="00FE73D0">
        <w:t xml:space="preserve"> </w:t>
      </w:r>
      <w:r>
        <w:t>outcome 74% lower with calpacizumab (12% vs 49%)</w:t>
      </w:r>
    </w:p>
    <w:p w14:paraId="47550051" w14:textId="4974383A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% with recurrence TTP 67% lower with calpacizumab (12% vs 38%) </w:t>
      </w:r>
    </w:p>
    <w:p w14:paraId="0A9DD8A6" w14:textId="1D88DA65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Refractory disease in no patients in calpacizumab and 3 in placebo </w:t>
      </w:r>
    </w:p>
    <w:p w14:paraId="262F1CC6" w14:textId="3A893822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Calpacizumab &gt; less PE and hospitalization time </w:t>
      </w:r>
    </w:p>
    <w:p w14:paraId="3D3B3A9B" w14:textId="0A8DB670" w:rsidR="00CC4C96" w:rsidRDefault="00CC4C96" w:rsidP="00CC4C96">
      <w:pPr>
        <w:pStyle w:val="ListParagraph"/>
        <w:numPr>
          <w:ilvl w:val="1"/>
          <w:numId w:val="1"/>
        </w:numPr>
      </w:pPr>
      <w:r>
        <w:t>Mucocut</w:t>
      </w:r>
      <w:r w:rsidR="00FE73D0">
        <w:t>a</w:t>
      </w:r>
      <w:r>
        <w:t>neous ble</w:t>
      </w:r>
      <w:r w:rsidR="00FE73D0">
        <w:t>e</w:t>
      </w:r>
      <w:r>
        <w:t xml:space="preserve">ding in 65% patients with calpacizumab and 48% placebo </w:t>
      </w:r>
    </w:p>
    <w:p w14:paraId="05E0848D" w14:textId="2BA8636F" w:rsidR="00CC4C96" w:rsidRDefault="00CC4C96" w:rsidP="00CC4C96">
      <w:pPr>
        <w:pStyle w:val="ListParagraph"/>
        <w:numPr>
          <w:ilvl w:val="1"/>
          <w:numId w:val="1"/>
        </w:numPr>
      </w:pPr>
      <w:r>
        <w:t>3 patients in placebo group died</w:t>
      </w:r>
    </w:p>
    <w:p w14:paraId="75FB6C58" w14:textId="1A93ABDE" w:rsidR="00CC4C96" w:rsidRDefault="00CC4C96" w:rsidP="00CC4C96">
      <w:pPr>
        <w:pStyle w:val="ListParagraph"/>
        <w:numPr>
          <w:ilvl w:val="1"/>
          <w:numId w:val="1"/>
        </w:numPr>
      </w:pPr>
      <w:r>
        <w:t xml:space="preserve">1 in calpacizumab group died from cerebral ischemia, after end of treatment period </w:t>
      </w:r>
    </w:p>
    <w:p w14:paraId="2E352284" w14:textId="69BE61D9" w:rsidR="00FB525E" w:rsidRDefault="00FB525E" w:rsidP="00FB525E"/>
    <w:p w14:paraId="47BC9F6B" w14:textId="2A3CA0B1" w:rsidR="00FB525E" w:rsidRDefault="00FB525E" w:rsidP="00FB525E"/>
    <w:p w14:paraId="66D9BD9A" w14:textId="7EBA0578" w:rsidR="00FB525E" w:rsidRDefault="00FB525E" w:rsidP="00FB525E">
      <w:r>
        <w:t xml:space="preserve">Stress Ulcer Prophylaxis in the Intensive Care Unit (SUP-ICU) trial </w:t>
      </w:r>
      <w:r w:rsidR="00FE73D0">
        <w:rPr>
          <w:noProof/>
        </w:rPr>
        <w:drawing>
          <wp:inline distT="0" distB="0" distL="0" distR="0" wp14:anchorId="4170C3CE" wp14:editId="7738F12A">
            <wp:extent cx="5943600" cy="42741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2-13 at 2.32.00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C326D" w14:textId="74B75B88" w:rsidR="00FB525E" w:rsidRDefault="00FB525E" w:rsidP="00FB525E"/>
    <w:p w14:paraId="45949CDB" w14:textId="6DC84506" w:rsidR="00FB525E" w:rsidRDefault="00FB525E" w:rsidP="00FB525E">
      <w:pPr>
        <w:pStyle w:val="ListParagraph"/>
        <w:numPr>
          <w:ilvl w:val="0"/>
          <w:numId w:val="1"/>
        </w:numPr>
      </w:pPr>
      <w:r>
        <w:t>Intro</w:t>
      </w:r>
    </w:p>
    <w:p w14:paraId="370CF8CE" w14:textId="3175B962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Critically ill patients are at risk for stress related GI bleeding associated with adverse outcomes </w:t>
      </w:r>
    </w:p>
    <w:p w14:paraId="0C55BC1F" w14:textId="12678C5B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Risk factors include mechanical ventilation, coagulopathy, hepatic or kidney failure </w:t>
      </w:r>
    </w:p>
    <w:p w14:paraId="29803229" w14:textId="6F18DFB9" w:rsidR="00FB525E" w:rsidRDefault="00FB525E" w:rsidP="00FB525E">
      <w:pPr>
        <w:pStyle w:val="ListParagraph"/>
        <w:numPr>
          <w:ilvl w:val="1"/>
          <w:numId w:val="1"/>
        </w:numPr>
      </w:pPr>
      <w:r>
        <w:t>Concerns about adverse effects of PPI including C. difficile infection, pneumonia and MI</w:t>
      </w:r>
    </w:p>
    <w:p w14:paraId="284B9D04" w14:textId="192B6DF6" w:rsidR="00FB525E" w:rsidRDefault="00FB525E" w:rsidP="00FB525E">
      <w:pPr>
        <w:pStyle w:val="ListParagraph"/>
        <w:numPr>
          <w:ilvl w:val="0"/>
          <w:numId w:val="1"/>
        </w:numPr>
      </w:pPr>
      <w:r>
        <w:lastRenderedPageBreak/>
        <w:t>Design</w:t>
      </w:r>
    </w:p>
    <w:p w14:paraId="3226237A" w14:textId="1D856429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Multicenter, stratified, parallel group, placebo controlled blinded clinical trial </w:t>
      </w:r>
    </w:p>
    <w:p w14:paraId="21603EA8" w14:textId="0BF90461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Patients 18+ admitted to ICU for acute condition with at least one risk factor for clinically important GI bleeding (shock, anticoagulants, RRT, MV &gt; 24hrs, liver disease, coagulopathy) </w:t>
      </w:r>
    </w:p>
    <w:p w14:paraId="6B29A4A6" w14:textId="7F08C91A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IV injection of pantoprazole or placebo as single bolus SID. If readmitted with 90 days, initial treatment regimen resumed. </w:t>
      </w:r>
    </w:p>
    <w:p w14:paraId="0F17ECF9" w14:textId="6E89DE95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Primary outcome was death by 90 days after randomization </w:t>
      </w:r>
    </w:p>
    <w:p w14:paraId="3A2CDFBB" w14:textId="42F691A1" w:rsidR="00FB525E" w:rsidRDefault="00FB525E" w:rsidP="00FB525E">
      <w:pPr>
        <w:pStyle w:val="ListParagraph"/>
        <w:numPr>
          <w:ilvl w:val="1"/>
          <w:numId w:val="1"/>
        </w:numPr>
      </w:pPr>
      <w:r>
        <w:t>Secondary outcomes: clinically important events in the IC</w:t>
      </w:r>
      <w:bookmarkStart w:id="0" w:name="_GoBack"/>
      <w:bookmarkEnd w:id="0"/>
      <w:r>
        <w:t xml:space="preserve">U (GI bleeding, pneumonia, C. difficile, acute MI), clinically important GI bleeding in the ICU (overt GI bleeding, spontaneous decrease in SBP, MAP, DBP of &gt; 20mmHg </w:t>
      </w:r>
      <w:proofErr w:type="spellStart"/>
      <w:r>
        <w:t>r</w:t>
      </w:r>
      <w:proofErr w:type="spellEnd"/>
      <w:r>
        <w:t xml:space="preserve"> more, vasopressor </w:t>
      </w:r>
      <w:r w:rsidR="00FE73D0">
        <w:t>initiation</w:t>
      </w:r>
      <w:r>
        <w:t xml:space="preserve"> or 20% increase in dose, decrease Hgb 2g/</w:t>
      </w:r>
      <w:proofErr w:type="spellStart"/>
      <w:r>
        <w:t>dL</w:t>
      </w:r>
      <w:proofErr w:type="spellEnd"/>
      <w:r>
        <w:t xml:space="preserve">, transfusion 2+ units </w:t>
      </w:r>
      <w:proofErr w:type="spellStart"/>
      <w:r>
        <w:t>pRBCs</w:t>
      </w:r>
      <w:proofErr w:type="spellEnd"/>
      <w:r>
        <w:t>, infection, adverse reactions, % days al</w:t>
      </w:r>
      <w:r w:rsidR="00FE73D0">
        <w:t>i</w:t>
      </w:r>
      <w:r>
        <w:t xml:space="preserve">ve without the use of life support (MV, circulatory support, RRT) within 90 days. </w:t>
      </w:r>
    </w:p>
    <w:p w14:paraId="22B3D2F2" w14:textId="59795E9F" w:rsidR="00FB525E" w:rsidRDefault="00FB525E" w:rsidP="00FB525E">
      <w:pPr>
        <w:pStyle w:val="ListParagraph"/>
        <w:numPr>
          <w:ilvl w:val="0"/>
          <w:numId w:val="1"/>
        </w:numPr>
      </w:pPr>
      <w:r>
        <w:t xml:space="preserve">Results </w:t>
      </w:r>
    </w:p>
    <w:p w14:paraId="202FE630" w14:textId="079C1387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1645 assigned to pantoprazole </w:t>
      </w:r>
    </w:p>
    <w:p w14:paraId="09A5CF14" w14:textId="0A5EEBBA" w:rsidR="00FB525E" w:rsidRDefault="00FB525E" w:rsidP="00FB525E">
      <w:pPr>
        <w:pStyle w:val="ListParagraph"/>
        <w:numPr>
          <w:ilvl w:val="1"/>
          <w:numId w:val="1"/>
        </w:numPr>
      </w:pPr>
      <w:r>
        <w:t xml:space="preserve">1653 assigned to placebo </w:t>
      </w:r>
    </w:p>
    <w:p w14:paraId="7686012E" w14:textId="702EC61E" w:rsidR="00FB525E" w:rsidRDefault="00FB525E" w:rsidP="00FB525E">
      <w:pPr>
        <w:pStyle w:val="ListParagraph"/>
        <w:numPr>
          <w:ilvl w:val="0"/>
          <w:numId w:val="1"/>
        </w:numPr>
      </w:pPr>
      <w:r>
        <w:t xml:space="preserve">31.3% in pantoprazole group and 30.4% in placebo group </w:t>
      </w:r>
    </w:p>
    <w:p w14:paraId="4D736A41" w14:textId="17CEB35B" w:rsidR="00FB525E" w:rsidRDefault="00FB525E" w:rsidP="00FB525E">
      <w:pPr>
        <w:pStyle w:val="ListParagraph"/>
        <w:numPr>
          <w:ilvl w:val="0"/>
          <w:numId w:val="1"/>
        </w:numPr>
      </w:pPr>
      <w:r>
        <w:t xml:space="preserve">21.9% in pantoprazole group and 22.6% in the placebo group had one or more clinically important events in ICU </w:t>
      </w:r>
    </w:p>
    <w:p w14:paraId="40ACC4C4" w14:textId="59FC0654" w:rsidR="00FB525E" w:rsidRDefault="00FB525E" w:rsidP="00FB525E">
      <w:pPr>
        <w:pStyle w:val="ListParagraph"/>
        <w:numPr>
          <w:ilvl w:val="0"/>
          <w:numId w:val="1"/>
        </w:numPr>
      </w:pPr>
      <w:r>
        <w:t xml:space="preserve">2.5% pantoprazole and 4.2% placebo had clinically important GI bleeding </w:t>
      </w:r>
    </w:p>
    <w:p w14:paraId="63B6630E" w14:textId="43FCF2D1" w:rsidR="00FB525E" w:rsidRDefault="00FB525E" w:rsidP="00FB525E">
      <w:pPr>
        <w:pStyle w:val="ListParagraph"/>
        <w:numPr>
          <w:ilvl w:val="0"/>
          <w:numId w:val="1"/>
        </w:numPr>
      </w:pPr>
      <w:r>
        <w:t xml:space="preserve">Did find an interaction between intervention effect and disease severity that suggested higher 90 day mortality among patients who had more severe disease and received pantoprazole </w:t>
      </w:r>
    </w:p>
    <w:sectPr w:rsidR="00FB525E" w:rsidSect="00C2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30D79"/>
    <w:multiLevelType w:val="hybridMultilevel"/>
    <w:tmpl w:val="76F03966"/>
    <w:lvl w:ilvl="0" w:tplc="AFDC3E32">
      <w:start w:val="43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96"/>
    <w:rsid w:val="00C24A22"/>
    <w:rsid w:val="00CC4C96"/>
    <w:rsid w:val="00D67244"/>
    <w:rsid w:val="00FB525E"/>
    <w:rsid w:val="00FE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799A5"/>
  <w15:chartTrackingRefBased/>
  <w15:docId w15:val="{62286332-20BD-9841-B57B-A83C62C7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4</cp:revision>
  <dcterms:created xsi:type="dcterms:W3CDTF">2019-02-13T02:56:00Z</dcterms:created>
  <dcterms:modified xsi:type="dcterms:W3CDTF">2019-02-13T19:35:00Z</dcterms:modified>
</cp:coreProperties>
</file>