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EEF95" w14:textId="053F80CB" w:rsidR="00C77677" w:rsidRDefault="00C77677" w:rsidP="00C77677">
      <w:r>
        <w:t>VET SURG Oct-Nov 2018</w:t>
      </w:r>
    </w:p>
    <w:p w14:paraId="0A19E699" w14:textId="77777777" w:rsidR="00C77677" w:rsidRDefault="00C77677" w:rsidP="00C77677">
      <w:r>
        <w:rPr>
          <w:noProof/>
        </w:rPr>
        <w:drawing>
          <wp:inline distT="0" distB="0" distL="0" distR="0" wp14:anchorId="2C28C19B" wp14:editId="32981A4C">
            <wp:extent cx="5257800" cy="5160059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4533" cy="518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0294A" w14:textId="77777777" w:rsidR="00C77677" w:rsidRPr="00703430" w:rsidRDefault="00C77677" w:rsidP="00C77677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Stone number and location within the ureter is an</w:t>
      </w:r>
    </w:p>
    <w:p w14:paraId="672CCE14" w14:textId="77777777" w:rsidR="00C77677" w:rsidRPr="00703430" w:rsidRDefault="00C77677" w:rsidP="00C77677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important consideration during decision making for surgical</w:t>
      </w:r>
    </w:p>
    <w:p w14:paraId="3CEAB912" w14:textId="77777777" w:rsidR="00C77677" w:rsidRPr="00703430" w:rsidRDefault="00C77677" w:rsidP="00C77677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intervention.</w:t>
      </w:r>
    </w:p>
    <w:p w14:paraId="13CABF48" w14:textId="77777777" w:rsidR="00C77677" w:rsidRPr="00703430" w:rsidRDefault="00C77677" w:rsidP="00C77677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Stone number and location within the ureter is an</w:t>
      </w:r>
    </w:p>
    <w:p w14:paraId="6418FB88" w14:textId="77777777" w:rsidR="00C77677" w:rsidRPr="00703430" w:rsidRDefault="00C77677" w:rsidP="00C77677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important consideration during decision making for surgical</w:t>
      </w:r>
    </w:p>
    <w:p w14:paraId="2D766A19" w14:textId="77777777" w:rsidR="00C77677" w:rsidRPr="005F5082" w:rsidRDefault="00C77677" w:rsidP="00C77677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intervention.</w:t>
      </w:r>
    </w:p>
    <w:p w14:paraId="32D104D1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Stone number and location within the ureter is an important consideration during decision making for surgical intervention - interventional and surgical success / complication rates have been associated with the location of the obstruction (human med)</w:t>
      </w:r>
    </w:p>
    <w:p w14:paraId="17B2A78F" w14:textId="7D9B0BE4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Locations: Proximal ureteral (PU) stones - stones cranial to the caudal pole; </w:t>
      </w:r>
      <w:proofErr w:type="spellStart"/>
      <w:r w:rsidRPr="00482FE5">
        <w:rPr>
          <w:sz w:val="20"/>
          <w:szCs w:val="20"/>
        </w:rPr>
        <w:t>ureterovesicular</w:t>
      </w:r>
      <w:proofErr w:type="spellEnd"/>
      <w:r w:rsidRPr="00482FE5">
        <w:rPr>
          <w:sz w:val="20"/>
          <w:szCs w:val="20"/>
        </w:rPr>
        <w:t xml:space="preserve"> junction (UVJ) - adjacent to the bladder trigone ); </w:t>
      </w:r>
      <w:proofErr w:type="spellStart"/>
      <w:r w:rsidRPr="00482FE5">
        <w:rPr>
          <w:sz w:val="20"/>
          <w:szCs w:val="20"/>
        </w:rPr>
        <w:t>midureter</w:t>
      </w:r>
      <w:proofErr w:type="spellEnd"/>
      <w:r w:rsidRPr="00482FE5">
        <w:rPr>
          <w:sz w:val="20"/>
          <w:szCs w:val="20"/>
        </w:rPr>
        <w:t xml:space="preserve"> (MU) – stones not located in the PU or at the UVJ</w:t>
      </w:r>
    </w:p>
    <w:p w14:paraId="3BD2E66D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There was no statistical difference in the frequency of stone location in the PU, MU, or UVJ in cats with a single stone, in cats with multiple stones, or when comparing stone locations between cats with a single stone and cats with multiple stones.</w:t>
      </w:r>
    </w:p>
    <w:p w14:paraId="24DEB665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PU, MU was a common site of ureteral stones in cats with single and multiple stones.</w:t>
      </w:r>
    </w:p>
    <w:p w14:paraId="0F080F85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The UVJ was the least common stone location </w:t>
      </w:r>
    </w:p>
    <w:p w14:paraId="43481817" w14:textId="17C95A01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Male cats were significantly more likely to have a stone at the UVJ site compared with female cats – unknown why</w:t>
      </w:r>
    </w:p>
    <w:p w14:paraId="3FD0FBBA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Larger stone size was associated with a more proximal ureteral location. </w:t>
      </w:r>
    </w:p>
    <w:p w14:paraId="4F55F273" w14:textId="77777777" w:rsidR="00C77677" w:rsidRDefault="00C77677" w:rsidP="00C77677">
      <w:pPr>
        <w:pStyle w:val="ListParagraph"/>
      </w:pPr>
    </w:p>
    <w:p w14:paraId="2F43047D" w14:textId="77777777" w:rsidR="00C77677" w:rsidRDefault="00C77677" w:rsidP="00C77677">
      <w:r>
        <w:rPr>
          <w:noProof/>
        </w:rPr>
        <w:lastRenderedPageBreak/>
        <w:drawing>
          <wp:inline distT="0" distB="0" distL="0" distR="0" wp14:anchorId="103597ED" wp14:editId="7312090E">
            <wp:extent cx="5200650" cy="5619036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8057" cy="564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FF9AA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Results of this study of simulated canine splenectomy</w:t>
      </w:r>
    </w:p>
    <w:p w14:paraId="34E9C8D3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lead us to recommend discarding handsets as soon as the</w:t>
      </w:r>
    </w:p>
    <w:p w14:paraId="07CA06DF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surgeon detects any intraoperative evidence of creation of a</w:t>
      </w:r>
    </w:p>
    <w:p w14:paraId="6C763FAC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poor vascular seal (bleeding despite sealing) because this</w:t>
      </w:r>
    </w:p>
    <w:p w14:paraId="0F759F33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problem is likely to worsen with continued use. For the</w:t>
      </w:r>
    </w:p>
    <w:p w14:paraId="2E6928CB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proofErr w:type="spellStart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LigaSure</w:t>
      </w:r>
      <w:proofErr w:type="spellEnd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 Small Jaw, incomplete cutting may be a signal that</w:t>
      </w:r>
    </w:p>
    <w:p w14:paraId="134EAF3E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incomplete seal formation is imminent. To reduce the risk of</w:t>
      </w:r>
    </w:p>
    <w:p w14:paraId="4CA5998A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poor seals, the </w:t>
      </w:r>
      <w:proofErr w:type="spellStart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LigaSure</w:t>
      </w:r>
      <w:proofErr w:type="spellEnd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 Small Jaw should be discarded after</w:t>
      </w:r>
    </w:p>
    <w:p w14:paraId="08002FEF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9 use cycles, and the </w:t>
      </w:r>
      <w:proofErr w:type="spellStart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LigaSure</w:t>
      </w:r>
      <w:proofErr w:type="spellEnd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 Impact should be discarded</w:t>
      </w:r>
    </w:p>
    <w:p w14:paraId="0A3B8D6A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after 16 use cycles. These cycle numbers are based on the</w:t>
      </w:r>
    </w:p>
    <w:p w14:paraId="29ACC7B8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premise of discarding the handset in the cycle preceding the</w:t>
      </w:r>
    </w:p>
    <w:p w14:paraId="647697C3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minimum number of cycles at which vascular seal failure</w:t>
      </w:r>
    </w:p>
    <w:p w14:paraId="34A8FD57" w14:textId="77777777" w:rsidR="00C77677" w:rsidRPr="00BC7C50" w:rsidRDefault="00C77677" w:rsidP="00C77677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was detected in each group.</w:t>
      </w:r>
    </w:p>
    <w:p w14:paraId="520BC2DA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The majority of handsets failed due to inadequate vascular seal rather than failure of handset activation or blade retraction</w:t>
      </w:r>
    </w:p>
    <w:p w14:paraId="283F13A4" w14:textId="7AA1127D" w:rsidR="00C77677" w:rsidRPr="00482FE5" w:rsidRDefault="00C77677" w:rsidP="00C7767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~25% had an incomplete seal that may </w:t>
      </w:r>
      <w:r w:rsidR="00E42272">
        <w:rPr>
          <w:sz w:val="20"/>
          <w:szCs w:val="20"/>
        </w:rPr>
        <w:t xml:space="preserve">not </w:t>
      </w:r>
      <w:r w:rsidRPr="00482FE5">
        <w:rPr>
          <w:sz w:val="20"/>
          <w:szCs w:val="20"/>
        </w:rPr>
        <w:t>have been detected intraoperatively if patient was hypotensive (BP &gt;100, 180, 254 mmHg needed to reveal leak)</w:t>
      </w:r>
    </w:p>
    <w:p w14:paraId="16E14A61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482FE5">
        <w:rPr>
          <w:sz w:val="20"/>
          <w:szCs w:val="20"/>
        </w:rPr>
        <w:t>LigaSure</w:t>
      </w:r>
      <w:proofErr w:type="spellEnd"/>
      <w:r w:rsidRPr="00482FE5">
        <w:rPr>
          <w:sz w:val="20"/>
          <w:szCs w:val="20"/>
        </w:rPr>
        <w:t xml:space="preserve"> Small Jaw - incomplete cutting (blade wear) may be a signal that incomplete seal formation is imminent</w:t>
      </w:r>
    </w:p>
    <w:p w14:paraId="5BEF2FDF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482FE5">
        <w:rPr>
          <w:sz w:val="20"/>
          <w:szCs w:val="20"/>
        </w:rPr>
        <w:t>LigaSure</w:t>
      </w:r>
      <w:proofErr w:type="spellEnd"/>
      <w:r w:rsidRPr="00482FE5">
        <w:rPr>
          <w:sz w:val="20"/>
          <w:szCs w:val="20"/>
        </w:rPr>
        <w:t xml:space="preserve"> Small Jaw should be discarded after 9 use cycles</w:t>
      </w:r>
    </w:p>
    <w:p w14:paraId="020C668A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482FE5">
        <w:rPr>
          <w:sz w:val="20"/>
          <w:szCs w:val="20"/>
        </w:rPr>
        <w:t>LigaSure</w:t>
      </w:r>
      <w:proofErr w:type="spellEnd"/>
      <w:r w:rsidRPr="00482FE5">
        <w:rPr>
          <w:sz w:val="20"/>
          <w:szCs w:val="20"/>
        </w:rPr>
        <w:t xml:space="preserve"> Impact should be discarded after 16 use cycles. </w:t>
      </w:r>
    </w:p>
    <w:p w14:paraId="30C67E85" w14:textId="77777777" w:rsidR="00C77677" w:rsidRDefault="00C77677" w:rsidP="00C7767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>Numbers are based on discarding the handset in the cycle preceding the minimum number of cycles at which vascular seal failure was detected in each group</w:t>
      </w:r>
    </w:p>
    <w:p w14:paraId="49F08B9C" w14:textId="77777777" w:rsidR="00C77677" w:rsidRPr="00482FE5" w:rsidRDefault="00C77677" w:rsidP="00C7767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2FE5">
        <w:rPr>
          <w:sz w:val="20"/>
          <w:szCs w:val="20"/>
        </w:rPr>
        <w:t xml:space="preserve">Conclusion: Small Jaw and Impact </w:t>
      </w:r>
      <w:proofErr w:type="spellStart"/>
      <w:r w:rsidRPr="00482FE5">
        <w:rPr>
          <w:sz w:val="20"/>
          <w:szCs w:val="20"/>
        </w:rPr>
        <w:t>LigaSures</w:t>
      </w:r>
      <w:proofErr w:type="spellEnd"/>
      <w:r w:rsidRPr="00482FE5">
        <w:rPr>
          <w:sz w:val="20"/>
          <w:szCs w:val="20"/>
        </w:rPr>
        <w:t xml:space="preserve"> can be reused for a limited number of cycles but should be immediately discarded as soon as any intraoperative evidence of failed vascular seal is identified.</w:t>
      </w:r>
    </w:p>
    <w:p w14:paraId="73C6827E" w14:textId="02CED731" w:rsidR="00001D68" w:rsidRDefault="00001D68"/>
    <w:p w14:paraId="54223509" w14:textId="16CEF104" w:rsidR="00DB44BD" w:rsidRPr="00FD6865" w:rsidRDefault="00DB44BD">
      <w:pPr>
        <w:rPr>
          <w:sz w:val="20"/>
          <w:szCs w:val="20"/>
        </w:rPr>
      </w:pPr>
      <w:r w:rsidRPr="00FD6865">
        <w:rPr>
          <w:noProof/>
          <w:sz w:val="20"/>
          <w:szCs w:val="20"/>
        </w:rPr>
        <w:lastRenderedPageBreak/>
        <w:drawing>
          <wp:inline distT="0" distB="0" distL="0" distR="0" wp14:anchorId="22AD79E3" wp14:editId="0829E537">
            <wp:extent cx="5486400" cy="57284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7994" cy="575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DE4C5" w14:textId="44C82A9F" w:rsidR="00485C6F" w:rsidRDefault="00485C6F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FD6865" w:rsidRPr="00485C6F">
        <w:rPr>
          <w:sz w:val="20"/>
          <w:szCs w:val="20"/>
        </w:rPr>
        <w:t xml:space="preserve">urvival rates after surgical treatment </w:t>
      </w:r>
      <w:r>
        <w:rPr>
          <w:sz w:val="20"/>
          <w:szCs w:val="20"/>
        </w:rPr>
        <w:t>was higher in this study (92% survival to discharge) compared to what had previously been reported (50-78%); MST 1369 days</w:t>
      </w:r>
    </w:p>
    <w:p w14:paraId="040B1C3B" w14:textId="0E1977F7" w:rsidR="00485C6F" w:rsidRDefault="00485C6F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 survival</w:t>
      </w:r>
      <w:r w:rsidR="00FD6865" w:rsidRPr="00485C6F">
        <w:rPr>
          <w:sz w:val="20"/>
          <w:szCs w:val="20"/>
        </w:rPr>
        <w:t xml:space="preserve"> difference </w:t>
      </w:r>
      <w:r>
        <w:rPr>
          <w:sz w:val="20"/>
          <w:szCs w:val="20"/>
        </w:rPr>
        <w:t>for</w:t>
      </w:r>
      <w:r w:rsidR="00FD6865" w:rsidRPr="00485C6F">
        <w:rPr>
          <w:sz w:val="20"/>
          <w:szCs w:val="20"/>
        </w:rPr>
        <w:t xml:space="preserve"> pugs vs non-pugs</w:t>
      </w:r>
      <w:r>
        <w:rPr>
          <w:sz w:val="20"/>
          <w:szCs w:val="20"/>
        </w:rPr>
        <w:t xml:space="preserve"> (previously pugs had a higher reported survival rate)</w:t>
      </w:r>
    </w:p>
    <w:p w14:paraId="1EF18429" w14:textId="77777777" w:rsidR="00485C6F" w:rsidRDefault="00485C6F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="00FD6865" w:rsidRPr="00485C6F">
        <w:rPr>
          <w:sz w:val="20"/>
          <w:szCs w:val="20"/>
        </w:rPr>
        <w:t>rachycephalic vs sighthound vs</w:t>
      </w:r>
      <w:r>
        <w:rPr>
          <w:sz w:val="20"/>
          <w:szCs w:val="20"/>
        </w:rPr>
        <w:t xml:space="preserve"> all other groups – no difference in survival</w:t>
      </w:r>
    </w:p>
    <w:p w14:paraId="4FEF2BB1" w14:textId="0371147A" w:rsidR="00485C6F" w:rsidRDefault="00485C6F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 significant difference in survival rate i</w:t>
      </w:r>
      <w:r w:rsidR="00FD6865" w:rsidRPr="00485C6F">
        <w:rPr>
          <w:sz w:val="20"/>
          <w:szCs w:val="20"/>
        </w:rPr>
        <w:t>diopathic vs secondary lung lobe torsion</w:t>
      </w:r>
      <w:r>
        <w:rPr>
          <w:sz w:val="20"/>
          <w:szCs w:val="20"/>
        </w:rPr>
        <w:t xml:space="preserve"> – 62% of cases were idiopathic in this study</w:t>
      </w:r>
    </w:p>
    <w:p w14:paraId="1C00D4C3" w14:textId="4CAA2D66" w:rsidR="007E1EFA" w:rsidRDefault="00FD6865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85C6F">
        <w:rPr>
          <w:sz w:val="20"/>
          <w:szCs w:val="20"/>
        </w:rPr>
        <w:t>Right middle and left cranial lung lobe torsion accounted for 84% of cases in the present study</w:t>
      </w:r>
      <w:r w:rsidR="00485C6F">
        <w:rPr>
          <w:sz w:val="20"/>
          <w:szCs w:val="20"/>
        </w:rPr>
        <w:t xml:space="preserve"> (42% each)</w:t>
      </w:r>
    </w:p>
    <w:p w14:paraId="379C8FD3" w14:textId="7AA17D95" w:rsidR="00485C6F" w:rsidRDefault="00485C6F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91% of pugs had left cranial lung lobe torsion – consistent with previous studies </w:t>
      </w:r>
    </w:p>
    <w:p w14:paraId="205BC01B" w14:textId="142250E5" w:rsidR="003A361C" w:rsidRPr="003A361C" w:rsidRDefault="003A361C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Pr="003A361C">
        <w:rPr>
          <w:sz w:val="20"/>
          <w:szCs w:val="20"/>
        </w:rPr>
        <w:t>leural effusion was identified as a predisposing cause for lung lobe torsion</w:t>
      </w:r>
      <w:r>
        <w:rPr>
          <w:sz w:val="20"/>
          <w:szCs w:val="20"/>
        </w:rPr>
        <w:t xml:space="preserve"> (25% of cases) -</w:t>
      </w:r>
      <w:r w:rsidRPr="003A361C">
        <w:rPr>
          <w:sz w:val="20"/>
          <w:szCs w:val="20"/>
        </w:rPr>
        <w:t xml:space="preserve"> most of those cases due to chylothorax</w:t>
      </w:r>
      <w:r>
        <w:rPr>
          <w:sz w:val="20"/>
          <w:szCs w:val="20"/>
        </w:rPr>
        <w:t xml:space="preserve"> (9/13)</w:t>
      </w:r>
    </w:p>
    <w:p w14:paraId="2B79F937" w14:textId="49BDA63E" w:rsidR="003A361C" w:rsidRDefault="003A361C" w:rsidP="00485C6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</w:t>
      </w:r>
      <w:r w:rsidRPr="003A361C">
        <w:rPr>
          <w:sz w:val="20"/>
          <w:szCs w:val="20"/>
        </w:rPr>
        <w:t>ung lobe torsion was listed as a top differential in 50% of cases with thoracic ultrasound, 64% of cases with thoracic radiographs, and 97% of cases with CT</w:t>
      </w:r>
      <w:r>
        <w:rPr>
          <w:sz w:val="20"/>
          <w:szCs w:val="20"/>
        </w:rPr>
        <w:t xml:space="preserve"> – CT more specific and may detect prior to other signs (pleural effusion, consolidation)</w:t>
      </w:r>
    </w:p>
    <w:p w14:paraId="4295775A" w14:textId="593BDF67" w:rsidR="000C081C" w:rsidRPr="00321F93" w:rsidRDefault="000C081C" w:rsidP="00E0051C">
      <w:pPr>
        <w:pStyle w:val="ListParagraph"/>
        <w:rPr>
          <w:sz w:val="20"/>
          <w:szCs w:val="20"/>
        </w:rPr>
      </w:pPr>
      <w:r w:rsidRPr="00321F93">
        <w:rPr>
          <w:noProof/>
          <w:sz w:val="20"/>
          <w:szCs w:val="20"/>
        </w:rPr>
        <w:lastRenderedPageBreak/>
        <w:drawing>
          <wp:inline distT="0" distB="0" distL="0" distR="0" wp14:anchorId="3E89D1D1" wp14:editId="7AE63941">
            <wp:extent cx="4895850" cy="532737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5445" cy="535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7CF8C" w14:textId="77777777" w:rsidR="00DF7D07" w:rsidRDefault="00E0051C" w:rsidP="00DF7D0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F7D07">
        <w:rPr>
          <w:sz w:val="20"/>
          <w:szCs w:val="20"/>
        </w:rPr>
        <w:t>Dogs ≤ 20 kg had a lower prevalence of splenic hemorrhage</w:t>
      </w:r>
      <w:r w:rsidR="00DF7D07" w:rsidRPr="00DF7D07">
        <w:rPr>
          <w:sz w:val="20"/>
          <w:szCs w:val="20"/>
        </w:rPr>
        <w:t xml:space="preserve"> and higher prevalence of hemorrhage from both liver and other abdominal organs</w:t>
      </w:r>
      <w:r w:rsidRPr="00DF7D07">
        <w:rPr>
          <w:sz w:val="20"/>
          <w:szCs w:val="20"/>
        </w:rPr>
        <w:t xml:space="preserve"> compared with larger dogs </w:t>
      </w:r>
    </w:p>
    <w:p w14:paraId="50E9167E" w14:textId="77777777" w:rsidR="00DF7D07" w:rsidRDefault="00DF7D07" w:rsidP="002423E8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E0051C" w:rsidRPr="00DF7D07">
        <w:rPr>
          <w:sz w:val="20"/>
          <w:szCs w:val="20"/>
        </w:rPr>
        <w:t>pleen as the source of SH</w:t>
      </w:r>
      <w:r>
        <w:rPr>
          <w:sz w:val="20"/>
          <w:szCs w:val="20"/>
        </w:rPr>
        <w:t xml:space="preserve"> found in</w:t>
      </w:r>
      <w:r w:rsidR="00E0051C" w:rsidRPr="00DF7D07">
        <w:rPr>
          <w:sz w:val="20"/>
          <w:szCs w:val="20"/>
        </w:rPr>
        <w:t xml:space="preserve"> 43.2% of small dogs and 61.3% of large dogs</w:t>
      </w:r>
    </w:p>
    <w:p w14:paraId="12BEE393" w14:textId="2D063699" w:rsidR="00DF7D07" w:rsidRDefault="00E0051C" w:rsidP="00E0051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F7D07">
        <w:rPr>
          <w:sz w:val="20"/>
          <w:szCs w:val="20"/>
        </w:rPr>
        <w:t>Despite this difference in splenic hemorrhage rates between large vs small dogs, the aggregate rate of splenic hemorrhage all SH dogs</w:t>
      </w:r>
      <w:r w:rsidR="00DF7D07">
        <w:rPr>
          <w:sz w:val="20"/>
          <w:szCs w:val="20"/>
        </w:rPr>
        <w:t xml:space="preserve"> was 57.8%</w:t>
      </w:r>
      <w:r w:rsidRPr="00DF7D07">
        <w:rPr>
          <w:sz w:val="20"/>
          <w:szCs w:val="20"/>
        </w:rPr>
        <w:t xml:space="preserve"> </w:t>
      </w:r>
      <w:r w:rsidR="00DF7D07">
        <w:rPr>
          <w:sz w:val="20"/>
          <w:szCs w:val="20"/>
        </w:rPr>
        <w:t>=</w:t>
      </w:r>
      <w:r w:rsidRPr="00DF7D07">
        <w:rPr>
          <w:sz w:val="20"/>
          <w:szCs w:val="20"/>
        </w:rPr>
        <w:t xml:space="preserve"> similar to that of the large dog group</w:t>
      </w:r>
      <w:r w:rsidR="002423E8">
        <w:rPr>
          <w:sz w:val="20"/>
          <w:szCs w:val="20"/>
        </w:rPr>
        <w:t xml:space="preserve"> </w:t>
      </w:r>
      <w:r w:rsidR="002423E8" w:rsidRPr="002423E8">
        <w:rPr>
          <w:sz w:val="20"/>
          <w:szCs w:val="20"/>
        </w:rPr>
        <w:sym w:font="Wingdings" w:char="F0E0"/>
      </w:r>
      <w:r w:rsidR="002423E8">
        <w:rPr>
          <w:sz w:val="20"/>
          <w:szCs w:val="20"/>
        </w:rPr>
        <w:t xml:space="preserve"> s</w:t>
      </w:r>
      <w:r w:rsidR="00DF7D07">
        <w:rPr>
          <w:sz w:val="20"/>
          <w:szCs w:val="20"/>
        </w:rPr>
        <w:t>uggests that</w:t>
      </w:r>
      <w:r w:rsidRPr="00DF7D07">
        <w:rPr>
          <w:sz w:val="20"/>
          <w:szCs w:val="20"/>
        </w:rPr>
        <w:t xml:space="preserve"> the unique disease characteristics of small dogs</w:t>
      </w:r>
      <w:r w:rsidR="002423E8">
        <w:rPr>
          <w:sz w:val="20"/>
          <w:szCs w:val="20"/>
        </w:rPr>
        <w:t xml:space="preserve"> </w:t>
      </w:r>
      <w:r w:rsidRPr="00DF7D07">
        <w:rPr>
          <w:sz w:val="20"/>
          <w:szCs w:val="20"/>
        </w:rPr>
        <w:t>might not be apparent when small and large dogs are analyzed together</w:t>
      </w:r>
      <w:r w:rsidR="002423E8">
        <w:rPr>
          <w:sz w:val="20"/>
          <w:szCs w:val="20"/>
        </w:rPr>
        <w:t>;</w:t>
      </w:r>
      <w:r w:rsidR="00DF7D07">
        <w:rPr>
          <w:sz w:val="20"/>
          <w:szCs w:val="20"/>
        </w:rPr>
        <w:t xml:space="preserve"> this statistic may over estimate the location of bleeding for small dogs</w:t>
      </w:r>
    </w:p>
    <w:p w14:paraId="5C2A9E78" w14:textId="77777777" w:rsidR="002423E8" w:rsidRDefault="006C4E09" w:rsidP="00E0051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F7D07">
        <w:rPr>
          <w:sz w:val="20"/>
          <w:szCs w:val="20"/>
        </w:rPr>
        <w:t>27.2%</w:t>
      </w:r>
      <w:r w:rsidR="00DF7D07">
        <w:rPr>
          <w:sz w:val="20"/>
          <w:szCs w:val="20"/>
        </w:rPr>
        <w:t xml:space="preserve"> of</w:t>
      </w:r>
      <w:r w:rsidRPr="00DF7D07">
        <w:rPr>
          <w:sz w:val="20"/>
          <w:szCs w:val="20"/>
        </w:rPr>
        <w:t xml:space="preserve"> small dogs were diagnosed with hepatic sources of hemorrhage, nearly twice the prevalence</w:t>
      </w:r>
      <w:r w:rsidR="00DF7D07">
        <w:rPr>
          <w:sz w:val="20"/>
          <w:szCs w:val="20"/>
        </w:rPr>
        <w:t xml:space="preserve"> </w:t>
      </w:r>
      <w:r w:rsidRPr="00DF7D07">
        <w:rPr>
          <w:sz w:val="20"/>
          <w:szCs w:val="20"/>
        </w:rPr>
        <w:t>observed in large dogs</w:t>
      </w:r>
      <w:r w:rsidR="00DF7D07">
        <w:rPr>
          <w:sz w:val="20"/>
          <w:szCs w:val="20"/>
        </w:rPr>
        <w:t xml:space="preserve"> (15.8%)</w:t>
      </w:r>
    </w:p>
    <w:p w14:paraId="0B815E5C" w14:textId="6A0E453F" w:rsidR="004540D7" w:rsidRDefault="002423E8" w:rsidP="00E0051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6C4E09" w:rsidRPr="00DF7D07">
        <w:rPr>
          <w:sz w:val="20"/>
          <w:szCs w:val="20"/>
        </w:rPr>
        <w:t xml:space="preserve">he spleen was the single most common source of hemorrhage among both large and small dogs. </w:t>
      </w:r>
    </w:p>
    <w:p w14:paraId="6940190D" w14:textId="6F4C5B39" w:rsidR="004540D7" w:rsidRDefault="004540D7" w:rsidP="002423E8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540D7">
        <w:rPr>
          <w:sz w:val="20"/>
          <w:szCs w:val="20"/>
        </w:rPr>
        <w:t xml:space="preserve">However 43% of small dogs with splenic SH and 57% of small dogs with </w:t>
      </w:r>
      <w:proofErr w:type="spellStart"/>
      <w:r w:rsidRPr="004540D7">
        <w:rPr>
          <w:sz w:val="20"/>
          <w:szCs w:val="20"/>
        </w:rPr>
        <w:t>nonsplenic</w:t>
      </w:r>
      <w:proofErr w:type="spellEnd"/>
      <w:r w:rsidRPr="004540D7">
        <w:rPr>
          <w:sz w:val="20"/>
          <w:szCs w:val="20"/>
        </w:rPr>
        <w:t xml:space="preserve"> SH were found</w:t>
      </w:r>
      <w:r>
        <w:rPr>
          <w:sz w:val="20"/>
          <w:szCs w:val="20"/>
        </w:rPr>
        <w:t xml:space="preserve"> to</w:t>
      </w:r>
      <w:r w:rsidRPr="004540D7">
        <w:rPr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 w:rsidRPr="004540D7">
        <w:rPr>
          <w:sz w:val="20"/>
          <w:szCs w:val="20"/>
        </w:rPr>
        <w:t xml:space="preserve"> have HSA when a definitive diagnosis was obtained</w:t>
      </w:r>
      <w:r w:rsidR="002423E8">
        <w:rPr>
          <w:sz w:val="20"/>
          <w:szCs w:val="20"/>
        </w:rPr>
        <w:t xml:space="preserve"> </w:t>
      </w:r>
      <w:r w:rsidR="002423E8" w:rsidRPr="002423E8">
        <w:rPr>
          <w:sz w:val="20"/>
          <w:szCs w:val="20"/>
        </w:rPr>
        <w:sym w:font="Wingdings" w:char="F0E0"/>
      </w:r>
      <w:r w:rsidRPr="004540D7">
        <w:rPr>
          <w:sz w:val="20"/>
          <w:szCs w:val="20"/>
        </w:rPr>
        <w:t xml:space="preserve"> splenic HSA accounts for less than half of small-dog SH</w:t>
      </w:r>
    </w:p>
    <w:p w14:paraId="0DBBDF90" w14:textId="46D5E6B7" w:rsidR="006A35D0" w:rsidRPr="006A35D0" w:rsidRDefault="006A35D0" w:rsidP="006A35D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F7D07">
        <w:rPr>
          <w:sz w:val="20"/>
          <w:szCs w:val="20"/>
        </w:rPr>
        <w:t xml:space="preserve">Small dogs </w:t>
      </w:r>
      <w:r>
        <w:rPr>
          <w:sz w:val="20"/>
          <w:szCs w:val="20"/>
        </w:rPr>
        <w:t xml:space="preserve">= </w:t>
      </w:r>
      <w:r w:rsidRPr="00DF7D07">
        <w:rPr>
          <w:sz w:val="20"/>
          <w:szCs w:val="20"/>
        </w:rPr>
        <w:t>273% more likely to have other anatomic sources of SH</w:t>
      </w:r>
      <w:r>
        <w:rPr>
          <w:sz w:val="20"/>
          <w:szCs w:val="20"/>
        </w:rPr>
        <w:t xml:space="preserve"> (</w:t>
      </w:r>
      <w:r w:rsidRPr="00DF7D07">
        <w:rPr>
          <w:sz w:val="20"/>
          <w:szCs w:val="20"/>
        </w:rPr>
        <w:t>most commonly adrenal gland masses and retroperitoneal masses not associated with an organ</w:t>
      </w:r>
      <w:r>
        <w:rPr>
          <w:sz w:val="20"/>
          <w:szCs w:val="20"/>
        </w:rPr>
        <w:t>) than large dogs</w:t>
      </w:r>
    </w:p>
    <w:p w14:paraId="059931D5" w14:textId="56659EEE" w:rsidR="004540D7" w:rsidRPr="004540D7" w:rsidRDefault="004540D7" w:rsidP="004540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I</w:t>
      </w:r>
      <w:r w:rsidRPr="004540D7">
        <w:rPr>
          <w:sz w:val="20"/>
          <w:szCs w:val="20"/>
        </w:rPr>
        <w:t xml:space="preserve">mplications for clinical practice - when a small dog presents with SH, a presumptive diagnosis of splenic HSA </w:t>
      </w:r>
      <w:r>
        <w:rPr>
          <w:sz w:val="20"/>
          <w:szCs w:val="20"/>
        </w:rPr>
        <w:t>should not be made and additional Dx (</w:t>
      </w:r>
      <w:r w:rsidRPr="004540D7">
        <w:rPr>
          <w:sz w:val="20"/>
          <w:szCs w:val="20"/>
        </w:rPr>
        <w:t>ultrasound or other discriminating tests</w:t>
      </w:r>
      <w:r>
        <w:rPr>
          <w:sz w:val="20"/>
          <w:szCs w:val="20"/>
        </w:rPr>
        <w:t>)</w:t>
      </w:r>
      <w:r w:rsidR="006A35D0">
        <w:rPr>
          <w:sz w:val="20"/>
          <w:szCs w:val="20"/>
        </w:rPr>
        <w:t xml:space="preserve"> </w:t>
      </w:r>
      <w:r w:rsidR="002423E8">
        <w:rPr>
          <w:sz w:val="20"/>
          <w:szCs w:val="20"/>
        </w:rPr>
        <w:t xml:space="preserve">are </w:t>
      </w:r>
      <w:r w:rsidR="006A35D0">
        <w:rPr>
          <w:sz w:val="20"/>
          <w:szCs w:val="20"/>
        </w:rPr>
        <w:t>performed</w:t>
      </w:r>
      <w:r w:rsidRPr="004540D7">
        <w:rPr>
          <w:sz w:val="20"/>
          <w:szCs w:val="20"/>
        </w:rPr>
        <w:t xml:space="preserve"> to characterize </w:t>
      </w:r>
      <w:r w:rsidR="006A35D0">
        <w:rPr>
          <w:sz w:val="20"/>
          <w:szCs w:val="20"/>
        </w:rPr>
        <w:t>source of hemorrhage</w:t>
      </w:r>
      <w:r w:rsidR="002423E8">
        <w:rPr>
          <w:sz w:val="20"/>
          <w:szCs w:val="20"/>
        </w:rPr>
        <w:t xml:space="preserve">; </w:t>
      </w:r>
      <w:r>
        <w:rPr>
          <w:sz w:val="20"/>
          <w:szCs w:val="20"/>
        </w:rPr>
        <w:t>owner</w:t>
      </w:r>
      <w:r w:rsidR="002423E8">
        <w:rPr>
          <w:sz w:val="20"/>
          <w:szCs w:val="20"/>
        </w:rPr>
        <w:t>s</w:t>
      </w:r>
      <w:r>
        <w:rPr>
          <w:sz w:val="20"/>
          <w:szCs w:val="20"/>
        </w:rPr>
        <w:t xml:space="preserve"> should be given</w:t>
      </w:r>
      <w:r w:rsidRPr="004540D7">
        <w:rPr>
          <w:sz w:val="20"/>
          <w:szCs w:val="20"/>
        </w:rPr>
        <w:t xml:space="preserve"> epidemiologic data derived from small dogs rather than data derived predominantly </w:t>
      </w:r>
      <w:r w:rsidR="002423E8">
        <w:rPr>
          <w:sz w:val="20"/>
          <w:szCs w:val="20"/>
        </w:rPr>
        <w:t xml:space="preserve">from </w:t>
      </w:r>
      <w:r w:rsidRPr="004540D7">
        <w:rPr>
          <w:sz w:val="20"/>
          <w:szCs w:val="20"/>
        </w:rPr>
        <w:t>large-dog populations</w:t>
      </w:r>
      <w:r>
        <w:rPr>
          <w:sz w:val="20"/>
          <w:szCs w:val="20"/>
        </w:rPr>
        <w:t xml:space="preserve"> to make more informed decisions</w:t>
      </w:r>
    </w:p>
    <w:p w14:paraId="16D0BD5C" w14:textId="60FD3C73" w:rsidR="00232EB5" w:rsidRDefault="00232EB5" w:rsidP="00E0051C">
      <w:pPr>
        <w:rPr>
          <w:sz w:val="20"/>
          <w:szCs w:val="20"/>
        </w:rPr>
      </w:pPr>
    </w:p>
    <w:p w14:paraId="6E04F34C" w14:textId="138EE9B4" w:rsidR="00232EB5" w:rsidRDefault="00232EB5" w:rsidP="00E0051C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78028DF" wp14:editId="41F5B08D">
            <wp:extent cx="5667375" cy="605125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0490" cy="606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5EAD" w14:textId="31F401DF" w:rsidR="002423E8" w:rsidRPr="004F419C" w:rsidRDefault="004F419C" w:rsidP="00E0051C">
      <w:pPr>
        <w:rPr>
          <w:sz w:val="20"/>
          <w:szCs w:val="20"/>
        </w:rPr>
      </w:pPr>
      <w:r>
        <w:rPr>
          <w:sz w:val="20"/>
          <w:szCs w:val="20"/>
        </w:rPr>
        <w:t xml:space="preserve">Conclusion says it all:  </w:t>
      </w:r>
      <w:r w:rsidR="00E0624B" w:rsidRPr="004F419C">
        <w:rPr>
          <w:sz w:val="20"/>
          <w:szCs w:val="20"/>
        </w:rPr>
        <w:t>Allogeneic blood product administration was associated with a shorter disease-free interval in this population</w:t>
      </w:r>
      <w:r>
        <w:rPr>
          <w:sz w:val="20"/>
          <w:szCs w:val="20"/>
        </w:rPr>
        <w:t xml:space="preserve"> however the</w:t>
      </w:r>
      <w:r w:rsidR="00E0624B" w:rsidRPr="004F419C">
        <w:rPr>
          <w:sz w:val="20"/>
          <w:szCs w:val="20"/>
        </w:rPr>
        <w:t xml:space="preserve"> association between blood products and shorter DFI </w:t>
      </w:r>
      <w:r>
        <w:rPr>
          <w:sz w:val="20"/>
          <w:szCs w:val="20"/>
        </w:rPr>
        <w:t xml:space="preserve">cannot be made </w:t>
      </w:r>
      <w:r w:rsidR="00E0624B" w:rsidRPr="004F419C">
        <w:rPr>
          <w:sz w:val="20"/>
          <w:szCs w:val="20"/>
        </w:rPr>
        <w:t>because of confounding factors</w:t>
      </w:r>
      <w:r w:rsidRPr="004F419C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type I error, </w:t>
      </w:r>
      <w:r w:rsidRPr="004F419C">
        <w:rPr>
          <w:sz w:val="20"/>
          <w:szCs w:val="20"/>
        </w:rPr>
        <w:t>small sample size, retrospective, metastatic disease and hemoabdomen also had a hazard ratio &gt; than 1 and independently were associated with a decreased disease free interval</w:t>
      </w:r>
      <w:r>
        <w:rPr>
          <w:sz w:val="20"/>
          <w:szCs w:val="20"/>
        </w:rPr>
        <w:t xml:space="preserve">, different blood </w:t>
      </w:r>
      <w:bookmarkStart w:id="0" w:name="_GoBack"/>
      <w:bookmarkEnd w:id="0"/>
      <w:r>
        <w:rPr>
          <w:sz w:val="20"/>
          <w:szCs w:val="20"/>
        </w:rPr>
        <w:t xml:space="preserve">products being used, multiple confounding factors,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sectPr w:rsidR="002423E8" w:rsidRPr="004F4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3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35436"/>
    <w:multiLevelType w:val="hybridMultilevel"/>
    <w:tmpl w:val="9EA0E670"/>
    <w:lvl w:ilvl="0" w:tplc="AD82C4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77"/>
    <w:rsid w:val="00001D68"/>
    <w:rsid w:val="000C081C"/>
    <w:rsid w:val="00232EB5"/>
    <w:rsid w:val="002423E8"/>
    <w:rsid w:val="002D2253"/>
    <w:rsid w:val="00321F93"/>
    <w:rsid w:val="003A361C"/>
    <w:rsid w:val="004540D7"/>
    <w:rsid w:val="00485C6F"/>
    <w:rsid w:val="004F419C"/>
    <w:rsid w:val="00626524"/>
    <w:rsid w:val="006A35D0"/>
    <w:rsid w:val="006C4E09"/>
    <w:rsid w:val="007E1EFA"/>
    <w:rsid w:val="00B50B32"/>
    <w:rsid w:val="00BA5519"/>
    <w:rsid w:val="00C77677"/>
    <w:rsid w:val="00DB44BD"/>
    <w:rsid w:val="00DF7D07"/>
    <w:rsid w:val="00E0051C"/>
    <w:rsid w:val="00E04152"/>
    <w:rsid w:val="00E0624B"/>
    <w:rsid w:val="00E42272"/>
    <w:rsid w:val="00FD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3C59C"/>
  <w15:chartTrackingRefBased/>
  <w15:docId w15:val="{E027613C-56E8-4F7F-A78E-A7E734B9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6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CUVS</dc:creator>
  <cp:keywords/>
  <dc:description/>
  <cp:lastModifiedBy>Sarah Gradilla</cp:lastModifiedBy>
  <cp:revision>2</cp:revision>
  <dcterms:created xsi:type="dcterms:W3CDTF">2018-11-13T01:37:00Z</dcterms:created>
  <dcterms:modified xsi:type="dcterms:W3CDTF">2018-11-13T01:37:00Z</dcterms:modified>
</cp:coreProperties>
</file>