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88F" w:rsidRPr="0055288F" w:rsidRDefault="0055288F" w:rsidP="0055288F">
      <w:pPr>
        <w:rPr>
          <w:rFonts w:ascii="Arial" w:hAnsi="Arial" w:cs="Arial"/>
          <w:b/>
          <w:sz w:val="20"/>
          <w:szCs w:val="20"/>
          <w:u w:val="single"/>
        </w:rPr>
      </w:pPr>
      <w:r w:rsidRPr="0055288F">
        <w:rPr>
          <w:rFonts w:ascii="Arial" w:hAnsi="Arial" w:cs="Arial"/>
          <w:b/>
          <w:sz w:val="20"/>
          <w:szCs w:val="20"/>
          <w:u w:val="single"/>
        </w:rPr>
        <w:t>Veterinary Surgery Feb 2019 – April 2019</w:t>
      </w:r>
      <w:bookmarkStart w:id="0" w:name="_GoBack"/>
      <w:bookmarkEnd w:id="0"/>
    </w:p>
    <w:p w:rsidR="0055288F" w:rsidRDefault="0055288F" w:rsidP="0055288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340AD2B" wp14:editId="034011F5">
            <wp:extent cx="4629150" cy="1085081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0026" cy="108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88F" w:rsidRDefault="0055288F" w:rsidP="0055288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BFD947B" wp14:editId="5A362088">
            <wp:extent cx="4629493" cy="32411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9261" cy="324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 xml:space="preserve">Feline PHPT has been reported infrequently in the veterinary literature - parathyroid adenoma </w:t>
      </w:r>
      <w:r>
        <w:rPr>
          <w:rFonts w:ascii="Arial" w:hAnsi="Arial" w:cs="Arial"/>
          <w:color w:val="000000"/>
          <w:sz w:val="20"/>
          <w:szCs w:val="20"/>
        </w:rPr>
        <w:t xml:space="preserve">reported as </w:t>
      </w:r>
      <w:r w:rsidRPr="0055288F">
        <w:rPr>
          <w:rFonts w:ascii="Arial" w:hAnsi="Arial" w:cs="Arial"/>
          <w:color w:val="000000"/>
          <w:sz w:val="20"/>
          <w:szCs w:val="20"/>
        </w:rPr>
        <w:t>most common</w:t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 xml:space="preserve">Retrospective </w:t>
      </w:r>
      <w:r>
        <w:rPr>
          <w:rFonts w:ascii="Arial" w:hAnsi="Arial" w:cs="Arial"/>
          <w:color w:val="000000"/>
          <w:sz w:val="20"/>
          <w:szCs w:val="20"/>
        </w:rPr>
        <w:t xml:space="preserve">study to </w:t>
      </w:r>
      <w:r w:rsidRPr="0055288F">
        <w:rPr>
          <w:rFonts w:ascii="Arial" w:hAnsi="Arial" w:cs="Arial"/>
          <w:color w:val="000000"/>
          <w:sz w:val="20"/>
          <w:szCs w:val="20"/>
        </w:rPr>
        <w:t>describe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perioperative characteristics, complications, histological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diagnosis, and outcome in</w:t>
      </w:r>
      <w:r>
        <w:rPr>
          <w:rFonts w:ascii="Arial" w:hAnsi="Arial" w:cs="Arial"/>
          <w:color w:val="000000"/>
          <w:sz w:val="20"/>
          <w:szCs w:val="20"/>
        </w:rPr>
        <w:t xml:space="preserve"> cats undergoing surgical treatment of PHPT</w:t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>RESULTS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55288F" w:rsidRPr="0055288F" w:rsidRDefault="0055288F" w:rsidP="0055288F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>Hypocalcemia developed a</w:t>
      </w:r>
      <w:r>
        <w:rPr>
          <w:rFonts w:ascii="Arial" w:hAnsi="Arial" w:cs="Arial"/>
          <w:color w:val="000000"/>
          <w:sz w:val="20"/>
          <w:szCs w:val="20"/>
        </w:rPr>
        <w:t>t some point during hospitalization in 11 (34.4%) cats</w:t>
      </w:r>
    </w:p>
    <w:p w:rsidR="0055288F" w:rsidRPr="0055288F" w:rsidRDefault="0055288F" w:rsidP="0055288F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>No clinical signs of hypocalcemia</w:t>
      </w:r>
      <w:r>
        <w:rPr>
          <w:rFonts w:ascii="Arial" w:hAnsi="Arial" w:cs="Arial"/>
          <w:color w:val="000000"/>
          <w:sz w:val="20"/>
          <w:szCs w:val="20"/>
        </w:rPr>
        <w:t xml:space="preserve"> in any cat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value below reference range detected at median time of 36 hours</w:t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At time of discharge, 18.8% were hypercalce</w:t>
      </w:r>
      <w:r w:rsidRPr="0055288F">
        <w:rPr>
          <w:rFonts w:ascii="Arial" w:hAnsi="Arial" w:cs="Arial"/>
          <w:color w:val="000000"/>
          <w:sz w:val="20"/>
          <w:szCs w:val="20"/>
        </w:rPr>
        <w:t>mic</w:t>
      </w:r>
      <w:r>
        <w:rPr>
          <w:rFonts w:ascii="Arial" w:hAnsi="Arial" w:cs="Arial"/>
          <w:color w:val="000000"/>
          <w:sz w:val="20"/>
          <w:szCs w:val="20"/>
        </w:rPr>
        <w:t>, 15.6%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were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hypocalcemic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65.6% 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were </w:t>
      </w:r>
      <w:proofErr w:type="spellStart"/>
      <w:r w:rsidRPr="0055288F">
        <w:rPr>
          <w:rFonts w:ascii="Arial" w:hAnsi="Arial" w:cs="Arial"/>
          <w:color w:val="000000"/>
          <w:sz w:val="20"/>
          <w:szCs w:val="20"/>
        </w:rPr>
        <w:t>normocalcemic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Preopera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tive </w:t>
      </w:r>
      <w:proofErr w:type="spellStart"/>
      <w:r w:rsidRPr="0055288F">
        <w:rPr>
          <w:rFonts w:ascii="Arial" w:hAnsi="Arial" w:cs="Arial"/>
          <w:color w:val="000000"/>
          <w:sz w:val="20"/>
          <w:szCs w:val="20"/>
        </w:rPr>
        <w:t>iCa</w:t>
      </w:r>
      <w:proofErr w:type="spellEnd"/>
      <w:r w:rsidRPr="0055288F">
        <w:rPr>
          <w:rFonts w:ascii="Arial" w:hAnsi="Arial" w:cs="Arial"/>
          <w:color w:val="000000"/>
          <w:sz w:val="20"/>
          <w:szCs w:val="20"/>
        </w:rPr>
        <w:t xml:space="preserve"> was not associated with hypocalcemia d</w:t>
      </w:r>
      <w:r>
        <w:rPr>
          <w:rFonts w:ascii="Arial" w:hAnsi="Arial" w:cs="Arial"/>
          <w:color w:val="000000"/>
          <w:sz w:val="20"/>
          <w:szCs w:val="20"/>
        </w:rPr>
        <w:t>uring hospitalization or dis</w:t>
      </w:r>
      <w:r w:rsidRPr="0055288F">
        <w:rPr>
          <w:rFonts w:ascii="Arial" w:hAnsi="Arial" w:cs="Arial"/>
          <w:color w:val="000000"/>
          <w:sz w:val="20"/>
          <w:szCs w:val="20"/>
        </w:rPr>
        <w:t>charge, or hypercalcemia at discharge</w:t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PTH level was not associated with hypocalcemia or persiste</w:t>
      </w:r>
      <w:r w:rsidRPr="0055288F">
        <w:rPr>
          <w:rFonts w:ascii="Arial" w:hAnsi="Arial" w:cs="Arial"/>
          <w:color w:val="000000"/>
          <w:sz w:val="20"/>
          <w:szCs w:val="20"/>
        </w:rPr>
        <w:t>nt hyper</w:t>
      </w:r>
      <w:r>
        <w:rPr>
          <w:rFonts w:ascii="Arial" w:hAnsi="Arial" w:cs="Arial"/>
          <w:color w:val="000000"/>
          <w:sz w:val="20"/>
          <w:szCs w:val="20"/>
        </w:rPr>
        <w:t>calcemia</w:t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MST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 w</w:t>
      </w:r>
      <w:r>
        <w:rPr>
          <w:rFonts w:ascii="Arial" w:hAnsi="Arial" w:cs="Arial"/>
          <w:color w:val="000000"/>
          <w:sz w:val="20"/>
          <w:szCs w:val="20"/>
        </w:rPr>
        <w:t>as 1109 days</w:t>
      </w:r>
    </w:p>
    <w:p w:rsidR="0055288F" w:rsidRPr="0055288F" w:rsidRDefault="0055288F" w:rsidP="0055288F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Pr="0055288F">
        <w:rPr>
          <w:rFonts w:ascii="Arial" w:hAnsi="Arial" w:cs="Arial"/>
          <w:color w:val="000000"/>
          <w:sz w:val="20"/>
          <w:szCs w:val="20"/>
        </w:rPr>
        <w:t>ot associated with</w:t>
      </w:r>
      <w:r>
        <w:rPr>
          <w:rFonts w:ascii="Arial" w:hAnsi="Arial" w:cs="Arial"/>
          <w:color w:val="000000"/>
          <w:sz w:val="20"/>
          <w:szCs w:val="20"/>
        </w:rPr>
        <w:t xml:space="preserve"> preoperative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hypocalcemia </w:t>
      </w:r>
      <w:r>
        <w:rPr>
          <w:rFonts w:ascii="Arial" w:hAnsi="Arial" w:cs="Arial"/>
          <w:color w:val="000000"/>
          <w:sz w:val="20"/>
          <w:szCs w:val="20"/>
        </w:rPr>
        <w:t xml:space="preserve">or hypercalcemia </w:t>
      </w:r>
      <w:r w:rsidRPr="0055288F">
        <w:rPr>
          <w:rFonts w:ascii="Arial" w:hAnsi="Arial" w:cs="Arial"/>
          <w:color w:val="000000"/>
          <w:sz w:val="20"/>
          <w:szCs w:val="20"/>
        </w:rPr>
        <w:t>at discharge</w:t>
      </w:r>
      <w:r>
        <w:rPr>
          <w:rFonts w:ascii="Arial" w:hAnsi="Arial" w:cs="Arial"/>
          <w:color w:val="000000"/>
          <w:sz w:val="20"/>
          <w:szCs w:val="20"/>
        </w:rPr>
        <w:t xml:space="preserve"> or diag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nosis </w:t>
      </w:r>
      <w:r>
        <w:rPr>
          <w:rFonts w:ascii="Arial" w:hAnsi="Arial" w:cs="Arial"/>
          <w:color w:val="000000"/>
          <w:sz w:val="20"/>
          <w:szCs w:val="20"/>
        </w:rPr>
        <w:t>of carcinoma</w:t>
      </w:r>
    </w:p>
    <w:p w:rsidR="0055288F" w:rsidRPr="0055288F" w:rsidRDefault="0055288F" w:rsidP="0055288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Parathyroid car</w:t>
      </w:r>
      <w:r w:rsidRPr="0055288F">
        <w:rPr>
          <w:rFonts w:ascii="Arial" w:hAnsi="Arial" w:cs="Arial"/>
          <w:color w:val="000000"/>
          <w:sz w:val="20"/>
          <w:szCs w:val="20"/>
        </w:rPr>
        <w:t>cinoma was diagn</w:t>
      </w:r>
      <w:r>
        <w:rPr>
          <w:rFonts w:ascii="Arial" w:hAnsi="Arial" w:cs="Arial"/>
          <w:color w:val="000000"/>
          <w:sz w:val="20"/>
          <w:szCs w:val="20"/>
        </w:rPr>
        <w:t xml:space="preserve">osed in 21.9% of cats – </w:t>
      </w:r>
      <w:r w:rsidRPr="0055288F">
        <w:rPr>
          <w:rFonts w:ascii="Arial" w:hAnsi="Arial" w:cs="Arial"/>
          <w:color w:val="000000"/>
          <w:sz w:val="20"/>
          <w:szCs w:val="20"/>
        </w:rPr>
        <w:t>higher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than that reported in dogs (0%–15%)</w:t>
      </w:r>
      <w:r>
        <w:rPr>
          <w:rFonts w:ascii="Arial" w:hAnsi="Arial" w:cs="Arial"/>
          <w:color w:val="000000"/>
          <w:sz w:val="20"/>
          <w:szCs w:val="20"/>
        </w:rPr>
        <w:t>; was not associated with survival time</w:t>
      </w:r>
    </w:p>
    <w:p w:rsidR="0055288F" w:rsidRDefault="0055288F">
      <w:pPr>
        <w:rPr>
          <w:noProof/>
        </w:rPr>
      </w:pPr>
    </w:p>
    <w:p w:rsidR="000C1A86" w:rsidRDefault="00CF21B5">
      <w:r>
        <w:rPr>
          <w:noProof/>
        </w:rPr>
        <w:lastRenderedPageBreak/>
        <w:drawing>
          <wp:inline distT="0" distB="0" distL="0" distR="0" wp14:anchorId="6C09873E" wp14:editId="65C0C578">
            <wp:extent cx="4445251" cy="8828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3648" cy="8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1B5" w:rsidRDefault="00CF21B5">
      <w:r>
        <w:rPr>
          <w:noProof/>
        </w:rPr>
        <w:drawing>
          <wp:inline distT="0" distB="0" distL="0" distR="0" wp14:anchorId="1C6A67A9" wp14:editId="5B906155">
            <wp:extent cx="4730348" cy="33769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393" cy="337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1B5" w:rsidRPr="00CF21B5" w:rsidRDefault="00CF21B5" w:rsidP="00CF21B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sz w:val="20"/>
          <w:szCs w:val="20"/>
        </w:rPr>
        <w:t>Hepatocellular carcinoma most common primary hepatic tumor in dogs and cats</w:t>
      </w:r>
    </w:p>
    <w:p w:rsidR="00CF21B5" w:rsidRPr="00CF21B5" w:rsidRDefault="00CF21B5" w:rsidP="00CF21B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S</w:t>
      </w:r>
      <w:r w:rsidRPr="00CF21B5">
        <w:rPr>
          <w:rFonts w:ascii="Arial" w:hAnsi="Arial" w:cs="Arial"/>
          <w:color w:val="000000"/>
          <w:sz w:val="20"/>
          <w:szCs w:val="20"/>
        </w:rPr>
        <w:t>urgical intervention is the trea</w:t>
      </w:r>
      <w:r w:rsidRPr="00CF21B5">
        <w:rPr>
          <w:rFonts w:ascii="Arial" w:hAnsi="Arial" w:cs="Arial"/>
          <w:color w:val="000000"/>
          <w:sz w:val="20"/>
          <w:szCs w:val="20"/>
        </w:rPr>
        <w:t>tment of choice for solitary liver tumors in dog; l</w:t>
      </w:r>
      <w:r w:rsidRPr="00CF21B5">
        <w:rPr>
          <w:rFonts w:ascii="Arial" w:hAnsi="Arial" w:cs="Arial"/>
          <w:color w:val="000000"/>
          <w:sz w:val="20"/>
          <w:szCs w:val="20"/>
        </w:rPr>
        <w:t>eft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division </w:t>
      </w:r>
      <w:proofErr w:type="spellStart"/>
      <w:r w:rsidRPr="00CF21B5">
        <w:rPr>
          <w:rFonts w:ascii="Arial" w:hAnsi="Arial" w:cs="Arial"/>
          <w:color w:val="000000"/>
          <w:sz w:val="20"/>
          <w:szCs w:val="20"/>
        </w:rPr>
        <w:t>hepatectomies</w:t>
      </w:r>
      <w:proofErr w:type="spellEnd"/>
      <w:r w:rsidRPr="00CF21B5">
        <w:rPr>
          <w:rFonts w:ascii="Arial" w:hAnsi="Arial" w:cs="Arial"/>
          <w:color w:val="000000"/>
          <w:sz w:val="20"/>
          <w:szCs w:val="20"/>
        </w:rPr>
        <w:t xml:space="preserve"> are usu</w:t>
      </w:r>
      <w:r w:rsidRPr="00CF21B5">
        <w:rPr>
          <w:rFonts w:ascii="Arial" w:hAnsi="Arial" w:cs="Arial"/>
          <w:color w:val="000000"/>
          <w:sz w:val="20"/>
          <w:szCs w:val="20"/>
        </w:rPr>
        <w:t>ally technically simpler than tho</w:t>
      </w:r>
      <w:r w:rsidRPr="00CF21B5">
        <w:rPr>
          <w:rFonts w:ascii="Arial" w:hAnsi="Arial" w:cs="Arial"/>
          <w:color w:val="000000"/>
          <w:sz w:val="20"/>
          <w:szCs w:val="20"/>
        </w:rPr>
        <w:t>se of the right or central division (anatomy)</w:t>
      </w:r>
    </w:p>
    <w:p w:rsidR="00CF21B5" w:rsidRPr="00CF21B5" w:rsidRDefault="00CF21B5" w:rsidP="00CF21B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 xml:space="preserve">Retrospective study: </w:t>
      </w:r>
      <w:r w:rsidRPr="00CF21B5">
        <w:rPr>
          <w:rFonts w:ascii="Arial" w:hAnsi="Arial" w:cs="Arial"/>
          <w:color w:val="000000"/>
          <w:sz w:val="20"/>
          <w:szCs w:val="20"/>
        </w:rPr>
        <w:t>determine the outcome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21B5">
        <w:rPr>
          <w:rFonts w:ascii="Arial" w:hAnsi="Arial" w:cs="Arial"/>
          <w:color w:val="000000"/>
          <w:sz w:val="20"/>
          <w:szCs w:val="20"/>
        </w:rPr>
        <w:t>and prognostic variables associated with hepatic lobectomy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of the central division (quadrate, right medial)</w:t>
      </w:r>
    </w:p>
    <w:p w:rsidR="00CF21B5" w:rsidRPr="00CF21B5" w:rsidRDefault="00CF21B5" w:rsidP="00CF21B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RESULTS:</w:t>
      </w:r>
    </w:p>
    <w:p w:rsidR="00CF21B5" w:rsidRPr="00CF21B5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Intraoperative com</w:t>
      </w:r>
      <w:r>
        <w:rPr>
          <w:rFonts w:ascii="Arial" w:hAnsi="Arial" w:cs="Arial"/>
          <w:color w:val="000000"/>
          <w:sz w:val="20"/>
          <w:szCs w:val="20"/>
        </w:rPr>
        <w:t>plications in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37.7% of dogs – hemorrhage </w:t>
      </w:r>
      <w:r>
        <w:rPr>
          <w:rFonts w:ascii="Arial" w:hAnsi="Arial" w:cs="Arial"/>
          <w:color w:val="000000"/>
          <w:sz w:val="20"/>
          <w:szCs w:val="20"/>
        </w:rPr>
        <w:t>(</w:t>
      </w:r>
      <w:r w:rsidRPr="00CF21B5">
        <w:rPr>
          <w:rFonts w:ascii="Arial" w:hAnsi="Arial" w:cs="Arial"/>
          <w:color w:val="000000"/>
          <w:sz w:val="20"/>
          <w:szCs w:val="20"/>
        </w:rPr>
        <w:t>31% needing transfusions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and injury to the extrahepatic biliary system</w:t>
      </w:r>
    </w:p>
    <w:p w:rsidR="00CF21B5" w:rsidRPr="00CF21B5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Immediate postoperative complications (0–48 hours)</w:t>
      </w:r>
      <w:r w:rsidR="004E6DA9">
        <w:rPr>
          <w:rFonts w:ascii="Arial" w:hAnsi="Arial" w:cs="Arial"/>
          <w:color w:val="000000"/>
          <w:sz w:val="20"/>
          <w:szCs w:val="20"/>
        </w:rPr>
        <w:t xml:space="preserve"> in 33% of </w:t>
      </w:r>
      <w:r w:rsidRPr="00CF21B5">
        <w:rPr>
          <w:rFonts w:ascii="Arial" w:hAnsi="Arial" w:cs="Arial"/>
          <w:color w:val="000000"/>
          <w:sz w:val="20"/>
          <w:szCs w:val="20"/>
        </w:rPr>
        <w:t>dogs - anemia; car</w:t>
      </w:r>
      <w:r w:rsidRPr="00CF21B5">
        <w:rPr>
          <w:rFonts w:ascii="Arial" w:hAnsi="Arial" w:cs="Arial"/>
          <w:color w:val="000000"/>
          <w:sz w:val="20"/>
          <w:szCs w:val="20"/>
        </w:rPr>
        <w:t>diac arrhyt</w:t>
      </w:r>
      <w:r w:rsidRPr="00CF21B5">
        <w:rPr>
          <w:rFonts w:ascii="Arial" w:hAnsi="Arial" w:cs="Arial"/>
          <w:color w:val="000000"/>
          <w:sz w:val="20"/>
          <w:szCs w:val="20"/>
        </w:rPr>
        <w:t>hmias</w:t>
      </w:r>
      <w:r w:rsidRPr="00CF21B5">
        <w:rPr>
          <w:rFonts w:ascii="Arial" w:hAnsi="Arial" w:cs="Arial"/>
          <w:color w:val="000000"/>
          <w:sz w:val="20"/>
          <w:szCs w:val="20"/>
        </w:rPr>
        <w:t>; co</w:t>
      </w:r>
      <w:r w:rsidRPr="00CF21B5">
        <w:rPr>
          <w:rFonts w:ascii="Arial" w:hAnsi="Arial" w:cs="Arial"/>
          <w:color w:val="000000"/>
          <w:sz w:val="20"/>
          <w:szCs w:val="20"/>
        </w:rPr>
        <w:t>agulation abnormalities; hypoglycemia; uncontrollable hemor</w:t>
      </w:r>
      <w:r w:rsidRPr="00CF21B5">
        <w:rPr>
          <w:rFonts w:ascii="Arial" w:hAnsi="Arial" w:cs="Arial"/>
          <w:color w:val="000000"/>
          <w:sz w:val="20"/>
          <w:szCs w:val="20"/>
        </w:rPr>
        <w:t>rhage, respiratory distres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s secondary to pneumothorax, </w:t>
      </w:r>
      <w:proofErr w:type="spellStart"/>
      <w:r w:rsidRPr="00CF21B5">
        <w:rPr>
          <w:rFonts w:ascii="Arial" w:hAnsi="Arial" w:cs="Arial"/>
          <w:color w:val="000000"/>
          <w:sz w:val="20"/>
          <w:szCs w:val="20"/>
        </w:rPr>
        <w:t>anuric</w:t>
      </w:r>
      <w:proofErr w:type="spellEnd"/>
      <w:r w:rsidRPr="00CF21B5">
        <w:rPr>
          <w:rFonts w:ascii="Arial" w:hAnsi="Arial" w:cs="Arial"/>
          <w:color w:val="000000"/>
          <w:sz w:val="20"/>
          <w:szCs w:val="20"/>
        </w:rPr>
        <w:t xml:space="preserve"> renal f</w:t>
      </w:r>
      <w:r w:rsidRPr="00CF21B5">
        <w:rPr>
          <w:rFonts w:ascii="Arial" w:hAnsi="Arial" w:cs="Arial"/>
          <w:color w:val="000000"/>
          <w:sz w:val="20"/>
          <w:szCs w:val="20"/>
        </w:rPr>
        <w:t>ailure</w:t>
      </w:r>
    </w:p>
    <w:p w:rsidR="00CF21B5" w:rsidRPr="00CF21B5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Short-term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21B5">
        <w:rPr>
          <w:rFonts w:ascii="Arial" w:hAnsi="Arial" w:cs="Arial"/>
          <w:color w:val="000000"/>
          <w:sz w:val="20"/>
          <w:szCs w:val="20"/>
        </w:rPr>
        <w:t>postoper</w:t>
      </w:r>
      <w:r>
        <w:rPr>
          <w:rFonts w:ascii="Arial" w:hAnsi="Arial" w:cs="Arial"/>
          <w:color w:val="000000"/>
          <w:sz w:val="20"/>
          <w:szCs w:val="20"/>
        </w:rPr>
        <w:t>ative complications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in 12 (19.7%)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dogs - aspiration pneumonia; continued hemorrhage</w:t>
      </w:r>
      <w:r w:rsidRPr="00CF21B5">
        <w:rPr>
          <w:rFonts w:ascii="Arial" w:hAnsi="Arial" w:cs="Arial"/>
          <w:color w:val="000000"/>
          <w:sz w:val="20"/>
          <w:szCs w:val="20"/>
        </w:rPr>
        <w:t>; incis</w:t>
      </w:r>
      <w:r w:rsidRPr="00CF21B5">
        <w:rPr>
          <w:rFonts w:ascii="Arial" w:hAnsi="Arial" w:cs="Arial"/>
          <w:color w:val="000000"/>
          <w:sz w:val="20"/>
          <w:szCs w:val="20"/>
        </w:rPr>
        <w:t>ional infection/inflammation; hyper</w:t>
      </w:r>
      <w:r w:rsidRPr="00CF21B5">
        <w:rPr>
          <w:rFonts w:ascii="Arial" w:hAnsi="Arial" w:cs="Arial"/>
          <w:color w:val="000000"/>
          <w:sz w:val="20"/>
          <w:szCs w:val="20"/>
        </w:rPr>
        <w:t>glycemia, perforated duodenal ulcer with secondary septic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21B5">
        <w:rPr>
          <w:rFonts w:ascii="Arial" w:hAnsi="Arial" w:cs="Arial"/>
          <w:color w:val="000000"/>
          <w:sz w:val="20"/>
          <w:szCs w:val="20"/>
        </w:rPr>
        <w:t>peritonitis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(chronic NSAID use)</w:t>
      </w:r>
      <w:r w:rsidRPr="00CF21B5">
        <w:rPr>
          <w:rFonts w:ascii="Arial" w:hAnsi="Arial" w:cs="Arial"/>
          <w:color w:val="000000"/>
          <w:sz w:val="20"/>
          <w:szCs w:val="20"/>
        </w:rPr>
        <w:t>, incisional dehisce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nce, MODS, pancreatitis, </w:t>
      </w:r>
      <w:r w:rsidRPr="00CF21B5">
        <w:rPr>
          <w:rFonts w:ascii="Arial" w:hAnsi="Arial" w:cs="Arial"/>
          <w:color w:val="000000"/>
          <w:sz w:val="20"/>
          <w:szCs w:val="20"/>
        </w:rPr>
        <w:t>incisional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seroma</w:t>
      </w:r>
    </w:p>
    <w:p w:rsidR="00CF21B5" w:rsidRPr="00CF21B5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Long-term posto</w:t>
      </w:r>
      <w:r>
        <w:rPr>
          <w:rFonts w:ascii="Arial" w:hAnsi="Arial" w:cs="Arial"/>
          <w:color w:val="000000"/>
          <w:sz w:val="20"/>
          <w:szCs w:val="20"/>
        </w:rPr>
        <w:t xml:space="preserve">perative complications - </w:t>
      </w:r>
      <w:r w:rsidRPr="00CF21B5">
        <w:rPr>
          <w:rFonts w:ascii="Arial" w:hAnsi="Arial" w:cs="Arial"/>
          <w:color w:val="000000"/>
          <w:sz w:val="20"/>
          <w:szCs w:val="20"/>
        </w:rPr>
        <w:t>pa</w:t>
      </w:r>
      <w:r w:rsidRPr="00CF21B5">
        <w:rPr>
          <w:rFonts w:ascii="Arial" w:hAnsi="Arial" w:cs="Arial"/>
          <w:color w:val="000000"/>
          <w:sz w:val="20"/>
          <w:szCs w:val="20"/>
        </w:rPr>
        <w:t>ncreatitis</w:t>
      </w:r>
    </w:p>
    <w:p w:rsidR="00CF21B5" w:rsidRPr="00CF21B5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Periop</w:t>
      </w:r>
      <w:r w:rsidRPr="00CF21B5">
        <w:rPr>
          <w:rFonts w:ascii="Arial" w:hAnsi="Arial" w:cs="Arial"/>
          <w:color w:val="000000"/>
          <w:sz w:val="20"/>
          <w:szCs w:val="20"/>
        </w:rPr>
        <w:t>erativ</w:t>
      </w:r>
      <w:r w:rsidRPr="00CF21B5">
        <w:rPr>
          <w:rFonts w:ascii="Arial" w:hAnsi="Arial" w:cs="Arial"/>
          <w:color w:val="000000"/>
          <w:sz w:val="20"/>
          <w:szCs w:val="20"/>
        </w:rPr>
        <w:t>e mortality rate was 11% (consistent with previous studies)</w:t>
      </w:r>
    </w:p>
    <w:p w:rsidR="00CF21B5" w:rsidRPr="00CF21B5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C</w:t>
      </w:r>
      <w:r w:rsidRPr="00CF21B5">
        <w:rPr>
          <w:rFonts w:ascii="Arial" w:hAnsi="Arial" w:cs="Arial"/>
          <w:color w:val="000000"/>
          <w:sz w:val="20"/>
          <w:szCs w:val="20"/>
        </w:rPr>
        <w:t>ensored 1- and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21B5">
        <w:rPr>
          <w:rFonts w:ascii="Arial" w:hAnsi="Arial" w:cs="Arial"/>
          <w:color w:val="000000"/>
          <w:sz w:val="20"/>
          <w:szCs w:val="20"/>
        </w:rPr>
        <w:t>3-year survival rates for dogs with HCC were 82.1% and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21B5">
        <w:rPr>
          <w:rFonts w:ascii="Arial" w:hAnsi="Arial" w:cs="Arial"/>
          <w:color w:val="000000"/>
          <w:sz w:val="20"/>
          <w:szCs w:val="20"/>
        </w:rPr>
        <w:t>82.1%, respectively</w:t>
      </w:r>
    </w:p>
    <w:p w:rsidR="00CF21B5" w:rsidRPr="00CF21B5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I</w:t>
      </w:r>
      <w:r w:rsidRPr="00CF21B5">
        <w:rPr>
          <w:rFonts w:ascii="Arial" w:hAnsi="Arial" w:cs="Arial"/>
          <w:color w:val="000000"/>
          <w:sz w:val="20"/>
          <w:szCs w:val="20"/>
        </w:rPr>
        <w:t>ntra</w:t>
      </w:r>
      <w:r w:rsidRPr="00CF21B5">
        <w:rPr>
          <w:rFonts w:ascii="Arial" w:hAnsi="Arial" w:cs="Arial"/>
          <w:color w:val="000000"/>
          <w:sz w:val="20"/>
          <w:szCs w:val="20"/>
        </w:rPr>
        <w:t>operative and postoperative com</w:t>
      </w:r>
      <w:r w:rsidRPr="00CF21B5">
        <w:rPr>
          <w:rFonts w:ascii="Arial" w:hAnsi="Arial" w:cs="Arial"/>
          <w:color w:val="000000"/>
          <w:sz w:val="20"/>
          <w:szCs w:val="20"/>
        </w:rPr>
        <w:t>plications were more common when hilar rese</w:t>
      </w:r>
      <w:r w:rsidRPr="00CF21B5">
        <w:rPr>
          <w:rFonts w:ascii="Arial" w:hAnsi="Arial" w:cs="Arial"/>
          <w:color w:val="000000"/>
          <w:sz w:val="20"/>
          <w:szCs w:val="20"/>
        </w:rPr>
        <w:t>ction was per</w:t>
      </w:r>
      <w:r w:rsidRPr="00CF21B5">
        <w:rPr>
          <w:rFonts w:ascii="Arial" w:hAnsi="Arial" w:cs="Arial"/>
          <w:color w:val="000000"/>
          <w:sz w:val="20"/>
          <w:szCs w:val="20"/>
        </w:rPr>
        <w:t>formed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(complex vascular arrangement and extensive dissection necessary)</w:t>
      </w:r>
    </w:p>
    <w:p w:rsidR="00CF21B5" w:rsidRPr="004E6DA9" w:rsidRDefault="00CF21B5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TA stapler used – less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intraop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complications</w:t>
      </w:r>
    </w:p>
    <w:p w:rsidR="004E6DA9" w:rsidRPr="0055288F" w:rsidRDefault="004E6DA9" w:rsidP="00CF21B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Margins did not impact long term survival </w:t>
      </w:r>
    </w:p>
    <w:sectPr w:rsidR="004E6DA9" w:rsidRPr="00552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084D"/>
    <w:multiLevelType w:val="hybridMultilevel"/>
    <w:tmpl w:val="2BBC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04116"/>
    <w:multiLevelType w:val="hybridMultilevel"/>
    <w:tmpl w:val="4E2E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1B5"/>
    <w:rsid w:val="000C1A86"/>
    <w:rsid w:val="004E6DA9"/>
    <w:rsid w:val="0055288F"/>
    <w:rsid w:val="00CF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84BB10-F6DA-4044-86D9-A3E514E6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</cp:revision>
  <dcterms:created xsi:type="dcterms:W3CDTF">2019-04-02T00:22:00Z</dcterms:created>
  <dcterms:modified xsi:type="dcterms:W3CDTF">2019-04-02T01:28:00Z</dcterms:modified>
</cp:coreProperties>
</file>