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870E8" w:rsidRPr="007870E8" w:rsidRDefault="00FE1694" w:rsidP="007870E8">
      <w:pPr>
        <w:rPr>
          <w:b/>
        </w:rPr>
      </w:pPr>
      <w:r w:rsidRPr="007870E8">
        <w:rPr>
          <w:b/>
        </w:rPr>
        <w:t>Does Obesity Protect Against Death in Sepsis? A Retrospective Cohort Study of 55,038 Adult Patients.</w:t>
      </w:r>
    </w:p>
    <w:p w:rsidR="00FE1694" w:rsidRPr="00E80D2B" w:rsidRDefault="00FE1694" w:rsidP="007870E8">
      <w:pPr>
        <w:rPr>
          <w:u w:val="single"/>
        </w:rPr>
      </w:pPr>
      <w:r w:rsidRPr="007870E8">
        <w:t xml:space="preserve">Objectives: </w:t>
      </w:r>
      <w:r w:rsidRPr="007870E8">
        <w:rPr>
          <w:u w:val="single"/>
        </w:rPr>
        <w:t>Observational studies suggest obesity is associated with sepsis survival, but these studies are small, fail to adjust for key confounders, measure body mass index at inconsistent time points, and/or use administrative data to define sepsis.</w:t>
      </w:r>
      <w:r w:rsidRPr="007870E8">
        <w:t xml:space="preserve"> </w:t>
      </w:r>
      <w:r w:rsidRPr="00E80D2B">
        <w:rPr>
          <w:u w:val="single"/>
        </w:rPr>
        <w:t>To estimate the relationship between body mass index and sepsis mortality using detailed clinical data for case detection and risk adjustment.</w:t>
      </w:r>
    </w:p>
    <w:p w:rsidR="00FE1694" w:rsidRPr="007870E8" w:rsidRDefault="00FE1694" w:rsidP="007870E8">
      <w:r w:rsidRPr="007870E8">
        <w:t xml:space="preserve">Design: Retrospective cohort analysis of a large clinical data repository. </w:t>
      </w:r>
    </w:p>
    <w:p w:rsidR="00FE1694" w:rsidRPr="007870E8" w:rsidRDefault="00FE1694" w:rsidP="007870E8">
      <w:r w:rsidRPr="007870E8">
        <w:t xml:space="preserve">Setting: One-hundred thirty-nine hospitals in the United States. </w:t>
      </w:r>
    </w:p>
    <w:p w:rsidR="00FE1694" w:rsidRPr="00E80D2B" w:rsidRDefault="00FE1694" w:rsidP="007870E8">
      <w:pPr>
        <w:rPr>
          <w:u w:val="single"/>
        </w:rPr>
      </w:pPr>
      <w:r w:rsidRPr="00E80D2B">
        <w:rPr>
          <w:u w:val="single"/>
        </w:rPr>
        <w:t xml:space="preserve">Patients: Adult inpatients with sepsis meeting Sepsis-3 criteria. </w:t>
      </w:r>
    </w:p>
    <w:p w:rsidR="00FE1694" w:rsidRPr="007870E8" w:rsidRDefault="00FE1694" w:rsidP="007870E8">
      <w:r w:rsidRPr="00E80D2B">
        <w:rPr>
          <w:u w:val="single"/>
        </w:rPr>
        <w:t xml:space="preserve">Exposure: Body mass index in six categories: </w:t>
      </w:r>
      <w:r w:rsidRPr="007870E8">
        <w:t xml:space="preserve">underweight (body mass index &lt; 18.5 kg/m2), normal weight (body mass index = 18.5–24.9kg/m2), overweight (body mass index = 25.0– 29.9kg/m2), obese class I (body mass index = 30.0–34.9kg/m2), obese class II (body mass index = 35.0–39.9kg/m2), and obese class III (body mass index ≥ 40kg/m2). </w:t>
      </w:r>
    </w:p>
    <w:p w:rsidR="00FE1694" w:rsidRPr="007870E8" w:rsidRDefault="00FE1694" w:rsidP="007870E8">
      <w:r w:rsidRPr="007870E8">
        <w:t xml:space="preserve">Measurements: Multivariate logistic regression with generalized estimating equations to </w:t>
      </w:r>
      <w:r w:rsidRPr="00E80D2B">
        <w:rPr>
          <w:u w:val="single"/>
        </w:rPr>
        <w:t>estimate the effect of body mass index category on short-term mortality (in-hospital death or discharge to hospice)</w:t>
      </w:r>
      <w:r w:rsidRPr="007870E8">
        <w:t xml:space="preserve"> adjusting for patient, infection, and hospital-level factors. Sensitivity analyses were conducted in subgroups of age, gender, </w:t>
      </w:r>
      <w:proofErr w:type="spellStart"/>
      <w:r w:rsidRPr="007870E8">
        <w:t>Elixhauser</w:t>
      </w:r>
      <w:proofErr w:type="spellEnd"/>
      <w:r w:rsidRPr="007870E8">
        <w:t xml:space="preserve"> comorbidity index, Sequential Organ Failure Assessment quartiles, </w:t>
      </w:r>
      <w:proofErr w:type="spellStart"/>
      <w:r w:rsidRPr="007870E8">
        <w:t>bacteremic</w:t>
      </w:r>
      <w:proofErr w:type="spellEnd"/>
      <w:r w:rsidRPr="007870E8">
        <w:t xml:space="preserve"> sepsis, and ICU admission. </w:t>
      </w:r>
    </w:p>
    <w:p w:rsidR="007870E8" w:rsidRPr="00E80D2B" w:rsidRDefault="00FE1694" w:rsidP="007870E8">
      <w:pPr>
        <w:rPr>
          <w:u w:val="single"/>
        </w:rPr>
      </w:pPr>
      <w:r w:rsidRPr="00E80D2B">
        <w:rPr>
          <w:u w:val="single"/>
        </w:rPr>
        <w:t xml:space="preserve">Main Results: From 2009 to 2015, we identified 55,038 adults with sepsis and assessable body mass index measurements: 6% underweight, 33% normal weight, 28% overweight, and 33% obese. Crude mortality was inversely proportional to body mass index category: underweight (31%), normal weight (24%), overweight (19%), obese class I (16%), obese class II (16%), and obese class III (14%). Compared with normal weight, the adjusted odds ratio (95% CI) of mortality was 1.62 (1.50–1.74) for underweight, 0.73 (0.70–0.77) for overweight, 0.61 (0.57– 0.66) for obese class I, 0.61 (0.55–0.67) for obese class II, and 0.65 (0.59–0.71) for obese class III. Results were consistent in sensitivity analyses. </w:t>
      </w:r>
    </w:p>
    <w:p w:rsidR="00FE1694" w:rsidRPr="007870E8" w:rsidRDefault="00FE1694" w:rsidP="007870E8">
      <w:r w:rsidRPr="00E80D2B">
        <w:rPr>
          <w:u w:val="single"/>
        </w:rPr>
        <w:t>Conclusions: In adults with clinically defined sepsis, we demonstrate lower short-term mortality in patients with higher body mass indices compared with those with normal body mass indices (both unadjusted and adjusted analyses) and higher short-term mortality in those with low body mass indices.</w:t>
      </w:r>
      <w:r w:rsidRPr="007870E8">
        <w:t xml:space="preserve"> Understanding how obesity improves survival in sepsis would inform prognostic and therapeutic strategies. </w:t>
      </w:r>
    </w:p>
    <w:p w:rsidR="007870E8" w:rsidRPr="007870E8" w:rsidRDefault="007870E8" w:rsidP="007870E8"/>
    <w:p w:rsidR="007870E8" w:rsidRPr="007870E8" w:rsidRDefault="007870E8" w:rsidP="007870E8"/>
    <w:p w:rsidR="007870E8" w:rsidRPr="007870E8" w:rsidRDefault="007870E8" w:rsidP="007870E8">
      <w:pPr>
        <w:rPr>
          <w:b/>
        </w:rPr>
      </w:pPr>
      <w:r w:rsidRPr="007870E8">
        <w:rPr>
          <w:b/>
        </w:rPr>
        <w:t xml:space="preserve">The Effect of Mechanical Ventilation on Peripheral Perfusion Index and Its Association </w:t>
      </w:r>
      <w:proofErr w:type="gramStart"/>
      <w:r w:rsidRPr="007870E8">
        <w:rPr>
          <w:b/>
        </w:rPr>
        <w:t>With</w:t>
      </w:r>
      <w:proofErr w:type="gramEnd"/>
      <w:r w:rsidRPr="007870E8">
        <w:rPr>
          <w:b/>
        </w:rPr>
        <w:t xml:space="preserve"> the Prognosis of Critically Ill Patients</w:t>
      </w:r>
    </w:p>
    <w:p w:rsidR="007870E8" w:rsidRPr="007870E8" w:rsidRDefault="007870E8" w:rsidP="007870E8">
      <w:pPr>
        <w:rPr>
          <w:u w:val="single"/>
        </w:rPr>
      </w:pPr>
      <w:r w:rsidRPr="007870E8">
        <w:rPr>
          <w:u w:val="single"/>
        </w:rPr>
        <w:t xml:space="preserve">Objectives: This study aimed to explore the relationship between the variables of mechanical ventilation and circulatory perfusion and its association with ICU mortality during the first day of mechanical ventilation. </w:t>
      </w:r>
    </w:p>
    <w:p w:rsidR="007870E8" w:rsidRDefault="007870E8" w:rsidP="007870E8">
      <w:r w:rsidRPr="007870E8">
        <w:t xml:space="preserve">Design: Retrospective cohort study. </w:t>
      </w:r>
    </w:p>
    <w:p w:rsidR="007870E8" w:rsidRDefault="007870E8" w:rsidP="007870E8">
      <w:r w:rsidRPr="007870E8">
        <w:t xml:space="preserve">Setting: The Department of Critical Care Medicine, Peking Union Medical College Hospital. </w:t>
      </w:r>
    </w:p>
    <w:p w:rsidR="007870E8" w:rsidRDefault="007870E8" w:rsidP="007870E8">
      <w:r w:rsidRPr="007870E8">
        <w:t xml:space="preserve">Patients: Patients who have undergone mechanical ventilation. </w:t>
      </w:r>
    </w:p>
    <w:p w:rsidR="007870E8" w:rsidRDefault="007870E8" w:rsidP="007870E8">
      <w:r w:rsidRPr="007870E8">
        <w:t xml:space="preserve">Interventions: None. </w:t>
      </w:r>
    </w:p>
    <w:p w:rsidR="007870E8" w:rsidRDefault="007870E8" w:rsidP="007870E8">
      <w:r w:rsidRPr="007870E8">
        <w:lastRenderedPageBreak/>
        <w:t xml:space="preserve">Measurements and Main Results: This study used the main clinical data obtained from the real-time bedside messaging systems of mechanically ventilated patients during their first day in the ICU from May 2013 to May 2016, including data on the variables of mechanical ventilation and circulatory perfusion. An analysis was then performed on the association of the above data with the patient’s in-ICU mortality. </w:t>
      </w:r>
      <w:r w:rsidRPr="007870E8">
        <w:rPr>
          <w:u w:val="single"/>
        </w:rPr>
        <w:t>There were 5,103 patients who received mechanical ventilation during this period, and of these, 309 patients died during their ICU treatment.</w:t>
      </w:r>
      <w:r w:rsidRPr="007870E8">
        <w:t xml:space="preserve"> Peak airway pressure, mean airway pressure, respiratory rate, heart rate, mean arterial pressure, Fio2, blood oxygen saturation, Po2, peripheral perfusion index, and lactate level were correlated with patient outcomes. A Cox </w:t>
      </w:r>
      <w:r w:rsidRPr="007870E8">
        <w:rPr>
          <w:u w:val="single"/>
        </w:rPr>
        <w:t>logistic regression analysis suggested that mean airway pressure and perfusion index were the most independent risk and protective factors, respectively, for patient ICU mortality. The areas under the curve for a poor prognosis for mean airway pressure and perfusion index were 0.799</w:t>
      </w:r>
      <w:r w:rsidRPr="007870E8">
        <w:t xml:space="preserve"> (95% CI, 0.77–0.829) </w:t>
      </w:r>
      <w:r w:rsidRPr="007870E8">
        <w:rPr>
          <w:u w:val="single"/>
        </w:rPr>
        <w:t>and 0.759</w:t>
      </w:r>
      <w:r w:rsidRPr="007870E8">
        <w:t xml:space="preserve"> (95% CI, 0.729–0.789), respectively. </w:t>
      </w:r>
      <w:r w:rsidRPr="007870E8">
        <w:rPr>
          <w:u w:val="single"/>
        </w:rPr>
        <w:t>Further, mean airway pressure and perfusion index exhibited a causal interaction.</w:t>
      </w:r>
      <w:r w:rsidRPr="007870E8">
        <w:t xml:space="preserve"> The relative excess risk due to interaction was 2.061 (–0.691 to 4.814), the attributable proportion due to interaction was 0.210 (–0.027 to 0.447), and the synergy index was 1.306 (0.930–1.833). </w:t>
      </w:r>
    </w:p>
    <w:p w:rsidR="007870E8" w:rsidRPr="007870E8" w:rsidRDefault="007870E8" w:rsidP="007870E8">
      <w:pPr>
        <w:rPr>
          <w:u w:val="single"/>
        </w:rPr>
      </w:pPr>
      <w:r w:rsidRPr="007870E8">
        <w:t xml:space="preserve">Conclusions: </w:t>
      </w:r>
      <w:r w:rsidRPr="007870E8">
        <w:rPr>
          <w:u w:val="single"/>
        </w:rPr>
        <w:t xml:space="preserve">A higher mean airway pressure and lower perfusion index provided a worse prognosis in mechanically ventilated patients, and it appears that these two variables have a casual interaction. </w:t>
      </w:r>
    </w:p>
    <w:p w:rsidR="007870E8" w:rsidRPr="007870E8" w:rsidRDefault="007870E8" w:rsidP="007870E8"/>
    <w:p w:rsidR="007870E8" w:rsidRPr="007870E8" w:rsidRDefault="007870E8" w:rsidP="007870E8"/>
    <w:p w:rsidR="007870E8" w:rsidRPr="007870E8" w:rsidRDefault="007870E8" w:rsidP="007870E8"/>
    <w:p w:rsidR="007870E8" w:rsidRPr="00E80D2B" w:rsidRDefault="007870E8" w:rsidP="007870E8">
      <w:pPr>
        <w:rPr>
          <w:b/>
        </w:rPr>
      </w:pPr>
      <w:r w:rsidRPr="00E80D2B">
        <w:rPr>
          <w:b/>
        </w:rPr>
        <w:t xml:space="preserve">Impact of Body Temperature Abnormalities on the Implementation of Sepsis Bundles and Outcomes in Patients </w:t>
      </w:r>
      <w:proofErr w:type="gramStart"/>
      <w:r w:rsidRPr="00E80D2B">
        <w:rPr>
          <w:b/>
        </w:rPr>
        <w:t>With</w:t>
      </w:r>
      <w:proofErr w:type="gramEnd"/>
      <w:r w:rsidRPr="00E80D2B">
        <w:rPr>
          <w:b/>
        </w:rPr>
        <w:t xml:space="preserve"> Severe Sepsis: A Retrospective Sub-Analysis of the Focused Outcome Research on Emergency Care for Acute Respiratory Distress Syndrome, Sepsis and Trauma Study</w:t>
      </w:r>
    </w:p>
    <w:p w:rsidR="00E80D2B" w:rsidRDefault="007870E8" w:rsidP="007870E8">
      <w:r w:rsidRPr="00E80D2B">
        <w:rPr>
          <w:u w:val="single"/>
        </w:rPr>
        <w:t>Objectives: To investigate the impact of body temperature on disease severity, implementation of sepsis bundles, and outcomes in severe sepsis patients.</w:t>
      </w:r>
      <w:r w:rsidRPr="007870E8">
        <w:t xml:space="preserve"> </w:t>
      </w:r>
    </w:p>
    <w:p w:rsidR="00E80D2B" w:rsidRDefault="007870E8" w:rsidP="007870E8">
      <w:r w:rsidRPr="007870E8">
        <w:t xml:space="preserve">Design: Retrospective sub-analysis. </w:t>
      </w:r>
    </w:p>
    <w:p w:rsidR="00E80D2B" w:rsidRDefault="007870E8" w:rsidP="007870E8">
      <w:r w:rsidRPr="007870E8">
        <w:t xml:space="preserve">Setting: Fifty-nine ICUs in Japan, from January 2016 to March 2017. </w:t>
      </w:r>
    </w:p>
    <w:p w:rsidR="00E80D2B" w:rsidRDefault="007870E8" w:rsidP="007870E8">
      <w:r w:rsidRPr="00E80D2B">
        <w:rPr>
          <w:u w:val="single"/>
        </w:rPr>
        <w:t>Patients: Adult patients with severe sepsis based on Sepsis-2 were enrolled and divided into three categories (body temperature &lt; 36°C, 36–38°C, &gt; 38°C), using the core body temperature at ICU admission.</w:t>
      </w:r>
      <w:r w:rsidRPr="007870E8">
        <w:t xml:space="preserve"> </w:t>
      </w:r>
    </w:p>
    <w:p w:rsidR="00E80D2B" w:rsidRDefault="007870E8" w:rsidP="007870E8">
      <w:r w:rsidRPr="007870E8">
        <w:t xml:space="preserve">Interventions: None. </w:t>
      </w:r>
    </w:p>
    <w:p w:rsidR="00E80D2B" w:rsidRDefault="007870E8" w:rsidP="007870E8">
      <w:r w:rsidRPr="007870E8">
        <w:t xml:space="preserve">Measurements and Main Results: Compliance with the bundles proposed in the Surviving Sepsis Campaign Guidelines 2012, </w:t>
      </w:r>
      <w:proofErr w:type="spellStart"/>
      <w:r w:rsidRPr="007870E8">
        <w:t>inhospital</w:t>
      </w:r>
      <w:proofErr w:type="spellEnd"/>
      <w:r w:rsidRPr="007870E8">
        <w:t xml:space="preserve"> mortality, disposition after discharge, and the number of ICU and ventilator-free days were evaluated. </w:t>
      </w:r>
      <w:r w:rsidRPr="00E80D2B">
        <w:t xml:space="preserve">Of 1,143 enrolled patients, 127, 565, and 451 were categorized as having body temperature less than 36°C, 36–38°C, and greater than 38°C, respectively. </w:t>
      </w:r>
      <w:r w:rsidRPr="00E80D2B">
        <w:rPr>
          <w:u w:val="single"/>
        </w:rPr>
        <w:t>Hypothermia—body temperature less than 36°C— was observed in 11.1% of patients. Patients with hypothermia were significantly older than those with a body temperature of 36–38°C or greater than 38°C and had a lower body mass index and higher prevalence of septic shock than those with body temperature greater than 38°C.</w:t>
      </w:r>
      <w:r w:rsidRPr="007870E8">
        <w:t xml:space="preserve"> </w:t>
      </w:r>
      <w:r w:rsidRPr="00E80D2B">
        <w:rPr>
          <w:u w:val="single"/>
        </w:rPr>
        <w:t xml:space="preserve">Acute Physiology and Chronic Health Evaluation II and Sequential Organ Failure Assessment scores on the day of enrollment were also significantly higher in hypothermia patients. Implementation </w:t>
      </w:r>
      <w:r w:rsidRPr="00E80D2B">
        <w:rPr>
          <w:u w:val="single"/>
        </w:rPr>
        <w:lastRenderedPageBreak/>
        <w:t xml:space="preserve">rates of the entire 3-hour bundle and administration of broad-spectrum antibiotics significantly differed across categories; implementation rates were significantly lower in patients with body temperature less than 36°C than in those with body temperature greater than 38°C. </w:t>
      </w:r>
      <w:r w:rsidRPr="007870E8">
        <w:t xml:space="preserve">Implementation rate of the entire 3-hour resuscitation bundle + vasopressor use + remeasured lactate significantly differed across categories, as did the in-hospital and 28-day mortality. The </w:t>
      </w:r>
      <w:r w:rsidRPr="00E80D2B">
        <w:rPr>
          <w:u w:val="single"/>
        </w:rPr>
        <w:t>odds ratio for in-hospital mortality relative to the reference range of body temperature greater than 38°C was 1.760 (95% CI, 1.134–2.732) in the group with hypothermia. The proportions of ICU-free and ventilator-free days also significantly differed between categories and were significantly smaller in patients with hypothermia.</w:t>
      </w:r>
      <w:r w:rsidRPr="007870E8">
        <w:t xml:space="preserve"> </w:t>
      </w:r>
    </w:p>
    <w:p w:rsidR="007870E8" w:rsidRPr="00E80D2B" w:rsidRDefault="007870E8" w:rsidP="007870E8">
      <w:pPr>
        <w:rPr>
          <w:u w:val="single"/>
        </w:rPr>
      </w:pPr>
      <w:r w:rsidRPr="00E80D2B">
        <w:rPr>
          <w:u w:val="single"/>
        </w:rPr>
        <w:t xml:space="preserve">Conclusions: Hypothermia was associated with a significantly higher disease severity, mortality risk, and lower implementation of sepsis bundles. </w:t>
      </w:r>
    </w:p>
    <w:p w:rsidR="00E80D2B" w:rsidRDefault="00E80D2B" w:rsidP="007870E8"/>
    <w:p w:rsidR="00E80D2B" w:rsidRPr="007870E8" w:rsidRDefault="00E80D2B" w:rsidP="007870E8"/>
    <w:p w:rsidR="007870E8" w:rsidRPr="00E80D2B" w:rsidRDefault="007870E8" w:rsidP="007870E8">
      <w:pPr>
        <w:rPr>
          <w:b/>
        </w:rPr>
      </w:pPr>
      <w:r w:rsidRPr="00E80D2B">
        <w:rPr>
          <w:b/>
        </w:rPr>
        <w:t xml:space="preserve">Moderate-Intensity Insulin Therapy Is Associated </w:t>
      </w:r>
      <w:proofErr w:type="gramStart"/>
      <w:r w:rsidRPr="00E80D2B">
        <w:rPr>
          <w:b/>
        </w:rPr>
        <w:t>With</w:t>
      </w:r>
      <w:proofErr w:type="gramEnd"/>
      <w:r w:rsidRPr="00E80D2B">
        <w:rPr>
          <w:b/>
        </w:rPr>
        <w:t xml:space="preserve"> Reduced Length of Stay in Critically Ill Patients With Diabetic Ketoacidosis and Hyperosmolar Hyperglycemic State</w:t>
      </w:r>
    </w:p>
    <w:p w:rsidR="00E80D2B" w:rsidRDefault="007870E8" w:rsidP="007870E8">
      <w:pPr>
        <w:rPr>
          <w:u w:val="single"/>
        </w:rPr>
      </w:pPr>
      <w:r w:rsidRPr="00E80D2B">
        <w:rPr>
          <w:u w:val="single"/>
        </w:rPr>
        <w:t xml:space="preserve">Objectives: Insulin infusion therapy is commonly used in the hospital setting to manage diabetic ketoacidosis and hyperosmolar hyperglycemic state. Clinical evidence suggests both hypoglycemia and glycemic variability negatively impact patient outcomes. The hypothesis of this study was that moderate-intensity insulin therapy decreases hospital length of stay and prevalence of hypoglycemia in patients with diabetic ketoacidosis and hyperosmolar hyperglycemic state. </w:t>
      </w:r>
    </w:p>
    <w:p w:rsidR="00E80D2B" w:rsidRDefault="007870E8" w:rsidP="007870E8">
      <w:r w:rsidRPr="007870E8">
        <w:t xml:space="preserve">Design: Pre-post study. </w:t>
      </w:r>
    </w:p>
    <w:p w:rsidR="00E80D2B" w:rsidRDefault="007870E8" w:rsidP="007870E8">
      <w:r w:rsidRPr="007870E8">
        <w:t xml:space="preserve">Setting: Large academic medical center in the United States. </w:t>
      </w:r>
    </w:p>
    <w:p w:rsidR="00E80D2B" w:rsidRDefault="007870E8" w:rsidP="007870E8">
      <w:r w:rsidRPr="007870E8">
        <w:t xml:space="preserve">Patients: Two-hundred one consecutive, nonpregnant, adult patients admitted for diabetic ketoacidosis and hyperosmolar hyperglycemic state between October 2010 and December 2014. </w:t>
      </w:r>
    </w:p>
    <w:p w:rsidR="00E80D2B" w:rsidRPr="00E80D2B" w:rsidRDefault="007870E8" w:rsidP="007870E8">
      <w:pPr>
        <w:rPr>
          <w:u w:val="single"/>
        </w:rPr>
      </w:pPr>
      <w:r w:rsidRPr="00E80D2B">
        <w:rPr>
          <w:u w:val="single"/>
        </w:rPr>
        <w:t>Interventions: High-intensity insulin therapy versus moderate</w:t>
      </w:r>
      <w:r w:rsidR="00E80D2B" w:rsidRPr="00E80D2B">
        <w:rPr>
          <w:u w:val="single"/>
        </w:rPr>
        <w:t xml:space="preserve"> </w:t>
      </w:r>
      <w:r w:rsidRPr="00E80D2B">
        <w:rPr>
          <w:u w:val="single"/>
        </w:rPr>
        <w:t xml:space="preserve">intensity insulin therapy. High-intensity insulin therapy was designed to rapidly normalize blood glucose levels with bolus doses of insulin and rapid insulin titration. Moderate-intensity insulin therapy was designed to mitigate glycemic variability and hypoglycemia through avoidance of bolus dosing, a liberalized blood glucose target, and gradual insulin titration. </w:t>
      </w:r>
    </w:p>
    <w:p w:rsidR="00E80D2B" w:rsidRDefault="007870E8" w:rsidP="007870E8">
      <w:r w:rsidRPr="00E80D2B">
        <w:rPr>
          <w:u w:val="single"/>
        </w:rPr>
        <w:t>Measurements and Main Results: Hospital and ICU length of stay were reduced by 23.6% and 38%, respectively. The relative risk of remaining in the hospital at day 7 (0.51; p = 0.022) and day 14 (0.28; p = 0.044) were significantly reduced by the moderate</w:t>
      </w:r>
      <w:r w:rsidR="00E80D2B" w:rsidRPr="00E80D2B">
        <w:rPr>
          <w:u w:val="single"/>
        </w:rPr>
        <w:t xml:space="preserve"> </w:t>
      </w:r>
      <w:r w:rsidRPr="00E80D2B">
        <w:rPr>
          <w:u w:val="single"/>
        </w:rPr>
        <w:t>intensity insulin therapy strategy. The relative risk of remaining in the ICU at 48 hours was significantly lower in the moderate-intensity insulin therapy cohort (0.34; p = 0.0048). The prevalence (35% vs 1%; p = 0.0003) and relative risk (0.028; p = 0.0004) of hypoglycemia were significantly lower in the moderate-intensity insulin therapy cohort.</w:t>
      </w:r>
      <w:r w:rsidRPr="007870E8">
        <w:t xml:space="preserve"> Glycemic variability decreased by 28.6% (p &lt; 0.0001). There was no difference in the time to anion gap closure (p = 0.123). </w:t>
      </w:r>
    </w:p>
    <w:p w:rsidR="007870E8" w:rsidRPr="00E80D2B" w:rsidRDefault="007870E8" w:rsidP="007870E8">
      <w:pPr>
        <w:rPr>
          <w:u w:val="single"/>
        </w:rPr>
      </w:pPr>
      <w:r w:rsidRPr="00E80D2B">
        <w:rPr>
          <w:u w:val="single"/>
        </w:rPr>
        <w:t xml:space="preserve">Conclusions: Moderate-intensity insulin therapy for diabetic ketoacidosis and hyperosmolar hyperglycemic state resulted in improvements in hospital and ICU length of stay, which appeared to be associated with decreased glycemic variability. </w:t>
      </w:r>
    </w:p>
    <w:p w:rsidR="007870E8" w:rsidRPr="007870E8" w:rsidRDefault="007870E8" w:rsidP="007870E8"/>
    <w:p w:rsidR="007870E8" w:rsidRPr="007870E8" w:rsidRDefault="007870E8" w:rsidP="007870E8"/>
    <w:p w:rsidR="007870E8" w:rsidRPr="00E80D2B" w:rsidRDefault="007870E8" w:rsidP="007870E8">
      <w:pPr>
        <w:rPr>
          <w:b/>
        </w:rPr>
      </w:pPr>
      <w:r w:rsidRPr="00E80D2B">
        <w:rPr>
          <w:b/>
        </w:rPr>
        <w:lastRenderedPageBreak/>
        <w:t>Detection of Intestinal Tissue Perfusion by Real-Time Breath Methane Analysis in Rat and Pig Models of Mesenteric Circulatory Distress</w:t>
      </w:r>
    </w:p>
    <w:p w:rsidR="00E80D2B" w:rsidRPr="00E80D2B" w:rsidRDefault="007870E8" w:rsidP="007870E8">
      <w:pPr>
        <w:rPr>
          <w:u w:val="single"/>
        </w:rPr>
      </w:pPr>
      <w:r w:rsidRPr="00E80D2B">
        <w:rPr>
          <w:u w:val="single"/>
        </w:rPr>
        <w:t xml:space="preserve">Objectives: Methane (CH4) breath test is an established diagnostic method for gastrointestinal functional disorders. Our aim was to explore the possible link between splanchnic circulatory changes and exhaled CH4 in an attempt to recognize intestinal perfusion failure. </w:t>
      </w:r>
    </w:p>
    <w:p w:rsidR="00E80D2B" w:rsidRDefault="007870E8" w:rsidP="007870E8">
      <w:r w:rsidRPr="007870E8">
        <w:t xml:space="preserve">Design: Randomized, controlled in vivo animal study. </w:t>
      </w:r>
    </w:p>
    <w:p w:rsidR="00E80D2B" w:rsidRDefault="007870E8" w:rsidP="007870E8">
      <w:r w:rsidRPr="007870E8">
        <w:t xml:space="preserve">Setting: University research laboratory. </w:t>
      </w:r>
    </w:p>
    <w:p w:rsidR="00E80D2B" w:rsidRDefault="007870E8" w:rsidP="007870E8">
      <w:r w:rsidRPr="007870E8">
        <w:t xml:space="preserve">Subjects: Anesthetized, ventilated Sprague-Dawley rats (280±30g) and Vietnamese minipigs (31±7kg). </w:t>
      </w:r>
    </w:p>
    <w:p w:rsidR="00AF5EEE" w:rsidRPr="00AF5EEE" w:rsidRDefault="007870E8" w:rsidP="007870E8">
      <w:r w:rsidRPr="007870E8">
        <w:t xml:space="preserve">Interventions: In the first series, CH4 was administered </w:t>
      </w:r>
      <w:proofErr w:type="spellStart"/>
      <w:r w:rsidRPr="007870E8">
        <w:t>intraluminally</w:t>
      </w:r>
      <w:proofErr w:type="spellEnd"/>
      <w:r w:rsidRPr="007870E8">
        <w:t xml:space="preserve"> into the ileum before 45 minutes mesenteric ischemia or before reperfusion in non-CH4 producer rats to test the appearance of the gas in the exhaled air. </w:t>
      </w:r>
      <w:r w:rsidRPr="00AF5EEE">
        <w:t xml:space="preserve">In the porcine experiments, </w:t>
      </w:r>
      <w:r w:rsidRPr="00AF5EEE">
        <w:rPr>
          <w:u w:val="single"/>
        </w:rPr>
        <w:t>the superior mesenteric artery was gradually obstructed during consecutive, 30-minute flow reductions and 30-minute reperfusions achieving complete occlusion after four cycles</w:t>
      </w:r>
      <w:r w:rsidRPr="00AF5EEE">
        <w:t xml:space="preserve"> (n = 6), or </w:t>
      </w:r>
      <w:r w:rsidRPr="00AF5EEE">
        <w:rPr>
          <w:u w:val="single"/>
        </w:rPr>
        <w:t xml:space="preserve">nonocclusive mesenteric ischemia was induced by pericardial tamponade </w:t>
      </w:r>
      <w:r w:rsidRPr="00AF5EEE">
        <w:t xml:space="preserve">(n = 12), which decreased superior mesenteric artery flow from 351±55 to 182±67mL/min and mean arterial pressure from 96.7±18.2 to 41.5±4.6mm Hg for 60 minutes. </w:t>
      </w:r>
    </w:p>
    <w:p w:rsidR="00AF5EEE" w:rsidRDefault="007870E8" w:rsidP="007870E8">
      <w:r w:rsidRPr="007870E8">
        <w:t xml:space="preserve">Measurements and Main Results: Macrohemodynamics were monitored continuously; RBC velocity of the </w:t>
      </w:r>
      <w:proofErr w:type="spellStart"/>
      <w:r w:rsidRPr="007870E8">
        <w:t>ileal</w:t>
      </w:r>
      <w:proofErr w:type="spellEnd"/>
      <w:r w:rsidRPr="007870E8">
        <w:t xml:space="preserve"> serosa or mucosa was recorded by intravital </w:t>
      </w:r>
      <w:proofErr w:type="spellStart"/>
      <w:r w:rsidRPr="007870E8">
        <w:t>videomicroscopy</w:t>
      </w:r>
      <w:proofErr w:type="spellEnd"/>
      <w:r w:rsidRPr="007870E8">
        <w:t xml:space="preserve">. The concentration of exhaled CH4 was measured online simultaneously with high-sensitivity photoacoustic spectroscopy. </w:t>
      </w:r>
      <w:r w:rsidRPr="00AF5EEE">
        <w:rPr>
          <w:u w:val="single"/>
        </w:rPr>
        <w:t xml:space="preserve">The intestinal flow changes during the occlusion-reperfusion phases were accompanied by parallel changes in breath CH4 output. </w:t>
      </w:r>
      <w:proofErr w:type="gramStart"/>
      <w:r w:rsidRPr="00AF5EEE">
        <w:rPr>
          <w:u w:val="single"/>
        </w:rPr>
        <w:t>Also</w:t>
      </w:r>
      <w:proofErr w:type="gramEnd"/>
      <w:r w:rsidRPr="00AF5EEE">
        <w:rPr>
          <w:u w:val="single"/>
        </w:rPr>
        <w:t xml:space="preserve"> in cardiac tamponade-induced nonocclusive intestinal ischemia, the superior mesenteric artery flow and RBC velocity correlated significantly with parallel changes in CH4 concentration in the exhaled air</w:t>
      </w:r>
      <w:r w:rsidRPr="007870E8">
        <w:t xml:space="preserve"> (Pearson’s r = 0.669 or r = 0.632, respectively). </w:t>
      </w:r>
    </w:p>
    <w:p w:rsidR="00FE1694" w:rsidRPr="00AF5EEE" w:rsidRDefault="007870E8" w:rsidP="007870E8">
      <w:pPr>
        <w:rPr>
          <w:u w:val="single"/>
        </w:rPr>
      </w:pPr>
      <w:r w:rsidRPr="007870E8">
        <w:t xml:space="preserve">Conclusions: </w:t>
      </w:r>
      <w:r w:rsidR="00AF5EEE">
        <w:t>W</w:t>
      </w:r>
      <w:r w:rsidRPr="007870E8">
        <w:t xml:space="preserve">e report a combination of in vivo experimental data on </w:t>
      </w:r>
      <w:r w:rsidRPr="00AF5EEE">
        <w:rPr>
          <w:u w:val="single"/>
        </w:rPr>
        <w:t xml:space="preserve">a close association of an exhaled endogenous gas with acute mesenteric macro- and microvascular flow changes. Breath CH4 analysis may offer a noninvasive approach to follow the status of the splanchnic circulation. </w:t>
      </w:r>
      <w:bookmarkStart w:id="0" w:name="_GoBack"/>
      <w:bookmarkEnd w:id="0"/>
    </w:p>
    <w:sectPr w:rsidR="00FE1694" w:rsidRPr="00AF5EEE" w:rsidSect="005E3A9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FF0"/>
    <w:rsid w:val="00086185"/>
    <w:rsid w:val="002155BB"/>
    <w:rsid w:val="005E3A95"/>
    <w:rsid w:val="007870E8"/>
    <w:rsid w:val="0089325D"/>
    <w:rsid w:val="009F734E"/>
    <w:rsid w:val="00A12A32"/>
    <w:rsid w:val="00AF3FF0"/>
    <w:rsid w:val="00AF5EEE"/>
    <w:rsid w:val="00D610D9"/>
    <w:rsid w:val="00E80D2B"/>
    <w:rsid w:val="00F462CC"/>
    <w:rsid w:val="00FE16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566F30"/>
  <w14:defaultImageDpi w14:val="32767"/>
  <w15:chartTrackingRefBased/>
  <w15:docId w15:val="{E5233845-0E9D-B24E-A798-153218479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FE1694"/>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E1694"/>
    <w:rPr>
      <w:rFonts w:ascii="Times New Roman" w:eastAsia="Times New Roman" w:hAnsi="Times New Roman" w:cs="Times New Roman"/>
      <w:b/>
      <w:bCs/>
      <w:sz w:val="36"/>
      <w:szCs w:val="36"/>
    </w:rPr>
  </w:style>
  <w:style w:type="paragraph" w:customStyle="1" w:styleId="fulltext-abstract">
    <w:name w:val="fulltext-abstract"/>
    <w:basedOn w:val="Normal"/>
    <w:rsid w:val="00FE1694"/>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942249">
      <w:bodyDiv w:val="1"/>
      <w:marLeft w:val="0"/>
      <w:marRight w:val="0"/>
      <w:marTop w:val="0"/>
      <w:marBottom w:val="0"/>
      <w:divBdr>
        <w:top w:val="none" w:sz="0" w:space="0" w:color="auto"/>
        <w:left w:val="none" w:sz="0" w:space="0" w:color="auto"/>
        <w:bottom w:val="none" w:sz="0" w:space="0" w:color="auto"/>
        <w:right w:val="none" w:sz="0" w:space="0" w:color="auto"/>
      </w:divBdr>
    </w:div>
    <w:div w:id="104272291">
      <w:bodyDiv w:val="1"/>
      <w:marLeft w:val="0"/>
      <w:marRight w:val="0"/>
      <w:marTop w:val="0"/>
      <w:marBottom w:val="0"/>
      <w:divBdr>
        <w:top w:val="none" w:sz="0" w:space="0" w:color="auto"/>
        <w:left w:val="none" w:sz="0" w:space="0" w:color="auto"/>
        <w:bottom w:val="none" w:sz="0" w:space="0" w:color="auto"/>
        <w:right w:val="none" w:sz="0" w:space="0" w:color="auto"/>
      </w:divBdr>
    </w:div>
    <w:div w:id="166134542">
      <w:bodyDiv w:val="1"/>
      <w:marLeft w:val="0"/>
      <w:marRight w:val="0"/>
      <w:marTop w:val="0"/>
      <w:marBottom w:val="0"/>
      <w:divBdr>
        <w:top w:val="none" w:sz="0" w:space="0" w:color="auto"/>
        <w:left w:val="none" w:sz="0" w:space="0" w:color="auto"/>
        <w:bottom w:val="none" w:sz="0" w:space="0" w:color="auto"/>
        <w:right w:val="none" w:sz="0" w:space="0" w:color="auto"/>
      </w:divBdr>
    </w:div>
    <w:div w:id="259410612">
      <w:bodyDiv w:val="1"/>
      <w:marLeft w:val="0"/>
      <w:marRight w:val="0"/>
      <w:marTop w:val="0"/>
      <w:marBottom w:val="0"/>
      <w:divBdr>
        <w:top w:val="none" w:sz="0" w:space="0" w:color="auto"/>
        <w:left w:val="none" w:sz="0" w:space="0" w:color="auto"/>
        <w:bottom w:val="none" w:sz="0" w:space="0" w:color="auto"/>
        <w:right w:val="none" w:sz="0" w:space="0" w:color="auto"/>
      </w:divBdr>
    </w:div>
    <w:div w:id="505050798">
      <w:bodyDiv w:val="1"/>
      <w:marLeft w:val="0"/>
      <w:marRight w:val="0"/>
      <w:marTop w:val="0"/>
      <w:marBottom w:val="0"/>
      <w:divBdr>
        <w:top w:val="none" w:sz="0" w:space="0" w:color="auto"/>
        <w:left w:val="none" w:sz="0" w:space="0" w:color="auto"/>
        <w:bottom w:val="none" w:sz="0" w:space="0" w:color="auto"/>
        <w:right w:val="none" w:sz="0" w:space="0" w:color="auto"/>
      </w:divBdr>
    </w:div>
    <w:div w:id="508256595">
      <w:bodyDiv w:val="1"/>
      <w:marLeft w:val="0"/>
      <w:marRight w:val="0"/>
      <w:marTop w:val="0"/>
      <w:marBottom w:val="0"/>
      <w:divBdr>
        <w:top w:val="none" w:sz="0" w:space="0" w:color="auto"/>
        <w:left w:val="none" w:sz="0" w:space="0" w:color="auto"/>
        <w:bottom w:val="none" w:sz="0" w:space="0" w:color="auto"/>
        <w:right w:val="none" w:sz="0" w:space="0" w:color="auto"/>
      </w:divBdr>
    </w:div>
    <w:div w:id="619186553">
      <w:bodyDiv w:val="1"/>
      <w:marLeft w:val="0"/>
      <w:marRight w:val="0"/>
      <w:marTop w:val="0"/>
      <w:marBottom w:val="0"/>
      <w:divBdr>
        <w:top w:val="none" w:sz="0" w:space="0" w:color="auto"/>
        <w:left w:val="none" w:sz="0" w:space="0" w:color="auto"/>
        <w:bottom w:val="none" w:sz="0" w:space="0" w:color="auto"/>
        <w:right w:val="none" w:sz="0" w:space="0" w:color="auto"/>
      </w:divBdr>
    </w:div>
    <w:div w:id="680933064">
      <w:bodyDiv w:val="1"/>
      <w:marLeft w:val="0"/>
      <w:marRight w:val="0"/>
      <w:marTop w:val="0"/>
      <w:marBottom w:val="0"/>
      <w:divBdr>
        <w:top w:val="none" w:sz="0" w:space="0" w:color="auto"/>
        <w:left w:val="none" w:sz="0" w:space="0" w:color="auto"/>
        <w:bottom w:val="none" w:sz="0" w:space="0" w:color="auto"/>
        <w:right w:val="none" w:sz="0" w:space="0" w:color="auto"/>
      </w:divBdr>
    </w:div>
    <w:div w:id="737481070">
      <w:bodyDiv w:val="1"/>
      <w:marLeft w:val="0"/>
      <w:marRight w:val="0"/>
      <w:marTop w:val="0"/>
      <w:marBottom w:val="0"/>
      <w:divBdr>
        <w:top w:val="none" w:sz="0" w:space="0" w:color="auto"/>
        <w:left w:val="none" w:sz="0" w:space="0" w:color="auto"/>
        <w:bottom w:val="none" w:sz="0" w:space="0" w:color="auto"/>
        <w:right w:val="none" w:sz="0" w:space="0" w:color="auto"/>
      </w:divBdr>
    </w:div>
    <w:div w:id="771365758">
      <w:bodyDiv w:val="1"/>
      <w:marLeft w:val="0"/>
      <w:marRight w:val="0"/>
      <w:marTop w:val="0"/>
      <w:marBottom w:val="0"/>
      <w:divBdr>
        <w:top w:val="none" w:sz="0" w:space="0" w:color="auto"/>
        <w:left w:val="none" w:sz="0" w:space="0" w:color="auto"/>
        <w:bottom w:val="none" w:sz="0" w:space="0" w:color="auto"/>
        <w:right w:val="none" w:sz="0" w:space="0" w:color="auto"/>
      </w:divBdr>
    </w:div>
    <w:div w:id="799231428">
      <w:bodyDiv w:val="1"/>
      <w:marLeft w:val="0"/>
      <w:marRight w:val="0"/>
      <w:marTop w:val="0"/>
      <w:marBottom w:val="0"/>
      <w:divBdr>
        <w:top w:val="none" w:sz="0" w:space="0" w:color="auto"/>
        <w:left w:val="none" w:sz="0" w:space="0" w:color="auto"/>
        <w:bottom w:val="none" w:sz="0" w:space="0" w:color="auto"/>
        <w:right w:val="none" w:sz="0" w:space="0" w:color="auto"/>
      </w:divBdr>
    </w:div>
    <w:div w:id="817914618">
      <w:bodyDiv w:val="1"/>
      <w:marLeft w:val="0"/>
      <w:marRight w:val="0"/>
      <w:marTop w:val="0"/>
      <w:marBottom w:val="0"/>
      <w:divBdr>
        <w:top w:val="none" w:sz="0" w:space="0" w:color="auto"/>
        <w:left w:val="none" w:sz="0" w:space="0" w:color="auto"/>
        <w:bottom w:val="none" w:sz="0" w:space="0" w:color="auto"/>
        <w:right w:val="none" w:sz="0" w:space="0" w:color="auto"/>
      </w:divBdr>
    </w:div>
    <w:div w:id="1165317736">
      <w:bodyDiv w:val="1"/>
      <w:marLeft w:val="0"/>
      <w:marRight w:val="0"/>
      <w:marTop w:val="0"/>
      <w:marBottom w:val="0"/>
      <w:divBdr>
        <w:top w:val="none" w:sz="0" w:space="0" w:color="auto"/>
        <w:left w:val="none" w:sz="0" w:space="0" w:color="auto"/>
        <w:bottom w:val="none" w:sz="0" w:space="0" w:color="auto"/>
        <w:right w:val="none" w:sz="0" w:space="0" w:color="auto"/>
      </w:divBdr>
    </w:div>
    <w:div w:id="1181696499">
      <w:bodyDiv w:val="1"/>
      <w:marLeft w:val="0"/>
      <w:marRight w:val="0"/>
      <w:marTop w:val="0"/>
      <w:marBottom w:val="0"/>
      <w:divBdr>
        <w:top w:val="none" w:sz="0" w:space="0" w:color="auto"/>
        <w:left w:val="none" w:sz="0" w:space="0" w:color="auto"/>
        <w:bottom w:val="none" w:sz="0" w:space="0" w:color="auto"/>
        <w:right w:val="none" w:sz="0" w:space="0" w:color="auto"/>
      </w:divBdr>
    </w:div>
    <w:div w:id="1359814221">
      <w:bodyDiv w:val="1"/>
      <w:marLeft w:val="0"/>
      <w:marRight w:val="0"/>
      <w:marTop w:val="0"/>
      <w:marBottom w:val="0"/>
      <w:divBdr>
        <w:top w:val="none" w:sz="0" w:space="0" w:color="auto"/>
        <w:left w:val="none" w:sz="0" w:space="0" w:color="auto"/>
        <w:bottom w:val="none" w:sz="0" w:space="0" w:color="auto"/>
        <w:right w:val="none" w:sz="0" w:space="0" w:color="auto"/>
      </w:divBdr>
    </w:div>
    <w:div w:id="1398437044">
      <w:bodyDiv w:val="1"/>
      <w:marLeft w:val="0"/>
      <w:marRight w:val="0"/>
      <w:marTop w:val="0"/>
      <w:marBottom w:val="0"/>
      <w:divBdr>
        <w:top w:val="none" w:sz="0" w:space="0" w:color="auto"/>
        <w:left w:val="none" w:sz="0" w:space="0" w:color="auto"/>
        <w:bottom w:val="none" w:sz="0" w:space="0" w:color="auto"/>
        <w:right w:val="none" w:sz="0" w:space="0" w:color="auto"/>
      </w:divBdr>
      <w:divsChild>
        <w:div w:id="1889760432">
          <w:marLeft w:val="0"/>
          <w:marRight w:val="0"/>
          <w:marTop w:val="45"/>
          <w:marBottom w:val="45"/>
          <w:divBdr>
            <w:top w:val="none" w:sz="0" w:space="0" w:color="auto"/>
            <w:left w:val="none" w:sz="0" w:space="0" w:color="auto"/>
            <w:bottom w:val="none" w:sz="0" w:space="0" w:color="auto"/>
            <w:right w:val="none" w:sz="0" w:space="0" w:color="auto"/>
          </w:divBdr>
        </w:div>
      </w:divsChild>
    </w:div>
    <w:div w:id="1593590631">
      <w:bodyDiv w:val="1"/>
      <w:marLeft w:val="0"/>
      <w:marRight w:val="0"/>
      <w:marTop w:val="0"/>
      <w:marBottom w:val="0"/>
      <w:divBdr>
        <w:top w:val="none" w:sz="0" w:space="0" w:color="auto"/>
        <w:left w:val="none" w:sz="0" w:space="0" w:color="auto"/>
        <w:bottom w:val="none" w:sz="0" w:space="0" w:color="auto"/>
        <w:right w:val="none" w:sz="0" w:space="0" w:color="auto"/>
      </w:divBdr>
    </w:div>
    <w:div w:id="2129471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4</Pages>
  <Words>1778</Words>
  <Characters>10138</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Pia Martiny</dc:creator>
  <cp:keywords/>
  <dc:description/>
  <cp:lastModifiedBy>Pia Martiny</cp:lastModifiedBy>
  <cp:revision>2</cp:revision>
  <dcterms:created xsi:type="dcterms:W3CDTF">2019-05-14T22:46:00Z</dcterms:created>
  <dcterms:modified xsi:type="dcterms:W3CDTF">2019-05-14T23:32:00Z</dcterms:modified>
</cp:coreProperties>
</file>